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78920" w14:textId="77777777" w:rsidR="00CE1BDB" w:rsidRPr="000957EE" w:rsidRDefault="00CE1BDB" w:rsidP="000957EE">
      <w:pPr>
        <w:jc w:val="center"/>
        <w:rPr>
          <w:color w:val="006666"/>
          <w:sz w:val="40"/>
          <w:szCs w:val="40"/>
        </w:rPr>
      </w:pPr>
      <w:r w:rsidRPr="000957EE">
        <w:rPr>
          <w:color w:val="006666"/>
          <w:sz w:val="40"/>
          <w:szCs w:val="40"/>
        </w:rPr>
        <w:t>Local Housing Needs Assessment 2021</w:t>
      </w:r>
    </w:p>
    <w:p w14:paraId="23448178" w14:textId="77777777" w:rsidR="00CE1BDB" w:rsidRPr="00FA4DC7" w:rsidRDefault="00CE1BDB" w:rsidP="00CE1BDB">
      <w:pPr>
        <w:pStyle w:val="BodyText"/>
        <w:pBdr>
          <w:top w:val="single" w:sz="18" w:space="1" w:color="0D5F5D"/>
        </w:pBdr>
        <w:tabs>
          <w:tab w:val="left" w:pos="0"/>
          <w:tab w:val="left" w:pos="709"/>
          <w:tab w:val="left" w:pos="1418"/>
        </w:tabs>
        <w:rPr>
          <w:rFonts w:ascii="Arial" w:hAnsi="Arial" w:cs="Arial"/>
          <w:bCs/>
          <w:color w:val="006666"/>
          <w:sz w:val="40"/>
          <w:szCs w:val="40"/>
        </w:rPr>
      </w:pPr>
    </w:p>
    <w:p w14:paraId="1627A134" w14:textId="77777777" w:rsidR="00CE1BDB" w:rsidRPr="00FA4DC7" w:rsidRDefault="00CE1BDB" w:rsidP="00CE1BDB">
      <w:pPr>
        <w:pStyle w:val="BodyText"/>
        <w:tabs>
          <w:tab w:val="left" w:pos="709"/>
          <w:tab w:val="left" w:pos="1418"/>
        </w:tabs>
        <w:jc w:val="center"/>
        <w:rPr>
          <w:rFonts w:ascii="Arial" w:hAnsi="Arial" w:cs="Arial"/>
          <w:color w:val="006666"/>
        </w:rPr>
      </w:pPr>
    </w:p>
    <w:p w14:paraId="095FFBBF"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4249762D"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17476122"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28662574"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71B78D48"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r w:rsidRPr="00FA4DC7">
        <w:rPr>
          <w:rFonts w:ascii="Arial" w:hAnsi="Arial" w:cs="Arial"/>
          <w:bCs/>
          <w:color w:val="006666"/>
          <w:sz w:val="40"/>
          <w:szCs w:val="40"/>
        </w:rPr>
        <w:t>Medway Council</w:t>
      </w:r>
    </w:p>
    <w:p w14:paraId="29B40190"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79ACB545"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71B30E9A"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7D441191"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p>
    <w:p w14:paraId="3762EFF9"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40"/>
          <w:szCs w:val="40"/>
        </w:rPr>
      </w:pPr>
      <w:r w:rsidRPr="00FA4DC7">
        <w:rPr>
          <w:rFonts w:ascii="Arial" w:hAnsi="Arial" w:cs="Arial"/>
          <w:bCs/>
          <w:color w:val="006666"/>
          <w:sz w:val="40"/>
          <w:szCs w:val="40"/>
        </w:rPr>
        <w:t>Final Report</w:t>
      </w:r>
    </w:p>
    <w:p w14:paraId="699CE684" w14:textId="77777777" w:rsidR="00CE1BDB" w:rsidRPr="00FA4DC7" w:rsidRDefault="00CE1BDB" w:rsidP="00CE1BDB">
      <w:pPr>
        <w:pStyle w:val="BodyText"/>
        <w:tabs>
          <w:tab w:val="left" w:pos="0"/>
          <w:tab w:val="left" w:pos="709"/>
          <w:tab w:val="left" w:pos="1418"/>
        </w:tabs>
        <w:jc w:val="center"/>
        <w:rPr>
          <w:rFonts w:ascii="Arial" w:hAnsi="Arial" w:cs="Arial"/>
          <w:bCs/>
          <w:color w:val="006666"/>
          <w:sz w:val="32"/>
          <w:szCs w:val="40"/>
        </w:rPr>
      </w:pPr>
      <w:r w:rsidRPr="00FA4DC7">
        <w:rPr>
          <w:rFonts w:ascii="Arial" w:hAnsi="Arial" w:cs="Arial"/>
          <w:bCs/>
          <w:color w:val="006666"/>
          <w:sz w:val="32"/>
          <w:szCs w:val="40"/>
        </w:rPr>
        <w:t>August 2021</w:t>
      </w:r>
    </w:p>
    <w:p w14:paraId="43444599" w14:textId="77777777" w:rsidR="00CE1BDB" w:rsidRPr="00FA4DC7" w:rsidRDefault="00CE1BDB" w:rsidP="00CE1BDB">
      <w:pPr>
        <w:tabs>
          <w:tab w:val="left" w:pos="0"/>
          <w:tab w:val="left" w:pos="709"/>
          <w:tab w:val="left" w:pos="1418"/>
        </w:tabs>
        <w:rPr>
          <w:rFonts w:cs="Arial"/>
          <w:color w:val="006666"/>
        </w:rPr>
      </w:pPr>
    </w:p>
    <w:p w14:paraId="2D2ECAC9" w14:textId="77777777" w:rsidR="00CE1BDB" w:rsidRPr="00FA4DC7" w:rsidRDefault="00CE1BDB" w:rsidP="00CE1BDB">
      <w:pPr>
        <w:tabs>
          <w:tab w:val="left" w:pos="0"/>
          <w:tab w:val="left" w:pos="709"/>
          <w:tab w:val="left" w:pos="1418"/>
        </w:tabs>
        <w:rPr>
          <w:rFonts w:cs="Arial"/>
          <w:color w:val="006666"/>
        </w:rPr>
      </w:pPr>
    </w:p>
    <w:p w14:paraId="77265071" w14:textId="77777777" w:rsidR="00CE1BDB" w:rsidRPr="00FA4DC7" w:rsidRDefault="00CE1BDB" w:rsidP="00CE1BDB">
      <w:pPr>
        <w:tabs>
          <w:tab w:val="left" w:pos="0"/>
          <w:tab w:val="left" w:pos="709"/>
          <w:tab w:val="left" w:pos="1418"/>
        </w:tabs>
        <w:rPr>
          <w:rFonts w:cs="Arial"/>
          <w:color w:val="006666"/>
        </w:rPr>
      </w:pPr>
    </w:p>
    <w:p w14:paraId="13E8ED93" w14:textId="77777777" w:rsidR="00CE1BDB" w:rsidRPr="00FA4DC7" w:rsidRDefault="00CE1BDB" w:rsidP="00CE1BDB">
      <w:pPr>
        <w:tabs>
          <w:tab w:val="left" w:pos="0"/>
          <w:tab w:val="left" w:pos="709"/>
          <w:tab w:val="left" w:pos="1418"/>
        </w:tabs>
        <w:rPr>
          <w:rFonts w:cs="Arial"/>
          <w:color w:val="006666"/>
        </w:rPr>
      </w:pPr>
    </w:p>
    <w:p w14:paraId="69EED0E1" w14:textId="77777777" w:rsidR="00CE1BDB" w:rsidRPr="00FA4DC7" w:rsidRDefault="00CE1BDB" w:rsidP="00CE1BDB">
      <w:pPr>
        <w:tabs>
          <w:tab w:val="left" w:pos="0"/>
          <w:tab w:val="left" w:pos="709"/>
          <w:tab w:val="left" w:pos="1418"/>
        </w:tabs>
        <w:rPr>
          <w:rFonts w:cs="Arial"/>
          <w:color w:val="006666"/>
        </w:rPr>
      </w:pPr>
    </w:p>
    <w:p w14:paraId="09D03596" w14:textId="77777777" w:rsidR="00CE1BDB" w:rsidRPr="00FA4DC7" w:rsidRDefault="00CE1BDB" w:rsidP="00CE1BDB">
      <w:pPr>
        <w:tabs>
          <w:tab w:val="left" w:pos="0"/>
          <w:tab w:val="left" w:pos="709"/>
          <w:tab w:val="left" w:pos="1418"/>
        </w:tabs>
        <w:rPr>
          <w:rFonts w:cs="Arial"/>
          <w:color w:val="006666"/>
        </w:rPr>
      </w:pPr>
    </w:p>
    <w:p w14:paraId="13A479E9" w14:textId="77777777" w:rsidR="00CE1BDB" w:rsidRPr="00FA4DC7" w:rsidRDefault="00CE1BDB" w:rsidP="00CE1BDB">
      <w:pPr>
        <w:tabs>
          <w:tab w:val="left" w:pos="0"/>
          <w:tab w:val="left" w:pos="709"/>
          <w:tab w:val="left" w:pos="1418"/>
        </w:tabs>
        <w:rPr>
          <w:rFonts w:cs="Arial"/>
          <w:color w:val="006666"/>
        </w:rPr>
      </w:pPr>
    </w:p>
    <w:p w14:paraId="27E59EE3" w14:textId="77777777" w:rsidR="00CE1BDB" w:rsidRPr="00FA4DC7" w:rsidRDefault="00CE1BDB" w:rsidP="00CE1BDB">
      <w:pPr>
        <w:tabs>
          <w:tab w:val="left" w:pos="0"/>
          <w:tab w:val="left" w:pos="709"/>
          <w:tab w:val="left" w:pos="1418"/>
        </w:tabs>
        <w:rPr>
          <w:rFonts w:cs="Arial"/>
          <w:color w:val="006666"/>
        </w:rPr>
      </w:pPr>
    </w:p>
    <w:p w14:paraId="2F0D29A1" w14:textId="77777777" w:rsidR="00CE1BDB" w:rsidRPr="00FA4DC7" w:rsidRDefault="00CE1BDB" w:rsidP="00CE1BDB">
      <w:pPr>
        <w:tabs>
          <w:tab w:val="left" w:pos="0"/>
          <w:tab w:val="left" w:pos="709"/>
          <w:tab w:val="left" w:pos="1418"/>
        </w:tabs>
        <w:rPr>
          <w:rFonts w:cs="Arial"/>
          <w:color w:val="006666"/>
        </w:rPr>
      </w:pPr>
    </w:p>
    <w:p w14:paraId="2702E40D" w14:textId="77777777" w:rsidR="00CE1BDB" w:rsidRPr="00FA4DC7" w:rsidRDefault="00CE1BDB" w:rsidP="00CE1BDB">
      <w:pPr>
        <w:tabs>
          <w:tab w:val="left" w:pos="0"/>
          <w:tab w:val="left" w:pos="709"/>
          <w:tab w:val="left" w:pos="1418"/>
        </w:tabs>
        <w:rPr>
          <w:rFonts w:cs="Arial"/>
          <w:color w:val="006666"/>
        </w:rPr>
      </w:pPr>
    </w:p>
    <w:p w14:paraId="34F3830A" w14:textId="77777777" w:rsidR="00CE1BDB" w:rsidRPr="00FA4DC7" w:rsidRDefault="00CE1BDB" w:rsidP="00CE1BDB">
      <w:pPr>
        <w:pBdr>
          <w:bottom w:val="single" w:sz="18" w:space="1" w:color="008080"/>
        </w:pBdr>
        <w:tabs>
          <w:tab w:val="left" w:pos="0"/>
          <w:tab w:val="left" w:pos="709"/>
          <w:tab w:val="left" w:pos="1418"/>
        </w:tabs>
        <w:rPr>
          <w:rFonts w:cs="Arial"/>
          <w:color w:val="006666"/>
        </w:rPr>
      </w:pPr>
    </w:p>
    <w:p w14:paraId="7CF6F8EF" w14:textId="77777777" w:rsidR="00CE1BDB" w:rsidRPr="00FA4DC7" w:rsidRDefault="00CE1BDB" w:rsidP="00CE1BDB">
      <w:pPr>
        <w:tabs>
          <w:tab w:val="left" w:pos="0"/>
          <w:tab w:val="left" w:pos="709"/>
          <w:tab w:val="left" w:pos="1418"/>
          <w:tab w:val="left" w:pos="1843"/>
        </w:tabs>
        <w:spacing w:before="20" w:after="20"/>
        <w:rPr>
          <w:rFonts w:cs="Arial"/>
          <w:b/>
          <w:color w:val="006666"/>
        </w:rPr>
      </w:pPr>
      <w:r w:rsidRPr="00FA4DC7">
        <w:rPr>
          <w:rFonts w:cs="Arial"/>
          <w:noProof/>
          <w:color w:val="006666"/>
        </w:rPr>
        <w:drawing>
          <wp:anchor distT="0" distB="0" distL="114300" distR="114300" simplePos="0" relativeHeight="251659264" behindDoc="1" locked="1" layoutInCell="0" allowOverlap="1" wp14:anchorId="4E2F1B9F" wp14:editId="03BC4C01">
            <wp:simplePos x="0" y="0"/>
            <wp:positionH relativeFrom="margin">
              <wp:align>right</wp:align>
            </wp:positionH>
            <wp:positionV relativeFrom="page">
              <wp:posOffset>8003540</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45615" cy="1011555"/>
                    </a:xfrm>
                    <a:prstGeom prst="rect">
                      <a:avLst/>
                    </a:prstGeom>
                    <a:noFill/>
                    <a:ln>
                      <a:noFill/>
                    </a:ln>
                  </pic:spPr>
                </pic:pic>
              </a:graphicData>
            </a:graphic>
          </wp:anchor>
        </w:drawing>
      </w:r>
      <w:r w:rsidRPr="00FA4DC7">
        <w:rPr>
          <w:rFonts w:cs="Arial"/>
          <w:b/>
          <w:bCs/>
          <w:color w:val="006666"/>
        </w:rPr>
        <w:t>Main Contact:</w:t>
      </w:r>
      <w:r w:rsidRPr="00FA4DC7">
        <w:rPr>
          <w:rFonts w:cs="Arial"/>
          <w:b/>
          <w:color w:val="006666"/>
        </w:rPr>
        <w:tab/>
      </w:r>
      <w:r w:rsidRPr="00FA4DC7">
        <w:rPr>
          <w:rFonts w:cs="Arial"/>
          <w:b/>
          <w:bCs/>
          <w:color w:val="006666"/>
        </w:rPr>
        <w:t>Dr Michael Bullock</w:t>
      </w:r>
    </w:p>
    <w:p w14:paraId="29B8F504" w14:textId="77777777" w:rsidR="00CE1BDB" w:rsidRPr="00FA4DC7" w:rsidRDefault="00CE1BDB" w:rsidP="00CE1BDB">
      <w:pPr>
        <w:tabs>
          <w:tab w:val="left" w:pos="0"/>
          <w:tab w:val="left" w:pos="709"/>
          <w:tab w:val="left" w:pos="1418"/>
          <w:tab w:val="left" w:pos="1843"/>
        </w:tabs>
        <w:spacing w:before="20" w:after="20"/>
        <w:rPr>
          <w:rFonts w:cs="Arial"/>
          <w:b/>
          <w:color w:val="006666"/>
        </w:rPr>
      </w:pPr>
      <w:r w:rsidRPr="00FA4DC7">
        <w:rPr>
          <w:rFonts w:cs="Arial"/>
          <w:b/>
          <w:color w:val="006666"/>
        </w:rPr>
        <w:t xml:space="preserve">Email:  </w:t>
      </w:r>
      <w:r w:rsidRPr="00FA4DC7">
        <w:rPr>
          <w:rFonts w:cs="Arial"/>
          <w:b/>
          <w:color w:val="006666"/>
        </w:rPr>
        <w:tab/>
        <w:t xml:space="preserve">michael.bullock@arc4.co.uk  </w:t>
      </w:r>
    </w:p>
    <w:p w14:paraId="379C6E99" w14:textId="77777777" w:rsidR="00CE1BDB" w:rsidRPr="00FA4DC7" w:rsidRDefault="00CE1BDB" w:rsidP="00CE1BDB">
      <w:pPr>
        <w:tabs>
          <w:tab w:val="left" w:pos="0"/>
          <w:tab w:val="left" w:pos="709"/>
          <w:tab w:val="left" w:pos="1418"/>
          <w:tab w:val="left" w:pos="1843"/>
        </w:tabs>
        <w:spacing w:before="20" w:after="20"/>
        <w:rPr>
          <w:rFonts w:cs="Arial"/>
          <w:b/>
          <w:color w:val="006666"/>
        </w:rPr>
      </w:pPr>
      <w:r w:rsidRPr="00FA4DC7">
        <w:rPr>
          <w:rFonts w:cs="Arial"/>
          <w:b/>
          <w:bCs/>
          <w:color w:val="006666"/>
        </w:rPr>
        <w:t>Telephone:</w:t>
      </w:r>
      <w:r w:rsidRPr="00FA4DC7">
        <w:rPr>
          <w:rFonts w:cs="Arial"/>
          <w:b/>
          <w:bCs/>
          <w:color w:val="006666"/>
        </w:rPr>
        <w:tab/>
        <w:t>0800 612 9133</w:t>
      </w:r>
    </w:p>
    <w:p w14:paraId="074BBCC0" w14:textId="77777777" w:rsidR="00CE1BDB" w:rsidRPr="00FA4DC7" w:rsidRDefault="00CE1BDB" w:rsidP="00CE1BDB">
      <w:pPr>
        <w:tabs>
          <w:tab w:val="left" w:pos="0"/>
          <w:tab w:val="left" w:pos="709"/>
          <w:tab w:val="left" w:pos="1418"/>
          <w:tab w:val="left" w:pos="1843"/>
        </w:tabs>
        <w:spacing w:before="20" w:after="20"/>
        <w:rPr>
          <w:rFonts w:cs="Arial"/>
          <w:b/>
          <w:bCs/>
          <w:color w:val="006666"/>
        </w:rPr>
      </w:pPr>
      <w:r w:rsidRPr="00FA4DC7">
        <w:rPr>
          <w:rFonts w:cs="Arial"/>
          <w:b/>
          <w:bCs/>
          <w:color w:val="006666"/>
        </w:rPr>
        <w:t xml:space="preserve">Website:  </w:t>
      </w:r>
      <w:r w:rsidRPr="00FA4DC7">
        <w:rPr>
          <w:rFonts w:cs="Arial"/>
          <w:b/>
          <w:bCs/>
          <w:color w:val="006666"/>
        </w:rPr>
        <w:tab/>
      </w:r>
      <w:hyperlink r:id="rId11" w:history="1">
        <w:r w:rsidRPr="00FA4DC7">
          <w:rPr>
            <w:rStyle w:val="Hyperlink"/>
            <w:rFonts w:cs="Arial"/>
            <w:b/>
            <w:color w:val="006666"/>
          </w:rPr>
          <w:t>www</w:t>
        </w:r>
        <w:r w:rsidRPr="00FA4DC7">
          <w:rPr>
            <w:rFonts w:cs="Arial"/>
            <w:b/>
            <w:bCs/>
            <w:color w:val="006666"/>
            <w:u w:val="single"/>
          </w:rPr>
          <w:t>.arc4.co.uk</w:t>
        </w:r>
      </w:hyperlink>
      <w:r w:rsidRPr="00FA4DC7">
        <w:rPr>
          <w:rFonts w:cs="Arial"/>
          <w:b/>
          <w:bCs/>
          <w:color w:val="006666"/>
        </w:rPr>
        <w:t xml:space="preserve"> </w:t>
      </w:r>
    </w:p>
    <w:p w14:paraId="7F94CB11" w14:textId="77777777" w:rsidR="00CE1BDB" w:rsidRPr="00FA4DC7" w:rsidRDefault="00CE1BDB" w:rsidP="00CE1BDB">
      <w:pPr>
        <w:pStyle w:val="NormalWeb"/>
        <w:shd w:val="clear" w:color="auto" w:fill="FFFFFF"/>
        <w:tabs>
          <w:tab w:val="left" w:pos="0"/>
          <w:tab w:val="left" w:pos="709"/>
          <w:tab w:val="left" w:pos="1418"/>
        </w:tabs>
        <w:spacing w:before="0" w:beforeAutospacing="0" w:after="0" w:afterAutospacing="0"/>
        <w:rPr>
          <w:rFonts w:ascii="Arial" w:hAnsi="Arial" w:cs="Arial"/>
          <w:i/>
          <w:iCs/>
          <w:color w:val="006666"/>
          <w:sz w:val="18"/>
          <w:szCs w:val="20"/>
        </w:rPr>
      </w:pPr>
    </w:p>
    <w:p w14:paraId="0A3F49A9" w14:textId="77777777" w:rsidR="00CE1BDB" w:rsidRPr="00FA4DC7" w:rsidRDefault="00CE1BDB" w:rsidP="00CE1BDB">
      <w:pPr>
        <w:pStyle w:val="NormalWeb"/>
        <w:shd w:val="clear" w:color="auto" w:fill="FFFFFF"/>
        <w:tabs>
          <w:tab w:val="left" w:pos="0"/>
          <w:tab w:val="left" w:pos="709"/>
          <w:tab w:val="left" w:pos="1418"/>
        </w:tabs>
        <w:spacing w:before="0" w:beforeAutospacing="0" w:after="0" w:afterAutospacing="0"/>
        <w:rPr>
          <w:rFonts w:ascii="Arial" w:hAnsi="Arial" w:cs="Arial"/>
          <w:i/>
          <w:iCs/>
          <w:color w:val="006666"/>
          <w:sz w:val="18"/>
          <w:szCs w:val="20"/>
        </w:rPr>
      </w:pPr>
      <w:r w:rsidRPr="00FA4DC7">
        <w:rPr>
          <w:rFonts w:ascii="Arial" w:hAnsi="Arial" w:cs="Arial"/>
          <w:i/>
          <w:iCs/>
          <w:color w:val="006666"/>
          <w:sz w:val="18"/>
          <w:szCs w:val="20"/>
        </w:rPr>
        <w:t>© 2021 arc</w:t>
      </w:r>
      <w:r w:rsidRPr="00FA4DC7">
        <w:rPr>
          <w:rFonts w:ascii="Arial" w:hAnsi="Arial" w:cs="Arial"/>
          <w:i/>
          <w:iCs/>
          <w:color w:val="006666"/>
          <w:sz w:val="18"/>
          <w:szCs w:val="20"/>
          <w:vertAlign w:val="superscript"/>
        </w:rPr>
        <w:t>4</w:t>
      </w:r>
      <w:r w:rsidRPr="00FA4DC7">
        <w:rPr>
          <w:rFonts w:ascii="Arial" w:hAnsi="Arial" w:cs="Arial"/>
          <w:i/>
          <w:iCs/>
          <w:color w:val="006666"/>
          <w:sz w:val="18"/>
          <w:szCs w:val="20"/>
        </w:rPr>
        <w:t xml:space="preserve"> Limited (Company No. 06205180)</w:t>
      </w:r>
    </w:p>
    <w:p w14:paraId="38F97CE3" w14:textId="77777777" w:rsidR="00CE1BDB" w:rsidRPr="00FA4DC7" w:rsidRDefault="00CE1BDB" w:rsidP="00CE1BDB">
      <w:pPr>
        <w:tabs>
          <w:tab w:val="left" w:pos="0"/>
          <w:tab w:val="left" w:pos="709"/>
          <w:tab w:val="left" w:pos="1418"/>
        </w:tabs>
        <w:rPr>
          <w:rFonts w:cs="Arial"/>
          <w:i/>
          <w:iCs/>
          <w:color w:val="009999"/>
          <w:sz w:val="18"/>
          <w:szCs w:val="20"/>
        </w:rPr>
        <w:sectPr w:rsidR="00CE1BDB" w:rsidRPr="00FA4DC7" w:rsidSect="00EF49A7">
          <w:headerReference w:type="default" r:id="rId12"/>
          <w:footerReference w:type="default" r:id="rId13"/>
          <w:pgSz w:w="11906" w:h="16838"/>
          <w:pgMar w:top="1440" w:right="1440" w:bottom="1134" w:left="1440" w:header="709" w:footer="709" w:gutter="0"/>
          <w:cols w:space="708"/>
          <w:titlePg/>
          <w:docGrid w:linePitch="360"/>
        </w:sectPr>
      </w:pPr>
    </w:p>
    <w:p w14:paraId="5638D58C" w14:textId="77777777" w:rsidR="00CE1BDB" w:rsidRPr="00FA4DC7" w:rsidRDefault="00CE1BDB" w:rsidP="00CE1BDB">
      <w:pPr>
        <w:pStyle w:val="TOCHeading1"/>
        <w:tabs>
          <w:tab w:val="left" w:pos="0"/>
          <w:tab w:val="left" w:pos="709"/>
          <w:tab w:val="left" w:pos="1418"/>
        </w:tabs>
      </w:pPr>
      <w:bookmarkStart w:id="0" w:name="_Toc99359406"/>
      <w:r w:rsidRPr="00FA4DC7">
        <w:lastRenderedPageBreak/>
        <w:t>Table of Contents</w:t>
      </w:r>
    </w:p>
    <w:p w14:paraId="7012BE58" w14:textId="04BF4678" w:rsidR="000957EE" w:rsidRDefault="00CE1BDB">
      <w:pPr>
        <w:pStyle w:val="TOC1"/>
        <w:rPr>
          <w:rFonts w:asciiTheme="minorHAnsi" w:eastAsiaTheme="minorEastAsia" w:hAnsiTheme="minorHAnsi" w:cstheme="minorBidi"/>
          <w:bCs w:val="0"/>
          <w:sz w:val="22"/>
          <w:szCs w:val="22"/>
          <w:lang w:eastAsia="en-GB"/>
        </w:rPr>
      </w:pPr>
      <w:r w:rsidRPr="00FA4DC7">
        <w:rPr>
          <w:rFonts w:cs="Arial"/>
          <w:highlight w:val="yellow"/>
        </w:rPr>
        <w:fldChar w:fldCharType="begin"/>
      </w:r>
      <w:r w:rsidRPr="00FA4DC7">
        <w:rPr>
          <w:rFonts w:cs="Arial"/>
          <w:highlight w:val="yellow"/>
        </w:rPr>
        <w:instrText xml:space="preserve"> TOC \o "1-2" \h \z \u </w:instrText>
      </w:r>
      <w:r w:rsidRPr="00FA4DC7">
        <w:rPr>
          <w:rFonts w:cs="Arial"/>
          <w:highlight w:val="yellow"/>
        </w:rPr>
        <w:fldChar w:fldCharType="separate"/>
      </w:r>
      <w:hyperlink w:anchor="_Toc83035624" w:history="1">
        <w:r w:rsidR="000957EE" w:rsidRPr="00984C2C">
          <w:rPr>
            <w:rStyle w:val="Hyperlink"/>
            <w:rFonts w:cs="Arial"/>
          </w:rPr>
          <w:t>Executive Summary</w:t>
        </w:r>
        <w:r w:rsidR="000957EE">
          <w:rPr>
            <w:webHidden/>
          </w:rPr>
          <w:tab/>
        </w:r>
        <w:r w:rsidR="000957EE">
          <w:rPr>
            <w:webHidden/>
          </w:rPr>
          <w:fldChar w:fldCharType="begin"/>
        </w:r>
        <w:r w:rsidR="000957EE">
          <w:rPr>
            <w:webHidden/>
          </w:rPr>
          <w:instrText xml:space="preserve"> PAGEREF _Toc83035624 \h </w:instrText>
        </w:r>
        <w:r w:rsidR="000957EE">
          <w:rPr>
            <w:webHidden/>
          </w:rPr>
        </w:r>
        <w:r w:rsidR="000957EE">
          <w:rPr>
            <w:webHidden/>
          </w:rPr>
          <w:fldChar w:fldCharType="separate"/>
        </w:r>
        <w:r w:rsidR="001877C1">
          <w:rPr>
            <w:webHidden/>
          </w:rPr>
          <w:t>10</w:t>
        </w:r>
        <w:r w:rsidR="000957EE">
          <w:rPr>
            <w:webHidden/>
          </w:rPr>
          <w:fldChar w:fldCharType="end"/>
        </w:r>
      </w:hyperlink>
    </w:p>
    <w:p w14:paraId="1A1D3067" w14:textId="6B83F6A3" w:rsidR="000957EE" w:rsidRDefault="001163AD">
      <w:pPr>
        <w:pStyle w:val="TOC2"/>
        <w:rPr>
          <w:rFonts w:asciiTheme="minorHAnsi" w:eastAsiaTheme="minorEastAsia" w:hAnsiTheme="minorHAnsi" w:cstheme="minorBidi"/>
          <w:bCs w:val="0"/>
          <w:sz w:val="22"/>
          <w:szCs w:val="22"/>
          <w:lang w:eastAsia="en-GB"/>
        </w:rPr>
      </w:pPr>
      <w:hyperlink w:anchor="_Toc83035625"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_Toc83035625 \h </w:instrText>
        </w:r>
        <w:r w:rsidR="000957EE">
          <w:rPr>
            <w:webHidden/>
          </w:rPr>
        </w:r>
        <w:r w:rsidR="000957EE">
          <w:rPr>
            <w:webHidden/>
          </w:rPr>
          <w:fldChar w:fldCharType="separate"/>
        </w:r>
        <w:r w:rsidR="001877C1">
          <w:rPr>
            <w:webHidden/>
          </w:rPr>
          <w:t>10</w:t>
        </w:r>
        <w:r w:rsidR="000957EE">
          <w:rPr>
            <w:webHidden/>
          </w:rPr>
          <w:fldChar w:fldCharType="end"/>
        </w:r>
      </w:hyperlink>
    </w:p>
    <w:p w14:paraId="6CD6B1C3" w14:textId="65856BFB" w:rsidR="000957EE" w:rsidRDefault="001163AD">
      <w:pPr>
        <w:pStyle w:val="TOC2"/>
        <w:rPr>
          <w:rFonts w:asciiTheme="minorHAnsi" w:eastAsiaTheme="minorEastAsia" w:hAnsiTheme="minorHAnsi" w:cstheme="minorBidi"/>
          <w:bCs w:val="0"/>
          <w:sz w:val="22"/>
          <w:szCs w:val="22"/>
          <w:lang w:eastAsia="en-GB"/>
        </w:rPr>
      </w:pPr>
      <w:hyperlink w:anchor="_Toc83035626" w:history="1">
        <w:r w:rsidR="000957EE" w:rsidRPr="00984C2C">
          <w:rPr>
            <w:rStyle w:val="Hyperlink"/>
            <w:rFonts w:cs="Arial"/>
          </w:rPr>
          <w:t>Dwelling stock</w:t>
        </w:r>
        <w:r w:rsidR="000957EE">
          <w:rPr>
            <w:webHidden/>
          </w:rPr>
          <w:tab/>
        </w:r>
        <w:r w:rsidR="000957EE">
          <w:rPr>
            <w:webHidden/>
          </w:rPr>
          <w:fldChar w:fldCharType="begin"/>
        </w:r>
        <w:r w:rsidR="000957EE">
          <w:rPr>
            <w:webHidden/>
          </w:rPr>
          <w:instrText xml:space="preserve"> PAGEREF _Toc83035626 \h </w:instrText>
        </w:r>
        <w:r w:rsidR="000957EE">
          <w:rPr>
            <w:webHidden/>
          </w:rPr>
        </w:r>
        <w:r w:rsidR="000957EE">
          <w:rPr>
            <w:webHidden/>
          </w:rPr>
          <w:fldChar w:fldCharType="separate"/>
        </w:r>
        <w:r w:rsidR="001877C1">
          <w:rPr>
            <w:webHidden/>
          </w:rPr>
          <w:t>10</w:t>
        </w:r>
        <w:r w:rsidR="000957EE">
          <w:rPr>
            <w:webHidden/>
          </w:rPr>
          <w:fldChar w:fldCharType="end"/>
        </w:r>
      </w:hyperlink>
    </w:p>
    <w:p w14:paraId="036E7796" w14:textId="073CB9CB" w:rsidR="000957EE" w:rsidRDefault="001163AD">
      <w:pPr>
        <w:pStyle w:val="TOC2"/>
        <w:rPr>
          <w:rFonts w:asciiTheme="minorHAnsi" w:eastAsiaTheme="minorEastAsia" w:hAnsiTheme="minorHAnsi" w:cstheme="minorBidi"/>
          <w:bCs w:val="0"/>
          <w:sz w:val="22"/>
          <w:szCs w:val="22"/>
          <w:lang w:eastAsia="en-GB"/>
        </w:rPr>
      </w:pPr>
      <w:hyperlink w:anchor="_Toc83035627" w:history="1">
        <w:r w:rsidR="000957EE" w:rsidRPr="00984C2C">
          <w:rPr>
            <w:rStyle w:val="Hyperlink"/>
            <w:rFonts w:cs="Arial"/>
          </w:rPr>
          <w:t>House prices and rents</w:t>
        </w:r>
        <w:r w:rsidR="000957EE">
          <w:rPr>
            <w:webHidden/>
          </w:rPr>
          <w:tab/>
        </w:r>
        <w:r w:rsidR="000957EE">
          <w:rPr>
            <w:webHidden/>
          </w:rPr>
          <w:fldChar w:fldCharType="begin"/>
        </w:r>
        <w:r w:rsidR="000957EE">
          <w:rPr>
            <w:webHidden/>
          </w:rPr>
          <w:instrText xml:space="preserve"> PAGEREF _Toc83035627 \h </w:instrText>
        </w:r>
        <w:r w:rsidR="000957EE">
          <w:rPr>
            <w:webHidden/>
          </w:rPr>
        </w:r>
        <w:r w:rsidR="000957EE">
          <w:rPr>
            <w:webHidden/>
          </w:rPr>
          <w:fldChar w:fldCharType="separate"/>
        </w:r>
        <w:r w:rsidR="001877C1">
          <w:rPr>
            <w:webHidden/>
          </w:rPr>
          <w:t>10</w:t>
        </w:r>
        <w:r w:rsidR="000957EE">
          <w:rPr>
            <w:webHidden/>
          </w:rPr>
          <w:fldChar w:fldCharType="end"/>
        </w:r>
      </w:hyperlink>
    </w:p>
    <w:p w14:paraId="3FEE5EC7" w14:textId="68C195B7" w:rsidR="000957EE" w:rsidRDefault="001163AD">
      <w:pPr>
        <w:pStyle w:val="TOC2"/>
        <w:rPr>
          <w:rFonts w:asciiTheme="minorHAnsi" w:eastAsiaTheme="minorEastAsia" w:hAnsiTheme="minorHAnsi" w:cstheme="minorBidi"/>
          <w:bCs w:val="0"/>
          <w:sz w:val="22"/>
          <w:szCs w:val="22"/>
          <w:lang w:eastAsia="en-GB"/>
        </w:rPr>
      </w:pPr>
      <w:hyperlink w:anchor="_Toc83035628" w:history="1">
        <w:r w:rsidR="000957EE" w:rsidRPr="00984C2C">
          <w:rPr>
            <w:rStyle w:val="Hyperlink"/>
            <w:rFonts w:cs="Arial"/>
          </w:rPr>
          <w:t>Future dwelling mix and development priorities</w:t>
        </w:r>
        <w:r w:rsidR="000957EE">
          <w:rPr>
            <w:webHidden/>
          </w:rPr>
          <w:tab/>
        </w:r>
        <w:r w:rsidR="000957EE">
          <w:rPr>
            <w:webHidden/>
          </w:rPr>
          <w:fldChar w:fldCharType="begin"/>
        </w:r>
        <w:r w:rsidR="000957EE">
          <w:rPr>
            <w:webHidden/>
          </w:rPr>
          <w:instrText xml:space="preserve"> PAGEREF _Toc83035628 \h </w:instrText>
        </w:r>
        <w:r w:rsidR="000957EE">
          <w:rPr>
            <w:webHidden/>
          </w:rPr>
        </w:r>
        <w:r w:rsidR="000957EE">
          <w:rPr>
            <w:webHidden/>
          </w:rPr>
          <w:fldChar w:fldCharType="separate"/>
        </w:r>
        <w:r w:rsidR="001877C1">
          <w:rPr>
            <w:webHidden/>
          </w:rPr>
          <w:t>10</w:t>
        </w:r>
        <w:r w:rsidR="000957EE">
          <w:rPr>
            <w:webHidden/>
          </w:rPr>
          <w:fldChar w:fldCharType="end"/>
        </w:r>
      </w:hyperlink>
    </w:p>
    <w:p w14:paraId="36B6D55B" w14:textId="4D36B742" w:rsidR="000957EE" w:rsidRDefault="001163AD">
      <w:pPr>
        <w:pStyle w:val="TOC2"/>
        <w:rPr>
          <w:rFonts w:asciiTheme="minorHAnsi" w:eastAsiaTheme="minorEastAsia" w:hAnsiTheme="minorHAnsi" w:cstheme="minorBidi"/>
          <w:bCs w:val="0"/>
          <w:sz w:val="22"/>
          <w:szCs w:val="22"/>
          <w:lang w:eastAsia="en-GB"/>
        </w:rPr>
      </w:pPr>
      <w:hyperlink w:anchor="_Toc83035629" w:history="1">
        <w:r w:rsidR="000957EE" w:rsidRPr="00984C2C">
          <w:rPr>
            <w:rStyle w:val="Hyperlink"/>
            <w:rFonts w:cs="Arial"/>
          </w:rPr>
          <w:t>The</w:t>
        </w:r>
        <w:r w:rsidR="000957EE" w:rsidRPr="00984C2C">
          <w:rPr>
            <w:rStyle w:val="Hyperlink"/>
            <w:rFonts w:cs="Arial"/>
            <w:lang w:val="en-US"/>
          </w:rPr>
          <w:t xml:space="preserve"> needs of other groups</w:t>
        </w:r>
        <w:r w:rsidR="000957EE">
          <w:rPr>
            <w:webHidden/>
          </w:rPr>
          <w:tab/>
        </w:r>
        <w:r w:rsidR="000957EE">
          <w:rPr>
            <w:webHidden/>
          </w:rPr>
          <w:fldChar w:fldCharType="begin"/>
        </w:r>
        <w:r w:rsidR="000957EE">
          <w:rPr>
            <w:webHidden/>
          </w:rPr>
          <w:instrText xml:space="preserve"> PAGEREF _Toc83035629 \h </w:instrText>
        </w:r>
        <w:r w:rsidR="000957EE">
          <w:rPr>
            <w:webHidden/>
          </w:rPr>
        </w:r>
        <w:r w:rsidR="000957EE">
          <w:rPr>
            <w:webHidden/>
          </w:rPr>
          <w:fldChar w:fldCharType="separate"/>
        </w:r>
        <w:r w:rsidR="001877C1">
          <w:rPr>
            <w:webHidden/>
          </w:rPr>
          <w:t>12</w:t>
        </w:r>
        <w:r w:rsidR="000957EE">
          <w:rPr>
            <w:webHidden/>
          </w:rPr>
          <w:fldChar w:fldCharType="end"/>
        </w:r>
      </w:hyperlink>
    </w:p>
    <w:p w14:paraId="1F23CE77" w14:textId="5F48AA36" w:rsidR="000957EE" w:rsidRDefault="001163AD">
      <w:pPr>
        <w:pStyle w:val="TOC1"/>
        <w:rPr>
          <w:rFonts w:asciiTheme="minorHAnsi" w:eastAsiaTheme="minorEastAsia" w:hAnsiTheme="minorHAnsi" w:cstheme="minorBidi"/>
          <w:bCs w:val="0"/>
          <w:sz w:val="22"/>
          <w:szCs w:val="22"/>
          <w:lang w:eastAsia="en-GB"/>
        </w:rPr>
      </w:pPr>
      <w:hyperlink w:anchor="_Toc83035630" w:history="1">
        <w:r w:rsidR="000957EE" w:rsidRPr="00984C2C">
          <w:rPr>
            <w:rStyle w:val="Hyperlink"/>
            <w:rFonts w:cs="Arial"/>
          </w:rPr>
          <w:t>1.</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_Toc83035630 \h </w:instrText>
        </w:r>
        <w:r w:rsidR="000957EE">
          <w:rPr>
            <w:webHidden/>
          </w:rPr>
        </w:r>
        <w:r w:rsidR="000957EE">
          <w:rPr>
            <w:webHidden/>
          </w:rPr>
          <w:fldChar w:fldCharType="separate"/>
        </w:r>
        <w:r w:rsidR="001877C1">
          <w:rPr>
            <w:webHidden/>
          </w:rPr>
          <w:t>13</w:t>
        </w:r>
        <w:r w:rsidR="000957EE">
          <w:rPr>
            <w:webHidden/>
          </w:rPr>
          <w:fldChar w:fldCharType="end"/>
        </w:r>
      </w:hyperlink>
    </w:p>
    <w:p w14:paraId="3BB46CDE" w14:textId="59CA38C5" w:rsidR="000957EE" w:rsidRDefault="001163AD">
      <w:pPr>
        <w:pStyle w:val="TOC2"/>
        <w:rPr>
          <w:rFonts w:asciiTheme="minorHAnsi" w:eastAsiaTheme="minorEastAsia" w:hAnsiTheme="minorHAnsi" w:cstheme="minorBidi"/>
          <w:bCs w:val="0"/>
          <w:sz w:val="22"/>
          <w:szCs w:val="22"/>
          <w:lang w:eastAsia="en-GB"/>
        </w:rPr>
      </w:pPr>
      <w:hyperlink w:anchor="_Toc83035631" w:history="1">
        <w:r w:rsidR="000957EE" w:rsidRPr="00984C2C">
          <w:rPr>
            <w:rStyle w:val="Hyperlink"/>
            <w:rFonts w:cs="Arial"/>
          </w:rPr>
          <w:t>Background</w:t>
        </w:r>
        <w:r w:rsidR="000957EE" w:rsidRPr="00984C2C">
          <w:rPr>
            <w:rStyle w:val="Hyperlink"/>
            <w:rFonts w:cs="Arial"/>
            <w:lang w:val="en-US"/>
          </w:rPr>
          <w:t>, aims and objectives</w:t>
        </w:r>
        <w:r w:rsidR="000957EE">
          <w:rPr>
            <w:webHidden/>
          </w:rPr>
          <w:tab/>
        </w:r>
        <w:r w:rsidR="000957EE">
          <w:rPr>
            <w:webHidden/>
          </w:rPr>
          <w:fldChar w:fldCharType="begin"/>
        </w:r>
        <w:r w:rsidR="000957EE">
          <w:rPr>
            <w:webHidden/>
          </w:rPr>
          <w:instrText xml:space="preserve"> PAGEREF _Toc83035631 \h </w:instrText>
        </w:r>
        <w:r w:rsidR="000957EE">
          <w:rPr>
            <w:webHidden/>
          </w:rPr>
        </w:r>
        <w:r w:rsidR="000957EE">
          <w:rPr>
            <w:webHidden/>
          </w:rPr>
          <w:fldChar w:fldCharType="separate"/>
        </w:r>
        <w:r w:rsidR="001877C1">
          <w:rPr>
            <w:webHidden/>
          </w:rPr>
          <w:t>13</w:t>
        </w:r>
        <w:r w:rsidR="000957EE">
          <w:rPr>
            <w:webHidden/>
          </w:rPr>
          <w:fldChar w:fldCharType="end"/>
        </w:r>
      </w:hyperlink>
    </w:p>
    <w:p w14:paraId="13C15EFC" w14:textId="56C19911" w:rsidR="000957EE" w:rsidRDefault="001163AD">
      <w:pPr>
        <w:pStyle w:val="TOC2"/>
        <w:rPr>
          <w:rFonts w:asciiTheme="minorHAnsi" w:eastAsiaTheme="minorEastAsia" w:hAnsiTheme="minorHAnsi" w:cstheme="minorBidi"/>
          <w:bCs w:val="0"/>
          <w:sz w:val="22"/>
          <w:szCs w:val="22"/>
          <w:lang w:eastAsia="en-GB"/>
        </w:rPr>
      </w:pPr>
      <w:hyperlink w:anchor="_Toc83035632" w:history="1">
        <w:r w:rsidR="000957EE" w:rsidRPr="00984C2C">
          <w:rPr>
            <w:rStyle w:val="Hyperlink"/>
            <w:rFonts w:cs="Arial"/>
          </w:rPr>
          <w:t>National Planning Policy Framework</w:t>
        </w:r>
        <w:r w:rsidR="000957EE">
          <w:rPr>
            <w:webHidden/>
          </w:rPr>
          <w:tab/>
        </w:r>
        <w:r w:rsidR="000957EE">
          <w:rPr>
            <w:webHidden/>
          </w:rPr>
          <w:fldChar w:fldCharType="begin"/>
        </w:r>
        <w:r w:rsidR="000957EE">
          <w:rPr>
            <w:webHidden/>
          </w:rPr>
          <w:instrText xml:space="preserve"> PAGEREF _Toc83035632 \h </w:instrText>
        </w:r>
        <w:r w:rsidR="000957EE">
          <w:rPr>
            <w:webHidden/>
          </w:rPr>
        </w:r>
        <w:r w:rsidR="000957EE">
          <w:rPr>
            <w:webHidden/>
          </w:rPr>
          <w:fldChar w:fldCharType="separate"/>
        </w:r>
        <w:r w:rsidR="001877C1">
          <w:rPr>
            <w:webHidden/>
          </w:rPr>
          <w:t>13</w:t>
        </w:r>
        <w:r w:rsidR="000957EE">
          <w:rPr>
            <w:webHidden/>
          </w:rPr>
          <w:fldChar w:fldCharType="end"/>
        </w:r>
      </w:hyperlink>
    </w:p>
    <w:p w14:paraId="7C65B752" w14:textId="6E37FDAC" w:rsidR="000957EE" w:rsidRDefault="001163AD">
      <w:pPr>
        <w:pStyle w:val="TOC2"/>
        <w:rPr>
          <w:rFonts w:asciiTheme="minorHAnsi" w:eastAsiaTheme="minorEastAsia" w:hAnsiTheme="minorHAnsi" w:cstheme="minorBidi"/>
          <w:bCs w:val="0"/>
          <w:sz w:val="22"/>
          <w:szCs w:val="22"/>
          <w:lang w:eastAsia="en-GB"/>
        </w:rPr>
      </w:pPr>
      <w:hyperlink w:anchor="_Toc83035633" w:history="1">
        <w:r w:rsidR="000957EE" w:rsidRPr="00984C2C">
          <w:rPr>
            <w:rStyle w:val="Hyperlink"/>
            <w:rFonts w:cs="Arial"/>
          </w:rPr>
          <w:t>Local context</w:t>
        </w:r>
        <w:r w:rsidR="000957EE">
          <w:rPr>
            <w:webHidden/>
          </w:rPr>
          <w:tab/>
        </w:r>
        <w:r w:rsidR="000957EE">
          <w:rPr>
            <w:webHidden/>
          </w:rPr>
          <w:fldChar w:fldCharType="begin"/>
        </w:r>
        <w:r w:rsidR="000957EE">
          <w:rPr>
            <w:webHidden/>
          </w:rPr>
          <w:instrText xml:space="preserve"> PAGEREF _Toc83035633 \h </w:instrText>
        </w:r>
        <w:r w:rsidR="000957EE">
          <w:rPr>
            <w:webHidden/>
          </w:rPr>
        </w:r>
        <w:r w:rsidR="000957EE">
          <w:rPr>
            <w:webHidden/>
          </w:rPr>
          <w:fldChar w:fldCharType="separate"/>
        </w:r>
        <w:r w:rsidR="001877C1">
          <w:rPr>
            <w:webHidden/>
          </w:rPr>
          <w:t>14</w:t>
        </w:r>
        <w:r w:rsidR="000957EE">
          <w:rPr>
            <w:webHidden/>
          </w:rPr>
          <w:fldChar w:fldCharType="end"/>
        </w:r>
      </w:hyperlink>
    </w:p>
    <w:p w14:paraId="6536B375" w14:textId="58AB2F5C" w:rsidR="000957EE" w:rsidRDefault="001163AD">
      <w:pPr>
        <w:pStyle w:val="TOC2"/>
        <w:rPr>
          <w:rFonts w:asciiTheme="minorHAnsi" w:eastAsiaTheme="minorEastAsia" w:hAnsiTheme="minorHAnsi" w:cstheme="minorBidi"/>
          <w:bCs w:val="0"/>
          <w:sz w:val="22"/>
          <w:szCs w:val="22"/>
          <w:lang w:eastAsia="en-GB"/>
        </w:rPr>
      </w:pPr>
      <w:hyperlink w:anchor="_Toc83035634" w:history="1">
        <w:r w:rsidR="000957EE" w:rsidRPr="00984C2C">
          <w:rPr>
            <w:rStyle w:val="Hyperlink"/>
            <w:rFonts w:cs="Arial"/>
          </w:rPr>
          <w:t>Geography</w:t>
        </w:r>
        <w:r w:rsidR="000957EE">
          <w:rPr>
            <w:webHidden/>
          </w:rPr>
          <w:tab/>
        </w:r>
        <w:r w:rsidR="000957EE">
          <w:rPr>
            <w:webHidden/>
          </w:rPr>
          <w:fldChar w:fldCharType="begin"/>
        </w:r>
        <w:r w:rsidR="000957EE">
          <w:rPr>
            <w:webHidden/>
          </w:rPr>
          <w:instrText xml:space="preserve"> PAGEREF _Toc83035634 \h </w:instrText>
        </w:r>
        <w:r w:rsidR="000957EE">
          <w:rPr>
            <w:webHidden/>
          </w:rPr>
        </w:r>
        <w:r w:rsidR="000957EE">
          <w:rPr>
            <w:webHidden/>
          </w:rPr>
          <w:fldChar w:fldCharType="separate"/>
        </w:r>
        <w:r w:rsidR="001877C1">
          <w:rPr>
            <w:webHidden/>
          </w:rPr>
          <w:t>16</w:t>
        </w:r>
        <w:r w:rsidR="000957EE">
          <w:rPr>
            <w:webHidden/>
          </w:rPr>
          <w:fldChar w:fldCharType="end"/>
        </w:r>
      </w:hyperlink>
    </w:p>
    <w:p w14:paraId="7E8F7447" w14:textId="7CA310E2" w:rsidR="000957EE" w:rsidRDefault="001163AD">
      <w:pPr>
        <w:pStyle w:val="TOC2"/>
        <w:rPr>
          <w:rFonts w:asciiTheme="minorHAnsi" w:eastAsiaTheme="minorEastAsia" w:hAnsiTheme="minorHAnsi" w:cstheme="minorBidi"/>
          <w:bCs w:val="0"/>
          <w:sz w:val="22"/>
          <w:szCs w:val="22"/>
          <w:lang w:eastAsia="en-GB"/>
        </w:rPr>
      </w:pPr>
      <w:hyperlink w:anchor="_Toc83035635" w:history="1">
        <w:r w:rsidR="000957EE" w:rsidRPr="00984C2C">
          <w:rPr>
            <w:rStyle w:val="Hyperlink"/>
            <w:rFonts w:cs="Arial"/>
          </w:rPr>
          <w:t>Research methodology</w:t>
        </w:r>
        <w:r w:rsidR="000957EE">
          <w:rPr>
            <w:webHidden/>
          </w:rPr>
          <w:tab/>
        </w:r>
        <w:r w:rsidR="000957EE">
          <w:rPr>
            <w:webHidden/>
          </w:rPr>
          <w:fldChar w:fldCharType="begin"/>
        </w:r>
        <w:r w:rsidR="000957EE">
          <w:rPr>
            <w:webHidden/>
          </w:rPr>
          <w:instrText xml:space="preserve"> PAGEREF _Toc83035635 \h </w:instrText>
        </w:r>
        <w:r w:rsidR="000957EE">
          <w:rPr>
            <w:webHidden/>
          </w:rPr>
        </w:r>
        <w:r w:rsidR="000957EE">
          <w:rPr>
            <w:webHidden/>
          </w:rPr>
          <w:fldChar w:fldCharType="separate"/>
        </w:r>
        <w:r w:rsidR="001877C1">
          <w:rPr>
            <w:webHidden/>
          </w:rPr>
          <w:t>19</w:t>
        </w:r>
        <w:r w:rsidR="000957EE">
          <w:rPr>
            <w:webHidden/>
          </w:rPr>
          <w:fldChar w:fldCharType="end"/>
        </w:r>
      </w:hyperlink>
    </w:p>
    <w:p w14:paraId="606CD3C2" w14:textId="1DEDC377" w:rsidR="000957EE" w:rsidRDefault="001163AD">
      <w:pPr>
        <w:pStyle w:val="TOC2"/>
        <w:rPr>
          <w:rFonts w:asciiTheme="minorHAnsi" w:eastAsiaTheme="minorEastAsia" w:hAnsiTheme="minorHAnsi" w:cstheme="minorBidi"/>
          <w:bCs w:val="0"/>
          <w:sz w:val="22"/>
          <w:szCs w:val="22"/>
          <w:lang w:eastAsia="en-GB"/>
        </w:rPr>
      </w:pPr>
      <w:hyperlink w:anchor="_Toc83035636" w:history="1">
        <w:r w:rsidR="000957EE" w:rsidRPr="00984C2C">
          <w:rPr>
            <w:rStyle w:val="Hyperlink"/>
            <w:rFonts w:cs="Arial"/>
          </w:rPr>
          <w:t>Presentation of data</w:t>
        </w:r>
        <w:r w:rsidR="000957EE">
          <w:rPr>
            <w:webHidden/>
          </w:rPr>
          <w:tab/>
        </w:r>
        <w:r w:rsidR="000957EE">
          <w:rPr>
            <w:webHidden/>
          </w:rPr>
          <w:fldChar w:fldCharType="begin"/>
        </w:r>
        <w:r w:rsidR="000957EE">
          <w:rPr>
            <w:webHidden/>
          </w:rPr>
          <w:instrText xml:space="preserve"> PAGEREF _Toc83035636 \h </w:instrText>
        </w:r>
        <w:r w:rsidR="000957EE">
          <w:rPr>
            <w:webHidden/>
          </w:rPr>
        </w:r>
        <w:r w:rsidR="000957EE">
          <w:rPr>
            <w:webHidden/>
          </w:rPr>
          <w:fldChar w:fldCharType="separate"/>
        </w:r>
        <w:r w:rsidR="001877C1">
          <w:rPr>
            <w:webHidden/>
          </w:rPr>
          <w:t>19</w:t>
        </w:r>
        <w:r w:rsidR="000957EE">
          <w:rPr>
            <w:webHidden/>
          </w:rPr>
          <w:fldChar w:fldCharType="end"/>
        </w:r>
      </w:hyperlink>
    </w:p>
    <w:p w14:paraId="4A049F01" w14:textId="06A96B2D" w:rsidR="000957EE" w:rsidRDefault="001163AD">
      <w:pPr>
        <w:pStyle w:val="TOC2"/>
        <w:rPr>
          <w:rFonts w:asciiTheme="minorHAnsi" w:eastAsiaTheme="minorEastAsia" w:hAnsiTheme="minorHAnsi" w:cstheme="minorBidi"/>
          <w:bCs w:val="0"/>
          <w:sz w:val="22"/>
          <w:szCs w:val="22"/>
          <w:lang w:eastAsia="en-GB"/>
        </w:rPr>
      </w:pPr>
      <w:hyperlink w:anchor="_Toc83035637" w:history="1">
        <w:r w:rsidR="000957EE" w:rsidRPr="00984C2C">
          <w:rPr>
            <w:rStyle w:val="Hyperlink"/>
            <w:rFonts w:cs="Arial"/>
          </w:rPr>
          <w:t>COVID-19 impact</w:t>
        </w:r>
        <w:r w:rsidR="000957EE">
          <w:rPr>
            <w:webHidden/>
          </w:rPr>
          <w:tab/>
        </w:r>
        <w:r w:rsidR="000957EE">
          <w:rPr>
            <w:webHidden/>
          </w:rPr>
          <w:fldChar w:fldCharType="begin"/>
        </w:r>
        <w:r w:rsidR="000957EE">
          <w:rPr>
            <w:webHidden/>
          </w:rPr>
          <w:instrText xml:space="preserve"> PAGEREF _Toc83035637 \h </w:instrText>
        </w:r>
        <w:r w:rsidR="000957EE">
          <w:rPr>
            <w:webHidden/>
          </w:rPr>
        </w:r>
        <w:r w:rsidR="000957EE">
          <w:rPr>
            <w:webHidden/>
          </w:rPr>
          <w:fldChar w:fldCharType="separate"/>
        </w:r>
        <w:r w:rsidR="001877C1">
          <w:rPr>
            <w:webHidden/>
          </w:rPr>
          <w:t>19</w:t>
        </w:r>
        <w:r w:rsidR="000957EE">
          <w:rPr>
            <w:webHidden/>
          </w:rPr>
          <w:fldChar w:fldCharType="end"/>
        </w:r>
      </w:hyperlink>
    </w:p>
    <w:p w14:paraId="2E54C7ED" w14:textId="766B72D1" w:rsidR="000957EE" w:rsidRDefault="001163AD">
      <w:pPr>
        <w:pStyle w:val="TOC2"/>
        <w:rPr>
          <w:rFonts w:asciiTheme="minorHAnsi" w:eastAsiaTheme="minorEastAsia" w:hAnsiTheme="minorHAnsi" w:cstheme="minorBidi"/>
          <w:bCs w:val="0"/>
          <w:sz w:val="22"/>
          <w:szCs w:val="22"/>
          <w:lang w:eastAsia="en-GB"/>
        </w:rPr>
      </w:pPr>
      <w:hyperlink w:anchor="_Toc83035638" w:history="1">
        <w:r w:rsidR="000957EE" w:rsidRPr="00984C2C">
          <w:rPr>
            <w:rStyle w:val="Hyperlink"/>
            <w:rFonts w:cs="Arial"/>
          </w:rPr>
          <w:t>Report structure</w:t>
        </w:r>
        <w:r w:rsidR="000957EE">
          <w:rPr>
            <w:webHidden/>
          </w:rPr>
          <w:tab/>
        </w:r>
        <w:r w:rsidR="000957EE">
          <w:rPr>
            <w:webHidden/>
          </w:rPr>
          <w:fldChar w:fldCharType="begin"/>
        </w:r>
        <w:r w:rsidR="000957EE">
          <w:rPr>
            <w:webHidden/>
          </w:rPr>
          <w:instrText xml:space="preserve"> PAGEREF _Toc83035638 \h </w:instrText>
        </w:r>
        <w:r w:rsidR="000957EE">
          <w:rPr>
            <w:webHidden/>
          </w:rPr>
        </w:r>
        <w:r w:rsidR="000957EE">
          <w:rPr>
            <w:webHidden/>
          </w:rPr>
          <w:fldChar w:fldCharType="separate"/>
        </w:r>
        <w:r w:rsidR="001877C1">
          <w:rPr>
            <w:webHidden/>
          </w:rPr>
          <w:t>19</w:t>
        </w:r>
        <w:r w:rsidR="000957EE">
          <w:rPr>
            <w:webHidden/>
          </w:rPr>
          <w:fldChar w:fldCharType="end"/>
        </w:r>
      </w:hyperlink>
    </w:p>
    <w:p w14:paraId="05868B6B" w14:textId="6620DAE0" w:rsidR="000957EE" w:rsidRDefault="001163AD">
      <w:pPr>
        <w:pStyle w:val="TOC1"/>
        <w:rPr>
          <w:rFonts w:asciiTheme="minorHAnsi" w:eastAsiaTheme="minorEastAsia" w:hAnsiTheme="minorHAnsi" w:cstheme="minorBidi"/>
          <w:bCs w:val="0"/>
          <w:sz w:val="22"/>
          <w:szCs w:val="22"/>
          <w:lang w:eastAsia="en-GB"/>
        </w:rPr>
      </w:pPr>
      <w:hyperlink w:anchor="_Toc83035639" w:history="1">
        <w:r w:rsidR="000957EE" w:rsidRPr="00984C2C">
          <w:rPr>
            <w:rStyle w:val="Hyperlink"/>
            <w:rFonts w:cs="Arial"/>
          </w:rPr>
          <w:t>2.</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Housing market and key drivers</w:t>
        </w:r>
        <w:r w:rsidR="000957EE">
          <w:rPr>
            <w:webHidden/>
          </w:rPr>
          <w:tab/>
        </w:r>
        <w:r w:rsidR="000957EE">
          <w:rPr>
            <w:webHidden/>
          </w:rPr>
          <w:fldChar w:fldCharType="begin"/>
        </w:r>
        <w:r w:rsidR="000957EE">
          <w:rPr>
            <w:webHidden/>
          </w:rPr>
          <w:instrText xml:space="preserve"> PAGEREF _Toc83035639 \h </w:instrText>
        </w:r>
        <w:r w:rsidR="000957EE">
          <w:rPr>
            <w:webHidden/>
          </w:rPr>
        </w:r>
        <w:r w:rsidR="000957EE">
          <w:rPr>
            <w:webHidden/>
          </w:rPr>
          <w:fldChar w:fldCharType="separate"/>
        </w:r>
        <w:r w:rsidR="001877C1">
          <w:rPr>
            <w:webHidden/>
          </w:rPr>
          <w:t>21</w:t>
        </w:r>
        <w:r w:rsidR="000957EE">
          <w:rPr>
            <w:webHidden/>
          </w:rPr>
          <w:fldChar w:fldCharType="end"/>
        </w:r>
      </w:hyperlink>
    </w:p>
    <w:p w14:paraId="159F43D1" w14:textId="76463080" w:rsidR="000957EE" w:rsidRDefault="001163AD">
      <w:pPr>
        <w:pStyle w:val="TOC2"/>
        <w:rPr>
          <w:rFonts w:asciiTheme="minorHAnsi" w:eastAsiaTheme="minorEastAsia" w:hAnsiTheme="minorHAnsi" w:cstheme="minorBidi"/>
          <w:bCs w:val="0"/>
          <w:sz w:val="22"/>
          <w:szCs w:val="22"/>
          <w:lang w:eastAsia="en-GB"/>
        </w:rPr>
      </w:pPr>
      <w:hyperlink w:anchor="_Toc83035640"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_Toc83035640 \h </w:instrText>
        </w:r>
        <w:r w:rsidR="000957EE">
          <w:rPr>
            <w:webHidden/>
          </w:rPr>
        </w:r>
        <w:r w:rsidR="000957EE">
          <w:rPr>
            <w:webHidden/>
          </w:rPr>
          <w:fldChar w:fldCharType="separate"/>
        </w:r>
        <w:r w:rsidR="001877C1">
          <w:rPr>
            <w:webHidden/>
          </w:rPr>
          <w:t>21</w:t>
        </w:r>
        <w:r w:rsidR="000957EE">
          <w:rPr>
            <w:webHidden/>
          </w:rPr>
          <w:fldChar w:fldCharType="end"/>
        </w:r>
      </w:hyperlink>
    </w:p>
    <w:p w14:paraId="19F96865" w14:textId="3C7D0273" w:rsidR="000957EE" w:rsidRDefault="001163AD">
      <w:pPr>
        <w:pStyle w:val="TOC2"/>
        <w:rPr>
          <w:rFonts w:asciiTheme="minorHAnsi" w:eastAsiaTheme="minorEastAsia" w:hAnsiTheme="minorHAnsi" w:cstheme="minorBidi"/>
          <w:bCs w:val="0"/>
          <w:sz w:val="22"/>
          <w:szCs w:val="22"/>
          <w:lang w:eastAsia="en-GB"/>
        </w:rPr>
      </w:pPr>
      <w:hyperlink w:anchor="_Toc83035641" w:history="1">
        <w:r w:rsidR="000957EE" w:rsidRPr="00984C2C">
          <w:rPr>
            <w:rStyle w:val="Hyperlink"/>
            <w:rFonts w:cs="Arial"/>
          </w:rPr>
          <w:t>Dwelling stock, vacant stock and household estimates</w:t>
        </w:r>
        <w:r w:rsidR="000957EE">
          <w:rPr>
            <w:webHidden/>
          </w:rPr>
          <w:tab/>
        </w:r>
        <w:r w:rsidR="000957EE">
          <w:rPr>
            <w:webHidden/>
          </w:rPr>
          <w:fldChar w:fldCharType="begin"/>
        </w:r>
        <w:r w:rsidR="000957EE">
          <w:rPr>
            <w:webHidden/>
          </w:rPr>
          <w:instrText xml:space="preserve"> PAGEREF _Toc83035641 \h </w:instrText>
        </w:r>
        <w:r w:rsidR="000957EE">
          <w:rPr>
            <w:webHidden/>
          </w:rPr>
        </w:r>
        <w:r w:rsidR="000957EE">
          <w:rPr>
            <w:webHidden/>
          </w:rPr>
          <w:fldChar w:fldCharType="separate"/>
        </w:r>
        <w:r w:rsidR="001877C1">
          <w:rPr>
            <w:webHidden/>
          </w:rPr>
          <w:t>21</w:t>
        </w:r>
        <w:r w:rsidR="000957EE">
          <w:rPr>
            <w:webHidden/>
          </w:rPr>
          <w:fldChar w:fldCharType="end"/>
        </w:r>
      </w:hyperlink>
    </w:p>
    <w:p w14:paraId="10269867" w14:textId="31F63BE6" w:rsidR="000957EE" w:rsidRDefault="001163AD">
      <w:pPr>
        <w:pStyle w:val="TOC2"/>
        <w:rPr>
          <w:rFonts w:asciiTheme="minorHAnsi" w:eastAsiaTheme="minorEastAsia" w:hAnsiTheme="minorHAnsi" w:cstheme="minorBidi"/>
          <w:bCs w:val="0"/>
          <w:sz w:val="22"/>
          <w:szCs w:val="22"/>
          <w:lang w:eastAsia="en-GB"/>
        </w:rPr>
      </w:pPr>
      <w:hyperlink w:anchor="_Toc83035642" w:history="1">
        <w:r w:rsidR="000957EE" w:rsidRPr="00984C2C">
          <w:rPr>
            <w:rStyle w:val="Hyperlink"/>
            <w:rFonts w:cs="Arial"/>
          </w:rPr>
          <w:t>Dwelling type and size</w:t>
        </w:r>
        <w:r w:rsidR="000957EE">
          <w:rPr>
            <w:webHidden/>
          </w:rPr>
          <w:tab/>
        </w:r>
        <w:r w:rsidR="000957EE">
          <w:rPr>
            <w:webHidden/>
          </w:rPr>
          <w:fldChar w:fldCharType="begin"/>
        </w:r>
        <w:r w:rsidR="000957EE">
          <w:rPr>
            <w:webHidden/>
          </w:rPr>
          <w:instrText xml:space="preserve"> PAGEREF _Toc83035642 \h </w:instrText>
        </w:r>
        <w:r w:rsidR="000957EE">
          <w:rPr>
            <w:webHidden/>
          </w:rPr>
        </w:r>
        <w:r w:rsidR="000957EE">
          <w:rPr>
            <w:webHidden/>
          </w:rPr>
          <w:fldChar w:fldCharType="separate"/>
        </w:r>
        <w:r w:rsidR="001877C1">
          <w:rPr>
            <w:webHidden/>
          </w:rPr>
          <w:t>23</w:t>
        </w:r>
        <w:r w:rsidR="000957EE">
          <w:rPr>
            <w:webHidden/>
          </w:rPr>
          <w:fldChar w:fldCharType="end"/>
        </w:r>
      </w:hyperlink>
    </w:p>
    <w:p w14:paraId="33B15341" w14:textId="0B15EA48" w:rsidR="000957EE" w:rsidRDefault="001163AD">
      <w:pPr>
        <w:pStyle w:val="TOC2"/>
        <w:rPr>
          <w:rFonts w:asciiTheme="minorHAnsi" w:eastAsiaTheme="minorEastAsia" w:hAnsiTheme="minorHAnsi" w:cstheme="minorBidi"/>
          <w:bCs w:val="0"/>
          <w:sz w:val="22"/>
          <w:szCs w:val="22"/>
          <w:lang w:eastAsia="en-GB"/>
        </w:rPr>
      </w:pPr>
      <w:hyperlink w:anchor="_Toc83035643" w:history="1">
        <w:r w:rsidR="000957EE" w:rsidRPr="00984C2C">
          <w:rPr>
            <w:rStyle w:val="Hyperlink"/>
            <w:rFonts w:cs="Arial"/>
          </w:rPr>
          <w:t>Property age and condition</w:t>
        </w:r>
        <w:r w:rsidR="000957EE">
          <w:rPr>
            <w:webHidden/>
          </w:rPr>
          <w:tab/>
        </w:r>
        <w:r w:rsidR="000957EE">
          <w:rPr>
            <w:webHidden/>
          </w:rPr>
          <w:fldChar w:fldCharType="begin"/>
        </w:r>
        <w:r w:rsidR="000957EE">
          <w:rPr>
            <w:webHidden/>
          </w:rPr>
          <w:instrText xml:space="preserve"> PAGEREF _Toc83035643 \h </w:instrText>
        </w:r>
        <w:r w:rsidR="000957EE">
          <w:rPr>
            <w:webHidden/>
          </w:rPr>
        </w:r>
        <w:r w:rsidR="000957EE">
          <w:rPr>
            <w:webHidden/>
          </w:rPr>
          <w:fldChar w:fldCharType="separate"/>
        </w:r>
        <w:r w:rsidR="001877C1">
          <w:rPr>
            <w:webHidden/>
          </w:rPr>
          <w:t>29</w:t>
        </w:r>
        <w:r w:rsidR="000957EE">
          <w:rPr>
            <w:webHidden/>
          </w:rPr>
          <w:fldChar w:fldCharType="end"/>
        </w:r>
      </w:hyperlink>
    </w:p>
    <w:p w14:paraId="34D3A20E" w14:textId="64F35563" w:rsidR="000957EE" w:rsidRDefault="001163AD">
      <w:pPr>
        <w:pStyle w:val="TOC2"/>
        <w:rPr>
          <w:rFonts w:asciiTheme="minorHAnsi" w:eastAsiaTheme="minorEastAsia" w:hAnsiTheme="minorHAnsi" w:cstheme="minorBidi"/>
          <w:bCs w:val="0"/>
          <w:sz w:val="22"/>
          <w:szCs w:val="22"/>
          <w:lang w:eastAsia="en-GB"/>
        </w:rPr>
      </w:pPr>
      <w:hyperlink w:anchor="_Toc83035644" w:history="1">
        <w:r w:rsidR="000957EE" w:rsidRPr="00984C2C">
          <w:rPr>
            <w:rStyle w:val="Hyperlink"/>
            <w:rFonts w:cs="Arial"/>
          </w:rPr>
          <w:t>Housing tenure</w:t>
        </w:r>
        <w:r w:rsidR="000957EE">
          <w:rPr>
            <w:webHidden/>
          </w:rPr>
          <w:tab/>
        </w:r>
        <w:r w:rsidR="000957EE">
          <w:rPr>
            <w:webHidden/>
          </w:rPr>
          <w:fldChar w:fldCharType="begin"/>
        </w:r>
        <w:r w:rsidR="000957EE">
          <w:rPr>
            <w:webHidden/>
          </w:rPr>
          <w:instrText xml:space="preserve"> PAGEREF _Toc83035644 \h </w:instrText>
        </w:r>
        <w:r w:rsidR="000957EE">
          <w:rPr>
            <w:webHidden/>
          </w:rPr>
        </w:r>
        <w:r w:rsidR="000957EE">
          <w:rPr>
            <w:webHidden/>
          </w:rPr>
          <w:fldChar w:fldCharType="separate"/>
        </w:r>
        <w:r w:rsidR="001877C1">
          <w:rPr>
            <w:webHidden/>
          </w:rPr>
          <w:t>32</w:t>
        </w:r>
        <w:r w:rsidR="000957EE">
          <w:rPr>
            <w:webHidden/>
          </w:rPr>
          <w:fldChar w:fldCharType="end"/>
        </w:r>
      </w:hyperlink>
    </w:p>
    <w:p w14:paraId="35FCCAD4" w14:textId="66BAA135" w:rsidR="000957EE" w:rsidRDefault="001163AD">
      <w:pPr>
        <w:pStyle w:val="TOC2"/>
        <w:rPr>
          <w:rFonts w:asciiTheme="minorHAnsi" w:eastAsiaTheme="minorEastAsia" w:hAnsiTheme="minorHAnsi" w:cstheme="minorBidi"/>
          <w:bCs w:val="0"/>
          <w:sz w:val="22"/>
          <w:szCs w:val="22"/>
          <w:lang w:eastAsia="en-GB"/>
        </w:rPr>
      </w:pPr>
      <w:hyperlink w:anchor="_Toc83035645" w:history="1">
        <w:r w:rsidR="000957EE" w:rsidRPr="00984C2C">
          <w:rPr>
            <w:rStyle w:val="Hyperlink"/>
            <w:rFonts w:cs="Arial"/>
          </w:rPr>
          <w:t>Tenure trends</w:t>
        </w:r>
        <w:r w:rsidR="000957EE">
          <w:rPr>
            <w:webHidden/>
          </w:rPr>
          <w:tab/>
        </w:r>
        <w:r w:rsidR="000957EE">
          <w:rPr>
            <w:webHidden/>
          </w:rPr>
          <w:fldChar w:fldCharType="begin"/>
        </w:r>
        <w:r w:rsidR="000957EE">
          <w:rPr>
            <w:webHidden/>
          </w:rPr>
          <w:instrText xml:space="preserve"> PAGEREF _Toc83035645 \h </w:instrText>
        </w:r>
        <w:r w:rsidR="000957EE">
          <w:rPr>
            <w:webHidden/>
          </w:rPr>
        </w:r>
        <w:r w:rsidR="000957EE">
          <w:rPr>
            <w:webHidden/>
          </w:rPr>
          <w:fldChar w:fldCharType="separate"/>
        </w:r>
        <w:r w:rsidR="001877C1">
          <w:rPr>
            <w:webHidden/>
          </w:rPr>
          <w:t>33</w:t>
        </w:r>
        <w:r w:rsidR="000957EE">
          <w:rPr>
            <w:webHidden/>
          </w:rPr>
          <w:fldChar w:fldCharType="end"/>
        </w:r>
      </w:hyperlink>
    </w:p>
    <w:p w14:paraId="3DFDF564" w14:textId="1DD9D0B2" w:rsidR="000957EE" w:rsidRDefault="001163AD">
      <w:pPr>
        <w:pStyle w:val="TOC2"/>
        <w:rPr>
          <w:rFonts w:asciiTheme="minorHAnsi" w:eastAsiaTheme="minorEastAsia" w:hAnsiTheme="minorHAnsi" w:cstheme="minorBidi"/>
          <w:bCs w:val="0"/>
          <w:sz w:val="22"/>
          <w:szCs w:val="22"/>
          <w:lang w:eastAsia="en-GB"/>
        </w:rPr>
      </w:pPr>
      <w:hyperlink w:anchor="_Toc83035646" w:history="1">
        <w:r w:rsidR="000957EE" w:rsidRPr="00984C2C">
          <w:rPr>
            <w:rStyle w:val="Hyperlink"/>
            <w:rFonts w:cs="Arial"/>
          </w:rPr>
          <w:t>The owner-occupied sector</w:t>
        </w:r>
        <w:r w:rsidR="000957EE">
          <w:rPr>
            <w:webHidden/>
          </w:rPr>
          <w:tab/>
        </w:r>
        <w:r w:rsidR="000957EE">
          <w:rPr>
            <w:webHidden/>
          </w:rPr>
          <w:fldChar w:fldCharType="begin"/>
        </w:r>
        <w:r w:rsidR="000957EE">
          <w:rPr>
            <w:webHidden/>
          </w:rPr>
          <w:instrText xml:space="preserve"> PAGEREF _Toc83035646 \h </w:instrText>
        </w:r>
        <w:r w:rsidR="000957EE">
          <w:rPr>
            <w:webHidden/>
          </w:rPr>
        </w:r>
        <w:r w:rsidR="000957EE">
          <w:rPr>
            <w:webHidden/>
          </w:rPr>
          <w:fldChar w:fldCharType="separate"/>
        </w:r>
        <w:r w:rsidR="001877C1">
          <w:rPr>
            <w:webHidden/>
          </w:rPr>
          <w:t>33</w:t>
        </w:r>
        <w:r w:rsidR="000957EE">
          <w:rPr>
            <w:webHidden/>
          </w:rPr>
          <w:fldChar w:fldCharType="end"/>
        </w:r>
      </w:hyperlink>
    </w:p>
    <w:p w14:paraId="52BBD704" w14:textId="419B8B13" w:rsidR="000957EE" w:rsidRDefault="001163AD">
      <w:pPr>
        <w:pStyle w:val="TOC2"/>
        <w:rPr>
          <w:rFonts w:asciiTheme="minorHAnsi" w:eastAsiaTheme="minorEastAsia" w:hAnsiTheme="minorHAnsi" w:cstheme="minorBidi"/>
          <w:bCs w:val="0"/>
          <w:sz w:val="22"/>
          <w:szCs w:val="22"/>
          <w:lang w:eastAsia="en-GB"/>
        </w:rPr>
      </w:pPr>
      <w:hyperlink w:anchor="_Toc83035647" w:history="1">
        <w:r w:rsidR="000957EE" w:rsidRPr="00984C2C">
          <w:rPr>
            <w:rStyle w:val="Hyperlink"/>
            <w:rFonts w:cs="Arial"/>
          </w:rPr>
          <w:t>Affordable housing</w:t>
        </w:r>
        <w:r w:rsidR="000957EE">
          <w:rPr>
            <w:webHidden/>
          </w:rPr>
          <w:tab/>
        </w:r>
        <w:r w:rsidR="000957EE">
          <w:rPr>
            <w:webHidden/>
          </w:rPr>
          <w:fldChar w:fldCharType="begin"/>
        </w:r>
        <w:r w:rsidR="000957EE">
          <w:rPr>
            <w:webHidden/>
          </w:rPr>
          <w:instrText xml:space="preserve"> PAGEREF _Toc83035647 \h </w:instrText>
        </w:r>
        <w:r w:rsidR="000957EE">
          <w:rPr>
            <w:webHidden/>
          </w:rPr>
        </w:r>
        <w:r w:rsidR="000957EE">
          <w:rPr>
            <w:webHidden/>
          </w:rPr>
          <w:fldChar w:fldCharType="separate"/>
        </w:r>
        <w:r w:rsidR="001877C1">
          <w:rPr>
            <w:webHidden/>
          </w:rPr>
          <w:t>35</w:t>
        </w:r>
        <w:r w:rsidR="000957EE">
          <w:rPr>
            <w:webHidden/>
          </w:rPr>
          <w:fldChar w:fldCharType="end"/>
        </w:r>
      </w:hyperlink>
    </w:p>
    <w:p w14:paraId="0B349E8E" w14:textId="520817B2" w:rsidR="000957EE" w:rsidRDefault="001163AD">
      <w:pPr>
        <w:pStyle w:val="TOC2"/>
        <w:rPr>
          <w:rFonts w:asciiTheme="minorHAnsi" w:eastAsiaTheme="minorEastAsia" w:hAnsiTheme="minorHAnsi" w:cstheme="minorBidi"/>
          <w:bCs w:val="0"/>
          <w:sz w:val="22"/>
          <w:szCs w:val="22"/>
          <w:lang w:eastAsia="en-GB"/>
        </w:rPr>
      </w:pPr>
      <w:hyperlink w:anchor="_Toc83035648" w:history="1">
        <w:r w:rsidR="000957EE" w:rsidRPr="00984C2C">
          <w:rPr>
            <w:rStyle w:val="Hyperlink"/>
            <w:rFonts w:cs="Arial"/>
          </w:rPr>
          <w:t>Past trends in housing delivery</w:t>
        </w:r>
        <w:r w:rsidR="000957EE">
          <w:rPr>
            <w:webHidden/>
          </w:rPr>
          <w:tab/>
        </w:r>
        <w:r w:rsidR="000957EE">
          <w:rPr>
            <w:webHidden/>
          </w:rPr>
          <w:fldChar w:fldCharType="begin"/>
        </w:r>
        <w:r w:rsidR="000957EE">
          <w:rPr>
            <w:webHidden/>
          </w:rPr>
          <w:instrText xml:space="preserve"> PAGEREF _Toc83035648 \h </w:instrText>
        </w:r>
        <w:r w:rsidR="000957EE">
          <w:rPr>
            <w:webHidden/>
          </w:rPr>
        </w:r>
        <w:r w:rsidR="000957EE">
          <w:rPr>
            <w:webHidden/>
          </w:rPr>
          <w:fldChar w:fldCharType="separate"/>
        </w:r>
        <w:r w:rsidR="001877C1">
          <w:rPr>
            <w:webHidden/>
          </w:rPr>
          <w:t>36</w:t>
        </w:r>
        <w:r w:rsidR="000957EE">
          <w:rPr>
            <w:webHidden/>
          </w:rPr>
          <w:fldChar w:fldCharType="end"/>
        </w:r>
      </w:hyperlink>
    </w:p>
    <w:p w14:paraId="7CB368DA" w14:textId="60A3A44F" w:rsidR="000957EE" w:rsidRDefault="001163AD">
      <w:pPr>
        <w:pStyle w:val="TOC2"/>
        <w:rPr>
          <w:rFonts w:asciiTheme="minorHAnsi" w:eastAsiaTheme="minorEastAsia" w:hAnsiTheme="minorHAnsi" w:cstheme="minorBidi"/>
          <w:bCs w:val="0"/>
          <w:sz w:val="22"/>
          <w:szCs w:val="22"/>
          <w:lang w:eastAsia="en-GB"/>
        </w:rPr>
      </w:pPr>
      <w:hyperlink w:anchor="_Toc83035649" w:history="1">
        <w:r w:rsidR="000957EE" w:rsidRPr="00984C2C">
          <w:rPr>
            <w:rStyle w:val="Hyperlink"/>
            <w:rFonts w:cs="Arial"/>
          </w:rPr>
          <w:t>Demographic drivers: population and households</w:t>
        </w:r>
        <w:r w:rsidR="000957EE">
          <w:rPr>
            <w:webHidden/>
          </w:rPr>
          <w:tab/>
        </w:r>
        <w:r w:rsidR="000957EE">
          <w:rPr>
            <w:webHidden/>
          </w:rPr>
          <w:fldChar w:fldCharType="begin"/>
        </w:r>
        <w:r w:rsidR="000957EE">
          <w:rPr>
            <w:webHidden/>
          </w:rPr>
          <w:instrText xml:space="preserve"> PAGEREF _Toc83035649 \h </w:instrText>
        </w:r>
        <w:r w:rsidR="000957EE">
          <w:rPr>
            <w:webHidden/>
          </w:rPr>
        </w:r>
        <w:r w:rsidR="000957EE">
          <w:rPr>
            <w:webHidden/>
          </w:rPr>
          <w:fldChar w:fldCharType="separate"/>
        </w:r>
        <w:r w:rsidR="001877C1">
          <w:rPr>
            <w:webHidden/>
          </w:rPr>
          <w:t>38</w:t>
        </w:r>
        <w:r w:rsidR="000957EE">
          <w:rPr>
            <w:webHidden/>
          </w:rPr>
          <w:fldChar w:fldCharType="end"/>
        </w:r>
      </w:hyperlink>
    </w:p>
    <w:p w14:paraId="09CA670A" w14:textId="2D6C89E8" w:rsidR="000957EE" w:rsidRDefault="001163AD">
      <w:pPr>
        <w:pStyle w:val="TOC2"/>
        <w:rPr>
          <w:rFonts w:asciiTheme="minorHAnsi" w:eastAsiaTheme="minorEastAsia" w:hAnsiTheme="minorHAnsi" w:cstheme="minorBidi"/>
          <w:bCs w:val="0"/>
          <w:sz w:val="22"/>
          <w:szCs w:val="22"/>
          <w:lang w:eastAsia="en-GB"/>
        </w:rPr>
      </w:pPr>
      <w:hyperlink w:anchor="_Toc83035650" w:history="1">
        <w:r w:rsidR="000957EE" w:rsidRPr="00984C2C">
          <w:rPr>
            <w:rStyle w:val="Hyperlink"/>
            <w:rFonts w:cs="Arial"/>
          </w:rPr>
          <w:t>Defining the Housing Market Sub-area: household migration and travel to work</w:t>
        </w:r>
        <w:r w:rsidR="000957EE">
          <w:rPr>
            <w:webHidden/>
          </w:rPr>
          <w:tab/>
        </w:r>
        <w:r w:rsidR="000957EE">
          <w:rPr>
            <w:webHidden/>
          </w:rPr>
          <w:fldChar w:fldCharType="begin"/>
        </w:r>
        <w:r w:rsidR="000957EE">
          <w:rPr>
            <w:webHidden/>
          </w:rPr>
          <w:instrText xml:space="preserve"> PAGEREF _Toc83035650 \h </w:instrText>
        </w:r>
        <w:r w:rsidR="000957EE">
          <w:rPr>
            <w:webHidden/>
          </w:rPr>
        </w:r>
        <w:r w:rsidR="000957EE">
          <w:rPr>
            <w:webHidden/>
          </w:rPr>
          <w:fldChar w:fldCharType="separate"/>
        </w:r>
        <w:r w:rsidR="001877C1">
          <w:rPr>
            <w:webHidden/>
          </w:rPr>
          <w:t>48</w:t>
        </w:r>
        <w:r w:rsidR="000957EE">
          <w:rPr>
            <w:webHidden/>
          </w:rPr>
          <w:fldChar w:fldCharType="end"/>
        </w:r>
      </w:hyperlink>
    </w:p>
    <w:p w14:paraId="34DF9737" w14:textId="0A7CEF7F" w:rsidR="000957EE" w:rsidRDefault="001163AD">
      <w:pPr>
        <w:pStyle w:val="TOC2"/>
        <w:rPr>
          <w:rFonts w:asciiTheme="minorHAnsi" w:eastAsiaTheme="minorEastAsia" w:hAnsiTheme="minorHAnsi" w:cstheme="minorBidi"/>
          <w:bCs w:val="0"/>
          <w:sz w:val="22"/>
          <w:szCs w:val="22"/>
          <w:lang w:eastAsia="en-GB"/>
        </w:rPr>
      </w:pPr>
      <w:hyperlink w:anchor="_Toc83035651" w:history="1">
        <w:r w:rsidR="000957EE" w:rsidRPr="00984C2C">
          <w:rPr>
            <w:rStyle w:val="Hyperlink"/>
            <w:rFonts w:cs="Arial"/>
          </w:rPr>
          <w:t>General household characteristics</w:t>
        </w:r>
        <w:r w:rsidR="000957EE">
          <w:rPr>
            <w:webHidden/>
          </w:rPr>
          <w:tab/>
        </w:r>
        <w:r w:rsidR="000957EE">
          <w:rPr>
            <w:webHidden/>
          </w:rPr>
          <w:fldChar w:fldCharType="begin"/>
        </w:r>
        <w:r w:rsidR="000957EE">
          <w:rPr>
            <w:webHidden/>
          </w:rPr>
          <w:instrText xml:space="preserve"> PAGEREF _Toc83035651 \h </w:instrText>
        </w:r>
        <w:r w:rsidR="000957EE">
          <w:rPr>
            <w:webHidden/>
          </w:rPr>
        </w:r>
        <w:r w:rsidR="000957EE">
          <w:rPr>
            <w:webHidden/>
          </w:rPr>
          <w:fldChar w:fldCharType="separate"/>
        </w:r>
        <w:r w:rsidR="001877C1">
          <w:rPr>
            <w:webHidden/>
          </w:rPr>
          <w:t>51</w:t>
        </w:r>
        <w:r w:rsidR="000957EE">
          <w:rPr>
            <w:webHidden/>
          </w:rPr>
          <w:fldChar w:fldCharType="end"/>
        </w:r>
      </w:hyperlink>
    </w:p>
    <w:p w14:paraId="00B8F5BF" w14:textId="76877CBA" w:rsidR="000957EE" w:rsidRDefault="001163AD">
      <w:pPr>
        <w:pStyle w:val="TOC2"/>
        <w:rPr>
          <w:rFonts w:asciiTheme="minorHAnsi" w:eastAsiaTheme="minorEastAsia" w:hAnsiTheme="minorHAnsi" w:cstheme="minorBidi"/>
          <w:bCs w:val="0"/>
          <w:sz w:val="22"/>
          <w:szCs w:val="22"/>
          <w:lang w:eastAsia="en-GB"/>
        </w:rPr>
      </w:pPr>
      <w:hyperlink w:anchor="_Toc83035652" w:history="1">
        <w:r w:rsidR="000957EE" w:rsidRPr="00984C2C">
          <w:rPr>
            <w:rStyle w:val="Hyperlink"/>
            <w:rFonts w:cs="Arial"/>
          </w:rPr>
          <w:t>Income data</w:t>
        </w:r>
        <w:r w:rsidR="000957EE">
          <w:rPr>
            <w:webHidden/>
          </w:rPr>
          <w:tab/>
        </w:r>
        <w:r w:rsidR="000957EE">
          <w:rPr>
            <w:webHidden/>
          </w:rPr>
          <w:fldChar w:fldCharType="begin"/>
        </w:r>
        <w:r w:rsidR="000957EE">
          <w:rPr>
            <w:webHidden/>
          </w:rPr>
          <w:instrText xml:space="preserve"> PAGEREF _Toc83035652 \h </w:instrText>
        </w:r>
        <w:r w:rsidR="000957EE">
          <w:rPr>
            <w:webHidden/>
          </w:rPr>
        </w:r>
        <w:r w:rsidR="000957EE">
          <w:rPr>
            <w:webHidden/>
          </w:rPr>
          <w:fldChar w:fldCharType="separate"/>
        </w:r>
        <w:r w:rsidR="001877C1">
          <w:rPr>
            <w:webHidden/>
          </w:rPr>
          <w:t>54</w:t>
        </w:r>
        <w:r w:rsidR="000957EE">
          <w:rPr>
            <w:webHidden/>
          </w:rPr>
          <w:fldChar w:fldCharType="end"/>
        </w:r>
      </w:hyperlink>
    </w:p>
    <w:p w14:paraId="52B84EEB" w14:textId="256018CC" w:rsidR="000957EE" w:rsidRDefault="001163AD">
      <w:pPr>
        <w:pStyle w:val="TOC2"/>
        <w:rPr>
          <w:rFonts w:asciiTheme="minorHAnsi" w:eastAsiaTheme="minorEastAsia" w:hAnsiTheme="minorHAnsi" w:cstheme="minorBidi"/>
          <w:bCs w:val="0"/>
          <w:sz w:val="22"/>
          <w:szCs w:val="22"/>
          <w:lang w:eastAsia="en-GB"/>
        </w:rPr>
      </w:pPr>
      <w:hyperlink w:anchor="_Toc83035653" w:history="1">
        <w:r w:rsidR="000957EE" w:rsidRPr="00984C2C">
          <w:rPr>
            <w:rStyle w:val="Hyperlink"/>
            <w:rFonts w:cs="Arial"/>
          </w:rPr>
          <w:t>Summary</w:t>
        </w:r>
        <w:r w:rsidR="000957EE">
          <w:rPr>
            <w:webHidden/>
          </w:rPr>
          <w:tab/>
        </w:r>
        <w:r w:rsidR="000957EE">
          <w:rPr>
            <w:webHidden/>
          </w:rPr>
          <w:fldChar w:fldCharType="begin"/>
        </w:r>
        <w:r w:rsidR="000957EE">
          <w:rPr>
            <w:webHidden/>
          </w:rPr>
          <w:instrText xml:space="preserve"> PAGEREF _Toc83035653 \h </w:instrText>
        </w:r>
        <w:r w:rsidR="000957EE">
          <w:rPr>
            <w:webHidden/>
          </w:rPr>
        </w:r>
        <w:r w:rsidR="000957EE">
          <w:rPr>
            <w:webHidden/>
          </w:rPr>
          <w:fldChar w:fldCharType="separate"/>
        </w:r>
        <w:r w:rsidR="001877C1">
          <w:rPr>
            <w:webHidden/>
          </w:rPr>
          <w:t>57</w:t>
        </w:r>
        <w:r w:rsidR="000957EE">
          <w:rPr>
            <w:webHidden/>
          </w:rPr>
          <w:fldChar w:fldCharType="end"/>
        </w:r>
      </w:hyperlink>
    </w:p>
    <w:p w14:paraId="03B85F7F" w14:textId="1DB65672" w:rsidR="000957EE" w:rsidRDefault="001163AD">
      <w:pPr>
        <w:pStyle w:val="TOC1"/>
        <w:rPr>
          <w:rFonts w:asciiTheme="minorHAnsi" w:eastAsiaTheme="minorEastAsia" w:hAnsiTheme="minorHAnsi" w:cstheme="minorBidi"/>
          <w:bCs w:val="0"/>
          <w:sz w:val="22"/>
          <w:szCs w:val="22"/>
          <w:lang w:eastAsia="en-GB"/>
        </w:rPr>
      </w:pPr>
      <w:hyperlink w:anchor="_Toc83035654" w:history="1">
        <w:r w:rsidR="000957EE" w:rsidRPr="00984C2C">
          <w:rPr>
            <w:rStyle w:val="Hyperlink"/>
            <w:rFonts w:cs="Arial"/>
          </w:rPr>
          <w:t>3.</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Price, rents and affordability</w:t>
        </w:r>
        <w:r w:rsidR="000957EE">
          <w:rPr>
            <w:webHidden/>
          </w:rPr>
          <w:tab/>
        </w:r>
        <w:r w:rsidR="000957EE">
          <w:rPr>
            <w:webHidden/>
          </w:rPr>
          <w:fldChar w:fldCharType="begin"/>
        </w:r>
        <w:r w:rsidR="000957EE">
          <w:rPr>
            <w:webHidden/>
          </w:rPr>
          <w:instrText xml:space="preserve"> PAGEREF _Toc83035654 \h </w:instrText>
        </w:r>
        <w:r w:rsidR="000957EE">
          <w:rPr>
            <w:webHidden/>
          </w:rPr>
        </w:r>
        <w:r w:rsidR="000957EE">
          <w:rPr>
            <w:webHidden/>
          </w:rPr>
          <w:fldChar w:fldCharType="separate"/>
        </w:r>
        <w:r w:rsidR="001877C1">
          <w:rPr>
            <w:webHidden/>
          </w:rPr>
          <w:t>58</w:t>
        </w:r>
        <w:r w:rsidR="000957EE">
          <w:rPr>
            <w:webHidden/>
          </w:rPr>
          <w:fldChar w:fldCharType="end"/>
        </w:r>
      </w:hyperlink>
    </w:p>
    <w:p w14:paraId="53344D13" w14:textId="7BB731BD" w:rsidR="000957EE" w:rsidRDefault="001163AD">
      <w:pPr>
        <w:pStyle w:val="TOC2"/>
        <w:rPr>
          <w:rFonts w:asciiTheme="minorHAnsi" w:eastAsiaTheme="minorEastAsia" w:hAnsiTheme="minorHAnsi" w:cstheme="minorBidi"/>
          <w:bCs w:val="0"/>
          <w:sz w:val="22"/>
          <w:szCs w:val="22"/>
          <w:lang w:eastAsia="en-GB"/>
        </w:rPr>
      </w:pPr>
      <w:hyperlink w:anchor="_Toc83035655"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_Toc83035655 \h </w:instrText>
        </w:r>
        <w:r w:rsidR="000957EE">
          <w:rPr>
            <w:webHidden/>
          </w:rPr>
        </w:r>
        <w:r w:rsidR="000957EE">
          <w:rPr>
            <w:webHidden/>
          </w:rPr>
          <w:fldChar w:fldCharType="separate"/>
        </w:r>
        <w:r w:rsidR="001877C1">
          <w:rPr>
            <w:webHidden/>
          </w:rPr>
          <w:t>58</w:t>
        </w:r>
        <w:r w:rsidR="000957EE">
          <w:rPr>
            <w:webHidden/>
          </w:rPr>
          <w:fldChar w:fldCharType="end"/>
        </w:r>
      </w:hyperlink>
    </w:p>
    <w:p w14:paraId="187DA5C0" w14:textId="0C6AB285" w:rsidR="000957EE" w:rsidRDefault="001163AD">
      <w:pPr>
        <w:pStyle w:val="TOC2"/>
        <w:rPr>
          <w:rFonts w:asciiTheme="minorHAnsi" w:eastAsiaTheme="minorEastAsia" w:hAnsiTheme="minorHAnsi" w:cstheme="minorBidi"/>
          <w:bCs w:val="0"/>
          <w:sz w:val="22"/>
          <w:szCs w:val="22"/>
          <w:lang w:eastAsia="en-GB"/>
        </w:rPr>
      </w:pPr>
      <w:hyperlink w:anchor="_Toc83035656" w:history="1">
        <w:r w:rsidR="000957EE" w:rsidRPr="00984C2C">
          <w:rPr>
            <w:rStyle w:val="Hyperlink"/>
            <w:rFonts w:cs="Arial"/>
          </w:rPr>
          <w:t>House price trends</w:t>
        </w:r>
        <w:r w:rsidR="000957EE">
          <w:rPr>
            <w:webHidden/>
          </w:rPr>
          <w:tab/>
        </w:r>
        <w:r w:rsidR="000957EE">
          <w:rPr>
            <w:webHidden/>
          </w:rPr>
          <w:fldChar w:fldCharType="begin"/>
        </w:r>
        <w:r w:rsidR="000957EE">
          <w:rPr>
            <w:webHidden/>
          </w:rPr>
          <w:instrText xml:space="preserve"> PAGEREF _Toc83035656 \h </w:instrText>
        </w:r>
        <w:r w:rsidR="000957EE">
          <w:rPr>
            <w:webHidden/>
          </w:rPr>
        </w:r>
        <w:r w:rsidR="000957EE">
          <w:rPr>
            <w:webHidden/>
          </w:rPr>
          <w:fldChar w:fldCharType="separate"/>
        </w:r>
        <w:r w:rsidR="001877C1">
          <w:rPr>
            <w:webHidden/>
          </w:rPr>
          <w:t>58</w:t>
        </w:r>
        <w:r w:rsidR="000957EE">
          <w:rPr>
            <w:webHidden/>
          </w:rPr>
          <w:fldChar w:fldCharType="end"/>
        </w:r>
      </w:hyperlink>
    </w:p>
    <w:p w14:paraId="274C740B" w14:textId="1F9D2D9F" w:rsidR="000957EE" w:rsidRDefault="001163AD">
      <w:pPr>
        <w:pStyle w:val="TOC2"/>
        <w:rPr>
          <w:rFonts w:asciiTheme="minorHAnsi" w:eastAsiaTheme="minorEastAsia" w:hAnsiTheme="minorHAnsi" w:cstheme="minorBidi"/>
          <w:bCs w:val="0"/>
          <w:sz w:val="22"/>
          <w:szCs w:val="22"/>
          <w:lang w:eastAsia="en-GB"/>
        </w:rPr>
      </w:pPr>
      <w:hyperlink w:anchor="_Toc83035657" w:history="1">
        <w:r w:rsidR="000957EE" w:rsidRPr="00984C2C">
          <w:rPr>
            <w:rStyle w:val="Hyperlink"/>
            <w:rFonts w:cs="Arial"/>
          </w:rPr>
          <w:t>Private renting</w:t>
        </w:r>
        <w:r w:rsidR="000957EE">
          <w:rPr>
            <w:webHidden/>
          </w:rPr>
          <w:tab/>
        </w:r>
        <w:r w:rsidR="000957EE">
          <w:rPr>
            <w:webHidden/>
          </w:rPr>
          <w:fldChar w:fldCharType="begin"/>
        </w:r>
        <w:r w:rsidR="000957EE">
          <w:rPr>
            <w:webHidden/>
          </w:rPr>
          <w:instrText xml:space="preserve"> PAGEREF _Toc83035657 \h </w:instrText>
        </w:r>
        <w:r w:rsidR="000957EE">
          <w:rPr>
            <w:webHidden/>
          </w:rPr>
        </w:r>
        <w:r w:rsidR="000957EE">
          <w:rPr>
            <w:webHidden/>
          </w:rPr>
          <w:fldChar w:fldCharType="separate"/>
        </w:r>
        <w:r w:rsidR="001877C1">
          <w:rPr>
            <w:webHidden/>
          </w:rPr>
          <w:t>65</w:t>
        </w:r>
        <w:r w:rsidR="000957EE">
          <w:rPr>
            <w:webHidden/>
          </w:rPr>
          <w:fldChar w:fldCharType="end"/>
        </w:r>
      </w:hyperlink>
    </w:p>
    <w:p w14:paraId="3B0C93CD" w14:textId="549E8377" w:rsidR="000957EE" w:rsidRDefault="001163AD">
      <w:pPr>
        <w:pStyle w:val="TOC2"/>
        <w:rPr>
          <w:rFonts w:asciiTheme="minorHAnsi" w:eastAsiaTheme="minorEastAsia" w:hAnsiTheme="minorHAnsi" w:cstheme="minorBidi"/>
          <w:bCs w:val="0"/>
          <w:sz w:val="22"/>
          <w:szCs w:val="22"/>
          <w:lang w:eastAsia="en-GB"/>
        </w:rPr>
      </w:pPr>
      <w:hyperlink w:anchor="_Toc83035658" w:history="1">
        <w:r w:rsidR="000957EE" w:rsidRPr="00984C2C">
          <w:rPr>
            <w:rStyle w:val="Hyperlink"/>
            <w:rFonts w:cs="Arial"/>
          </w:rPr>
          <w:t>Relative affordability</w:t>
        </w:r>
        <w:r w:rsidR="000957EE">
          <w:rPr>
            <w:webHidden/>
          </w:rPr>
          <w:tab/>
        </w:r>
        <w:r w:rsidR="000957EE">
          <w:rPr>
            <w:webHidden/>
          </w:rPr>
          <w:fldChar w:fldCharType="begin"/>
        </w:r>
        <w:r w:rsidR="000957EE">
          <w:rPr>
            <w:webHidden/>
          </w:rPr>
          <w:instrText xml:space="preserve"> PAGEREF _Toc83035658 \h </w:instrText>
        </w:r>
        <w:r w:rsidR="000957EE">
          <w:rPr>
            <w:webHidden/>
          </w:rPr>
        </w:r>
        <w:r w:rsidR="000957EE">
          <w:rPr>
            <w:webHidden/>
          </w:rPr>
          <w:fldChar w:fldCharType="separate"/>
        </w:r>
        <w:r w:rsidR="001877C1">
          <w:rPr>
            <w:webHidden/>
          </w:rPr>
          <w:t>70</w:t>
        </w:r>
        <w:r w:rsidR="000957EE">
          <w:rPr>
            <w:webHidden/>
          </w:rPr>
          <w:fldChar w:fldCharType="end"/>
        </w:r>
      </w:hyperlink>
    </w:p>
    <w:p w14:paraId="6C8EF616" w14:textId="3B93C196" w:rsidR="000957EE" w:rsidRDefault="001163AD">
      <w:pPr>
        <w:pStyle w:val="TOC2"/>
        <w:rPr>
          <w:rFonts w:asciiTheme="minorHAnsi" w:eastAsiaTheme="minorEastAsia" w:hAnsiTheme="minorHAnsi" w:cstheme="minorBidi"/>
          <w:bCs w:val="0"/>
          <w:sz w:val="22"/>
          <w:szCs w:val="22"/>
          <w:lang w:eastAsia="en-GB"/>
        </w:rPr>
      </w:pPr>
      <w:hyperlink w:anchor="_Toc83035659" w:history="1">
        <w:r w:rsidR="000957EE" w:rsidRPr="00984C2C">
          <w:rPr>
            <w:rStyle w:val="Hyperlink"/>
            <w:rFonts w:cs="Arial"/>
          </w:rPr>
          <w:t>Relative affordability of housing tenure options</w:t>
        </w:r>
        <w:r w:rsidR="000957EE" w:rsidRPr="00984C2C">
          <w:rPr>
            <w:rStyle w:val="Hyperlink"/>
            <w:rFonts w:cs="Arial"/>
            <w:lang w:val="en-US"/>
          </w:rPr>
          <w:t xml:space="preserve"> and defining genuinely affordable housing</w:t>
        </w:r>
        <w:r w:rsidR="000957EE">
          <w:rPr>
            <w:webHidden/>
          </w:rPr>
          <w:tab/>
        </w:r>
        <w:r w:rsidR="000957EE">
          <w:rPr>
            <w:webHidden/>
          </w:rPr>
          <w:fldChar w:fldCharType="begin"/>
        </w:r>
        <w:r w:rsidR="000957EE">
          <w:rPr>
            <w:webHidden/>
          </w:rPr>
          <w:instrText xml:space="preserve"> PAGEREF _Toc83035659 \h </w:instrText>
        </w:r>
        <w:r w:rsidR="000957EE">
          <w:rPr>
            <w:webHidden/>
          </w:rPr>
        </w:r>
        <w:r w:rsidR="000957EE">
          <w:rPr>
            <w:webHidden/>
          </w:rPr>
          <w:fldChar w:fldCharType="separate"/>
        </w:r>
        <w:r w:rsidR="001877C1">
          <w:rPr>
            <w:webHidden/>
          </w:rPr>
          <w:t>71</w:t>
        </w:r>
        <w:r w:rsidR="000957EE">
          <w:rPr>
            <w:webHidden/>
          </w:rPr>
          <w:fldChar w:fldCharType="end"/>
        </w:r>
      </w:hyperlink>
    </w:p>
    <w:p w14:paraId="4383A94C" w14:textId="0E967632" w:rsidR="000957EE" w:rsidRDefault="001163AD">
      <w:pPr>
        <w:pStyle w:val="TOC2"/>
        <w:rPr>
          <w:rFonts w:asciiTheme="minorHAnsi" w:eastAsiaTheme="minorEastAsia" w:hAnsiTheme="minorHAnsi" w:cstheme="minorBidi"/>
          <w:bCs w:val="0"/>
          <w:sz w:val="22"/>
          <w:szCs w:val="22"/>
          <w:lang w:eastAsia="en-GB"/>
        </w:rPr>
      </w:pPr>
      <w:hyperlink w:anchor="_Toc83035660" w:history="1">
        <w:r w:rsidR="000957EE" w:rsidRPr="00984C2C">
          <w:rPr>
            <w:rStyle w:val="Hyperlink"/>
            <w:rFonts w:cs="Arial"/>
          </w:rPr>
          <w:t>Affordability of prices and rents to selected key workers and households on minimum/living wages</w:t>
        </w:r>
        <w:r w:rsidR="000957EE">
          <w:rPr>
            <w:webHidden/>
          </w:rPr>
          <w:tab/>
        </w:r>
        <w:r w:rsidR="000957EE">
          <w:rPr>
            <w:webHidden/>
          </w:rPr>
          <w:fldChar w:fldCharType="begin"/>
        </w:r>
        <w:r w:rsidR="000957EE">
          <w:rPr>
            <w:webHidden/>
          </w:rPr>
          <w:instrText xml:space="preserve"> PAGEREF _Toc83035660 \h </w:instrText>
        </w:r>
        <w:r w:rsidR="000957EE">
          <w:rPr>
            <w:webHidden/>
          </w:rPr>
        </w:r>
        <w:r w:rsidR="000957EE">
          <w:rPr>
            <w:webHidden/>
          </w:rPr>
          <w:fldChar w:fldCharType="separate"/>
        </w:r>
        <w:r w:rsidR="001877C1">
          <w:rPr>
            <w:webHidden/>
          </w:rPr>
          <w:t>84</w:t>
        </w:r>
        <w:r w:rsidR="000957EE">
          <w:rPr>
            <w:webHidden/>
          </w:rPr>
          <w:fldChar w:fldCharType="end"/>
        </w:r>
      </w:hyperlink>
    </w:p>
    <w:p w14:paraId="2D029377" w14:textId="04AE507F" w:rsidR="000957EE" w:rsidRDefault="001163AD">
      <w:pPr>
        <w:pStyle w:val="TOC2"/>
        <w:rPr>
          <w:rFonts w:asciiTheme="minorHAnsi" w:eastAsiaTheme="minorEastAsia" w:hAnsiTheme="minorHAnsi" w:cstheme="minorBidi"/>
          <w:bCs w:val="0"/>
          <w:sz w:val="22"/>
          <w:szCs w:val="22"/>
          <w:lang w:eastAsia="en-GB"/>
        </w:rPr>
      </w:pPr>
      <w:hyperlink w:anchor="_Toc83035661" w:history="1">
        <w:r w:rsidR="000957EE" w:rsidRPr="00984C2C">
          <w:rPr>
            <w:rStyle w:val="Hyperlink"/>
            <w:rFonts w:cs="Arial"/>
          </w:rPr>
          <w:t>Concluding comments</w:t>
        </w:r>
        <w:r w:rsidR="000957EE">
          <w:rPr>
            <w:webHidden/>
          </w:rPr>
          <w:tab/>
        </w:r>
        <w:r w:rsidR="000957EE">
          <w:rPr>
            <w:webHidden/>
          </w:rPr>
          <w:fldChar w:fldCharType="begin"/>
        </w:r>
        <w:r w:rsidR="000957EE">
          <w:rPr>
            <w:webHidden/>
          </w:rPr>
          <w:instrText xml:space="preserve"> PAGEREF _Toc83035661 \h </w:instrText>
        </w:r>
        <w:r w:rsidR="000957EE">
          <w:rPr>
            <w:webHidden/>
          </w:rPr>
        </w:r>
        <w:r w:rsidR="000957EE">
          <w:rPr>
            <w:webHidden/>
          </w:rPr>
          <w:fldChar w:fldCharType="separate"/>
        </w:r>
        <w:r w:rsidR="001877C1">
          <w:rPr>
            <w:webHidden/>
          </w:rPr>
          <w:t>86</w:t>
        </w:r>
        <w:r w:rsidR="000957EE">
          <w:rPr>
            <w:webHidden/>
          </w:rPr>
          <w:fldChar w:fldCharType="end"/>
        </w:r>
      </w:hyperlink>
    </w:p>
    <w:p w14:paraId="56E00150" w14:textId="36B975F8" w:rsidR="000957EE" w:rsidRDefault="001163AD">
      <w:pPr>
        <w:pStyle w:val="TOC1"/>
        <w:rPr>
          <w:rFonts w:asciiTheme="minorHAnsi" w:eastAsiaTheme="minorEastAsia" w:hAnsiTheme="minorHAnsi" w:cstheme="minorBidi"/>
          <w:bCs w:val="0"/>
          <w:sz w:val="22"/>
          <w:szCs w:val="22"/>
          <w:lang w:eastAsia="en-GB"/>
        </w:rPr>
      </w:pPr>
      <w:hyperlink w:anchor="_Toc83035662" w:history="1">
        <w:r w:rsidR="000957EE" w:rsidRPr="00984C2C">
          <w:rPr>
            <w:rStyle w:val="Hyperlink"/>
            <w:rFonts w:cs="Arial"/>
          </w:rPr>
          <w:t>4.</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Overall housing need and affordable housing need</w:t>
        </w:r>
        <w:r w:rsidR="000957EE">
          <w:rPr>
            <w:webHidden/>
          </w:rPr>
          <w:tab/>
        </w:r>
        <w:r w:rsidR="000957EE">
          <w:rPr>
            <w:webHidden/>
          </w:rPr>
          <w:fldChar w:fldCharType="begin"/>
        </w:r>
        <w:r w:rsidR="000957EE">
          <w:rPr>
            <w:webHidden/>
          </w:rPr>
          <w:instrText xml:space="preserve"> PAGEREF _Toc83035662 \h </w:instrText>
        </w:r>
        <w:r w:rsidR="000957EE">
          <w:rPr>
            <w:webHidden/>
          </w:rPr>
        </w:r>
        <w:r w:rsidR="000957EE">
          <w:rPr>
            <w:webHidden/>
          </w:rPr>
          <w:fldChar w:fldCharType="separate"/>
        </w:r>
        <w:r w:rsidR="001877C1">
          <w:rPr>
            <w:webHidden/>
          </w:rPr>
          <w:t>89</w:t>
        </w:r>
        <w:r w:rsidR="000957EE">
          <w:rPr>
            <w:webHidden/>
          </w:rPr>
          <w:fldChar w:fldCharType="end"/>
        </w:r>
      </w:hyperlink>
    </w:p>
    <w:p w14:paraId="6A9F4608" w14:textId="17838E39" w:rsidR="000957EE" w:rsidRDefault="001163AD">
      <w:pPr>
        <w:pStyle w:val="TOC2"/>
        <w:rPr>
          <w:rFonts w:asciiTheme="minorHAnsi" w:eastAsiaTheme="minorEastAsia" w:hAnsiTheme="minorHAnsi" w:cstheme="minorBidi"/>
          <w:bCs w:val="0"/>
          <w:sz w:val="22"/>
          <w:szCs w:val="22"/>
          <w:lang w:eastAsia="en-GB"/>
        </w:rPr>
      </w:pPr>
      <w:hyperlink w:anchor="_Toc83035663"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_Toc83035663 \h </w:instrText>
        </w:r>
        <w:r w:rsidR="000957EE">
          <w:rPr>
            <w:webHidden/>
          </w:rPr>
        </w:r>
        <w:r w:rsidR="000957EE">
          <w:rPr>
            <w:webHidden/>
          </w:rPr>
          <w:fldChar w:fldCharType="separate"/>
        </w:r>
        <w:r w:rsidR="001877C1">
          <w:rPr>
            <w:webHidden/>
          </w:rPr>
          <w:t>89</w:t>
        </w:r>
        <w:r w:rsidR="000957EE">
          <w:rPr>
            <w:webHidden/>
          </w:rPr>
          <w:fldChar w:fldCharType="end"/>
        </w:r>
      </w:hyperlink>
    </w:p>
    <w:p w14:paraId="7B4E974A" w14:textId="21C6993F" w:rsidR="000957EE" w:rsidRDefault="001163AD">
      <w:pPr>
        <w:pStyle w:val="TOC2"/>
        <w:rPr>
          <w:rFonts w:asciiTheme="minorHAnsi" w:eastAsiaTheme="minorEastAsia" w:hAnsiTheme="minorHAnsi" w:cstheme="minorBidi"/>
          <w:bCs w:val="0"/>
          <w:sz w:val="22"/>
          <w:szCs w:val="22"/>
          <w:lang w:eastAsia="en-GB"/>
        </w:rPr>
      </w:pPr>
      <w:hyperlink w:anchor="_Toc83035664" w:history="1">
        <w:r w:rsidR="000957EE" w:rsidRPr="00984C2C">
          <w:rPr>
            <w:rStyle w:val="Hyperlink"/>
            <w:rFonts w:cs="Arial"/>
          </w:rPr>
          <w:t>Establishing housing need using the ‘standard method’</w:t>
        </w:r>
        <w:r w:rsidR="000957EE">
          <w:rPr>
            <w:webHidden/>
          </w:rPr>
          <w:tab/>
        </w:r>
        <w:r w:rsidR="000957EE">
          <w:rPr>
            <w:webHidden/>
          </w:rPr>
          <w:fldChar w:fldCharType="begin"/>
        </w:r>
        <w:r w:rsidR="000957EE">
          <w:rPr>
            <w:webHidden/>
          </w:rPr>
          <w:instrText xml:space="preserve"> PAGEREF _Toc83035664 \h </w:instrText>
        </w:r>
        <w:r w:rsidR="000957EE">
          <w:rPr>
            <w:webHidden/>
          </w:rPr>
        </w:r>
        <w:r w:rsidR="000957EE">
          <w:rPr>
            <w:webHidden/>
          </w:rPr>
          <w:fldChar w:fldCharType="separate"/>
        </w:r>
        <w:r w:rsidR="001877C1">
          <w:rPr>
            <w:webHidden/>
          </w:rPr>
          <w:t>89</w:t>
        </w:r>
        <w:r w:rsidR="000957EE">
          <w:rPr>
            <w:webHidden/>
          </w:rPr>
          <w:fldChar w:fldCharType="end"/>
        </w:r>
      </w:hyperlink>
    </w:p>
    <w:p w14:paraId="110EF1CA" w14:textId="0ABC4448" w:rsidR="000957EE" w:rsidRDefault="001163AD">
      <w:pPr>
        <w:pStyle w:val="TOC2"/>
        <w:rPr>
          <w:rFonts w:asciiTheme="minorHAnsi" w:eastAsiaTheme="minorEastAsia" w:hAnsiTheme="minorHAnsi" w:cstheme="minorBidi"/>
          <w:bCs w:val="0"/>
          <w:sz w:val="22"/>
          <w:szCs w:val="22"/>
          <w:lang w:eastAsia="en-GB"/>
        </w:rPr>
      </w:pPr>
      <w:hyperlink w:anchor="_Toc83035665" w:history="1">
        <w:r w:rsidR="000957EE" w:rsidRPr="00984C2C">
          <w:rPr>
            <w:rStyle w:val="Hyperlink"/>
            <w:rFonts w:cs="Arial"/>
          </w:rPr>
          <w:t>Step 1: Setting the baseline</w:t>
        </w:r>
        <w:r w:rsidR="000957EE">
          <w:rPr>
            <w:webHidden/>
          </w:rPr>
          <w:tab/>
        </w:r>
        <w:r w:rsidR="000957EE">
          <w:rPr>
            <w:webHidden/>
          </w:rPr>
          <w:fldChar w:fldCharType="begin"/>
        </w:r>
        <w:r w:rsidR="000957EE">
          <w:rPr>
            <w:webHidden/>
          </w:rPr>
          <w:instrText xml:space="preserve"> PAGEREF _Toc83035665 \h </w:instrText>
        </w:r>
        <w:r w:rsidR="000957EE">
          <w:rPr>
            <w:webHidden/>
          </w:rPr>
        </w:r>
        <w:r w:rsidR="000957EE">
          <w:rPr>
            <w:webHidden/>
          </w:rPr>
          <w:fldChar w:fldCharType="separate"/>
        </w:r>
        <w:r w:rsidR="001877C1">
          <w:rPr>
            <w:webHidden/>
          </w:rPr>
          <w:t>89</w:t>
        </w:r>
        <w:r w:rsidR="000957EE">
          <w:rPr>
            <w:webHidden/>
          </w:rPr>
          <w:fldChar w:fldCharType="end"/>
        </w:r>
      </w:hyperlink>
    </w:p>
    <w:p w14:paraId="055E8843" w14:textId="19071118" w:rsidR="000957EE" w:rsidRDefault="001163AD">
      <w:pPr>
        <w:pStyle w:val="TOC2"/>
        <w:rPr>
          <w:rFonts w:asciiTheme="minorHAnsi" w:eastAsiaTheme="minorEastAsia" w:hAnsiTheme="minorHAnsi" w:cstheme="minorBidi"/>
          <w:bCs w:val="0"/>
          <w:sz w:val="22"/>
          <w:szCs w:val="22"/>
          <w:lang w:eastAsia="en-GB"/>
        </w:rPr>
      </w:pPr>
      <w:hyperlink w:anchor="_Toc83035666" w:history="1">
        <w:r w:rsidR="000957EE" w:rsidRPr="00984C2C">
          <w:rPr>
            <w:rStyle w:val="Hyperlink"/>
            <w:rFonts w:cs="Arial"/>
          </w:rPr>
          <w:t>Step 2: An adjustment to take account of affordability</w:t>
        </w:r>
        <w:r w:rsidR="000957EE">
          <w:rPr>
            <w:webHidden/>
          </w:rPr>
          <w:tab/>
        </w:r>
        <w:r w:rsidR="000957EE">
          <w:rPr>
            <w:webHidden/>
          </w:rPr>
          <w:fldChar w:fldCharType="begin"/>
        </w:r>
        <w:r w:rsidR="000957EE">
          <w:rPr>
            <w:webHidden/>
          </w:rPr>
          <w:instrText xml:space="preserve"> PAGEREF _Toc83035666 \h </w:instrText>
        </w:r>
        <w:r w:rsidR="000957EE">
          <w:rPr>
            <w:webHidden/>
          </w:rPr>
        </w:r>
        <w:r w:rsidR="000957EE">
          <w:rPr>
            <w:webHidden/>
          </w:rPr>
          <w:fldChar w:fldCharType="separate"/>
        </w:r>
        <w:r w:rsidR="001877C1">
          <w:rPr>
            <w:webHidden/>
          </w:rPr>
          <w:t>90</w:t>
        </w:r>
        <w:r w:rsidR="000957EE">
          <w:rPr>
            <w:webHidden/>
          </w:rPr>
          <w:fldChar w:fldCharType="end"/>
        </w:r>
      </w:hyperlink>
    </w:p>
    <w:p w14:paraId="169E1675" w14:textId="687843CD" w:rsidR="000957EE" w:rsidRDefault="001163AD">
      <w:pPr>
        <w:pStyle w:val="TOC2"/>
        <w:rPr>
          <w:rFonts w:asciiTheme="minorHAnsi" w:eastAsiaTheme="minorEastAsia" w:hAnsiTheme="minorHAnsi" w:cstheme="minorBidi"/>
          <w:bCs w:val="0"/>
          <w:sz w:val="22"/>
          <w:szCs w:val="22"/>
          <w:lang w:eastAsia="en-GB"/>
        </w:rPr>
      </w:pPr>
      <w:hyperlink w:anchor="_Toc83035667" w:history="1">
        <w:r w:rsidR="000957EE" w:rsidRPr="00984C2C">
          <w:rPr>
            <w:rStyle w:val="Hyperlink"/>
            <w:rFonts w:cs="Arial"/>
          </w:rPr>
          <w:t>Step 3: Capping the level of any increase</w:t>
        </w:r>
        <w:r w:rsidR="000957EE">
          <w:rPr>
            <w:webHidden/>
          </w:rPr>
          <w:tab/>
        </w:r>
        <w:r w:rsidR="000957EE">
          <w:rPr>
            <w:webHidden/>
          </w:rPr>
          <w:fldChar w:fldCharType="begin"/>
        </w:r>
        <w:r w:rsidR="000957EE">
          <w:rPr>
            <w:webHidden/>
          </w:rPr>
          <w:instrText xml:space="preserve"> PAGEREF _Toc83035667 \h </w:instrText>
        </w:r>
        <w:r w:rsidR="000957EE">
          <w:rPr>
            <w:webHidden/>
          </w:rPr>
        </w:r>
        <w:r w:rsidR="000957EE">
          <w:rPr>
            <w:webHidden/>
          </w:rPr>
          <w:fldChar w:fldCharType="separate"/>
        </w:r>
        <w:r w:rsidR="001877C1">
          <w:rPr>
            <w:webHidden/>
          </w:rPr>
          <w:t>91</w:t>
        </w:r>
        <w:r w:rsidR="000957EE">
          <w:rPr>
            <w:webHidden/>
          </w:rPr>
          <w:fldChar w:fldCharType="end"/>
        </w:r>
      </w:hyperlink>
    </w:p>
    <w:p w14:paraId="49D04F1C" w14:textId="3F3A2B33" w:rsidR="000957EE" w:rsidRDefault="001163AD">
      <w:pPr>
        <w:pStyle w:val="TOC2"/>
        <w:rPr>
          <w:rFonts w:asciiTheme="minorHAnsi" w:eastAsiaTheme="minorEastAsia" w:hAnsiTheme="minorHAnsi" w:cstheme="minorBidi"/>
          <w:bCs w:val="0"/>
          <w:sz w:val="22"/>
          <w:szCs w:val="22"/>
          <w:lang w:eastAsia="en-GB"/>
        </w:rPr>
      </w:pPr>
      <w:hyperlink w:anchor="_Toc83035668" w:history="1">
        <w:r w:rsidR="000957EE" w:rsidRPr="00984C2C">
          <w:rPr>
            <w:rStyle w:val="Hyperlink"/>
            <w:rFonts w:cs="Arial"/>
          </w:rPr>
          <w:t>Step 4: Cities and urban centres uplift</w:t>
        </w:r>
        <w:r w:rsidR="000957EE">
          <w:rPr>
            <w:webHidden/>
          </w:rPr>
          <w:tab/>
        </w:r>
        <w:r w:rsidR="000957EE">
          <w:rPr>
            <w:webHidden/>
          </w:rPr>
          <w:fldChar w:fldCharType="begin"/>
        </w:r>
        <w:r w:rsidR="000957EE">
          <w:rPr>
            <w:webHidden/>
          </w:rPr>
          <w:instrText xml:space="preserve"> PAGEREF _Toc83035668 \h </w:instrText>
        </w:r>
        <w:r w:rsidR="000957EE">
          <w:rPr>
            <w:webHidden/>
          </w:rPr>
        </w:r>
        <w:r w:rsidR="000957EE">
          <w:rPr>
            <w:webHidden/>
          </w:rPr>
          <w:fldChar w:fldCharType="separate"/>
        </w:r>
        <w:r w:rsidR="001877C1">
          <w:rPr>
            <w:webHidden/>
          </w:rPr>
          <w:t>92</w:t>
        </w:r>
        <w:r w:rsidR="000957EE">
          <w:rPr>
            <w:webHidden/>
          </w:rPr>
          <w:fldChar w:fldCharType="end"/>
        </w:r>
      </w:hyperlink>
    </w:p>
    <w:p w14:paraId="5777BF62" w14:textId="2715F78C" w:rsidR="000957EE" w:rsidRDefault="001163AD">
      <w:pPr>
        <w:pStyle w:val="TOC2"/>
        <w:rPr>
          <w:rFonts w:asciiTheme="minorHAnsi" w:eastAsiaTheme="minorEastAsia" w:hAnsiTheme="minorHAnsi" w:cstheme="minorBidi"/>
          <w:bCs w:val="0"/>
          <w:sz w:val="22"/>
          <w:szCs w:val="22"/>
          <w:lang w:eastAsia="en-GB"/>
        </w:rPr>
      </w:pPr>
      <w:hyperlink w:anchor="_Toc83035669" w:history="1">
        <w:r w:rsidR="000957EE" w:rsidRPr="00984C2C">
          <w:rPr>
            <w:rStyle w:val="Hyperlink"/>
            <w:rFonts w:cs="Arial"/>
          </w:rPr>
          <w:t>Potential adjustments to the standard method</w:t>
        </w:r>
        <w:r w:rsidR="000957EE">
          <w:rPr>
            <w:webHidden/>
          </w:rPr>
          <w:tab/>
        </w:r>
        <w:r w:rsidR="000957EE">
          <w:rPr>
            <w:webHidden/>
          </w:rPr>
          <w:fldChar w:fldCharType="begin"/>
        </w:r>
        <w:r w:rsidR="000957EE">
          <w:rPr>
            <w:webHidden/>
          </w:rPr>
          <w:instrText xml:space="preserve"> PAGEREF _Toc83035669 \h </w:instrText>
        </w:r>
        <w:r w:rsidR="000957EE">
          <w:rPr>
            <w:webHidden/>
          </w:rPr>
        </w:r>
        <w:r w:rsidR="000957EE">
          <w:rPr>
            <w:webHidden/>
          </w:rPr>
          <w:fldChar w:fldCharType="separate"/>
        </w:r>
        <w:r w:rsidR="001877C1">
          <w:rPr>
            <w:webHidden/>
          </w:rPr>
          <w:t>92</w:t>
        </w:r>
        <w:r w:rsidR="000957EE">
          <w:rPr>
            <w:webHidden/>
          </w:rPr>
          <w:fldChar w:fldCharType="end"/>
        </w:r>
      </w:hyperlink>
    </w:p>
    <w:p w14:paraId="27F6071E" w14:textId="2A10F3E5" w:rsidR="000957EE" w:rsidRDefault="001163AD">
      <w:pPr>
        <w:pStyle w:val="TOC2"/>
        <w:rPr>
          <w:rFonts w:asciiTheme="minorHAnsi" w:eastAsiaTheme="minorEastAsia" w:hAnsiTheme="minorHAnsi" w:cstheme="minorBidi"/>
          <w:bCs w:val="0"/>
          <w:sz w:val="22"/>
          <w:szCs w:val="22"/>
          <w:lang w:eastAsia="en-GB"/>
        </w:rPr>
      </w:pPr>
      <w:hyperlink w:anchor="_Toc83035670" w:history="1">
        <w:r w:rsidR="000957EE" w:rsidRPr="00984C2C">
          <w:rPr>
            <w:rStyle w:val="Hyperlink"/>
            <w:rFonts w:cs="Arial"/>
          </w:rPr>
          <w:t>Alternative approaches to the standard method</w:t>
        </w:r>
        <w:r w:rsidR="000957EE">
          <w:rPr>
            <w:webHidden/>
          </w:rPr>
          <w:tab/>
        </w:r>
        <w:r w:rsidR="000957EE">
          <w:rPr>
            <w:webHidden/>
          </w:rPr>
          <w:fldChar w:fldCharType="begin"/>
        </w:r>
        <w:r w:rsidR="000957EE">
          <w:rPr>
            <w:webHidden/>
          </w:rPr>
          <w:instrText xml:space="preserve"> PAGEREF _Toc83035670 \h </w:instrText>
        </w:r>
        <w:r w:rsidR="000957EE">
          <w:rPr>
            <w:webHidden/>
          </w:rPr>
        </w:r>
        <w:r w:rsidR="000957EE">
          <w:rPr>
            <w:webHidden/>
          </w:rPr>
          <w:fldChar w:fldCharType="separate"/>
        </w:r>
        <w:r w:rsidR="001877C1">
          <w:rPr>
            <w:webHidden/>
          </w:rPr>
          <w:t>96</w:t>
        </w:r>
        <w:r w:rsidR="000957EE">
          <w:rPr>
            <w:webHidden/>
          </w:rPr>
          <w:fldChar w:fldCharType="end"/>
        </w:r>
      </w:hyperlink>
    </w:p>
    <w:p w14:paraId="247BCEAF" w14:textId="4FDE95E4" w:rsidR="000957EE" w:rsidRDefault="001163AD">
      <w:pPr>
        <w:pStyle w:val="TOC1"/>
        <w:rPr>
          <w:rFonts w:asciiTheme="minorHAnsi" w:eastAsiaTheme="minorEastAsia" w:hAnsiTheme="minorHAnsi" w:cstheme="minorBidi"/>
          <w:bCs w:val="0"/>
          <w:sz w:val="22"/>
          <w:szCs w:val="22"/>
          <w:lang w:eastAsia="en-GB"/>
        </w:rPr>
      </w:pPr>
      <w:hyperlink w:anchor="_Toc83035671" w:history="1">
        <w:r w:rsidR="000957EE" w:rsidRPr="00984C2C">
          <w:rPr>
            <w:rStyle w:val="Hyperlink"/>
            <w:rFonts w:cs="Arial"/>
          </w:rPr>
          <w:t>Concluding comments</w:t>
        </w:r>
        <w:r w:rsidR="000957EE">
          <w:rPr>
            <w:webHidden/>
          </w:rPr>
          <w:tab/>
        </w:r>
        <w:r w:rsidR="000957EE">
          <w:rPr>
            <w:webHidden/>
          </w:rPr>
          <w:fldChar w:fldCharType="begin"/>
        </w:r>
        <w:r w:rsidR="000957EE">
          <w:rPr>
            <w:webHidden/>
          </w:rPr>
          <w:instrText xml:space="preserve"> PAGEREF _Toc83035671 \h </w:instrText>
        </w:r>
        <w:r w:rsidR="000957EE">
          <w:rPr>
            <w:webHidden/>
          </w:rPr>
        </w:r>
        <w:r w:rsidR="000957EE">
          <w:rPr>
            <w:webHidden/>
          </w:rPr>
          <w:fldChar w:fldCharType="separate"/>
        </w:r>
        <w:r w:rsidR="001877C1">
          <w:rPr>
            <w:webHidden/>
          </w:rPr>
          <w:t>97</w:t>
        </w:r>
        <w:r w:rsidR="000957EE">
          <w:rPr>
            <w:webHidden/>
          </w:rPr>
          <w:fldChar w:fldCharType="end"/>
        </w:r>
      </w:hyperlink>
    </w:p>
    <w:p w14:paraId="3CB4DFAC" w14:textId="2E4B781E" w:rsidR="000957EE" w:rsidRDefault="001163AD">
      <w:pPr>
        <w:pStyle w:val="TOC1"/>
        <w:rPr>
          <w:rFonts w:asciiTheme="minorHAnsi" w:eastAsiaTheme="minorEastAsia" w:hAnsiTheme="minorHAnsi" w:cstheme="minorBidi"/>
          <w:bCs w:val="0"/>
          <w:sz w:val="22"/>
          <w:szCs w:val="22"/>
          <w:lang w:eastAsia="en-GB"/>
        </w:rPr>
      </w:pPr>
      <w:hyperlink w:anchor="_Toc83035672" w:history="1">
        <w:r w:rsidR="000957EE" w:rsidRPr="00984C2C">
          <w:rPr>
            <w:rStyle w:val="Hyperlink"/>
            <w:rFonts w:cs="Arial"/>
          </w:rPr>
          <w:t>5.</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The needs of different groups</w:t>
        </w:r>
        <w:r w:rsidR="000957EE">
          <w:rPr>
            <w:webHidden/>
          </w:rPr>
          <w:tab/>
        </w:r>
        <w:r w:rsidR="000957EE">
          <w:rPr>
            <w:webHidden/>
          </w:rPr>
          <w:fldChar w:fldCharType="begin"/>
        </w:r>
        <w:r w:rsidR="000957EE">
          <w:rPr>
            <w:webHidden/>
          </w:rPr>
          <w:instrText xml:space="preserve"> PAGEREF _Toc83035672 \h </w:instrText>
        </w:r>
        <w:r w:rsidR="000957EE">
          <w:rPr>
            <w:webHidden/>
          </w:rPr>
        </w:r>
        <w:r w:rsidR="000957EE">
          <w:rPr>
            <w:webHidden/>
          </w:rPr>
          <w:fldChar w:fldCharType="separate"/>
        </w:r>
        <w:r w:rsidR="001877C1">
          <w:rPr>
            <w:webHidden/>
          </w:rPr>
          <w:t>98</w:t>
        </w:r>
        <w:r w:rsidR="000957EE">
          <w:rPr>
            <w:webHidden/>
          </w:rPr>
          <w:fldChar w:fldCharType="end"/>
        </w:r>
      </w:hyperlink>
    </w:p>
    <w:p w14:paraId="01F5A9FF" w14:textId="19B8F2DB" w:rsidR="000957EE" w:rsidRDefault="001163AD">
      <w:pPr>
        <w:pStyle w:val="TOC2"/>
        <w:rPr>
          <w:rFonts w:asciiTheme="minorHAnsi" w:eastAsiaTheme="minorEastAsia" w:hAnsiTheme="minorHAnsi" w:cstheme="minorBidi"/>
          <w:bCs w:val="0"/>
          <w:sz w:val="22"/>
          <w:szCs w:val="22"/>
          <w:lang w:eastAsia="en-GB"/>
        </w:rPr>
      </w:pPr>
      <w:hyperlink w:anchor="_Toc83035673"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_Toc83035673 \h </w:instrText>
        </w:r>
        <w:r w:rsidR="000957EE">
          <w:rPr>
            <w:webHidden/>
          </w:rPr>
        </w:r>
        <w:r w:rsidR="000957EE">
          <w:rPr>
            <w:webHidden/>
          </w:rPr>
          <w:fldChar w:fldCharType="separate"/>
        </w:r>
        <w:r w:rsidR="001877C1">
          <w:rPr>
            <w:webHidden/>
          </w:rPr>
          <w:t>98</w:t>
        </w:r>
        <w:r w:rsidR="000957EE">
          <w:rPr>
            <w:webHidden/>
          </w:rPr>
          <w:fldChar w:fldCharType="end"/>
        </w:r>
      </w:hyperlink>
    </w:p>
    <w:p w14:paraId="48874D50" w14:textId="0929A771" w:rsidR="000957EE" w:rsidRDefault="001163AD">
      <w:pPr>
        <w:pStyle w:val="TOC2"/>
        <w:rPr>
          <w:rFonts w:asciiTheme="minorHAnsi" w:eastAsiaTheme="minorEastAsia" w:hAnsiTheme="minorHAnsi" w:cstheme="minorBidi"/>
          <w:bCs w:val="0"/>
          <w:sz w:val="22"/>
          <w:szCs w:val="22"/>
          <w:lang w:eastAsia="en-GB"/>
        </w:rPr>
      </w:pPr>
      <w:hyperlink w:anchor="_Toc83035674" w:history="1">
        <w:r w:rsidR="000957EE" w:rsidRPr="00984C2C">
          <w:rPr>
            <w:rStyle w:val="Hyperlink"/>
            <w:rFonts w:cs="Arial"/>
          </w:rPr>
          <w:t>Housing for people with additional needs</w:t>
        </w:r>
        <w:r w:rsidR="000957EE">
          <w:rPr>
            <w:webHidden/>
          </w:rPr>
          <w:tab/>
        </w:r>
        <w:r w:rsidR="000957EE">
          <w:rPr>
            <w:webHidden/>
          </w:rPr>
          <w:fldChar w:fldCharType="begin"/>
        </w:r>
        <w:r w:rsidR="000957EE">
          <w:rPr>
            <w:webHidden/>
          </w:rPr>
          <w:instrText xml:space="preserve"> PAGEREF _Toc83035674 \h </w:instrText>
        </w:r>
        <w:r w:rsidR="000957EE">
          <w:rPr>
            <w:webHidden/>
          </w:rPr>
        </w:r>
        <w:r w:rsidR="000957EE">
          <w:rPr>
            <w:webHidden/>
          </w:rPr>
          <w:fldChar w:fldCharType="separate"/>
        </w:r>
        <w:r w:rsidR="001877C1">
          <w:rPr>
            <w:webHidden/>
          </w:rPr>
          <w:t>98</w:t>
        </w:r>
        <w:r w:rsidR="000957EE">
          <w:rPr>
            <w:webHidden/>
          </w:rPr>
          <w:fldChar w:fldCharType="end"/>
        </w:r>
      </w:hyperlink>
    </w:p>
    <w:p w14:paraId="09ADE051" w14:textId="67A4F20E" w:rsidR="000957EE" w:rsidRDefault="001163AD">
      <w:pPr>
        <w:pStyle w:val="TOC2"/>
        <w:rPr>
          <w:rFonts w:asciiTheme="minorHAnsi" w:eastAsiaTheme="minorEastAsia" w:hAnsiTheme="minorHAnsi" w:cstheme="minorBidi"/>
          <w:bCs w:val="0"/>
          <w:sz w:val="22"/>
          <w:szCs w:val="22"/>
          <w:lang w:eastAsia="en-GB"/>
        </w:rPr>
      </w:pPr>
      <w:hyperlink w:anchor="_Toc83035675" w:history="1">
        <w:r w:rsidR="000957EE" w:rsidRPr="00984C2C">
          <w:rPr>
            <w:rStyle w:val="Hyperlink"/>
            <w:rFonts w:cs="Arial"/>
          </w:rPr>
          <w:t>Age-related housing need</w:t>
        </w:r>
        <w:r w:rsidR="000957EE">
          <w:rPr>
            <w:webHidden/>
          </w:rPr>
          <w:tab/>
        </w:r>
        <w:r w:rsidR="000957EE">
          <w:rPr>
            <w:webHidden/>
          </w:rPr>
          <w:fldChar w:fldCharType="begin"/>
        </w:r>
        <w:r w:rsidR="000957EE">
          <w:rPr>
            <w:webHidden/>
          </w:rPr>
          <w:instrText xml:space="preserve"> PAGEREF _Toc83035675 \h </w:instrText>
        </w:r>
        <w:r w:rsidR="000957EE">
          <w:rPr>
            <w:webHidden/>
          </w:rPr>
        </w:r>
        <w:r w:rsidR="000957EE">
          <w:rPr>
            <w:webHidden/>
          </w:rPr>
          <w:fldChar w:fldCharType="separate"/>
        </w:r>
        <w:r w:rsidR="001877C1">
          <w:rPr>
            <w:webHidden/>
          </w:rPr>
          <w:t>100</w:t>
        </w:r>
        <w:r w:rsidR="000957EE">
          <w:rPr>
            <w:webHidden/>
          </w:rPr>
          <w:fldChar w:fldCharType="end"/>
        </w:r>
      </w:hyperlink>
    </w:p>
    <w:p w14:paraId="6E833D45" w14:textId="6081D60E" w:rsidR="000957EE" w:rsidRDefault="001163AD">
      <w:pPr>
        <w:pStyle w:val="TOC2"/>
        <w:rPr>
          <w:rFonts w:asciiTheme="minorHAnsi" w:eastAsiaTheme="minorEastAsia" w:hAnsiTheme="minorHAnsi" w:cstheme="minorBidi"/>
          <w:bCs w:val="0"/>
          <w:sz w:val="22"/>
          <w:szCs w:val="22"/>
          <w:lang w:eastAsia="en-GB"/>
        </w:rPr>
      </w:pPr>
      <w:hyperlink w:anchor="_Toc83035676" w:history="1">
        <w:r w:rsidR="000957EE" w:rsidRPr="00984C2C">
          <w:rPr>
            <w:rStyle w:val="Hyperlink"/>
            <w:rFonts w:cs="Arial"/>
          </w:rPr>
          <w:t>Housing for older people</w:t>
        </w:r>
        <w:r w:rsidR="000957EE">
          <w:rPr>
            <w:webHidden/>
          </w:rPr>
          <w:tab/>
        </w:r>
        <w:r w:rsidR="000957EE">
          <w:rPr>
            <w:webHidden/>
          </w:rPr>
          <w:fldChar w:fldCharType="begin"/>
        </w:r>
        <w:r w:rsidR="000957EE">
          <w:rPr>
            <w:webHidden/>
          </w:rPr>
          <w:instrText xml:space="preserve"> PAGEREF _Toc83035676 \h </w:instrText>
        </w:r>
        <w:r w:rsidR="000957EE">
          <w:rPr>
            <w:webHidden/>
          </w:rPr>
        </w:r>
        <w:r w:rsidR="000957EE">
          <w:rPr>
            <w:webHidden/>
          </w:rPr>
          <w:fldChar w:fldCharType="separate"/>
        </w:r>
        <w:r w:rsidR="001877C1">
          <w:rPr>
            <w:webHidden/>
          </w:rPr>
          <w:t>100</w:t>
        </w:r>
        <w:r w:rsidR="000957EE">
          <w:rPr>
            <w:webHidden/>
          </w:rPr>
          <w:fldChar w:fldCharType="end"/>
        </w:r>
      </w:hyperlink>
    </w:p>
    <w:p w14:paraId="3BD26299" w14:textId="766198C3" w:rsidR="000957EE" w:rsidRDefault="001163AD">
      <w:pPr>
        <w:pStyle w:val="TOC2"/>
        <w:rPr>
          <w:rFonts w:asciiTheme="minorHAnsi" w:eastAsiaTheme="minorEastAsia" w:hAnsiTheme="minorHAnsi" w:cstheme="minorBidi"/>
          <w:bCs w:val="0"/>
          <w:sz w:val="22"/>
          <w:szCs w:val="22"/>
          <w:lang w:eastAsia="en-GB"/>
        </w:rPr>
      </w:pPr>
      <w:hyperlink w:anchor="_Toc83035677" w:history="1">
        <w:r w:rsidR="000957EE" w:rsidRPr="00984C2C">
          <w:rPr>
            <w:rStyle w:val="Hyperlink"/>
            <w:rFonts w:cs="Arial"/>
          </w:rPr>
          <w:t>Health-related housing need</w:t>
        </w:r>
        <w:r w:rsidR="000957EE">
          <w:rPr>
            <w:webHidden/>
          </w:rPr>
          <w:tab/>
        </w:r>
        <w:r w:rsidR="000957EE">
          <w:rPr>
            <w:webHidden/>
          </w:rPr>
          <w:fldChar w:fldCharType="begin"/>
        </w:r>
        <w:r w:rsidR="000957EE">
          <w:rPr>
            <w:webHidden/>
          </w:rPr>
          <w:instrText xml:space="preserve"> PAGEREF _Toc83035677 \h </w:instrText>
        </w:r>
        <w:r w:rsidR="000957EE">
          <w:rPr>
            <w:webHidden/>
          </w:rPr>
        </w:r>
        <w:r w:rsidR="000957EE">
          <w:rPr>
            <w:webHidden/>
          </w:rPr>
          <w:fldChar w:fldCharType="separate"/>
        </w:r>
        <w:r w:rsidR="001877C1">
          <w:rPr>
            <w:webHidden/>
          </w:rPr>
          <w:t>111</w:t>
        </w:r>
        <w:r w:rsidR="000957EE">
          <w:rPr>
            <w:webHidden/>
          </w:rPr>
          <w:fldChar w:fldCharType="end"/>
        </w:r>
      </w:hyperlink>
    </w:p>
    <w:p w14:paraId="111D5C08" w14:textId="23749E9C" w:rsidR="000957EE" w:rsidRDefault="001163AD">
      <w:pPr>
        <w:pStyle w:val="TOC2"/>
        <w:rPr>
          <w:rFonts w:asciiTheme="minorHAnsi" w:eastAsiaTheme="minorEastAsia" w:hAnsiTheme="minorHAnsi" w:cstheme="minorBidi"/>
          <w:bCs w:val="0"/>
          <w:sz w:val="22"/>
          <w:szCs w:val="22"/>
          <w:lang w:eastAsia="en-GB"/>
        </w:rPr>
      </w:pPr>
      <w:hyperlink w:anchor="_Toc83035678" w:history="1">
        <w:r w:rsidR="000957EE" w:rsidRPr="00984C2C">
          <w:rPr>
            <w:rStyle w:val="Hyperlink"/>
            <w:rFonts w:cs="Arial"/>
          </w:rPr>
          <w:t>Life experience-related housing need</w:t>
        </w:r>
        <w:r w:rsidR="000957EE">
          <w:rPr>
            <w:webHidden/>
          </w:rPr>
          <w:tab/>
        </w:r>
        <w:r w:rsidR="000957EE">
          <w:rPr>
            <w:webHidden/>
          </w:rPr>
          <w:fldChar w:fldCharType="begin"/>
        </w:r>
        <w:r w:rsidR="000957EE">
          <w:rPr>
            <w:webHidden/>
          </w:rPr>
          <w:instrText xml:space="preserve"> PAGEREF _Toc83035678 \h </w:instrText>
        </w:r>
        <w:r w:rsidR="000957EE">
          <w:rPr>
            <w:webHidden/>
          </w:rPr>
        </w:r>
        <w:r w:rsidR="000957EE">
          <w:rPr>
            <w:webHidden/>
          </w:rPr>
          <w:fldChar w:fldCharType="separate"/>
        </w:r>
        <w:r w:rsidR="001877C1">
          <w:rPr>
            <w:webHidden/>
          </w:rPr>
          <w:t>116</w:t>
        </w:r>
        <w:r w:rsidR="000957EE">
          <w:rPr>
            <w:webHidden/>
          </w:rPr>
          <w:fldChar w:fldCharType="end"/>
        </w:r>
      </w:hyperlink>
    </w:p>
    <w:p w14:paraId="2E604738" w14:textId="271ECA27" w:rsidR="000957EE" w:rsidRDefault="001163AD">
      <w:pPr>
        <w:pStyle w:val="TOC2"/>
        <w:rPr>
          <w:rFonts w:asciiTheme="minorHAnsi" w:eastAsiaTheme="minorEastAsia" w:hAnsiTheme="minorHAnsi" w:cstheme="minorBidi"/>
          <w:bCs w:val="0"/>
          <w:sz w:val="22"/>
          <w:szCs w:val="22"/>
          <w:lang w:eastAsia="en-GB"/>
        </w:rPr>
      </w:pPr>
      <w:hyperlink w:anchor="_Toc83035679" w:history="1">
        <w:r w:rsidR="000957EE" w:rsidRPr="00984C2C">
          <w:rPr>
            <w:rStyle w:val="Hyperlink"/>
            <w:rFonts w:cs="Arial"/>
          </w:rPr>
          <w:t>Cultural heritage related housing need</w:t>
        </w:r>
        <w:r w:rsidR="000957EE">
          <w:rPr>
            <w:webHidden/>
          </w:rPr>
          <w:tab/>
        </w:r>
        <w:r w:rsidR="000957EE">
          <w:rPr>
            <w:webHidden/>
          </w:rPr>
          <w:fldChar w:fldCharType="begin"/>
        </w:r>
        <w:r w:rsidR="000957EE">
          <w:rPr>
            <w:webHidden/>
          </w:rPr>
          <w:instrText xml:space="preserve"> PAGEREF _Toc83035679 \h </w:instrText>
        </w:r>
        <w:r w:rsidR="000957EE">
          <w:rPr>
            <w:webHidden/>
          </w:rPr>
        </w:r>
        <w:r w:rsidR="000957EE">
          <w:rPr>
            <w:webHidden/>
          </w:rPr>
          <w:fldChar w:fldCharType="separate"/>
        </w:r>
        <w:r w:rsidR="001877C1">
          <w:rPr>
            <w:webHidden/>
          </w:rPr>
          <w:t>116</w:t>
        </w:r>
        <w:r w:rsidR="000957EE">
          <w:rPr>
            <w:webHidden/>
          </w:rPr>
          <w:fldChar w:fldCharType="end"/>
        </w:r>
      </w:hyperlink>
    </w:p>
    <w:p w14:paraId="3E98FE8B" w14:textId="5F954244" w:rsidR="000957EE" w:rsidRDefault="001163AD">
      <w:pPr>
        <w:pStyle w:val="TOC2"/>
        <w:rPr>
          <w:rFonts w:asciiTheme="minorHAnsi" w:eastAsiaTheme="minorEastAsia" w:hAnsiTheme="minorHAnsi" w:cstheme="minorBidi"/>
          <w:bCs w:val="0"/>
          <w:sz w:val="22"/>
          <w:szCs w:val="22"/>
          <w:lang w:eastAsia="en-GB"/>
        </w:rPr>
      </w:pPr>
      <w:hyperlink w:anchor="_Toc83035680" w:history="1">
        <w:r w:rsidR="000957EE" w:rsidRPr="00984C2C">
          <w:rPr>
            <w:rStyle w:val="Hyperlink"/>
            <w:rFonts w:cs="Arial"/>
          </w:rPr>
          <w:t>Gypsy, Traveller and Travelling Showperson need</w:t>
        </w:r>
        <w:r w:rsidR="000957EE">
          <w:rPr>
            <w:webHidden/>
          </w:rPr>
          <w:tab/>
        </w:r>
        <w:r w:rsidR="000957EE">
          <w:rPr>
            <w:webHidden/>
          </w:rPr>
          <w:fldChar w:fldCharType="begin"/>
        </w:r>
        <w:r w:rsidR="000957EE">
          <w:rPr>
            <w:webHidden/>
          </w:rPr>
          <w:instrText xml:space="preserve"> PAGEREF _Toc83035680 \h </w:instrText>
        </w:r>
        <w:r w:rsidR="000957EE">
          <w:rPr>
            <w:webHidden/>
          </w:rPr>
        </w:r>
        <w:r w:rsidR="000957EE">
          <w:rPr>
            <w:webHidden/>
          </w:rPr>
          <w:fldChar w:fldCharType="separate"/>
        </w:r>
        <w:r w:rsidR="001877C1">
          <w:rPr>
            <w:webHidden/>
          </w:rPr>
          <w:t>117</w:t>
        </w:r>
        <w:r w:rsidR="000957EE">
          <w:rPr>
            <w:webHidden/>
          </w:rPr>
          <w:fldChar w:fldCharType="end"/>
        </w:r>
      </w:hyperlink>
    </w:p>
    <w:p w14:paraId="0E69F41D" w14:textId="5EF77FD7" w:rsidR="000957EE" w:rsidRDefault="001163AD">
      <w:pPr>
        <w:pStyle w:val="TOC2"/>
        <w:rPr>
          <w:rFonts w:asciiTheme="minorHAnsi" w:eastAsiaTheme="minorEastAsia" w:hAnsiTheme="minorHAnsi" w:cstheme="minorBidi"/>
          <w:bCs w:val="0"/>
          <w:sz w:val="22"/>
          <w:szCs w:val="22"/>
          <w:lang w:eastAsia="en-GB"/>
        </w:rPr>
      </w:pPr>
      <w:hyperlink w:anchor="_Toc83035681" w:history="1">
        <w:r w:rsidR="000957EE" w:rsidRPr="00984C2C">
          <w:rPr>
            <w:rStyle w:val="Hyperlink"/>
            <w:rFonts w:cs="Arial"/>
          </w:rPr>
          <w:t>Other groups with particular housing requirements</w:t>
        </w:r>
        <w:r w:rsidR="000957EE">
          <w:rPr>
            <w:webHidden/>
          </w:rPr>
          <w:tab/>
        </w:r>
        <w:r w:rsidR="000957EE">
          <w:rPr>
            <w:webHidden/>
          </w:rPr>
          <w:fldChar w:fldCharType="begin"/>
        </w:r>
        <w:r w:rsidR="000957EE">
          <w:rPr>
            <w:webHidden/>
          </w:rPr>
          <w:instrText xml:space="preserve"> PAGEREF _Toc83035681 \h </w:instrText>
        </w:r>
        <w:r w:rsidR="000957EE">
          <w:rPr>
            <w:webHidden/>
          </w:rPr>
        </w:r>
        <w:r w:rsidR="000957EE">
          <w:rPr>
            <w:webHidden/>
          </w:rPr>
          <w:fldChar w:fldCharType="separate"/>
        </w:r>
        <w:r w:rsidR="001877C1">
          <w:rPr>
            <w:webHidden/>
          </w:rPr>
          <w:t>118</w:t>
        </w:r>
        <w:r w:rsidR="000957EE">
          <w:rPr>
            <w:webHidden/>
          </w:rPr>
          <w:fldChar w:fldCharType="end"/>
        </w:r>
      </w:hyperlink>
    </w:p>
    <w:p w14:paraId="11C6B94E" w14:textId="384B15A2" w:rsidR="000957EE" w:rsidRDefault="001163AD">
      <w:pPr>
        <w:pStyle w:val="TOC2"/>
        <w:rPr>
          <w:rFonts w:asciiTheme="minorHAnsi" w:eastAsiaTheme="minorEastAsia" w:hAnsiTheme="minorHAnsi" w:cstheme="minorBidi"/>
          <w:bCs w:val="0"/>
          <w:sz w:val="22"/>
          <w:szCs w:val="22"/>
          <w:lang w:eastAsia="en-GB"/>
        </w:rPr>
      </w:pPr>
      <w:hyperlink w:anchor="_Toc83035682" w:history="1">
        <w:r w:rsidR="000957EE" w:rsidRPr="00984C2C">
          <w:rPr>
            <w:rStyle w:val="Hyperlink"/>
            <w:rFonts w:cs="Arial"/>
          </w:rPr>
          <w:t>Conclusion</w:t>
        </w:r>
        <w:r w:rsidR="000957EE">
          <w:rPr>
            <w:webHidden/>
          </w:rPr>
          <w:tab/>
        </w:r>
        <w:r w:rsidR="000957EE">
          <w:rPr>
            <w:webHidden/>
          </w:rPr>
          <w:fldChar w:fldCharType="begin"/>
        </w:r>
        <w:r w:rsidR="000957EE">
          <w:rPr>
            <w:webHidden/>
          </w:rPr>
          <w:instrText xml:space="preserve"> PAGEREF _Toc83035682 \h </w:instrText>
        </w:r>
        <w:r w:rsidR="000957EE">
          <w:rPr>
            <w:webHidden/>
          </w:rPr>
        </w:r>
        <w:r w:rsidR="000957EE">
          <w:rPr>
            <w:webHidden/>
          </w:rPr>
          <w:fldChar w:fldCharType="separate"/>
        </w:r>
        <w:r w:rsidR="001877C1">
          <w:rPr>
            <w:webHidden/>
          </w:rPr>
          <w:t>120</w:t>
        </w:r>
        <w:r w:rsidR="000957EE">
          <w:rPr>
            <w:webHidden/>
          </w:rPr>
          <w:fldChar w:fldCharType="end"/>
        </w:r>
      </w:hyperlink>
    </w:p>
    <w:p w14:paraId="0FBFA4BB" w14:textId="47906CB2" w:rsidR="000957EE" w:rsidRDefault="001163AD">
      <w:pPr>
        <w:pStyle w:val="TOC1"/>
        <w:rPr>
          <w:rFonts w:asciiTheme="minorHAnsi" w:eastAsiaTheme="minorEastAsia" w:hAnsiTheme="minorHAnsi" w:cstheme="minorBidi"/>
          <w:bCs w:val="0"/>
          <w:sz w:val="22"/>
          <w:szCs w:val="22"/>
          <w:lang w:eastAsia="en-GB"/>
        </w:rPr>
      </w:pPr>
      <w:hyperlink w:anchor="_Toc83035683" w:history="1">
        <w:r w:rsidR="000957EE" w:rsidRPr="00984C2C">
          <w:rPr>
            <w:rStyle w:val="Hyperlink"/>
            <w:rFonts w:cs="Arial"/>
          </w:rPr>
          <w:t>6.</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Overall housing need, dwelling type and mix</w:t>
        </w:r>
        <w:r w:rsidR="000957EE">
          <w:rPr>
            <w:webHidden/>
          </w:rPr>
          <w:tab/>
        </w:r>
        <w:r w:rsidR="000957EE">
          <w:rPr>
            <w:webHidden/>
          </w:rPr>
          <w:fldChar w:fldCharType="begin"/>
        </w:r>
        <w:r w:rsidR="000957EE">
          <w:rPr>
            <w:webHidden/>
          </w:rPr>
          <w:instrText xml:space="preserve"> PAGEREF _Toc83035683 \h </w:instrText>
        </w:r>
        <w:r w:rsidR="000957EE">
          <w:rPr>
            <w:webHidden/>
          </w:rPr>
        </w:r>
        <w:r w:rsidR="000957EE">
          <w:rPr>
            <w:webHidden/>
          </w:rPr>
          <w:fldChar w:fldCharType="separate"/>
        </w:r>
        <w:r w:rsidR="001877C1">
          <w:rPr>
            <w:webHidden/>
          </w:rPr>
          <w:t>122</w:t>
        </w:r>
        <w:r w:rsidR="000957EE">
          <w:rPr>
            <w:webHidden/>
          </w:rPr>
          <w:fldChar w:fldCharType="end"/>
        </w:r>
      </w:hyperlink>
    </w:p>
    <w:p w14:paraId="461F40AC" w14:textId="3B275909" w:rsidR="000957EE" w:rsidRDefault="001163AD">
      <w:pPr>
        <w:pStyle w:val="TOC2"/>
        <w:rPr>
          <w:rFonts w:asciiTheme="minorHAnsi" w:eastAsiaTheme="minorEastAsia" w:hAnsiTheme="minorHAnsi" w:cstheme="minorBidi"/>
          <w:bCs w:val="0"/>
          <w:sz w:val="22"/>
          <w:szCs w:val="22"/>
          <w:lang w:eastAsia="en-GB"/>
        </w:rPr>
      </w:pPr>
      <w:hyperlink w:anchor="_Toc83035684"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_Toc83035684 \h </w:instrText>
        </w:r>
        <w:r w:rsidR="000957EE">
          <w:rPr>
            <w:webHidden/>
          </w:rPr>
        </w:r>
        <w:r w:rsidR="000957EE">
          <w:rPr>
            <w:webHidden/>
          </w:rPr>
          <w:fldChar w:fldCharType="separate"/>
        </w:r>
        <w:r w:rsidR="001877C1">
          <w:rPr>
            <w:webHidden/>
          </w:rPr>
          <w:t>122</w:t>
        </w:r>
        <w:r w:rsidR="000957EE">
          <w:rPr>
            <w:webHidden/>
          </w:rPr>
          <w:fldChar w:fldCharType="end"/>
        </w:r>
      </w:hyperlink>
    </w:p>
    <w:p w14:paraId="3800DCCD" w14:textId="6F00FBE1" w:rsidR="000957EE" w:rsidRDefault="001163AD">
      <w:pPr>
        <w:pStyle w:val="TOC2"/>
        <w:rPr>
          <w:rFonts w:asciiTheme="minorHAnsi" w:eastAsiaTheme="minorEastAsia" w:hAnsiTheme="minorHAnsi" w:cstheme="minorBidi"/>
          <w:bCs w:val="0"/>
          <w:sz w:val="22"/>
          <w:szCs w:val="22"/>
          <w:lang w:eastAsia="en-GB"/>
        </w:rPr>
      </w:pPr>
      <w:hyperlink w:anchor="_Toc83035685" w:history="1">
        <w:r w:rsidR="000957EE" w:rsidRPr="00984C2C">
          <w:rPr>
            <w:rStyle w:val="Hyperlink"/>
            <w:rFonts w:cs="Arial"/>
          </w:rPr>
          <w:t>Overall housing need</w:t>
        </w:r>
        <w:r w:rsidR="000957EE">
          <w:rPr>
            <w:webHidden/>
          </w:rPr>
          <w:tab/>
        </w:r>
        <w:r w:rsidR="000957EE">
          <w:rPr>
            <w:webHidden/>
          </w:rPr>
          <w:fldChar w:fldCharType="begin"/>
        </w:r>
        <w:r w:rsidR="000957EE">
          <w:rPr>
            <w:webHidden/>
          </w:rPr>
          <w:instrText xml:space="preserve"> PAGEREF _Toc83035685 \h </w:instrText>
        </w:r>
        <w:r w:rsidR="000957EE">
          <w:rPr>
            <w:webHidden/>
          </w:rPr>
        </w:r>
        <w:r w:rsidR="000957EE">
          <w:rPr>
            <w:webHidden/>
          </w:rPr>
          <w:fldChar w:fldCharType="separate"/>
        </w:r>
        <w:r w:rsidR="001877C1">
          <w:rPr>
            <w:webHidden/>
          </w:rPr>
          <w:t>122</w:t>
        </w:r>
        <w:r w:rsidR="000957EE">
          <w:rPr>
            <w:webHidden/>
          </w:rPr>
          <w:fldChar w:fldCharType="end"/>
        </w:r>
      </w:hyperlink>
    </w:p>
    <w:p w14:paraId="142387E8" w14:textId="0C73AAD3" w:rsidR="000957EE" w:rsidRDefault="001163AD">
      <w:pPr>
        <w:pStyle w:val="TOC2"/>
        <w:rPr>
          <w:rFonts w:asciiTheme="minorHAnsi" w:eastAsiaTheme="minorEastAsia" w:hAnsiTheme="minorHAnsi" w:cstheme="minorBidi"/>
          <w:bCs w:val="0"/>
          <w:sz w:val="22"/>
          <w:szCs w:val="22"/>
          <w:lang w:eastAsia="en-GB"/>
        </w:rPr>
      </w:pPr>
      <w:hyperlink w:anchor="_Toc83035686" w:history="1">
        <w:r w:rsidR="000957EE" w:rsidRPr="00984C2C">
          <w:rPr>
            <w:rStyle w:val="Hyperlink"/>
            <w:rFonts w:cs="Arial"/>
          </w:rPr>
          <w:t>Dwelling type and mix</w:t>
        </w:r>
        <w:r w:rsidR="000957EE">
          <w:rPr>
            <w:webHidden/>
          </w:rPr>
          <w:tab/>
        </w:r>
        <w:r w:rsidR="000957EE">
          <w:rPr>
            <w:webHidden/>
          </w:rPr>
          <w:fldChar w:fldCharType="begin"/>
        </w:r>
        <w:r w:rsidR="000957EE">
          <w:rPr>
            <w:webHidden/>
          </w:rPr>
          <w:instrText xml:space="preserve"> PAGEREF _Toc83035686 \h </w:instrText>
        </w:r>
        <w:r w:rsidR="000957EE">
          <w:rPr>
            <w:webHidden/>
          </w:rPr>
        </w:r>
        <w:r w:rsidR="000957EE">
          <w:rPr>
            <w:webHidden/>
          </w:rPr>
          <w:fldChar w:fldCharType="separate"/>
        </w:r>
        <w:r w:rsidR="001877C1">
          <w:rPr>
            <w:webHidden/>
          </w:rPr>
          <w:t>122</w:t>
        </w:r>
        <w:r w:rsidR="000957EE">
          <w:rPr>
            <w:webHidden/>
          </w:rPr>
          <w:fldChar w:fldCharType="end"/>
        </w:r>
      </w:hyperlink>
    </w:p>
    <w:p w14:paraId="3221842F" w14:textId="0F9028D4" w:rsidR="000957EE" w:rsidRDefault="001163AD">
      <w:pPr>
        <w:pStyle w:val="TOC2"/>
        <w:rPr>
          <w:rFonts w:asciiTheme="minorHAnsi" w:eastAsiaTheme="minorEastAsia" w:hAnsiTheme="minorHAnsi" w:cstheme="minorBidi"/>
          <w:bCs w:val="0"/>
          <w:sz w:val="22"/>
          <w:szCs w:val="22"/>
          <w:lang w:eastAsia="en-GB"/>
        </w:rPr>
      </w:pPr>
      <w:hyperlink w:anchor="_Toc83035687" w:history="1">
        <w:r w:rsidR="000957EE" w:rsidRPr="00984C2C">
          <w:rPr>
            <w:rStyle w:val="Hyperlink"/>
            <w:rFonts w:cs="Arial"/>
          </w:rPr>
          <w:t>Conclusions</w:t>
        </w:r>
        <w:r w:rsidR="000957EE">
          <w:rPr>
            <w:webHidden/>
          </w:rPr>
          <w:tab/>
        </w:r>
        <w:r w:rsidR="000957EE">
          <w:rPr>
            <w:webHidden/>
          </w:rPr>
          <w:fldChar w:fldCharType="begin"/>
        </w:r>
        <w:r w:rsidR="000957EE">
          <w:rPr>
            <w:webHidden/>
          </w:rPr>
          <w:instrText xml:space="preserve"> PAGEREF _Toc83035687 \h </w:instrText>
        </w:r>
        <w:r w:rsidR="000957EE">
          <w:rPr>
            <w:webHidden/>
          </w:rPr>
        </w:r>
        <w:r w:rsidR="000957EE">
          <w:rPr>
            <w:webHidden/>
          </w:rPr>
          <w:fldChar w:fldCharType="separate"/>
        </w:r>
        <w:r w:rsidR="001877C1">
          <w:rPr>
            <w:webHidden/>
          </w:rPr>
          <w:t>124</w:t>
        </w:r>
        <w:r w:rsidR="000957EE">
          <w:rPr>
            <w:webHidden/>
          </w:rPr>
          <w:fldChar w:fldCharType="end"/>
        </w:r>
      </w:hyperlink>
    </w:p>
    <w:p w14:paraId="4AD8BBB1" w14:textId="118C966C" w:rsidR="000957EE" w:rsidRDefault="001163AD">
      <w:pPr>
        <w:pStyle w:val="TOC1"/>
        <w:rPr>
          <w:rFonts w:asciiTheme="minorHAnsi" w:eastAsiaTheme="minorEastAsia" w:hAnsiTheme="minorHAnsi" w:cstheme="minorBidi"/>
          <w:bCs w:val="0"/>
          <w:sz w:val="22"/>
          <w:szCs w:val="22"/>
          <w:lang w:eastAsia="en-GB"/>
        </w:rPr>
      </w:pPr>
      <w:hyperlink w:anchor="_Toc83035688" w:history="1">
        <w:r w:rsidR="000957EE" w:rsidRPr="00984C2C">
          <w:rPr>
            <w:rStyle w:val="Hyperlink"/>
            <w:rFonts w:cs="Arial"/>
            <w:lang w:eastAsia="en-GB"/>
          </w:rPr>
          <w:t>7.</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Conclusion: policy and strategic issues</w:t>
        </w:r>
        <w:r w:rsidR="000957EE">
          <w:rPr>
            <w:webHidden/>
          </w:rPr>
          <w:tab/>
        </w:r>
        <w:r w:rsidR="000957EE">
          <w:rPr>
            <w:webHidden/>
          </w:rPr>
          <w:fldChar w:fldCharType="begin"/>
        </w:r>
        <w:r w:rsidR="000957EE">
          <w:rPr>
            <w:webHidden/>
          </w:rPr>
          <w:instrText xml:space="preserve"> PAGEREF _Toc83035688 \h </w:instrText>
        </w:r>
        <w:r w:rsidR="000957EE">
          <w:rPr>
            <w:webHidden/>
          </w:rPr>
        </w:r>
        <w:r w:rsidR="000957EE">
          <w:rPr>
            <w:webHidden/>
          </w:rPr>
          <w:fldChar w:fldCharType="separate"/>
        </w:r>
        <w:r w:rsidR="001877C1">
          <w:rPr>
            <w:webHidden/>
          </w:rPr>
          <w:t>125</w:t>
        </w:r>
        <w:r w:rsidR="000957EE">
          <w:rPr>
            <w:webHidden/>
          </w:rPr>
          <w:fldChar w:fldCharType="end"/>
        </w:r>
      </w:hyperlink>
    </w:p>
    <w:p w14:paraId="77A54D1D" w14:textId="3CF57966" w:rsidR="000957EE" w:rsidRDefault="001163AD">
      <w:pPr>
        <w:pStyle w:val="TOC2"/>
        <w:rPr>
          <w:rFonts w:asciiTheme="minorHAnsi" w:eastAsiaTheme="minorEastAsia" w:hAnsiTheme="minorHAnsi" w:cstheme="minorBidi"/>
          <w:bCs w:val="0"/>
          <w:sz w:val="22"/>
          <w:szCs w:val="22"/>
          <w:lang w:eastAsia="en-GB"/>
        </w:rPr>
      </w:pPr>
      <w:hyperlink w:anchor="_Toc83035689" w:history="1">
        <w:r w:rsidR="000957EE" w:rsidRPr="00984C2C">
          <w:rPr>
            <w:rStyle w:val="Hyperlink"/>
            <w:rFonts w:cs="Arial"/>
          </w:rPr>
          <w:t>Overall Housing need</w:t>
        </w:r>
        <w:r w:rsidR="000957EE">
          <w:rPr>
            <w:webHidden/>
          </w:rPr>
          <w:tab/>
        </w:r>
        <w:r w:rsidR="000957EE">
          <w:rPr>
            <w:webHidden/>
          </w:rPr>
          <w:fldChar w:fldCharType="begin"/>
        </w:r>
        <w:r w:rsidR="000957EE">
          <w:rPr>
            <w:webHidden/>
          </w:rPr>
          <w:instrText xml:space="preserve"> PAGEREF _Toc83035689 \h </w:instrText>
        </w:r>
        <w:r w:rsidR="000957EE">
          <w:rPr>
            <w:webHidden/>
          </w:rPr>
        </w:r>
        <w:r w:rsidR="000957EE">
          <w:rPr>
            <w:webHidden/>
          </w:rPr>
          <w:fldChar w:fldCharType="separate"/>
        </w:r>
        <w:r w:rsidR="001877C1">
          <w:rPr>
            <w:webHidden/>
          </w:rPr>
          <w:t>125</w:t>
        </w:r>
        <w:r w:rsidR="000957EE">
          <w:rPr>
            <w:webHidden/>
          </w:rPr>
          <w:fldChar w:fldCharType="end"/>
        </w:r>
      </w:hyperlink>
    </w:p>
    <w:p w14:paraId="1B8C4D3F" w14:textId="7E0BEECD" w:rsidR="000957EE" w:rsidRDefault="001163AD">
      <w:pPr>
        <w:pStyle w:val="TOC2"/>
        <w:rPr>
          <w:rFonts w:asciiTheme="minorHAnsi" w:eastAsiaTheme="minorEastAsia" w:hAnsiTheme="minorHAnsi" w:cstheme="minorBidi"/>
          <w:bCs w:val="0"/>
          <w:sz w:val="22"/>
          <w:szCs w:val="22"/>
          <w:lang w:eastAsia="en-GB"/>
        </w:rPr>
      </w:pPr>
      <w:hyperlink w:anchor="_Toc83035690" w:history="1">
        <w:r w:rsidR="000957EE" w:rsidRPr="00984C2C">
          <w:rPr>
            <w:rStyle w:val="Hyperlink"/>
            <w:rFonts w:cs="Arial"/>
          </w:rPr>
          <w:t>Dwelling type, tenure and mix</w:t>
        </w:r>
        <w:r w:rsidR="000957EE">
          <w:rPr>
            <w:webHidden/>
          </w:rPr>
          <w:tab/>
        </w:r>
        <w:r w:rsidR="000957EE">
          <w:rPr>
            <w:webHidden/>
          </w:rPr>
          <w:fldChar w:fldCharType="begin"/>
        </w:r>
        <w:r w:rsidR="000957EE">
          <w:rPr>
            <w:webHidden/>
          </w:rPr>
          <w:instrText xml:space="preserve"> PAGEREF _Toc83035690 \h </w:instrText>
        </w:r>
        <w:r w:rsidR="000957EE">
          <w:rPr>
            <w:webHidden/>
          </w:rPr>
        </w:r>
        <w:r w:rsidR="000957EE">
          <w:rPr>
            <w:webHidden/>
          </w:rPr>
          <w:fldChar w:fldCharType="separate"/>
        </w:r>
        <w:r w:rsidR="001877C1">
          <w:rPr>
            <w:webHidden/>
          </w:rPr>
          <w:t>125</w:t>
        </w:r>
        <w:r w:rsidR="000957EE">
          <w:rPr>
            <w:webHidden/>
          </w:rPr>
          <w:fldChar w:fldCharType="end"/>
        </w:r>
      </w:hyperlink>
    </w:p>
    <w:p w14:paraId="707C192A" w14:textId="4FC590A9" w:rsidR="000957EE" w:rsidRDefault="001163AD">
      <w:pPr>
        <w:pStyle w:val="TOC2"/>
        <w:rPr>
          <w:rFonts w:asciiTheme="minorHAnsi" w:eastAsiaTheme="minorEastAsia" w:hAnsiTheme="minorHAnsi" w:cstheme="minorBidi"/>
          <w:bCs w:val="0"/>
          <w:sz w:val="22"/>
          <w:szCs w:val="22"/>
          <w:lang w:eastAsia="en-GB"/>
        </w:rPr>
      </w:pPr>
      <w:hyperlink w:anchor="_Toc83035691" w:history="1">
        <w:r w:rsidR="000957EE" w:rsidRPr="00984C2C">
          <w:rPr>
            <w:rStyle w:val="Hyperlink"/>
            <w:rFonts w:cs="Arial"/>
          </w:rPr>
          <w:t>Meeting the needs of older people and those with disabilities</w:t>
        </w:r>
        <w:r w:rsidR="000957EE">
          <w:rPr>
            <w:webHidden/>
          </w:rPr>
          <w:tab/>
        </w:r>
        <w:r w:rsidR="000957EE">
          <w:rPr>
            <w:webHidden/>
          </w:rPr>
          <w:fldChar w:fldCharType="begin"/>
        </w:r>
        <w:r w:rsidR="000957EE">
          <w:rPr>
            <w:webHidden/>
          </w:rPr>
          <w:instrText xml:space="preserve"> PAGEREF _Toc83035691 \h </w:instrText>
        </w:r>
        <w:r w:rsidR="000957EE">
          <w:rPr>
            <w:webHidden/>
          </w:rPr>
        </w:r>
        <w:r w:rsidR="000957EE">
          <w:rPr>
            <w:webHidden/>
          </w:rPr>
          <w:fldChar w:fldCharType="separate"/>
        </w:r>
        <w:r w:rsidR="001877C1">
          <w:rPr>
            <w:webHidden/>
          </w:rPr>
          <w:t>126</w:t>
        </w:r>
        <w:r w:rsidR="000957EE">
          <w:rPr>
            <w:webHidden/>
          </w:rPr>
          <w:fldChar w:fldCharType="end"/>
        </w:r>
      </w:hyperlink>
    </w:p>
    <w:p w14:paraId="63DE51B3" w14:textId="102FD70D" w:rsidR="000957EE" w:rsidRDefault="001163AD">
      <w:pPr>
        <w:pStyle w:val="TOC2"/>
        <w:rPr>
          <w:rFonts w:asciiTheme="minorHAnsi" w:eastAsiaTheme="minorEastAsia" w:hAnsiTheme="minorHAnsi" w:cstheme="minorBidi"/>
          <w:bCs w:val="0"/>
          <w:sz w:val="22"/>
          <w:szCs w:val="22"/>
          <w:lang w:eastAsia="en-GB"/>
        </w:rPr>
      </w:pPr>
      <w:hyperlink w:anchor="_Toc83035692" w:history="1">
        <w:r w:rsidR="000957EE" w:rsidRPr="00984C2C">
          <w:rPr>
            <w:rStyle w:val="Hyperlink"/>
            <w:rFonts w:cs="Arial"/>
          </w:rPr>
          <w:t>Final comments</w:t>
        </w:r>
        <w:r w:rsidR="000957EE">
          <w:rPr>
            <w:webHidden/>
          </w:rPr>
          <w:tab/>
        </w:r>
        <w:r w:rsidR="000957EE">
          <w:rPr>
            <w:webHidden/>
          </w:rPr>
          <w:fldChar w:fldCharType="begin"/>
        </w:r>
        <w:r w:rsidR="000957EE">
          <w:rPr>
            <w:webHidden/>
          </w:rPr>
          <w:instrText xml:space="preserve"> PAGEREF _Toc83035692 \h </w:instrText>
        </w:r>
        <w:r w:rsidR="000957EE">
          <w:rPr>
            <w:webHidden/>
          </w:rPr>
        </w:r>
        <w:r w:rsidR="000957EE">
          <w:rPr>
            <w:webHidden/>
          </w:rPr>
          <w:fldChar w:fldCharType="separate"/>
        </w:r>
        <w:r w:rsidR="001877C1">
          <w:rPr>
            <w:webHidden/>
          </w:rPr>
          <w:t>127</w:t>
        </w:r>
        <w:r w:rsidR="000957EE">
          <w:rPr>
            <w:webHidden/>
          </w:rPr>
          <w:fldChar w:fldCharType="end"/>
        </w:r>
      </w:hyperlink>
    </w:p>
    <w:p w14:paraId="62F11A2A" w14:textId="0B390002" w:rsidR="000957EE" w:rsidRDefault="001163AD">
      <w:pPr>
        <w:pStyle w:val="TOC1"/>
        <w:rPr>
          <w:rFonts w:asciiTheme="minorHAnsi" w:eastAsiaTheme="minorEastAsia" w:hAnsiTheme="minorHAnsi" w:cstheme="minorBidi"/>
          <w:bCs w:val="0"/>
          <w:sz w:val="22"/>
          <w:szCs w:val="22"/>
          <w:lang w:eastAsia="en-GB"/>
        </w:rPr>
      </w:pPr>
      <w:hyperlink w:anchor="_Toc83035693" w:history="1">
        <w:r w:rsidR="000957EE" w:rsidRPr="00984C2C">
          <w:rPr>
            <w:rStyle w:val="Hyperlink"/>
            <w:rFonts w:cs="Arial"/>
          </w:rPr>
          <w:t>Technical Appendix A: Research methodology</w:t>
        </w:r>
        <w:r w:rsidR="000957EE">
          <w:rPr>
            <w:webHidden/>
          </w:rPr>
          <w:tab/>
        </w:r>
        <w:r w:rsidR="000957EE">
          <w:rPr>
            <w:webHidden/>
          </w:rPr>
          <w:fldChar w:fldCharType="begin"/>
        </w:r>
        <w:r w:rsidR="000957EE">
          <w:rPr>
            <w:webHidden/>
          </w:rPr>
          <w:instrText xml:space="preserve"> PAGEREF _Toc83035693 \h </w:instrText>
        </w:r>
        <w:r w:rsidR="000957EE">
          <w:rPr>
            <w:webHidden/>
          </w:rPr>
        </w:r>
        <w:r w:rsidR="000957EE">
          <w:rPr>
            <w:webHidden/>
          </w:rPr>
          <w:fldChar w:fldCharType="separate"/>
        </w:r>
        <w:r w:rsidR="001877C1">
          <w:rPr>
            <w:webHidden/>
          </w:rPr>
          <w:t>128</w:t>
        </w:r>
        <w:r w:rsidR="000957EE">
          <w:rPr>
            <w:webHidden/>
          </w:rPr>
          <w:fldChar w:fldCharType="end"/>
        </w:r>
      </w:hyperlink>
    </w:p>
    <w:p w14:paraId="5685AACD" w14:textId="3F63D586" w:rsidR="000957EE" w:rsidRDefault="001163AD">
      <w:pPr>
        <w:pStyle w:val="TOC2"/>
        <w:rPr>
          <w:rFonts w:asciiTheme="minorHAnsi" w:eastAsiaTheme="minorEastAsia" w:hAnsiTheme="minorHAnsi" w:cstheme="minorBidi"/>
          <w:bCs w:val="0"/>
          <w:sz w:val="22"/>
          <w:szCs w:val="22"/>
          <w:lang w:eastAsia="en-GB"/>
        </w:rPr>
      </w:pPr>
      <w:hyperlink w:anchor="_Toc83035694" w:history="1">
        <w:r w:rsidR="000957EE" w:rsidRPr="00984C2C">
          <w:rPr>
            <w:rStyle w:val="Hyperlink"/>
            <w:rFonts w:cs="Arial"/>
          </w:rPr>
          <w:t>Overall approach</w:t>
        </w:r>
        <w:r w:rsidR="000957EE">
          <w:rPr>
            <w:webHidden/>
          </w:rPr>
          <w:tab/>
        </w:r>
        <w:r w:rsidR="000957EE">
          <w:rPr>
            <w:webHidden/>
          </w:rPr>
          <w:fldChar w:fldCharType="begin"/>
        </w:r>
        <w:r w:rsidR="000957EE">
          <w:rPr>
            <w:webHidden/>
          </w:rPr>
          <w:instrText xml:space="preserve"> PAGEREF _Toc83035694 \h </w:instrText>
        </w:r>
        <w:r w:rsidR="000957EE">
          <w:rPr>
            <w:webHidden/>
          </w:rPr>
        </w:r>
        <w:r w:rsidR="000957EE">
          <w:rPr>
            <w:webHidden/>
          </w:rPr>
          <w:fldChar w:fldCharType="separate"/>
        </w:r>
        <w:r w:rsidR="001877C1">
          <w:rPr>
            <w:webHidden/>
          </w:rPr>
          <w:t>128</w:t>
        </w:r>
        <w:r w:rsidR="000957EE">
          <w:rPr>
            <w:webHidden/>
          </w:rPr>
          <w:fldChar w:fldCharType="end"/>
        </w:r>
      </w:hyperlink>
    </w:p>
    <w:p w14:paraId="60F669BD" w14:textId="3C73657B" w:rsidR="000957EE" w:rsidRDefault="001163AD">
      <w:pPr>
        <w:pStyle w:val="TOC2"/>
        <w:rPr>
          <w:rFonts w:asciiTheme="minorHAnsi" w:eastAsiaTheme="minorEastAsia" w:hAnsiTheme="minorHAnsi" w:cstheme="minorBidi"/>
          <w:bCs w:val="0"/>
          <w:sz w:val="22"/>
          <w:szCs w:val="22"/>
          <w:lang w:eastAsia="en-GB"/>
        </w:rPr>
      </w:pPr>
      <w:hyperlink w:anchor="_Toc83035695" w:history="1">
        <w:r w:rsidR="000957EE" w:rsidRPr="00984C2C">
          <w:rPr>
            <w:rStyle w:val="Hyperlink"/>
            <w:rFonts w:cs="Arial"/>
          </w:rPr>
          <w:t>arc4 national database</w:t>
        </w:r>
        <w:r w:rsidR="000957EE">
          <w:rPr>
            <w:webHidden/>
          </w:rPr>
          <w:tab/>
        </w:r>
        <w:r w:rsidR="000957EE">
          <w:rPr>
            <w:webHidden/>
          </w:rPr>
          <w:fldChar w:fldCharType="begin"/>
        </w:r>
        <w:r w:rsidR="000957EE">
          <w:rPr>
            <w:webHidden/>
          </w:rPr>
          <w:instrText xml:space="preserve"> PAGEREF _Toc83035695 \h </w:instrText>
        </w:r>
        <w:r w:rsidR="000957EE">
          <w:rPr>
            <w:webHidden/>
          </w:rPr>
        </w:r>
        <w:r w:rsidR="000957EE">
          <w:rPr>
            <w:webHidden/>
          </w:rPr>
          <w:fldChar w:fldCharType="separate"/>
        </w:r>
        <w:r w:rsidR="001877C1">
          <w:rPr>
            <w:webHidden/>
          </w:rPr>
          <w:t>128</w:t>
        </w:r>
        <w:r w:rsidR="000957EE">
          <w:rPr>
            <w:webHidden/>
          </w:rPr>
          <w:fldChar w:fldCharType="end"/>
        </w:r>
      </w:hyperlink>
    </w:p>
    <w:p w14:paraId="68436DBF" w14:textId="1F5EC413" w:rsidR="000957EE" w:rsidRDefault="001163AD">
      <w:pPr>
        <w:pStyle w:val="TOC1"/>
        <w:rPr>
          <w:rFonts w:asciiTheme="minorHAnsi" w:eastAsiaTheme="minorEastAsia" w:hAnsiTheme="minorHAnsi" w:cstheme="minorBidi"/>
          <w:bCs w:val="0"/>
          <w:sz w:val="22"/>
          <w:szCs w:val="22"/>
          <w:lang w:eastAsia="en-GB"/>
        </w:rPr>
      </w:pPr>
      <w:hyperlink w:anchor="_Toc83035696" w:history="1">
        <w:r w:rsidR="000957EE" w:rsidRPr="00984C2C">
          <w:rPr>
            <w:rStyle w:val="Hyperlink"/>
            <w:rFonts w:cs="Arial"/>
          </w:rPr>
          <w:t>Technical Appendix B: Affordable housing definitions</w:t>
        </w:r>
        <w:r w:rsidR="000957EE">
          <w:rPr>
            <w:webHidden/>
          </w:rPr>
          <w:tab/>
        </w:r>
        <w:r w:rsidR="000957EE">
          <w:rPr>
            <w:webHidden/>
          </w:rPr>
          <w:fldChar w:fldCharType="begin"/>
        </w:r>
        <w:r w:rsidR="000957EE">
          <w:rPr>
            <w:webHidden/>
          </w:rPr>
          <w:instrText xml:space="preserve"> PAGEREF _Toc83035696 \h </w:instrText>
        </w:r>
        <w:r w:rsidR="000957EE">
          <w:rPr>
            <w:webHidden/>
          </w:rPr>
        </w:r>
        <w:r w:rsidR="000957EE">
          <w:rPr>
            <w:webHidden/>
          </w:rPr>
          <w:fldChar w:fldCharType="separate"/>
        </w:r>
        <w:r w:rsidR="001877C1">
          <w:rPr>
            <w:webHidden/>
          </w:rPr>
          <w:t>129</w:t>
        </w:r>
        <w:r w:rsidR="000957EE">
          <w:rPr>
            <w:webHidden/>
          </w:rPr>
          <w:fldChar w:fldCharType="end"/>
        </w:r>
      </w:hyperlink>
    </w:p>
    <w:p w14:paraId="7DD61C6A" w14:textId="16652FB8" w:rsidR="000957EE" w:rsidRDefault="001163AD">
      <w:pPr>
        <w:pStyle w:val="TOC2"/>
        <w:rPr>
          <w:rFonts w:asciiTheme="minorHAnsi" w:eastAsiaTheme="minorEastAsia" w:hAnsiTheme="minorHAnsi" w:cstheme="minorBidi"/>
          <w:bCs w:val="0"/>
          <w:sz w:val="22"/>
          <w:szCs w:val="22"/>
          <w:lang w:eastAsia="en-GB"/>
        </w:rPr>
      </w:pPr>
      <w:hyperlink w:anchor="_Toc83035697" w:history="1">
        <w:r w:rsidR="000957EE" w:rsidRPr="00984C2C">
          <w:rPr>
            <w:rStyle w:val="Hyperlink"/>
            <w:rFonts w:cs="Arial"/>
          </w:rPr>
          <w:t>Affordable housing definitions</w:t>
        </w:r>
        <w:r w:rsidR="000957EE">
          <w:rPr>
            <w:webHidden/>
          </w:rPr>
          <w:tab/>
        </w:r>
        <w:r w:rsidR="000957EE">
          <w:rPr>
            <w:webHidden/>
          </w:rPr>
          <w:fldChar w:fldCharType="begin"/>
        </w:r>
        <w:r w:rsidR="000957EE">
          <w:rPr>
            <w:webHidden/>
          </w:rPr>
          <w:instrText xml:space="preserve"> PAGEREF _Toc83035697 \h </w:instrText>
        </w:r>
        <w:r w:rsidR="000957EE">
          <w:rPr>
            <w:webHidden/>
          </w:rPr>
        </w:r>
        <w:r w:rsidR="000957EE">
          <w:rPr>
            <w:webHidden/>
          </w:rPr>
          <w:fldChar w:fldCharType="separate"/>
        </w:r>
        <w:r w:rsidR="001877C1">
          <w:rPr>
            <w:webHidden/>
          </w:rPr>
          <w:t>129</w:t>
        </w:r>
        <w:r w:rsidR="000957EE">
          <w:rPr>
            <w:webHidden/>
          </w:rPr>
          <w:fldChar w:fldCharType="end"/>
        </w:r>
      </w:hyperlink>
    </w:p>
    <w:p w14:paraId="1A0CFB28" w14:textId="4DE46938" w:rsidR="000957EE" w:rsidRDefault="001163AD">
      <w:pPr>
        <w:pStyle w:val="TOC1"/>
        <w:rPr>
          <w:rFonts w:asciiTheme="minorHAnsi" w:eastAsiaTheme="minorEastAsia" w:hAnsiTheme="minorHAnsi" w:cstheme="minorBidi"/>
          <w:bCs w:val="0"/>
          <w:sz w:val="22"/>
          <w:szCs w:val="22"/>
          <w:lang w:eastAsia="en-GB"/>
        </w:rPr>
      </w:pPr>
      <w:hyperlink w:anchor="_Toc83035698" w:history="1">
        <w:r w:rsidR="000957EE" w:rsidRPr="00984C2C">
          <w:rPr>
            <w:rStyle w:val="Hyperlink"/>
            <w:rFonts w:cs="Arial"/>
          </w:rPr>
          <w:t>Technical Appendix C: Housing need calculations</w:t>
        </w:r>
        <w:r w:rsidR="000957EE">
          <w:rPr>
            <w:webHidden/>
          </w:rPr>
          <w:tab/>
        </w:r>
        <w:r w:rsidR="000957EE">
          <w:rPr>
            <w:webHidden/>
          </w:rPr>
          <w:fldChar w:fldCharType="begin"/>
        </w:r>
        <w:r w:rsidR="000957EE">
          <w:rPr>
            <w:webHidden/>
          </w:rPr>
          <w:instrText xml:space="preserve"> PAGEREF _Toc83035698 \h </w:instrText>
        </w:r>
        <w:r w:rsidR="000957EE">
          <w:rPr>
            <w:webHidden/>
          </w:rPr>
        </w:r>
        <w:r w:rsidR="000957EE">
          <w:rPr>
            <w:webHidden/>
          </w:rPr>
          <w:fldChar w:fldCharType="separate"/>
        </w:r>
        <w:r w:rsidR="001877C1">
          <w:rPr>
            <w:webHidden/>
          </w:rPr>
          <w:t>130</w:t>
        </w:r>
        <w:r w:rsidR="000957EE">
          <w:rPr>
            <w:webHidden/>
          </w:rPr>
          <w:fldChar w:fldCharType="end"/>
        </w:r>
      </w:hyperlink>
    </w:p>
    <w:p w14:paraId="7F0BEFB0" w14:textId="39B2958F" w:rsidR="000957EE" w:rsidRDefault="001163AD">
      <w:pPr>
        <w:pStyle w:val="TOC2"/>
        <w:rPr>
          <w:rFonts w:asciiTheme="minorHAnsi" w:eastAsiaTheme="minorEastAsia" w:hAnsiTheme="minorHAnsi" w:cstheme="minorBidi"/>
          <w:bCs w:val="0"/>
          <w:sz w:val="22"/>
          <w:szCs w:val="22"/>
          <w:lang w:eastAsia="en-GB"/>
        </w:rPr>
      </w:pPr>
      <w:hyperlink w:anchor="_Toc83035699" w:history="1">
        <w:r w:rsidR="000957EE" w:rsidRPr="00984C2C">
          <w:rPr>
            <w:rStyle w:val="Hyperlink"/>
            <w:rFonts w:cs="Arial"/>
          </w:rPr>
          <w:t>Introduction</w:t>
        </w:r>
        <w:r w:rsidR="000957EE">
          <w:rPr>
            <w:webHidden/>
          </w:rPr>
          <w:tab/>
        </w:r>
        <w:r w:rsidR="000957EE">
          <w:rPr>
            <w:webHidden/>
          </w:rPr>
          <w:fldChar w:fldCharType="begin"/>
        </w:r>
        <w:r w:rsidR="000957EE">
          <w:rPr>
            <w:webHidden/>
          </w:rPr>
          <w:instrText xml:space="preserve"> PAGEREF _Toc83035699 \h </w:instrText>
        </w:r>
        <w:r w:rsidR="000957EE">
          <w:rPr>
            <w:webHidden/>
          </w:rPr>
        </w:r>
        <w:r w:rsidR="000957EE">
          <w:rPr>
            <w:webHidden/>
          </w:rPr>
          <w:fldChar w:fldCharType="separate"/>
        </w:r>
        <w:r w:rsidR="001877C1">
          <w:rPr>
            <w:webHidden/>
          </w:rPr>
          <w:t>130</w:t>
        </w:r>
        <w:r w:rsidR="000957EE">
          <w:rPr>
            <w:webHidden/>
          </w:rPr>
          <w:fldChar w:fldCharType="end"/>
        </w:r>
      </w:hyperlink>
    </w:p>
    <w:p w14:paraId="07F7420E" w14:textId="5A7580AE" w:rsidR="000957EE" w:rsidRDefault="001163AD">
      <w:pPr>
        <w:pStyle w:val="TOC2"/>
        <w:rPr>
          <w:rFonts w:asciiTheme="minorHAnsi" w:eastAsiaTheme="minorEastAsia" w:hAnsiTheme="minorHAnsi" w:cstheme="minorBidi"/>
          <w:bCs w:val="0"/>
          <w:sz w:val="22"/>
          <w:szCs w:val="22"/>
          <w:lang w:eastAsia="en-GB"/>
        </w:rPr>
      </w:pPr>
      <w:hyperlink w:anchor="_Toc83035700" w:history="1">
        <w:r w:rsidR="000957EE" w:rsidRPr="00984C2C">
          <w:rPr>
            <w:rStyle w:val="Hyperlink"/>
            <w:rFonts w:cs="Arial"/>
          </w:rPr>
          <w:t>Step A:  Current unmet gross need</w:t>
        </w:r>
        <w:r w:rsidR="000957EE">
          <w:rPr>
            <w:webHidden/>
          </w:rPr>
          <w:tab/>
        </w:r>
        <w:r w:rsidR="000957EE">
          <w:rPr>
            <w:webHidden/>
          </w:rPr>
          <w:fldChar w:fldCharType="begin"/>
        </w:r>
        <w:r w:rsidR="000957EE">
          <w:rPr>
            <w:webHidden/>
          </w:rPr>
          <w:instrText xml:space="preserve"> PAGEREF _Toc83035700 \h </w:instrText>
        </w:r>
        <w:r w:rsidR="000957EE">
          <w:rPr>
            <w:webHidden/>
          </w:rPr>
        </w:r>
        <w:r w:rsidR="000957EE">
          <w:rPr>
            <w:webHidden/>
          </w:rPr>
          <w:fldChar w:fldCharType="separate"/>
        </w:r>
        <w:r w:rsidR="001877C1">
          <w:rPr>
            <w:webHidden/>
          </w:rPr>
          <w:t>131</w:t>
        </w:r>
        <w:r w:rsidR="000957EE">
          <w:rPr>
            <w:webHidden/>
          </w:rPr>
          <w:fldChar w:fldCharType="end"/>
        </w:r>
      </w:hyperlink>
    </w:p>
    <w:p w14:paraId="33ADC42A" w14:textId="04A9A2D5" w:rsidR="000957EE" w:rsidRDefault="001163AD">
      <w:pPr>
        <w:pStyle w:val="TOC2"/>
        <w:rPr>
          <w:rFonts w:asciiTheme="minorHAnsi" w:eastAsiaTheme="minorEastAsia" w:hAnsiTheme="minorHAnsi" w:cstheme="minorBidi"/>
          <w:bCs w:val="0"/>
          <w:sz w:val="22"/>
          <w:szCs w:val="22"/>
          <w:lang w:eastAsia="en-GB"/>
        </w:rPr>
      </w:pPr>
      <w:hyperlink w:anchor="_Toc83035701" w:history="1">
        <w:r w:rsidR="000957EE" w:rsidRPr="00984C2C">
          <w:rPr>
            <w:rStyle w:val="Hyperlink"/>
            <w:rFonts w:cs="Arial"/>
          </w:rPr>
          <w:t>Step B:  Future households in need</w:t>
        </w:r>
        <w:r w:rsidR="000957EE">
          <w:rPr>
            <w:webHidden/>
          </w:rPr>
          <w:tab/>
        </w:r>
        <w:r w:rsidR="000957EE">
          <w:rPr>
            <w:webHidden/>
          </w:rPr>
          <w:fldChar w:fldCharType="begin"/>
        </w:r>
        <w:r w:rsidR="000957EE">
          <w:rPr>
            <w:webHidden/>
          </w:rPr>
          <w:instrText xml:space="preserve"> PAGEREF _Toc83035701 \h </w:instrText>
        </w:r>
        <w:r w:rsidR="000957EE">
          <w:rPr>
            <w:webHidden/>
          </w:rPr>
        </w:r>
        <w:r w:rsidR="000957EE">
          <w:rPr>
            <w:webHidden/>
          </w:rPr>
          <w:fldChar w:fldCharType="separate"/>
        </w:r>
        <w:r w:rsidR="001877C1">
          <w:rPr>
            <w:webHidden/>
          </w:rPr>
          <w:t>135</w:t>
        </w:r>
        <w:r w:rsidR="000957EE">
          <w:rPr>
            <w:webHidden/>
          </w:rPr>
          <w:fldChar w:fldCharType="end"/>
        </w:r>
      </w:hyperlink>
    </w:p>
    <w:p w14:paraId="2C4B5820" w14:textId="5AC15C56" w:rsidR="000957EE" w:rsidRDefault="001163AD">
      <w:pPr>
        <w:pStyle w:val="TOC2"/>
        <w:rPr>
          <w:rFonts w:asciiTheme="minorHAnsi" w:eastAsiaTheme="minorEastAsia" w:hAnsiTheme="minorHAnsi" w:cstheme="minorBidi"/>
          <w:bCs w:val="0"/>
          <w:sz w:val="22"/>
          <w:szCs w:val="22"/>
          <w:lang w:eastAsia="en-GB"/>
        </w:rPr>
      </w:pPr>
      <w:hyperlink w:anchor="_Toc83035702" w:history="1">
        <w:r w:rsidR="000957EE" w:rsidRPr="00984C2C">
          <w:rPr>
            <w:rStyle w:val="Hyperlink"/>
            <w:rFonts w:cs="Arial"/>
          </w:rPr>
          <w:t>Step C:  Affordable housing supply</w:t>
        </w:r>
        <w:r w:rsidR="000957EE">
          <w:rPr>
            <w:webHidden/>
          </w:rPr>
          <w:tab/>
        </w:r>
        <w:r w:rsidR="000957EE">
          <w:rPr>
            <w:webHidden/>
          </w:rPr>
          <w:fldChar w:fldCharType="begin"/>
        </w:r>
        <w:r w:rsidR="000957EE">
          <w:rPr>
            <w:webHidden/>
          </w:rPr>
          <w:instrText xml:space="preserve"> PAGEREF _Toc83035702 \h </w:instrText>
        </w:r>
        <w:r w:rsidR="000957EE">
          <w:rPr>
            <w:webHidden/>
          </w:rPr>
        </w:r>
        <w:r w:rsidR="000957EE">
          <w:rPr>
            <w:webHidden/>
          </w:rPr>
          <w:fldChar w:fldCharType="separate"/>
        </w:r>
        <w:r w:rsidR="001877C1">
          <w:rPr>
            <w:webHidden/>
          </w:rPr>
          <w:t>137</w:t>
        </w:r>
        <w:r w:rsidR="000957EE">
          <w:rPr>
            <w:webHidden/>
          </w:rPr>
          <w:fldChar w:fldCharType="end"/>
        </w:r>
      </w:hyperlink>
    </w:p>
    <w:p w14:paraId="6180876F" w14:textId="6F093BB5" w:rsidR="000957EE" w:rsidRDefault="001163AD">
      <w:pPr>
        <w:pStyle w:val="TOC2"/>
        <w:tabs>
          <w:tab w:val="left" w:pos="1807"/>
        </w:tabs>
        <w:rPr>
          <w:rFonts w:asciiTheme="minorHAnsi" w:eastAsiaTheme="minorEastAsia" w:hAnsiTheme="minorHAnsi" w:cstheme="minorBidi"/>
          <w:bCs w:val="0"/>
          <w:sz w:val="22"/>
          <w:szCs w:val="22"/>
          <w:lang w:eastAsia="en-GB"/>
        </w:rPr>
      </w:pPr>
      <w:hyperlink w:anchor="_Toc83035703" w:history="1">
        <w:r w:rsidR="000957EE" w:rsidRPr="00984C2C">
          <w:rPr>
            <w:rStyle w:val="Hyperlink"/>
            <w:rFonts w:cs="Arial"/>
          </w:rPr>
          <w:t xml:space="preserve">Step D: </w:t>
        </w:r>
        <w:r w:rsidR="000957EE">
          <w:rPr>
            <w:rFonts w:asciiTheme="minorHAnsi" w:eastAsiaTheme="minorEastAsia" w:hAnsiTheme="minorHAnsi" w:cstheme="minorBidi"/>
            <w:bCs w:val="0"/>
            <w:sz w:val="22"/>
            <w:szCs w:val="22"/>
            <w:lang w:eastAsia="en-GB"/>
          </w:rPr>
          <w:tab/>
        </w:r>
        <w:r w:rsidR="000957EE" w:rsidRPr="00984C2C">
          <w:rPr>
            <w:rStyle w:val="Hyperlink"/>
            <w:rFonts w:cs="Arial"/>
          </w:rPr>
          <w:t>Total annual need and breakdown by size and tenure</w:t>
        </w:r>
        <w:r w:rsidR="000957EE">
          <w:rPr>
            <w:webHidden/>
          </w:rPr>
          <w:tab/>
        </w:r>
        <w:r w:rsidR="000957EE">
          <w:rPr>
            <w:webHidden/>
          </w:rPr>
          <w:fldChar w:fldCharType="begin"/>
        </w:r>
        <w:r w:rsidR="000957EE">
          <w:rPr>
            <w:webHidden/>
          </w:rPr>
          <w:instrText xml:space="preserve"> PAGEREF _Toc83035703 \h </w:instrText>
        </w:r>
        <w:r w:rsidR="000957EE">
          <w:rPr>
            <w:webHidden/>
          </w:rPr>
        </w:r>
        <w:r w:rsidR="000957EE">
          <w:rPr>
            <w:webHidden/>
          </w:rPr>
          <w:fldChar w:fldCharType="separate"/>
        </w:r>
        <w:r w:rsidR="001877C1">
          <w:rPr>
            <w:webHidden/>
          </w:rPr>
          <w:t>138</w:t>
        </w:r>
        <w:r w:rsidR="000957EE">
          <w:rPr>
            <w:webHidden/>
          </w:rPr>
          <w:fldChar w:fldCharType="end"/>
        </w:r>
      </w:hyperlink>
    </w:p>
    <w:p w14:paraId="1AD895ED" w14:textId="70B4642E" w:rsidR="000957EE" w:rsidRDefault="001163AD">
      <w:pPr>
        <w:pStyle w:val="TOC1"/>
        <w:rPr>
          <w:rFonts w:asciiTheme="minorHAnsi" w:eastAsiaTheme="minorEastAsia" w:hAnsiTheme="minorHAnsi" w:cstheme="minorBidi"/>
          <w:bCs w:val="0"/>
          <w:sz w:val="22"/>
          <w:szCs w:val="22"/>
          <w:lang w:eastAsia="en-GB"/>
        </w:rPr>
      </w:pPr>
      <w:hyperlink w:anchor="_Toc83035704" w:history="1">
        <w:r w:rsidR="000957EE" w:rsidRPr="00984C2C">
          <w:rPr>
            <w:rStyle w:val="Hyperlink"/>
            <w:rFonts w:cs="Arial"/>
          </w:rPr>
          <w:t>Technical Appendix D:  Dwelling mix and modelling</w:t>
        </w:r>
        <w:r w:rsidR="000957EE">
          <w:rPr>
            <w:webHidden/>
          </w:rPr>
          <w:tab/>
        </w:r>
        <w:r w:rsidR="000957EE">
          <w:rPr>
            <w:webHidden/>
          </w:rPr>
          <w:fldChar w:fldCharType="begin"/>
        </w:r>
        <w:r w:rsidR="000957EE">
          <w:rPr>
            <w:webHidden/>
          </w:rPr>
          <w:instrText xml:space="preserve"> PAGEREF _Toc83035704 \h </w:instrText>
        </w:r>
        <w:r w:rsidR="000957EE">
          <w:rPr>
            <w:webHidden/>
          </w:rPr>
        </w:r>
        <w:r w:rsidR="000957EE">
          <w:rPr>
            <w:webHidden/>
          </w:rPr>
          <w:fldChar w:fldCharType="separate"/>
        </w:r>
        <w:r w:rsidR="001877C1">
          <w:rPr>
            <w:webHidden/>
          </w:rPr>
          <w:t>143</w:t>
        </w:r>
        <w:r w:rsidR="000957EE">
          <w:rPr>
            <w:webHidden/>
          </w:rPr>
          <w:fldChar w:fldCharType="end"/>
        </w:r>
      </w:hyperlink>
    </w:p>
    <w:p w14:paraId="01FC6E75" w14:textId="2AE3AFC3" w:rsidR="000957EE" w:rsidRDefault="001163AD">
      <w:pPr>
        <w:pStyle w:val="TOC2"/>
        <w:rPr>
          <w:rFonts w:asciiTheme="minorHAnsi" w:eastAsiaTheme="minorEastAsia" w:hAnsiTheme="minorHAnsi" w:cstheme="minorBidi"/>
          <w:bCs w:val="0"/>
          <w:sz w:val="22"/>
          <w:szCs w:val="22"/>
          <w:lang w:eastAsia="en-GB"/>
        </w:rPr>
      </w:pPr>
      <w:hyperlink w:anchor="_Toc83035705" w:history="1">
        <w:r w:rsidR="000957EE" w:rsidRPr="00984C2C">
          <w:rPr>
            <w:rStyle w:val="Hyperlink"/>
          </w:rPr>
          <w:t>Introduction</w:t>
        </w:r>
        <w:r w:rsidR="000957EE">
          <w:rPr>
            <w:webHidden/>
          </w:rPr>
          <w:tab/>
        </w:r>
        <w:r w:rsidR="000957EE">
          <w:rPr>
            <w:webHidden/>
          </w:rPr>
          <w:fldChar w:fldCharType="begin"/>
        </w:r>
        <w:r w:rsidR="000957EE">
          <w:rPr>
            <w:webHidden/>
          </w:rPr>
          <w:instrText xml:space="preserve"> PAGEREF _Toc83035705 \h </w:instrText>
        </w:r>
        <w:r w:rsidR="000957EE">
          <w:rPr>
            <w:webHidden/>
          </w:rPr>
        </w:r>
        <w:r w:rsidR="000957EE">
          <w:rPr>
            <w:webHidden/>
          </w:rPr>
          <w:fldChar w:fldCharType="separate"/>
        </w:r>
        <w:r w:rsidR="001877C1">
          <w:rPr>
            <w:webHidden/>
          </w:rPr>
          <w:t>143</w:t>
        </w:r>
        <w:r w:rsidR="000957EE">
          <w:rPr>
            <w:webHidden/>
          </w:rPr>
          <w:fldChar w:fldCharType="end"/>
        </w:r>
      </w:hyperlink>
    </w:p>
    <w:p w14:paraId="4C262B50" w14:textId="0B301720" w:rsidR="000957EE" w:rsidRDefault="001163AD">
      <w:pPr>
        <w:pStyle w:val="TOC2"/>
        <w:rPr>
          <w:rFonts w:asciiTheme="minorHAnsi" w:eastAsiaTheme="minorEastAsia" w:hAnsiTheme="minorHAnsi" w:cstheme="minorBidi"/>
          <w:bCs w:val="0"/>
          <w:sz w:val="22"/>
          <w:szCs w:val="22"/>
          <w:lang w:eastAsia="en-GB"/>
        </w:rPr>
      </w:pPr>
      <w:hyperlink w:anchor="_Toc83035706" w:history="1">
        <w:r w:rsidR="000957EE" w:rsidRPr="00984C2C">
          <w:rPr>
            <w:rStyle w:val="Hyperlink"/>
            <w:rFonts w:cs="Arial"/>
          </w:rPr>
          <w:t>Starting points</w:t>
        </w:r>
        <w:r w:rsidR="000957EE">
          <w:rPr>
            <w:webHidden/>
          </w:rPr>
          <w:tab/>
        </w:r>
        <w:r w:rsidR="000957EE">
          <w:rPr>
            <w:webHidden/>
          </w:rPr>
          <w:fldChar w:fldCharType="begin"/>
        </w:r>
        <w:r w:rsidR="000957EE">
          <w:rPr>
            <w:webHidden/>
          </w:rPr>
          <w:instrText xml:space="preserve"> PAGEREF _Toc83035706 \h </w:instrText>
        </w:r>
        <w:r w:rsidR="000957EE">
          <w:rPr>
            <w:webHidden/>
          </w:rPr>
        </w:r>
        <w:r w:rsidR="000957EE">
          <w:rPr>
            <w:webHidden/>
          </w:rPr>
          <w:fldChar w:fldCharType="separate"/>
        </w:r>
        <w:r w:rsidR="001877C1">
          <w:rPr>
            <w:webHidden/>
          </w:rPr>
          <w:t>143</w:t>
        </w:r>
        <w:r w:rsidR="000957EE">
          <w:rPr>
            <w:webHidden/>
          </w:rPr>
          <w:fldChar w:fldCharType="end"/>
        </w:r>
      </w:hyperlink>
    </w:p>
    <w:p w14:paraId="6F58675D" w14:textId="79B2C3C1" w:rsidR="000957EE" w:rsidRDefault="001163AD">
      <w:pPr>
        <w:pStyle w:val="TOC2"/>
        <w:rPr>
          <w:rFonts w:asciiTheme="minorHAnsi" w:eastAsiaTheme="minorEastAsia" w:hAnsiTheme="minorHAnsi" w:cstheme="minorBidi"/>
          <w:bCs w:val="0"/>
          <w:sz w:val="22"/>
          <w:szCs w:val="22"/>
          <w:lang w:eastAsia="en-GB"/>
        </w:rPr>
      </w:pPr>
      <w:hyperlink w:anchor="_Toc83035707" w:history="1">
        <w:r w:rsidR="000957EE" w:rsidRPr="00984C2C">
          <w:rPr>
            <w:rStyle w:val="Hyperlink"/>
            <w:rFonts w:cs="Arial"/>
          </w:rPr>
          <w:t>Overall dwelling mix by tenure</w:t>
        </w:r>
        <w:r w:rsidR="000957EE">
          <w:rPr>
            <w:webHidden/>
          </w:rPr>
          <w:tab/>
        </w:r>
        <w:r w:rsidR="000957EE">
          <w:rPr>
            <w:webHidden/>
          </w:rPr>
          <w:fldChar w:fldCharType="begin"/>
        </w:r>
        <w:r w:rsidR="000957EE">
          <w:rPr>
            <w:webHidden/>
          </w:rPr>
          <w:instrText xml:space="preserve"> PAGEREF _Toc83035707 \h </w:instrText>
        </w:r>
        <w:r w:rsidR="000957EE">
          <w:rPr>
            <w:webHidden/>
          </w:rPr>
        </w:r>
        <w:r w:rsidR="000957EE">
          <w:rPr>
            <w:webHidden/>
          </w:rPr>
          <w:fldChar w:fldCharType="separate"/>
        </w:r>
        <w:r w:rsidR="001877C1">
          <w:rPr>
            <w:webHidden/>
          </w:rPr>
          <w:t>151</w:t>
        </w:r>
        <w:r w:rsidR="000957EE">
          <w:rPr>
            <w:webHidden/>
          </w:rPr>
          <w:fldChar w:fldCharType="end"/>
        </w:r>
      </w:hyperlink>
    </w:p>
    <w:p w14:paraId="2D8260AF" w14:textId="375A446A" w:rsidR="000957EE" w:rsidRDefault="001163AD">
      <w:pPr>
        <w:pStyle w:val="TOC2"/>
        <w:rPr>
          <w:rFonts w:asciiTheme="minorHAnsi" w:eastAsiaTheme="minorEastAsia" w:hAnsiTheme="minorHAnsi" w:cstheme="minorBidi"/>
          <w:bCs w:val="0"/>
          <w:sz w:val="22"/>
          <w:szCs w:val="22"/>
          <w:lang w:eastAsia="en-GB"/>
        </w:rPr>
      </w:pPr>
      <w:hyperlink w:anchor="_Toc83035708" w:history="1">
        <w:r w:rsidR="000957EE" w:rsidRPr="00984C2C">
          <w:rPr>
            <w:rStyle w:val="Hyperlink"/>
            <w:rFonts w:cs="Arial"/>
          </w:rPr>
          <w:t>Overall dwelling mix by geography</w:t>
        </w:r>
        <w:r w:rsidR="000957EE">
          <w:rPr>
            <w:webHidden/>
          </w:rPr>
          <w:tab/>
        </w:r>
        <w:r w:rsidR="000957EE">
          <w:rPr>
            <w:webHidden/>
          </w:rPr>
          <w:fldChar w:fldCharType="begin"/>
        </w:r>
        <w:r w:rsidR="000957EE">
          <w:rPr>
            <w:webHidden/>
          </w:rPr>
          <w:instrText xml:space="preserve"> PAGEREF _Toc83035708 \h </w:instrText>
        </w:r>
        <w:r w:rsidR="000957EE">
          <w:rPr>
            <w:webHidden/>
          </w:rPr>
        </w:r>
        <w:r w:rsidR="000957EE">
          <w:rPr>
            <w:webHidden/>
          </w:rPr>
          <w:fldChar w:fldCharType="separate"/>
        </w:r>
        <w:r w:rsidR="001877C1">
          <w:rPr>
            <w:webHidden/>
          </w:rPr>
          <w:t>152</w:t>
        </w:r>
        <w:r w:rsidR="000957EE">
          <w:rPr>
            <w:webHidden/>
          </w:rPr>
          <w:fldChar w:fldCharType="end"/>
        </w:r>
      </w:hyperlink>
    </w:p>
    <w:p w14:paraId="7DC3E3D3" w14:textId="0CF08A3E" w:rsidR="000957EE" w:rsidRDefault="001163AD">
      <w:pPr>
        <w:pStyle w:val="TOC1"/>
        <w:rPr>
          <w:rFonts w:asciiTheme="minorHAnsi" w:eastAsiaTheme="minorEastAsia" w:hAnsiTheme="minorHAnsi" w:cstheme="minorBidi"/>
          <w:bCs w:val="0"/>
          <w:sz w:val="22"/>
          <w:szCs w:val="22"/>
          <w:lang w:eastAsia="en-GB"/>
        </w:rPr>
      </w:pPr>
      <w:hyperlink w:anchor="_Toc83035709" w:history="1">
        <w:r w:rsidR="000957EE" w:rsidRPr="00984C2C">
          <w:rPr>
            <w:rStyle w:val="Hyperlink"/>
            <w:rFonts w:cs="Arial"/>
          </w:rPr>
          <w:t>Technical Appendix E: Stakeholder consultation responses and agent review</w:t>
        </w:r>
        <w:r w:rsidR="000957EE">
          <w:rPr>
            <w:webHidden/>
          </w:rPr>
          <w:tab/>
        </w:r>
        <w:r w:rsidR="000957EE">
          <w:rPr>
            <w:webHidden/>
          </w:rPr>
          <w:fldChar w:fldCharType="begin"/>
        </w:r>
        <w:r w:rsidR="000957EE">
          <w:rPr>
            <w:webHidden/>
          </w:rPr>
          <w:instrText xml:space="preserve"> PAGEREF _Toc83035709 \h </w:instrText>
        </w:r>
        <w:r w:rsidR="000957EE">
          <w:rPr>
            <w:webHidden/>
          </w:rPr>
        </w:r>
        <w:r w:rsidR="000957EE">
          <w:rPr>
            <w:webHidden/>
          </w:rPr>
          <w:fldChar w:fldCharType="separate"/>
        </w:r>
        <w:r w:rsidR="001877C1">
          <w:rPr>
            <w:webHidden/>
          </w:rPr>
          <w:t>155</w:t>
        </w:r>
        <w:r w:rsidR="000957EE">
          <w:rPr>
            <w:webHidden/>
          </w:rPr>
          <w:fldChar w:fldCharType="end"/>
        </w:r>
      </w:hyperlink>
    </w:p>
    <w:p w14:paraId="5F081614" w14:textId="6B42C8BF" w:rsidR="000957EE" w:rsidRDefault="001163AD">
      <w:pPr>
        <w:pStyle w:val="TOC2"/>
        <w:rPr>
          <w:rFonts w:asciiTheme="minorHAnsi" w:eastAsiaTheme="minorEastAsia" w:hAnsiTheme="minorHAnsi" w:cstheme="minorBidi"/>
          <w:bCs w:val="0"/>
          <w:sz w:val="22"/>
          <w:szCs w:val="22"/>
          <w:lang w:eastAsia="en-GB"/>
        </w:rPr>
      </w:pPr>
      <w:hyperlink w:anchor="_Toc83035710" w:history="1">
        <w:r w:rsidR="000957EE" w:rsidRPr="00984C2C">
          <w:rPr>
            <w:rStyle w:val="Hyperlink"/>
          </w:rPr>
          <w:t>General stakeholder responses summary</w:t>
        </w:r>
        <w:r w:rsidR="000957EE">
          <w:rPr>
            <w:webHidden/>
          </w:rPr>
          <w:tab/>
        </w:r>
        <w:r w:rsidR="000957EE">
          <w:rPr>
            <w:webHidden/>
          </w:rPr>
          <w:fldChar w:fldCharType="begin"/>
        </w:r>
        <w:r w:rsidR="000957EE">
          <w:rPr>
            <w:webHidden/>
          </w:rPr>
          <w:instrText xml:space="preserve"> PAGEREF _Toc83035710 \h </w:instrText>
        </w:r>
        <w:r w:rsidR="000957EE">
          <w:rPr>
            <w:webHidden/>
          </w:rPr>
        </w:r>
        <w:r w:rsidR="000957EE">
          <w:rPr>
            <w:webHidden/>
          </w:rPr>
          <w:fldChar w:fldCharType="separate"/>
        </w:r>
        <w:r w:rsidR="001877C1">
          <w:rPr>
            <w:webHidden/>
          </w:rPr>
          <w:t>155</w:t>
        </w:r>
        <w:r w:rsidR="000957EE">
          <w:rPr>
            <w:webHidden/>
          </w:rPr>
          <w:fldChar w:fldCharType="end"/>
        </w:r>
      </w:hyperlink>
    </w:p>
    <w:p w14:paraId="5443E3FE" w14:textId="618390AB" w:rsidR="000957EE" w:rsidRDefault="001163AD">
      <w:pPr>
        <w:pStyle w:val="TOC2"/>
        <w:rPr>
          <w:rFonts w:asciiTheme="minorHAnsi" w:eastAsiaTheme="minorEastAsia" w:hAnsiTheme="minorHAnsi" w:cstheme="minorBidi"/>
          <w:bCs w:val="0"/>
          <w:sz w:val="22"/>
          <w:szCs w:val="22"/>
          <w:lang w:eastAsia="en-GB"/>
        </w:rPr>
      </w:pPr>
      <w:hyperlink w:anchor="_Toc83035711" w:history="1">
        <w:r w:rsidR="000957EE" w:rsidRPr="00984C2C">
          <w:rPr>
            <w:rStyle w:val="Hyperlink"/>
          </w:rPr>
          <w:t>All stakeholders</w:t>
        </w:r>
        <w:r w:rsidR="000957EE">
          <w:rPr>
            <w:webHidden/>
          </w:rPr>
          <w:tab/>
        </w:r>
        <w:r w:rsidR="000957EE">
          <w:rPr>
            <w:webHidden/>
          </w:rPr>
          <w:fldChar w:fldCharType="begin"/>
        </w:r>
        <w:r w:rsidR="000957EE">
          <w:rPr>
            <w:webHidden/>
          </w:rPr>
          <w:instrText xml:space="preserve"> PAGEREF _Toc83035711 \h </w:instrText>
        </w:r>
        <w:r w:rsidR="000957EE">
          <w:rPr>
            <w:webHidden/>
          </w:rPr>
        </w:r>
        <w:r w:rsidR="000957EE">
          <w:rPr>
            <w:webHidden/>
          </w:rPr>
          <w:fldChar w:fldCharType="separate"/>
        </w:r>
        <w:r w:rsidR="001877C1">
          <w:rPr>
            <w:webHidden/>
          </w:rPr>
          <w:t>155</w:t>
        </w:r>
        <w:r w:rsidR="000957EE">
          <w:rPr>
            <w:webHidden/>
          </w:rPr>
          <w:fldChar w:fldCharType="end"/>
        </w:r>
      </w:hyperlink>
    </w:p>
    <w:p w14:paraId="4B8E623C" w14:textId="5127E3BE" w:rsidR="000957EE" w:rsidRDefault="001163AD">
      <w:pPr>
        <w:pStyle w:val="TOC2"/>
        <w:rPr>
          <w:rFonts w:asciiTheme="minorHAnsi" w:eastAsiaTheme="minorEastAsia" w:hAnsiTheme="minorHAnsi" w:cstheme="minorBidi"/>
          <w:bCs w:val="0"/>
          <w:sz w:val="22"/>
          <w:szCs w:val="22"/>
          <w:lang w:eastAsia="en-GB"/>
        </w:rPr>
      </w:pPr>
      <w:hyperlink w:anchor="_Toc83035712" w:history="1">
        <w:r w:rsidR="000957EE" w:rsidRPr="00984C2C">
          <w:rPr>
            <w:rStyle w:val="Hyperlink"/>
          </w:rPr>
          <w:t xml:space="preserve">Registered Providers </w:t>
        </w:r>
        <w:r w:rsidR="000957EE">
          <w:rPr>
            <w:webHidden/>
          </w:rPr>
          <w:tab/>
        </w:r>
        <w:r w:rsidR="000957EE">
          <w:rPr>
            <w:webHidden/>
          </w:rPr>
          <w:fldChar w:fldCharType="begin"/>
        </w:r>
        <w:r w:rsidR="000957EE">
          <w:rPr>
            <w:webHidden/>
          </w:rPr>
          <w:instrText xml:space="preserve"> PAGEREF _Toc83035712 \h </w:instrText>
        </w:r>
        <w:r w:rsidR="000957EE">
          <w:rPr>
            <w:webHidden/>
          </w:rPr>
        </w:r>
        <w:r w:rsidR="000957EE">
          <w:rPr>
            <w:webHidden/>
          </w:rPr>
          <w:fldChar w:fldCharType="separate"/>
        </w:r>
        <w:r w:rsidR="001877C1">
          <w:rPr>
            <w:webHidden/>
          </w:rPr>
          <w:t>158</w:t>
        </w:r>
        <w:r w:rsidR="000957EE">
          <w:rPr>
            <w:webHidden/>
          </w:rPr>
          <w:fldChar w:fldCharType="end"/>
        </w:r>
      </w:hyperlink>
    </w:p>
    <w:p w14:paraId="305B8545" w14:textId="25DFD6F5" w:rsidR="000957EE" w:rsidRDefault="001163AD">
      <w:pPr>
        <w:pStyle w:val="TOC2"/>
        <w:rPr>
          <w:rFonts w:asciiTheme="minorHAnsi" w:eastAsiaTheme="minorEastAsia" w:hAnsiTheme="minorHAnsi" w:cstheme="minorBidi"/>
          <w:bCs w:val="0"/>
          <w:sz w:val="22"/>
          <w:szCs w:val="22"/>
          <w:lang w:eastAsia="en-GB"/>
        </w:rPr>
      </w:pPr>
      <w:hyperlink w:anchor="_Toc83035713" w:history="1">
        <w:r w:rsidR="000957EE" w:rsidRPr="00984C2C">
          <w:rPr>
            <w:rStyle w:val="Hyperlink"/>
          </w:rPr>
          <w:t>Developers and Housebuilders</w:t>
        </w:r>
        <w:r w:rsidR="000957EE">
          <w:rPr>
            <w:webHidden/>
          </w:rPr>
          <w:tab/>
        </w:r>
        <w:r w:rsidR="000957EE">
          <w:rPr>
            <w:webHidden/>
          </w:rPr>
          <w:fldChar w:fldCharType="begin"/>
        </w:r>
        <w:r w:rsidR="000957EE">
          <w:rPr>
            <w:webHidden/>
          </w:rPr>
          <w:instrText xml:space="preserve"> PAGEREF _Toc83035713 \h </w:instrText>
        </w:r>
        <w:r w:rsidR="000957EE">
          <w:rPr>
            <w:webHidden/>
          </w:rPr>
        </w:r>
        <w:r w:rsidR="000957EE">
          <w:rPr>
            <w:webHidden/>
          </w:rPr>
          <w:fldChar w:fldCharType="separate"/>
        </w:r>
        <w:r w:rsidR="001877C1">
          <w:rPr>
            <w:webHidden/>
          </w:rPr>
          <w:t>158</w:t>
        </w:r>
        <w:r w:rsidR="000957EE">
          <w:rPr>
            <w:webHidden/>
          </w:rPr>
          <w:fldChar w:fldCharType="end"/>
        </w:r>
      </w:hyperlink>
    </w:p>
    <w:p w14:paraId="42146A01" w14:textId="79ED9AF5" w:rsidR="000957EE" w:rsidRDefault="001163AD">
      <w:pPr>
        <w:pStyle w:val="TOC2"/>
        <w:rPr>
          <w:rFonts w:asciiTheme="minorHAnsi" w:eastAsiaTheme="minorEastAsia" w:hAnsiTheme="minorHAnsi" w:cstheme="minorBidi"/>
          <w:bCs w:val="0"/>
          <w:sz w:val="22"/>
          <w:szCs w:val="22"/>
          <w:lang w:eastAsia="en-GB"/>
        </w:rPr>
      </w:pPr>
      <w:hyperlink w:anchor="_Toc83035714" w:history="1">
        <w:r w:rsidR="000957EE" w:rsidRPr="00984C2C">
          <w:rPr>
            <w:rStyle w:val="Hyperlink"/>
          </w:rPr>
          <w:t>Specialist Housing Providers</w:t>
        </w:r>
        <w:r w:rsidR="000957EE">
          <w:rPr>
            <w:webHidden/>
          </w:rPr>
          <w:tab/>
        </w:r>
        <w:r w:rsidR="000957EE">
          <w:rPr>
            <w:webHidden/>
          </w:rPr>
          <w:fldChar w:fldCharType="begin"/>
        </w:r>
        <w:r w:rsidR="000957EE">
          <w:rPr>
            <w:webHidden/>
          </w:rPr>
          <w:instrText xml:space="preserve"> PAGEREF _Toc83035714 \h </w:instrText>
        </w:r>
        <w:r w:rsidR="000957EE">
          <w:rPr>
            <w:webHidden/>
          </w:rPr>
        </w:r>
        <w:r w:rsidR="000957EE">
          <w:rPr>
            <w:webHidden/>
          </w:rPr>
          <w:fldChar w:fldCharType="separate"/>
        </w:r>
        <w:r w:rsidR="001877C1">
          <w:rPr>
            <w:webHidden/>
          </w:rPr>
          <w:t>159</w:t>
        </w:r>
        <w:r w:rsidR="000957EE">
          <w:rPr>
            <w:webHidden/>
          </w:rPr>
          <w:fldChar w:fldCharType="end"/>
        </w:r>
      </w:hyperlink>
    </w:p>
    <w:p w14:paraId="24337C36" w14:textId="6A20C17A" w:rsidR="000957EE" w:rsidRDefault="001163AD">
      <w:pPr>
        <w:pStyle w:val="TOC2"/>
        <w:rPr>
          <w:rFonts w:asciiTheme="minorHAnsi" w:eastAsiaTheme="minorEastAsia" w:hAnsiTheme="minorHAnsi" w:cstheme="minorBidi"/>
          <w:bCs w:val="0"/>
          <w:sz w:val="22"/>
          <w:szCs w:val="22"/>
          <w:lang w:eastAsia="en-GB"/>
        </w:rPr>
      </w:pPr>
      <w:hyperlink w:anchor="_Toc83035715" w:history="1">
        <w:r w:rsidR="000957EE" w:rsidRPr="00984C2C">
          <w:rPr>
            <w:rStyle w:val="Hyperlink"/>
          </w:rPr>
          <w:t>Medway Local Authority staff and Elected Members</w:t>
        </w:r>
        <w:r w:rsidR="000957EE">
          <w:rPr>
            <w:webHidden/>
          </w:rPr>
          <w:tab/>
        </w:r>
        <w:r w:rsidR="000957EE">
          <w:rPr>
            <w:webHidden/>
          </w:rPr>
          <w:fldChar w:fldCharType="begin"/>
        </w:r>
        <w:r w:rsidR="000957EE">
          <w:rPr>
            <w:webHidden/>
          </w:rPr>
          <w:instrText xml:space="preserve"> PAGEREF _Toc83035715 \h </w:instrText>
        </w:r>
        <w:r w:rsidR="000957EE">
          <w:rPr>
            <w:webHidden/>
          </w:rPr>
        </w:r>
        <w:r w:rsidR="000957EE">
          <w:rPr>
            <w:webHidden/>
          </w:rPr>
          <w:fldChar w:fldCharType="separate"/>
        </w:r>
        <w:r w:rsidR="001877C1">
          <w:rPr>
            <w:webHidden/>
          </w:rPr>
          <w:t>160</w:t>
        </w:r>
        <w:r w:rsidR="000957EE">
          <w:rPr>
            <w:webHidden/>
          </w:rPr>
          <w:fldChar w:fldCharType="end"/>
        </w:r>
      </w:hyperlink>
    </w:p>
    <w:p w14:paraId="6630E0E8" w14:textId="1AA7BFC3" w:rsidR="000957EE" w:rsidRDefault="001163AD">
      <w:pPr>
        <w:pStyle w:val="TOC2"/>
        <w:rPr>
          <w:rFonts w:asciiTheme="minorHAnsi" w:eastAsiaTheme="minorEastAsia" w:hAnsiTheme="minorHAnsi" w:cstheme="minorBidi"/>
          <w:bCs w:val="0"/>
          <w:sz w:val="22"/>
          <w:szCs w:val="22"/>
          <w:lang w:eastAsia="en-GB"/>
        </w:rPr>
      </w:pPr>
      <w:hyperlink w:anchor="_Toc83035716" w:history="1">
        <w:r w:rsidR="000957EE" w:rsidRPr="00984C2C">
          <w:rPr>
            <w:rStyle w:val="Hyperlink"/>
          </w:rPr>
          <w:t>Neighbouring or adjacent Local Authority staff</w:t>
        </w:r>
        <w:r w:rsidR="000957EE">
          <w:rPr>
            <w:webHidden/>
          </w:rPr>
          <w:tab/>
        </w:r>
        <w:r w:rsidR="000957EE">
          <w:rPr>
            <w:webHidden/>
          </w:rPr>
          <w:fldChar w:fldCharType="begin"/>
        </w:r>
        <w:r w:rsidR="000957EE">
          <w:rPr>
            <w:webHidden/>
          </w:rPr>
          <w:instrText xml:space="preserve"> PAGEREF _Toc83035716 \h </w:instrText>
        </w:r>
        <w:r w:rsidR="000957EE">
          <w:rPr>
            <w:webHidden/>
          </w:rPr>
        </w:r>
        <w:r w:rsidR="000957EE">
          <w:rPr>
            <w:webHidden/>
          </w:rPr>
          <w:fldChar w:fldCharType="separate"/>
        </w:r>
        <w:r w:rsidR="001877C1">
          <w:rPr>
            <w:webHidden/>
          </w:rPr>
          <w:t>162</w:t>
        </w:r>
        <w:r w:rsidR="000957EE">
          <w:rPr>
            <w:webHidden/>
          </w:rPr>
          <w:fldChar w:fldCharType="end"/>
        </w:r>
      </w:hyperlink>
    </w:p>
    <w:p w14:paraId="7C311472" w14:textId="78E88A09" w:rsidR="000957EE" w:rsidRDefault="001163AD">
      <w:pPr>
        <w:pStyle w:val="TOC2"/>
        <w:rPr>
          <w:rFonts w:asciiTheme="minorHAnsi" w:eastAsiaTheme="minorEastAsia" w:hAnsiTheme="minorHAnsi" w:cstheme="minorBidi"/>
          <w:bCs w:val="0"/>
          <w:sz w:val="22"/>
          <w:szCs w:val="22"/>
          <w:lang w:eastAsia="en-GB"/>
        </w:rPr>
      </w:pPr>
      <w:hyperlink w:anchor="_Toc83035717" w:history="1">
        <w:r w:rsidR="000957EE" w:rsidRPr="00984C2C">
          <w:rPr>
            <w:rStyle w:val="Hyperlink"/>
          </w:rPr>
          <w:t>Selling and lettings agents</w:t>
        </w:r>
        <w:r w:rsidR="000957EE">
          <w:rPr>
            <w:webHidden/>
          </w:rPr>
          <w:tab/>
        </w:r>
        <w:r w:rsidR="000957EE">
          <w:rPr>
            <w:webHidden/>
          </w:rPr>
          <w:fldChar w:fldCharType="begin"/>
        </w:r>
        <w:r w:rsidR="000957EE">
          <w:rPr>
            <w:webHidden/>
          </w:rPr>
          <w:instrText xml:space="preserve"> PAGEREF _Toc83035717 \h </w:instrText>
        </w:r>
        <w:r w:rsidR="000957EE">
          <w:rPr>
            <w:webHidden/>
          </w:rPr>
        </w:r>
        <w:r w:rsidR="000957EE">
          <w:rPr>
            <w:webHidden/>
          </w:rPr>
          <w:fldChar w:fldCharType="separate"/>
        </w:r>
        <w:r w:rsidR="001877C1">
          <w:rPr>
            <w:webHidden/>
          </w:rPr>
          <w:t>163</w:t>
        </w:r>
        <w:r w:rsidR="000957EE">
          <w:rPr>
            <w:webHidden/>
          </w:rPr>
          <w:fldChar w:fldCharType="end"/>
        </w:r>
      </w:hyperlink>
    </w:p>
    <w:p w14:paraId="01EA5666" w14:textId="20B45D4B" w:rsidR="000957EE" w:rsidRDefault="001163AD">
      <w:pPr>
        <w:pStyle w:val="TOC2"/>
        <w:rPr>
          <w:rFonts w:asciiTheme="minorHAnsi" w:eastAsiaTheme="minorEastAsia" w:hAnsiTheme="minorHAnsi" w:cstheme="minorBidi"/>
          <w:bCs w:val="0"/>
          <w:sz w:val="22"/>
          <w:szCs w:val="22"/>
          <w:lang w:eastAsia="en-GB"/>
        </w:rPr>
      </w:pPr>
      <w:hyperlink w:anchor="_Toc83035718" w:history="1">
        <w:r w:rsidR="000957EE" w:rsidRPr="00984C2C">
          <w:rPr>
            <w:rStyle w:val="Hyperlink"/>
          </w:rPr>
          <w:t>Summary</w:t>
        </w:r>
        <w:r w:rsidR="000957EE">
          <w:rPr>
            <w:webHidden/>
          </w:rPr>
          <w:tab/>
        </w:r>
        <w:r w:rsidR="000957EE">
          <w:rPr>
            <w:webHidden/>
          </w:rPr>
          <w:fldChar w:fldCharType="begin"/>
        </w:r>
        <w:r w:rsidR="000957EE">
          <w:rPr>
            <w:webHidden/>
          </w:rPr>
          <w:instrText xml:space="preserve"> PAGEREF _Toc83035718 \h </w:instrText>
        </w:r>
        <w:r w:rsidR="000957EE">
          <w:rPr>
            <w:webHidden/>
          </w:rPr>
        </w:r>
        <w:r w:rsidR="000957EE">
          <w:rPr>
            <w:webHidden/>
          </w:rPr>
          <w:fldChar w:fldCharType="separate"/>
        </w:r>
        <w:r w:rsidR="001877C1">
          <w:rPr>
            <w:webHidden/>
          </w:rPr>
          <w:t>167</w:t>
        </w:r>
        <w:r w:rsidR="000957EE">
          <w:rPr>
            <w:webHidden/>
          </w:rPr>
          <w:fldChar w:fldCharType="end"/>
        </w:r>
      </w:hyperlink>
    </w:p>
    <w:p w14:paraId="308EFFDA" w14:textId="160139A2" w:rsidR="00CE1BDB" w:rsidRPr="00FA4DC7" w:rsidRDefault="00CE1BDB" w:rsidP="00CE1BDB">
      <w:pPr>
        <w:tabs>
          <w:tab w:val="left" w:pos="0"/>
          <w:tab w:val="left" w:pos="709"/>
          <w:tab w:val="left" w:pos="1418"/>
        </w:tabs>
        <w:rPr>
          <w:rFonts w:cs="Arial"/>
          <w:noProof/>
          <w:color w:val="FF0000"/>
          <w:highlight w:val="yellow"/>
        </w:rPr>
      </w:pPr>
      <w:r w:rsidRPr="00FA4DC7">
        <w:rPr>
          <w:rFonts w:cs="Arial"/>
          <w:noProof/>
          <w:highlight w:val="yellow"/>
          <w:lang w:eastAsia="en-US"/>
        </w:rPr>
        <w:fldChar w:fldCharType="end"/>
      </w:r>
    </w:p>
    <w:p w14:paraId="78FA21E3" w14:textId="77777777" w:rsidR="00CE1BDB" w:rsidRPr="00FA4DC7" w:rsidRDefault="00CE1BDB" w:rsidP="00CE1BDB">
      <w:pPr>
        <w:pStyle w:val="TOCHeading1"/>
        <w:keepNext/>
        <w:tabs>
          <w:tab w:val="left" w:pos="0"/>
          <w:tab w:val="left" w:pos="709"/>
          <w:tab w:val="left" w:pos="1418"/>
        </w:tabs>
        <w:rPr>
          <w:lang w:eastAsia="en-GB"/>
        </w:rPr>
      </w:pPr>
      <w:r w:rsidRPr="00FA4DC7">
        <w:rPr>
          <w:lang w:eastAsia="en-GB"/>
        </w:rPr>
        <w:t>List of Maps</w:t>
      </w:r>
    </w:p>
    <w:p w14:paraId="5C4424C2" w14:textId="30878C47" w:rsidR="000957EE" w:rsidRDefault="00CE1BDB">
      <w:pPr>
        <w:pStyle w:val="TOC1"/>
        <w:rPr>
          <w:rFonts w:asciiTheme="minorHAnsi" w:eastAsiaTheme="minorEastAsia" w:hAnsiTheme="minorHAnsi" w:cstheme="minorBidi"/>
          <w:bCs w:val="0"/>
          <w:sz w:val="22"/>
          <w:szCs w:val="22"/>
          <w:lang w:eastAsia="en-GB"/>
        </w:rPr>
      </w:pPr>
      <w:r w:rsidRPr="00FA4DC7">
        <w:rPr>
          <w:rFonts w:cs="Arial"/>
          <w:iCs/>
          <w:color w:val="008080"/>
          <w:szCs w:val="20"/>
          <w:highlight w:val="yellow"/>
          <w:lang w:eastAsia="en-GB"/>
        </w:rPr>
        <w:fldChar w:fldCharType="begin"/>
      </w:r>
      <w:r w:rsidRPr="00FA4DC7">
        <w:rPr>
          <w:rFonts w:cs="Arial"/>
          <w:iCs/>
          <w:color w:val="008080"/>
          <w:szCs w:val="20"/>
          <w:highlight w:val="yellow"/>
          <w:lang w:eastAsia="en-GB"/>
        </w:rPr>
        <w:instrText xml:space="preserve"> TOC \h \z \t "Mapheading" </w:instrText>
      </w:r>
      <w:r w:rsidRPr="00FA4DC7">
        <w:rPr>
          <w:rFonts w:cs="Arial"/>
          <w:iCs/>
          <w:color w:val="008080"/>
          <w:szCs w:val="20"/>
          <w:highlight w:val="yellow"/>
          <w:lang w:eastAsia="en-GB"/>
        </w:rPr>
        <w:fldChar w:fldCharType="separate"/>
      </w:r>
      <w:hyperlink w:anchor="_Toc83035731" w:history="1">
        <w:r w:rsidR="000957EE" w:rsidRPr="00061E5C">
          <w:rPr>
            <w:rStyle w:val="Hyperlink"/>
          </w:rPr>
          <w:t>Map 1.1</w:t>
        </w:r>
        <w:r w:rsidR="000957EE">
          <w:rPr>
            <w:rFonts w:asciiTheme="minorHAnsi" w:eastAsiaTheme="minorEastAsia" w:hAnsiTheme="minorHAnsi" w:cstheme="minorBidi"/>
            <w:bCs w:val="0"/>
            <w:sz w:val="22"/>
            <w:szCs w:val="22"/>
            <w:lang w:eastAsia="en-GB"/>
          </w:rPr>
          <w:tab/>
        </w:r>
        <w:r w:rsidR="000957EE" w:rsidRPr="00061E5C">
          <w:rPr>
            <w:rStyle w:val="Hyperlink"/>
          </w:rPr>
          <w:t>Medway Wards, Medway Key Development Locations and Neighbourhood Planning Areas</w:t>
        </w:r>
        <w:r w:rsidR="000957EE">
          <w:rPr>
            <w:webHidden/>
          </w:rPr>
          <w:tab/>
        </w:r>
        <w:r w:rsidR="000957EE">
          <w:rPr>
            <w:webHidden/>
          </w:rPr>
          <w:fldChar w:fldCharType="begin"/>
        </w:r>
        <w:r w:rsidR="000957EE">
          <w:rPr>
            <w:webHidden/>
          </w:rPr>
          <w:instrText xml:space="preserve"> PAGEREF _Toc83035731 \h </w:instrText>
        </w:r>
        <w:r w:rsidR="000957EE">
          <w:rPr>
            <w:webHidden/>
          </w:rPr>
        </w:r>
        <w:r w:rsidR="000957EE">
          <w:rPr>
            <w:webHidden/>
          </w:rPr>
          <w:fldChar w:fldCharType="separate"/>
        </w:r>
        <w:r w:rsidR="001877C1">
          <w:rPr>
            <w:webHidden/>
          </w:rPr>
          <w:t>18</w:t>
        </w:r>
        <w:r w:rsidR="000957EE">
          <w:rPr>
            <w:webHidden/>
          </w:rPr>
          <w:fldChar w:fldCharType="end"/>
        </w:r>
      </w:hyperlink>
    </w:p>
    <w:p w14:paraId="3D431140" w14:textId="0E4E1140" w:rsidR="000957EE" w:rsidRDefault="001163AD">
      <w:pPr>
        <w:pStyle w:val="TOC1"/>
        <w:rPr>
          <w:rFonts w:asciiTheme="minorHAnsi" w:eastAsiaTheme="minorEastAsia" w:hAnsiTheme="minorHAnsi" w:cstheme="minorBidi"/>
          <w:bCs w:val="0"/>
          <w:sz w:val="22"/>
          <w:szCs w:val="22"/>
          <w:lang w:eastAsia="en-GB"/>
        </w:rPr>
      </w:pPr>
      <w:hyperlink w:anchor="_Toc83035732" w:history="1">
        <w:r w:rsidR="000957EE" w:rsidRPr="00061E5C">
          <w:rPr>
            <w:rStyle w:val="Hyperlink"/>
          </w:rPr>
          <w:t>Map 2.1</w:t>
        </w:r>
        <w:r w:rsidR="000957EE">
          <w:rPr>
            <w:rFonts w:asciiTheme="minorHAnsi" w:eastAsiaTheme="minorEastAsia" w:hAnsiTheme="minorHAnsi" w:cstheme="minorBidi"/>
            <w:bCs w:val="0"/>
            <w:sz w:val="22"/>
            <w:szCs w:val="22"/>
            <w:lang w:eastAsia="en-GB"/>
          </w:rPr>
          <w:tab/>
        </w:r>
        <w:r w:rsidR="000957EE" w:rsidRPr="00061E5C">
          <w:rPr>
            <w:rStyle w:val="Hyperlink"/>
          </w:rPr>
          <w:t>Predominant dwelling type and size by built-up areas within LSOAs: Medway</w:t>
        </w:r>
        <w:r w:rsidR="000957EE">
          <w:rPr>
            <w:webHidden/>
          </w:rPr>
          <w:tab/>
        </w:r>
        <w:r w:rsidR="000957EE">
          <w:rPr>
            <w:webHidden/>
          </w:rPr>
          <w:fldChar w:fldCharType="begin"/>
        </w:r>
        <w:r w:rsidR="000957EE">
          <w:rPr>
            <w:webHidden/>
          </w:rPr>
          <w:instrText xml:space="preserve"> PAGEREF _Toc83035732 \h </w:instrText>
        </w:r>
        <w:r w:rsidR="000957EE">
          <w:rPr>
            <w:webHidden/>
          </w:rPr>
        </w:r>
        <w:r w:rsidR="000957EE">
          <w:rPr>
            <w:webHidden/>
          </w:rPr>
          <w:fldChar w:fldCharType="separate"/>
        </w:r>
        <w:r w:rsidR="001877C1">
          <w:rPr>
            <w:webHidden/>
          </w:rPr>
          <w:t>25</w:t>
        </w:r>
        <w:r w:rsidR="000957EE">
          <w:rPr>
            <w:webHidden/>
          </w:rPr>
          <w:fldChar w:fldCharType="end"/>
        </w:r>
      </w:hyperlink>
    </w:p>
    <w:p w14:paraId="50F997DF" w14:textId="4D5554E8" w:rsidR="000957EE" w:rsidRDefault="001163AD">
      <w:pPr>
        <w:pStyle w:val="TOC1"/>
        <w:rPr>
          <w:rFonts w:asciiTheme="minorHAnsi" w:eastAsiaTheme="minorEastAsia" w:hAnsiTheme="minorHAnsi" w:cstheme="minorBidi"/>
          <w:bCs w:val="0"/>
          <w:sz w:val="22"/>
          <w:szCs w:val="22"/>
          <w:lang w:eastAsia="en-GB"/>
        </w:rPr>
      </w:pPr>
      <w:hyperlink w:anchor="_Toc83035733" w:history="1">
        <w:r w:rsidR="000957EE" w:rsidRPr="00061E5C">
          <w:rPr>
            <w:rStyle w:val="Hyperlink"/>
          </w:rPr>
          <w:t xml:space="preserve">Map 2.2 </w:t>
        </w:r>
        <w:r w:rsidR="000957EE">
          <w:rPr>
            <w:rFonts w:asciiTheme="minorHAnsi" w:eastAsiaTheme="minorEastAsia" w:hAnsiTheme="minorHAnsi" w:cstheme="minorBidi"/>
            <w:bCs w:val="0"/>
            <w:sz w:val="22"/>
            <w:szCs w:val="22"/>
            <w:lang w:eastAsia="en-GB"/>
          </w:rPr>
          <w:tab/>
        </w:r>
        <w:r w:rsidR="000957EE" w:rsidRPr="00061E5C">
          <w:rPr>
            <w:rStyle w:val="Hyperlink"/>
          </w:rPr>
          <w:t>Household characteristics: household type by LSOA, 2020</w:t>
        </w:r>
        <w:r w:rsidR="000957EE">
          <w:rPr>
            <w:webHidden/>
          </w:rPr>
          <w:tab/>
        </w:r>
        <w:r w:rsidR="000957EE">
          <w:rPr>
            <w:webHidden/>
          </w:rPr>
          <w:fldChar w:fldCharType="begin"/>
        </w:r>
        <w:r w:rsidR="000957EE">
          <w:rPr>
            <w:webHidden/>
          </w:rPr>
          <w:instrText xml:space="preserve"> PAGEREF _Toc83035733 \h </w:instrText>
        </w:r>
        <w:r w:rsidR="000957EE">
          <w:rPr>
            <w:webHidden/>
          </w:rPr>
        </w:r>
        <w:r w:rsidR="000957EE">
          <w:rPr>
            <w:webHidden/>
          </w:rPr>
          <w:fldChar w:fldCharType="separate"/>
        </w:r>
        <w:r w:rsidR="001877C1">
          <w:rPr>
            <w:webHidden/>
          </w:rPr>
          <w:t>52</w:t>
        </w:r>
        <w:r w:rsidR="000957EE">
          <w:rPr>
            <w:webHidden/>
          </w:rPr>
          <w:fldChar w:fldCharType="end"/>
        </w:r>
      </w:hyperlink>
    </w:p>
    <w:p w14:paraId="124414C4" w14:textId="70E5E4A5" w:rsidR="000957EE" w:rsidRDefault="001163AD">
      <w:pPr>
        <w:pStyle w:val="TOC1"/>
        <w:rPr>
          <w:rFonts w:asciiTheme="minorHAnsi" w:eastAsiaTheme="minorEastAsia" w:hAnsiTheme="minorHAnsi" w:cstheme="minorBidi"/>
          <w:bCs w:val="0"/>
          <w:sz w:val="22"/>
          <w:szCs w:val="22"/>
          <w:lang w:eastAsia="en-GB"/>
        </w:rPr>
      </w:pPr>
      <w:hyperlink w:anchor="_Toc83035734" w:history="1">
        <w:r w:rsidR="000957EE" w:rsidRPr="00061E5C">
          <w:rPr>
            <w:rStyle w:val="Hyperlink"/>
          </w:rPr>
          <w:t>Map 2.3</w:t>
        </w:r>
        <w:r w:rsidR="000957EE">
          <w:rPr>
            <w:rFonts w:asciiTheme="minorHAnsi" w:eastAsiaTheme="minorEastAsia" w:hAnsiTheme="minorHAnsi" w:cstheme="minorBidi"/>
            <w:bCs w:val="0"/>
            <w:sz w:val="22"/>
            <w:szCs w:val="22"/>
            <w:lang w:eastAsia="en-GB"/>
          </w:rPr>
          <w:tab/>
        </w:r>
        <w:r w:rsidR="000957EE" w:rsidRPr="00061E5C">
          <w:rPr>
            <w:rStyle w:val="Hyperlink"/>
          </w:rPr>
          <w:t>Household characteristics: income type, by LSOA, 2020</w:t>
        </w:r>
        <w:r w:rsidR="000957EE">
          <w:rPr>
            <w:webHidden/>
          </w:rPr>
          <w:tab/>
        </w:r>
        <w:r w:rsidR="000957EE">
          <w:rPr>
            <w:webHidden/>
          </w:rPr>
          <w:fldChar w:fldCharType="begin"/>
        </w:r>
        <w:r w:rsidR="000957EE">
          <w:rPr>
            <w:webHidden/>
          </w:rPr>
          <w:instrText xml:space="preserve"> PAGEREF _Toc83035734 \h </w:instrText>
        </w:r>
        <w:r w:rsidR="000957EE">
          <w:rPr>
            <w:webHidden/>
          </w:rPr>
        </w:r>
        <w:r w:rsidR="000957EE">
          <w:rPr>
            <w:webHidden/>
          </w:rPr>
          <w:fldChar w:fldCharType="separate"/>
        </w:r>
        <w:r w:rsidR="001877C1">
          <w:rPr>
            <w:webHidden/>
          </w:rPr>
          <w:t>53</w:t>
        </w:r>
        <w:r w:rsidR="000957EE">
          <w:rPr>
            <w:webHidden/>
          </w:rPr>
          <w:fldChar w:fldCharType="end"/>
        </w:r>
      </w:hyperlink>
    </w:p>
    <w:p w14:paraId="58DD5302" w14:textId="09F7E179" w:rsidR="000957EE" w:rsidRDefault="001163AD">
      <w:pPr>
        <w:pStyle w:val="TOC1"/>
        <w:rPr>
          <w:rFonts w:asciiTheme="minorHAnsi" w:eastAsiaTheme="minorEastAsia" w:hAnsiTheme="minorHAnsi" w:cstheme="minorBidi"/>
          <w:bCs w:val="0"/>
          <w:sz w:val="22"/>
          <w:szCs w:val="22"/>
          <w:lang w:eastAsia="en-GB"/>
        </w:rPr>
      </w:pPr>
      <w:hyperlink w:anchor="_Toc83035735" w:history="1">
        <w:r w:rsidR="000957EE" w:rsidRPr="00061E5C">
          <w:rPr>
            <w:rStyle w:val="Hyperlink"/>
          </w:rPr>
          <w:t>Map 3.1</w:t>
        </w:r>
        <w:r w:rsidR="000957EE">
          <w:rPr>
            <w:rFonts w:asciiTheme="minorHAnsi" w:eastAsiaTheme="minorEastAsia" w:hAnsiTheme="minorHAnsi" w:cstheme="minorBidi"/>
            <w:bCs w:val="0"/>
            <w:sz w:val="22"/>
            <w:szCs w:val="22"/>
            <w:lang w:eastAsia="en-GB"/>
          </w:rPr>
          <w:tab/>
        </w:r>
        <w:r w:rsidR="000957EE" w:rsidRPr="00061E5C">
          <w:rPr>
            <w:rStyle w:val="Hyperlink"/>
          </w:rPr>
          <w:t>Lower quartile house prices 2019 by built-up areas within the LSOAs of Medway</w:t>
        </w:r>
        <w:r w:rsidR="000957EE">
          <w:rPr>
            <w:webHidden/>
          </w:rPr>
          <w:tab/>
        </w:r>
        <w:r w:rsidR="000957EE">
          <w:rPr>
            <w:webHidden/>
          </w:rPr>
          <w:fldChar w:fldCharType="begin"/>
        </w:r>
        <w:r w:rsidR="000957EE">
          <w:rPr>
            <w:webHidden/>
          </w:rPr>
          <w:instrText xml:space="preserve"> PAGEREF _Toc83035735 \h </w:instrText>
        </w:r>
        <w:r w:rsidR="000957EE">
          <w:rPr>
            <w:webHidden/>
          </w:rPr>
        </w:r>
        <w:r w:rsidR="000957EE">
          <w:rPr>
            <w:webHidden/>
          </w:rPr>
          <w:fldChar w:fldCharType="separate"/>
        </w:r>
        <w:r w:rsidR="001877C1">
          <w:rPr>
            <w:webHidden/>
          </w:rPr>
          <w:t>63</w:t>
        </w:r>
        <w:r w:rsidR="000957EE">
          <w:rPr>
            <w:webHidden/>
          </w:rPr>
          <w:fldChar w:fldCharType="end"/>
        </w:r>
      </w:hyperlink>
    </w:p>
    <w:p w14:paraId="3DC64938" w14:textId="3C2A23D1" w:rsidR="000957EE" w:rsidRDefault="001163AD">
      <w:pPr>
        <w:pStyle w:val="TOC1"/>
        <w:rPr>
          <w:rFonts w:asciiTheme="minorHAnsi" w:eastAsiaTheme="minorEastAsia" w:hAnsiTheme="minorHAnsi" w:cstheme="minorBidi"/>
          <w:bCs w:val="0"/>
          <w:sz w:val="22"/>
          <w:szCs w:val="22"/>
          <w:lang w:eastAsia="en-GB"/>
        </w:rPr>
      </w:pPr>
      <w:hyperlink w:anchor="_Toc83035736" w:history="1">
        <w:r w:rsidR="000957EE" w:rsidRPr="00061E5C">
          <w:rPr>
            <w:rStyle w:val="Hyperlink"/>
          </w:rPr>
          <w:t>Map 3.2</w:t>
        </w:r>
        <w:r w:rsidR="000957EE">
          <w:rPr>
            <w:rFonts w:asciiTheme="minorHAnsi" w:eastAsiaTheme="minorEastAsia" w:hAnsiTheme="minorHAnsi" w:cstheme="minorBidi"/>
            <w:bCs w:val="0"/>
            <w:sz w:val="22"/>
            <w:szCs w:val="22"/>
            <w:lang w:eastAsia="en-GB"/>
          </w:rPr>
          <w:tab/>
        </w:r>
        <w:r w:rsidR="000957EE" w:rsidRPr="00061E5C">
          <w:rPr>
            <w:rStyle w:val="Hyperlink"/>
          </w:rPr>
          <w:t>Median house prices 2019 by built-up areas within the LSOAs of Medway</w:t>
        </w:r>
        <w:r w:rsidR="000957EE">
          <w:rPr>
            <w:webHidden/>
          </w:rPr>
          <w:tab/>
        </w:r>
        <w:r w:rsidR="000957EE">
          <w:rPr>
            <w:webHidden/>
          </w:rPr>
          <w:fldChar w:fldCharType="begin"/>
        </w:r>
        <w:r w:rsidR="000957EE">
          <w:rPr>
            <w:webHidden/>
          </w:rPr>
          <w:instrText xml:space="preserve"> PAGEREF _Toc83035736 \h </w:instrText>
        </w:r>
        <w:r w:rsidR="000957EE">
          <w:rPr>
            <w:webHidden/>
          </w:rPr>
        </w:r>
        <w:r w:rsidR="000957EE">
          <w:rPr>
            <w:webHidden/>
          </w:rPr>
          <w:fldChar w:fldCharType="separate"/>
        </w:r>
        <w:r w:rsidR="001877C1">
          <w:rPr>
            <w:webHidden/>
          </w:rPr>
          <w:t>64</w:t>
        </w:r>
        <w:r w:rsidR="000957EE">
          <w:rPr>
            <w:webHidden/>
          </w:rPr>
          <w:fldChar w:fldCharType="end"/>
        </w:r>
      </w:hyperlink>
    </w:p>
    <w:p w14:paraId="7AF3CCD8" w14:textId="7D7EB6A4" w:rsidR="000957EE" w:rsidRDefault="001163AD">
      <w:pPr>
        <w:pStyle w:val="TOC1"/>
        <w:rPr>
          <w:rFonts w:asciiTheme="minorHAnsi" w:eastAsiaTheme="minorEastAsia" w:hAnsiTheme="minorHAnsi" w:cstheme="minorBidi"/>
          <w:bCs w:val="0"/>
          <w:sz w:val="22"/>
          <w:szCs w:val="22"/>
          <w:lang w:eastAsia="en-GB"/>
        </w:rPr>
      </w:pPr>
      <w:hyperlink w:anchor="_Toc83035737" w:history="1">
        <w:r w:rsidR="000957EE" w:rsidRPr="00061E5C">
          <w:rPr>
            <w:rStyle w:val="Hyperlink"/>
          </w:rPr>
          <w:t>Map 3.3</w:t>
        </w:r>
        <w:r w:rsidR="000957EE">
          <w:rPr>
            <w:rFonts w:asciiTheme="minorHAnsi" w:eastAsiaTheme="minorEastAsia" w:hAnsiTheme="minorHAnsi" w:cstheme="minorBidi"/>
            <w:bCs w:val="0"/>
            <w:sz w:val="22"/>
            <w:szCs w:val="22"/>
            <w:lang w:eastAsia="en-GB"/>
          </w:rPr>
          <w:tab/>
        </w:r>
        <w:r w:rsidR="000957EE" w:rsidRPr="00061E5C">
          <w:rPr>
            <w:rStyle w:val="Hyperlink"/>
          </w:rPr>
          <w:t>2020 lower quartile rents across Medway by built up areas within LSOAs</w:t>
        </w:r>
        <w:r w:rsidR="000957EE">
          <w:rPr>
            <w:webHidden/>
          </w:rPr>
          <w:tab/>
        </w:r>
        <w:r w:rsidR="000957EE">
          <w:rPr>
            <w:webHidden/>
          </w:rPr>
          <w:fldChar w:fldCharType="begin"/>
        </w:r>
        <w:r w:rsidR="000957EE">
          <w:rPr>
            <w:webHidden/>
          </w:rPr>
          <w:instrText xml:space="preserve"> PAGEREF _Toc83035737 \h </w:instrText>
        </w:r>
        <w:r w:rsidR="000957EE">
          <w:rPr>
            <w:webHidden/>
          </w:rPr>
        </w:r>
        <w:r w:rsidR="000957EE">
          <w:rPr>
            <w:webHidden/>
          </w:rPr>
          <w:fldChar w:fldCharType="separate"/>
        </w:r>
        <w:r w:rsidR="001877C1">
          <w:rPr>
            <w:webHidden/>
          </w:rPr>
          <w:t>67</w:t>
        </w:r>
        <w:r w:rsidR="000957EE">
          <w:rPr>
            <w:webHidden/>
          </w:rPr>
          <w:fldChar w:fldCharType="end"/>
        </w:r>
      </w:hyperlink>
    </w:p>
    <w:p w14:paraId="7606830F" w14:textId="69224720" w:rsidR="000957EE" w:rsidRDefault="001163AD">
      <w:pPr>
        <w:pStyle w:val="TOC1"/>
        <w:rPr>
          <w:rFonts w:asciiTheme="minorHAnsi" w:eastAsiaTheme="minorEastAsia" w:hAnsiTheme="minorHAnsi" w:cstheme="minorBidi"/>
          <w:bCs w:val="0"/>
          <w:sz w:val="22"/>
          <w:szCs w:val="22"/>
          <w:lang w:eastAsia="en-GB"/>
        </w:rPr>
      </w:pPr>
      <w:hyperlink w:anchor="_Toc83035738" w:history="1">
        <w:r w:rsidR="000957EE" w:rsidRPr="00061E5C">
          <w:rPr>
            <w:rStyle w:val="Hyperlink"/>
          </w:rPr>
          <w:t>Map 3.4</w:t>
        </w:r>
        <w:r w:rsidR="000957EE">
          <w:rPr>
            <w:rFonts w:asciiTheme="minorHAnsi" w:eastAsiaTheme="minorEastAsia" w:hAnsiTheme="minorHAnsi" w:cstheme="minorBidi"/>
            <w:bCs w:val="0"/>
            <w:sz w:val="22"/>
            <w:szCs w:val="22"/>
            <w:lang w:eastAsia="en-GB"/>
          </w:rPr>
          <w:tab/>
        </w:r>
        <w:r w:rsidR="000957EE" w:rsidRPr="00061E5C">
          <w:rPr>
            <w:rStyle w:val="Hyperlink"/>
          </w:rPr>
          <w:t>2020 median rents across Medway by built up areas within LSOAs</w:t>
        </w:r>
        <w:r w:rsidR="000957EE">
          <w:rPr>
            <w:webHidden/>
          </w:rPr>
          <w:tab/>
        </w:r>
        <w:r w:rsidR="000957EE">
          <w:rPr>
            <w:webHidden/>
          </w:rPr>
          <w:fldChar w:fldCharType="begin"/>
        </w:r>
        <w:r w:rsidR="000957EE">
          <w:rPr>
            <w:webHidden/>
          </w:rPr>
          <w:instrText xml:space="preserve"> PAGEREF _Toc83035738 \h </w:instrText>
        </w:r>
        <w:r w:rsidR="000957EE">
          <w:rPr>
            <w:webHidden/>
          </w:rPr>
        </w:r>
        <w:r w:rsidR="000957EE">
          <w:rPr>
            <w:webHidden/>
          </w:rPr>
          <w:fldChar w:fldCharType="separate"/>
        </w:r>
        <w:r w:rsidR="001877C1">
          <w:rPr>
            <w:webHidden/>
          </w:rPr>
          <w:t>68</w:t>
        </w:r>
        <w:r w:rsidR="000957EE">
          <w:rPr>
            <w:webHidden/>
          </w:rPr>
          <w:fldChar w:fldCharType="end"/>
        </w:r>
      </w:hyperlink>
    </w:p>
    <w:p w14:paraId="72DEDBBE" w14:textId="645CEB37" w:rsidR="000957EE" w:rsidRDefault="001163AD">
      <w:pPr>
        <w:pStyle w:val="TOC1"/>
        <w:rPr>
          <w:rFonts w:asciiTheme="minorHAnsi" w:eastAsiaTheme="minorEastAsia" w:hAnsiTheme="minorHAnsi" w:cstheme="minorBidi"/>
          <w:bCs w:val="0"/>
          <w:sz w:val="22"/>
          <w:szCs w:val="22"/>
          <w:lang w:eastAsia="en-GB"/>
        </w:rPr>
      </w:pPr>
      <w:hyperlink w:anchor="_Toc83035739" w:history="1">
        <w:r w:rsidR="000957EE" w:rsidRPr="00061E5C">
          <w:rPr>
            <w:rStyle w:val="Hyperlink"/>
          </w:rPr>
          <w:t>Map 3.5</w:t>
        </w:r>
        <w:r w:rsidR="000957EE">
          <w:rPr>
            <w:rFonts w:asciiTheme="minorHAnsi" w:eastAsiaTheme="minorEastAsia" w:hAnsiTheme="minorHAnsi" w:cstheme="minorBidi"/>
            <w:bCs w:val="0"/>
            <w:sz w:val="22"/>
            <w:szCs w:val="22"/>
            <w:lang w:eastAsia="en-GB"/>
          </w:rPr>
          <w:tab/>
        </w:r>
        <w:r w:rsidR="000957EE" w:rsidRPr="00061E5C">
          <w:rPr>
            <w:rStyle w:val="Hyperlink"/>
          </w:rPr>
          <w:t>Private rented sector Non-Passported Housing Benefit 2020</w:t>
        </w:r>
        <w:r w:rsidR="000957EE">
          <w:rPr>
            <w:webHidden/>
          </w:rPr>
          <w:tab/>
        </w:r>
        <w:r w:rsidR="000957EE">
          <w:rPr>
            <w:webHidden/>
          </w:rPr>
          <w:fldChar w:fldCharType="begin"/>
        </w:r>
        <w:r w:rsidR="000957EE">
          <w:rPr>
            <w:webHidden/>
          </w:rPr>
          <w:instrText xml:space="preserve"> PAGEREF _Toc83035739 \h </w:instrText>
        </w:r>
        <w:r w:rsidR="000957EE">
          <w:rPr>
            <w:webHidden/>
          </w:rPr>
        </w:r>
        <w:r w:rsidR="000957EE">
          <w:rPr>
            <w:webHidden/>
          </w:rPr>
          <w:fldChar w:fldCharType="separate"/>
        </w:r>
        <w:r w:rsidR="001877C1">
          <w:rPr>
            <w:webHidden/>
          </w:rPr>
          <w:t>69</w:t>
        </w:r>
        <w:r w:rsidR="000957EE">
          <w:rPr>
            <w:webHidden/>
          </w:rPr>
          <w:fldChar w:fldCharType="end"/>
        </w:r>
      </w:hyperlink>
    </w:p>
    <w:p w14:paraId="6AA10D9E" w14:textId="51DDC37E" w:rsidR="000957EE" w:rsidRDefault="001163AD">
      <w:pPr>
        <w:pStyle w:val="TOC1"/>
        <w:rPr>
          <w:rFonts w:asciiTheme="minorHAnsi" w:eastAsiaTheme="minorEastAsia" w:hAnsiTheme="minorHAnsi" w:cstheme="minorBidi"/>
          <w:bCs w:val="0"/>
          <w:sz w:val="22"/>
          <w:szCs w:val="22"/>
          <w:lang w:eastAsia="en-GB"/>
        </w:rPr>
      </w:pPr>
      <w:hyperlink w:anchor="_Toc83035740" w:history="1">
        <w:r w:rsidR="000957EE" w:rsidRPr="00061E5C">
          <w:rPr>
            <w:rStyle w:val="Hyperlink"/>
          </w:rPr>
          <w:t>Map 5.1</w:t>
        </w:r>
        <w:r w:rsidR="000957EE">
          <w:rPr>
            <w:rFonts w:asciiTheme="minorHAnsi" w:eastAsiaTheme="minorEastAsia" w:hAnsiTheme="minorHAnsi" w:cstheme="minorBidi"/>
            <w:bCs w:val="0"/>
            <w:sz w:val="22"/>
            <w:szCs w:val="22"/>
            <w:lang w:eastAsia="en-GB"/>
          </w:rPr>
          <w:tab/>
        </w:r>
        <w:r w:rsidR="000957EE" w:rsidRPr="00061E5C">
          <w:rPr>
            <w:rStyle w:val="Hyperlink"/>
          </w:rPr>
          <w:t>Current older persons accommodation across Medway</w:t>
        </w:r>
        <w:r w:rsidR="000957EE">
          <w:rPr>
            <w:webHidden/>
          </w:rPr>
          <w:tab/>
        </w:r>
        <w:r w:rsidR="000957EE">
          <w:rPr>
            <w:webHidden/>
          </w:rPr>
          <w:fldChar w:fldCharType="begin"/>
        </w:r>
        <w:r w:rsidR="000957EE">
          <w:rPr>
            <w:webHidden/>
          </w:rPr>
          <w:instrText xml:space="preserve"> PAGEREF _Toc83035740 \h </w:instrText>
        </w:r>
        <w:r w:rsidR="000957EE">
          <w:rPr>
            <w:webHidden/>
          </w:rPr>
        </w:r>
        <w:r w:rsidR="000957EE">
          <w:rPr>
            <w:webHidden/>
          </w:rPr>
          <w:fldChar w:fldCharType="separate"/>
        </w:r>
        <w:r w:rsidR="001877C1">
          <w:rPr>
            <w:webHidden/>
          </w:rPr>
          <w:t>105</w:t>
        </w:r>
        <w:r w:rsidR="000957EE">
          <w:rPr>
            <w:webHidden/>
          </w:rPr>
          <w:fldChar w:fldCharType="end"/>
        </w:r>
      </w:hyperlink>
    </w:p>
    <w:p w14:paraId="7D083405" w14:textId="3F946182" w:rsidR="00CE1BDB" w:rsidRPr="00FA4DC7" w:rsidRDefault="00CE1BDB" w:rsidP="00CE1BDB">
      <w:pPr>
        <w:tabs>
          <w:tab w:val="left" w:pos="0"/>
          <w:tab w:val="left" w:pos="709"/>
          <w:tab w:val="left" w:pos="1418"/>
        </w:tabs>
        <w:rPr>
          <w:rFonts w:cs="Arial"/>
          <w:highlight w:val="yellow"/>
        </w:rPr>
      </w:pPr>
      <w:r w:rsidRPr="00FA4DC7">
        <w:rPr>
          <w:rFonts w:cs="Arial"/>
          <w:highlight w:val="yellow"/>
        </w:rPr>
        <w:fldChar w:fldCharType="end"/>
      </w:r>
    </w:p>
    <w:p w14:paraId="3EC0A67E" w14:textId="77777777" w:rsidR="00CE1BDB" w:rsidRPr="00FA4DC7" w:rsidRDefault="00CE1BDB" w:rsidP="00CE1BDB">
      <w:pPr>
        <w:pStyle w:val="TOCHeading1"/>
        <w:tabs>
          <w:tab w:val="left" w:pos="0"/>
          <w:tab w:val="left" w:pos="709"/>
          <w:tab w:val="left" w:pos="1418"/>
        </w:tabs>
        <w:rPr>
          <w:lang w:eastAsia="en-GB"/>
        </w:rPr>
      </w:pPr>
      <w:r w:rsidRPr="00FA4DC7">
        <w:rPr>
          <w:lang w:eastAsia="en-GB"/>
        </w:rPr>
        <w:t>List of Tables</w:t>
      </w:r>
    </w:p>
    <w:p w14:paraId="7FD92E3C" w14:textId="26C1F6E2" w:rsidR="000957EE" w:rsidRDefault="00CE1BDB">
      <w:pPr>
        <w:pStyle w:val="TOC1"/>
        <w:rPr>
          <w:rFonts w:asciiTheme="minorHAnsi" w:eastAsiaTheme="minorEastAsia" w:hAnsiTheme="minorHAnsi" w:cstheme="minorBidi"/>
          <w:bCs w:val="0"/>
          <w:sz w:val="22"/>
          <w:szCs w:val="22"/>
          <w:lang w:eastAsia="en-GB"/>
        </w:rPr>
      </w:pPr>
      <w:r w:rsidRPr="00FA4DC7">
        <w:rPr>
          <w:rFonts w:cs="Arial"/>
          <w:iCs/>
          <w:color w:val="008080"/>
          <w:szCs w:val="20"/>
          <w:highlight w:val="yellow"/>
          <w:lang w:eastAsia="en-GB"/>
        </w:rPr>
        <w:fldChar w:fldCharType="begin"/>
      </w:r>
      <w:r w:rsidRPr="00FA4DC7">
        <w:rPr>
          <w:rFonts w:cs="Arial"/>
          <w:iCs/>
          <w:color w:val="008080"/>
          <w:szCs w:val="20"/>
          <w:highlight w:val="yellow"/>
          <w:lang w:eastAsia="en-GB"/>
        </w:rPr>
        <w:instrText xml:space="preserve"> TOC \h \z \t "Tableheading" </w:instrText>
      </w:r>
      <w:r w:rsidRPr="00FA4DC7">
        <w:rPr>
          <w:rFonts w:cs="Arial"/>
          <w:iCs/>
          <w:color w:val="008080"/>
          <w:szCs w:val="20"/>
          <w:highlight w:val="yellow"/>
          <w:lang w:eastAsia="en-GB"/>
        </w:rPr>
        <w:fldChar w:fldCharType="separate"/>
      </w:r>
      <w:hyperlink w:anchor="_Toc83036051" w:history="1">
        <w:r w:rsidR="000957EE" w:rsidRPr="00931CEA">
          <w:rPr>
            <w:rStyle w:val="Hyperlink"/>
          </w:rPr>
          <w:t xml:space="preserve">Table ES1 </w:t>
        </w:r>
        <w:r w:rsidR="000957EE">
          <w:rPr>
            <w:rFonts w:asciiTheme="minorHAnsi" w:eastAsiaTheme="minorEastAsia" w:hAnsiTheme="minorHAnsi" w:cstheme="minorBidi"/>
            <w:bCs w:val="0"/>
            <w:sz w:val="22"/>
            <w:szCs w:val="22"/>
            <w:lang w:eastAsia="en-GB"/>
          </w:rPr>
          <w:tab/>
        </w:r>
        <w:r w:rsidR="000957EE" w:rsidRPr="00931CEA">
          <w:rPr>
            <w:rStyle w:val="Hyperlink"/>
          </w:rPr>
          <w:t>Summary of overall dwelling mix by tenure</w:t>
        </w:r>
        <w:r w:rsidR="000957EE">
          <w:rPr>
            <w:webHidden/>
          </w:rPr>
          <w:tab/>
        </w:r>
        <w:r w:rsidR="000957EE">
          <w:rPr>
            <w:webHidden/>
          </w:rPr>
          <w:fldChar w:fldCharType="begin"/>
        </w:r>
        <w:r w:rsidR="000957EE">
          <w:rPr>
            <w:webHidden/>
          </w:rPr>
          <w:instrText xml:space="preserve"> PAGEREF _Toc83036051 \h </w:instrText>
        </w:r>
        <w:r w:rsidR="000957EE">
          <w:rPr>
            <w:webHidden/>
          </w:rPr>
        </w:r>
        <w:r w:rsidR="000957EE">
          <w:rPr>
            <w:webHidden/>
          </w:rPr>
          <w:fldChar w:fldCharType="separate"/>
        </w:r>
        <w:r w:rsidR="001877C1">
          <w:rPr>
            <w:webHidden/>
          </w:rPr>
          <w:t>11</w:t>
        </w:r>
        <w:r w:rsidR="000957EE">
          <w:rPr>
            <w:webHidden/>
          </w:rPr>
          <w:fldChar w:fldCharType="end"/>
        </w:r>
      </w:hyperlink>
    </w:p>
    <w:p w14:paraId="49CFB559" w14:textId="13C5E10A" w:rsidR="000957EE" w:rsidRDefault="001163AD">
      <w:pPr>
        <w:pStyle w:val="TOC1"/>
        <w:rPr>
          <w:rFonts w:asciiTheme="minorHAnsi" w:eastAsiaTheme="minorEastAsia" w:hAnsiTheme="minorHAnsi" w:cstheme="minorBidi"/>
          <w:bCs w:val="0"/>
          <w:sz w:val="22"/>
          <w:szCs w:val="22"/>
          <w:lang w:eastAsia="en-GB"/>
        </w:rPr>
      </w:pPr>
      <w:hyperlink w:anchor="_Toc83036052" w:history="1">
        <w:r w:rsidR="000957EE" w:rsidRPr="00931CEA">
          <w:rPr>
            <w:rStyle w:val="Hyperlink"/>
            <w:rFonts w:cs="Arial"/>
          </w:rPr>
          <w:t>Table 2.1</w:t>
        </w:r>
        <w:r w:rsidR="000957EE">
          <w:rPr>
            <w:rFonts w:asciiTheme="minorHAnsi" w:eastAsiaTheme="minorEastAsia" w:hAnsiTheme="minorHAnsi" w:cstheme="minorBidi"/>
            <w:bCs w:val="0"/>
            <w:sz w:val="22"/>
            <w:szCs w:val="22"/>
            <w:lang w:eastAsia="en-GB"/>
          </w:rPr>
          <w:tab/>
        </w:r>
        <w:r w:rsidR="000957EE" w:rsidRPr="00931CEA">
          <w:rPr>
            <w:rStyle w:val="Hyperlink"/>
            <w:rFonts w:cs="Arial"/>
            <w:lang w:val="en-US"/>
          </w:rPr>
          <w:t xml:space="preserve">Dwelling </w:t>
        </w:r>
        <w:r w:rsidR="000957EE" w:rsidRPr="00931CEA">
          <w:rPr>
            <w:rStyle w:val="Hyperlink"/>
            <w:rFonts w:cs="Arial"/>
          </w:rPr>
          <w:t>stock</w:t>
        </w:r>
        <w:r w:rsidR="000957EE" w:rsidRPr="00931CEA">
          <w:rPr>
            <w:rStyle w:val="Hyperlink"/>
            <w:rFonts w:cs="Arial"/>
            <w:lang w:val="en-US"/>
          </w:rPr>
          <w:t xml:space="preserve"> and household </w:t>
        </w:r>
        <w:r w:rsidR="000957EE" w:rsidRPr="00931CEA">
          <w:rPr>
            <w:rStyle w:val="Hyperlink"/>
            <w:rFonts w:cs="Arial"/>
          </w:rPr>
          <w:t>estimates</w:t>
        </w:r>
        <w:r w:rsidR="000957EE">
          <w:rPr>
            <w:webHidden/>
          </w:rPr>
          <w:tab/>
        </w:r>
        <w:r w:rsidR="000957EE">
          <w:rPr>
            <w:webHidden/>
          </w:rPr>
          <w:fldChar w:fldCharType="begin"/>
        </w:r>
        <w:r w:rsidR="000957EE">
          <w:rPr>
            <w:webHidden/>
          </w:rPr>
          <w:instrText xml:space="preserve"> PAGEREF _Toc83036052 \h </w:instrText>
        </w:r>
        <w:r w:rsidR="000957EE">
          <w:rPr>
            <w:webHidden/>
          </w:rPr>
        </w:r>
        <w:r w:rsidR="000957EE">
          <w:rPr>
            <w:webHidden/>
          </w:rPr>
          <w:fldChar w:fldCharType="separate"/>
        </w:r>
        <w:r w:rsidR="001877C1">
          <w:rPr>
            <w:webHidden/>
          </w:rPr>
          <w:t>21</w:t>
        </w:r>
        <w:r w:rsidR="000957EE">
          <w:rPr>
            <w:webHidden/>
          </w:rPr>
          <w:fldChar w:fldCharType="end"/>
        </w:r>
      </w:hyperlink>
    </w:p>
    <w:p w14:paraId="406CF36B" w14:textId="070136F4" w:rsidR="000957EE" w:rsidRDefault="001163AD">
      <w:pPr>
        <w:pStyle w:val="TOC1"/>
        <w:rPr>
          <w:rFonts w:asciiTheme="minorHAnsi" w:eastAsiaTheme="minorEastAsia" w:hAnsiTheme="minorHAnsi" w:cstheme="minorBidi"/>
          <w:bCs w:val="0"/>
          <w:sz w:val="22"/>
          <w:szCs w:val="22"/>
          <w:lang w:eastAsia="en-GB"/>
        </w:rPr>
      </w:pPr>
      <w:hyperlink w:anchor="_Toc83036053" w:history="1">
        <w:r w:rsidR="000957EE" w:rsidRPr="00931CEA">
          <w:rPr>
            <w:rStyle w:val="Hyperlink"/>
          </w:rPr>
          <w:t>Table 2.2</w:t>
        </w:r>
        <w:r w:rsidR="000957EE">
          <w:rPr>
            <w:rFonts w:asciiTheme="minorHAnsi" w:eastAsiaTheme="minorEastAsia" w:hAnsiTheme="minorHAnsi" w:cstheme="minorBidi"/>
            <w:bCs w:val="0"/>
            <w:sz w:val="22"/>
            <w:szCs w:val="22"/>
            <w:lang w:eastAsia="en-GB"/>
          </w:rPr>
          <w:tab/>
        </w:r>
        <w:r w:rsidR="000957EE" w:rsidRPr="00931CEA">
          <w:rPr>
            <w:rStyle w:val="Hyperlink"/>
          </w:rPr>
          <w:t>Dwelling stock by ward, Key Development Locations and Neighbourhood Planning Areas</w:t>
        </w:r>
        <w:r w:rsidR="000957EE">
          <w:rPr>
            <w:webHidden/>
          </w:rPr>
          <w:tab/>
        </w:r>
        <w:r w:rsidR="000957EE">
          <w:rPr>
            <w:webHidden/>
          </w:rPr>
          <w:fldChar w:fldCharType="begin"/>
        </w:r>
        <w:r w:rsidR="000957EE">
          <w:rPr>
            <w:webHidden/>
          </w:rPr>
          <w:instrText xml:space="preserve"> PAGEREF _Toc83036053 \h </w:instrText>
        </w:r>
        <w:r w:rsidR="000957EE">
          <w:rPr>
            <w:webHidden/>
          </w:rPr>
        </w:r>
        <w:r w:rsidR="000957EE">
          <w:rPr>
            <w:webHidden/>
          </w:rPr>
          <w:fldChar w:fldCharType="separate"/>
        </w:r>
        <w:r w:rsidR="001877C1">
          <w:rPr>
            <w:webHidden/>
          </w:rPr>
          <w:t>22</w:t>
        </w:r>
        <w:r w:rsidR="000957EE">
          <w:rPr>
            <w:webHidden/>
          </w:rPr>
          <w:fldChar w:fldCharType="end"/>
        </w:r>
      </w:hyperlink>
    </w:p>
    <w:p w14:paraId="2EC332C7" w14:textId="78624747" w:rsidR="000957EE" w:rsidRDefault="001163AD">
      <w:pPr>
        <w:pStyle w:val="TOC1"/>
        <w:rPr>
          <w:rFonts w:asciiTheme="minorHAnsi" w:eastAsiaTheme="minorEastAsia" w:hAnsiTheme="minorHAnsi" w:cstheme="minorBidi"/>
          <w:bCs w:val="0"/>
          <w:sz w:val="22"/>
          <w:szCs w:val="22"/>
          <w:lang w:eastAsia="en-GB"/>
        </w:rPr>
      </w:pPr>
      <w:hyperlink w:anchor="_Toc83036054" w:history="1">
        <w:r w:rsidR="000957EE" w:rsidRPr="00931CEA">
          <w:rPr>
            <w:rStyle w:val="Hyperlink"/>
            <w:rFonts w:cs="Arial"/>
          </w:rPr>
          <w:t>Table 2.3</w:t>
        </w:r>
        <w:r w:rsidR="000957EE">
          <w:rPr>
            <w:rFonts w:asciiTheme="minorHAnsi" w:eastAsiaTheme="minorEastAsia" w:hAnsiTheme="minorHAnsi" w:cstheme="minorBidi"/>
            <w:bCs w:val="0"/>
            <w:sz w:val="22"/>
            <w:szCs w:val="22"/>
            <w:lang w:eastAsia="en-GB"/>
          </w:rPr>
          <w:tab/>
        </w:r>
        <w:r w:rsidR="000957EE" w:rsidRPr="00931CEA">
          <w:rPr>
            <w:rStyle w:val="Hyperlink"/>
            <w:rFonts w:cs="Arial"/>
            <w:lang w:val="en-US"/>
          </w:rPr>
          <w:t xml:space="preserve">Dwelling </w:t>
        </w:r>
        <w:r w:rsidR="000957EE" w:rsidRPr="00931CEA">
          <w:rPr>
            <w:rStyle w:val="Hyperlink"/>
            <w:rFonts w:cs="Arial"/>
          </w:rPr>
          <w:t>type, number of bedrooms and council tax band</w:t>
        </w:r>
        <w:r w:rsidR="000957EE">
          <w:rPr>
            <w:webHidden/>
          </w:rPr>
          <w:tab/>
        </w:r>
        <w:r w:rsidR="000957EE">
          <w:rPr>
            <w:webHidden/>
          </w:rPr>
          <w:fldChar w:fldCharType="begin"/>
        </w:r>
        <w:r w:rsidR="000957EE">
          <w:rPr>
            <w:webHidden/>
          </w:rPr>
          <w:instrText xml:space="preserve"> PAGEREF _Toc83036054 \h </w:instrText>
        </w:r>
        <w:r w:rsidR="000957EE">
          <w:rPr>
            <w:webHidden/>
          </w:rPr>
        </w:r>
        <w:r w:rsidR="000957EE">
          <w:rPr>
            <w:webHidden/>
          </w:rPr>
          <w:fldChar w:fldCharType="separate"/>
        </w:r>
        <w:r w:rsidR="001877C1">
          <w:rPr>
            <w:webHidden/>
          </w:rPr>
          <w:t>24</w:t>
        </w:r>
        <w:r w:rsidR="000957EE">
          <w:rPr>
            <w:webHidden/>
          </w:rPr>
          <w:fldChar w:fldCharType="end"/>
        </w:r>
      </w:hyperlink>
    </w:p>
    <w:p w14:paraId="117FCD25" w14:textId="009E8940" w:rsidR="000957EE" w:rsidRDefault="001163AD">
      <w:pPr>
        <w:pStyle w:val="TOC1"/>
        <w:rPr>
          <w:rFonts w:asciiTheme="minorHAnsi" w:eastAsiaTheme="minorEastAsia" w:hAnsiTheme="minorHAnsi" w:cstheme="minorBidi"/>
          <w:bCs w:val="0"/>
          <w:sz w:val="22"/>
          <w:szCs w:val="22"/>
          <w:lang w:eastAsia="en-GB"/>
        </w:rPr>
      </w:pPr>
      <w:hyperlink w:anchor="_Toc83036055" w:history="1">
        <w:r w:rsidR="000957EE" w:rsidRPr="00931CEA">
          <w:rPr>
            <w:rStyle w:val="Hyperlink"/>
            <w:rFonts w:cs="Arial"/>
          </w:rPr>
          <w:t>Table 2.4</w:t>
        </w:r>
        <w:r w:rsidR="000957EE">
          <w:rPr>
            <w:rFonts w:asciiTheme="minorHAnsi" w:eastAsiaTheme="minorEastAsia" w:hAnsiTheme="minorHAnsi" w:cstheme="minorBidi"/>
            <w:bCs w:val="0"/>
            <w:sz w:val="22"/>
            <w:szCs w:val="22"/>
            <w:lang w:eastAsia="en-GB"/>
          </w:rPr>
          <w:tab/>
        </w:r>
        <w:r w:rsidR="000957EE" w:rsidRPr="00931CEA">
          <w:rPr>
            <w:rStyle w:val="Hyperlink"/>
            <w:rFonts w:cs="Arial"/>
            <w:lang w:val="en-US"/>
          </w:rPr>
          <w:t xml:space="preserve">Dwelling </w:t>
        </w:r>
        <w:r w:rsidR="000957EE" w:rsidRPr="00931CEA">
          <w:rPr>
            <w:rStyle w:val="Hyperlink"/>
            <w:rFonts w:cs="Arial"/>
          </w:rPr>
          <w:t>type, number of bedrooms and council tax band summary</w:t>
        </w:r>
        <w:r w:rsidR="000957EE">
          <w:rPr>
            <w:webHidden/>
          </w:rPr>
          <w:tab/>
        </w:r>
        <w:r w:rsidR="000957EE">
          <w:rPr>
            <w:webHidden/>
          </w:rPr>
          <w:fldChar w:fldCharType="begin"/>
        </w:r>
        <w:r w:rsidR="000957EE">
          <w:rPr>
            <w:webHidden/>
          </w:rPr>
          <w:instrText xml:space="preserve"> PAGEREF _Toc83036055 \h </w:instrText>
        </w:r>
        <w:r w:rsidR="000957EE">
          <w:rPr>
            <w:webHidden/>
          </w:rPr>
        </w:r>
        <w:r w:rsidR="000957EE">
          <w:rPr>
            <w:webHidden/>
          </w:rPr>
          <w:fldChar w:fldCharType="separate"/>
        </w:r>
        <w:r w:rsidR="001877C1">
          <w:rPr>
            <w:webHidden/>
          </w:rPr>
          <w:t>24</w:t>
        </w:r>
        <w:r w:rsidR="000957EE">
          <w:rPr>
            <w:webHidden/>
          </w:rPr>
          <w:fldChar w:fldCharType="end"/>
        </w:r>
      </w:hyperlink>
    </w:p>
    <w:p w14:paraId="6EEDB78A" w14:textId="00FB9751" w:rsidR="000957EE" w:rsidRDefault="001163AD">
      <w:pPr>
        <w:pStyle w:val="TOC1"/>
        <w:rPr>
          <w:rFonts w:asciiTheme="minorHAnsi" w:eastAsiaTheme="minorEastAsia" w:hAnsiTheme="minorHAnsi" w:cstheme="minorBidi"/>
          <w:bCs w:val="0"/>
          <w:sz w:val="22"/>
          <w:szCs w:val="22"/>
          <w:lang w:eastAsia="en-GB"/>
        </w:rPr>
      </w:pPr>
      <w:hyperlink w:anchor="_Toc83036056" w:history="1">
        <w:r w:rsidR="000957EE" w:rsidRPr="00931CEA">
          <w:rPr>
            <w:rStyle w:val="Hyperlink"/>
            <w:rFonts w:cs="Arial"/>
          </w:rPr>
          <w:t>Table 2.5a</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Summary of existing dwelling type and number of bedrooms by ward</w:t>
        </w:r>
        <w:r w:rsidR="000957EE">
          <w:rPr>
            <w:webHidden/>
          </w:rPr>
          <w:tab/>
        </w:r>
        <w:r w:rsidR="000957EE">
          <w:rPr>
            <w:webHidden/>
          </w:rPr>
          <w:fldChar w:fldCharType="begin"/>
        </w:r>
        <w:r w:rsidR="000957EE">
          <w:rPr>
            <w:webHidden/>
          </w:rPr>
          <w:instrText xml:space="preserve"> PAGEREF _Toc83036056 \h </w:instrText>
        </w:r>
        <w:r w:rsidR="000957EE">
          <w:rPr>
            <w:webHidden/>
          </w:rPr>
        </w:r>
        <w:r w:rsidR="000957EE">
          <w:rPr>
            <w:webHidden/>
          </w:rPr>
          <w:fldChar w:fldCharType="separate"/>
        </w:r>
        <w:r w:rsidR="001877C1">
          <w:rPr>
            <w:webHidden/>
          </w:rPr>
          <w:t>26</w:t>
        </w:r>
        <w:r w:rsidR="000957EE">
          <w:rPr>
            <w:webHidden/>
          </w:rPr>
          <w:fldChar w:fldCharType="end"/>
        </w:r>
      </w:hyperlink>
    </w:p>
    <w:p w14:paraId="30A724B1" w14:textId="4D5FFAB9" w:rsidR="000957EE" w:rsidRDefault="001163AD">
      <w:pPr>
        <w:pStyle w:val="TOC1"/>
        <w:rPr>
          <w:rFonts w:asciiTheme="minorHAnsi" w:eastAsiaTheme="minorEastAsia" w:hAnsiTheme="minorHAnsi" w:cstheme="minorBidi"/>
          <w:bCs w:val="0"/>
          <w:sz w:val="22"/>
          <w:szCs w:val="22"/>
          <w:lang w:eastAsia="en-GB"/>
        </w:rPr>
      </w:pPr>
      <w:hyperlink w:anchor="_Toc83036057" w:history="1">
        <w:r w:rsidR="000957EE" w:rsidRPr="00931CEA">
          <w:rPr>
            <w:rStyle w:val="Hyperlink"/>
            <w:rFonts w:cs="Arial"/>
          </w:rPr>
          <w:t>Table 2.5b</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Summary of existing dwelling type and number of bedrooms by Key Development Location and Neighbourhood Planning Area</w:t>
        </w:r>
        <w:r w:rsidR="000957EE">
          <w:rPr>
            <w:webHidden/>
          </w:rPr>
          <w:tab/>
        </w:r>
        <w:r w:rsidR="000957EE">
          <w:rPr>
            <w:webHidden/>
          </w:rPr>
          <w:fldChar w:fldCharType="begin"/>
        </w:r>
        <w:r w:rsidR="000957EE">
          <w:rPr>
            <w:webHidden/>
          </w:rPr>
          <w:instrText xml:space="preserve"> PAGEREF _Toc83036057 \h </w:instrText>
        </w:r>
        <w:r w:rsidR="000957EE">
          <w:rPr>
            <w:webHidden/>
          </w:rPr>
        </w:r>
        <w:r w:rsidR="000957EE">
          <w:rPr>
            <w:webHidden/>
          </w:rPr>
          <w:fldChar w:fldCharType="separate"/>
        </w:r>
        <w:r w:rsidR="001877C1">
          <w:rPr>
            <w:webHidden/>
          </w:rPr>
          <w:t>27</w:t>
        </w:r>
        <w:r w:rsidR="000957EE">
          <w:rPr>
            <w:webHidden/>
          </w:rPr>
          <w:fldChar w:fldCharType="end"/>
        </w:r>
      </w:hyperlink>
    </w:p>
    <w:p w14:paraId="17376203" w14:textId="225CFA15" w:rsidR="000957EE" w:rsidRDefault="001163AD">
      <w:pPr>
        <w:pStyle w:val="TOC1"/>
        <w:rPr>
          <w:rFonts w:asciiTheme="minorHAnsi" w:eastAsiaTheme="minorEastAsia" w:hAnsiTheme="minorHAnsi" w:cstheme="minorBidi"/>
          <w:bCs w:val="0"/>
          <w:sz w:val="22"/>
          <w:szCs w:val="22"/>
          <w:lang w:eastAsia="en-GB"/>
        </w:rPr>
      </w:pPr>
      <w:hyperlink w:anchor="_Toc83036058" w:history="1">
        <w:r w:rsidR="000957EE" w:rsidRPr="00931CEA">
          <w:rPr>
            <w:rStyle w:val="Hyperlink"/>
            <w:rFonts w:cs="Arial"/>
          </w:rPr>
          <w:t>Table 2.6</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HMO conversion applications 2016 – June 2021 by ward, Key Development Location and Neighbourhood Planning Area</w:t>
        </w:r>
        <w:r w:rsidR="000957EE">
          <w:rPr>
            <w:webHidden/>
          </w:rPr>
          <w:tab/>
        </w:r>
        <w:r w:rsidR="000957EE">
          <w:rPr>
            <w:webHidden/>
          </w:rPr>
          <w:fldChar w:fldCharType="begin"/>
        </w:r>
        <w:r w:rsidR="000957EE">
          <w:rPr>
            <w:webHidden/>
          </w:rPr>
          <w:instrText xml:space="preserve"> PAGEREF _Toc83036058 \h </w:instrText>
        </w:r>
        <w:r w:rsidR="000957EE">
          <w:rPr>
            <w:webHidden/>
          </w:rPr>
        </w:r>
        <w:r w:rsidR="000957EE">
          <w:rPr>
            <w:webHidden/>
          </w:rPr>
          <w:fldChar w:fldCharType="separate"/>
        </w:r>
        <w:r w:rsidR="001877C1">
          <w:rPr>
            <w:webHidden/>
          </w:rPr>
          <w:t>28</w:t>
        </w:r>
        <w:r w:rsidR="000957EE">
          <w:rPr>
            <w:webHidden/>
          </w:rPr>
          <w:fldChar w:fldCharType="end"/>
        </w:r>
      </w:hyperlink>
    </w:p>
    <w:p w14:paraId="42B7BA0C" w14:textId="72F955AE" w:rsidR="000957EE" w:rsidRDefault="001163AD">
      <w:pPr>
        <w:pStyle w:val="TOC1"/>
        <w:rPr>
          <w:rFonts w:asciiTheme="minorHAnsi" w:eastAsiaTheme="minorEastAsia" w:hAnsiTheme="minorHAnsi" w:cstheme="minorBidi"/>
          <w:bCs w:val="0"/>
          <w:sz w:val="22"/>
          <w:szCs w:val="22"/>
          <w:lang w:eastAsia="en-GB"/>
        </w:rPr>
      </w:pPr>
      <w:hyperlink w:anchor="_Toc83036059" w:history="1">
        <w:r w:rsidR="000957EE" w:rsidRPr="00931CEA">
          <w:rPr>
            <w:rStyle w:val="Hyperlink"/>
            <w:rFonts w:cs="Arial"/>
          </w:rPr>
          <w:t>Table 2.7</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Age of dwelling</w:t>
        </w:r>
        <w:r w:rsidR="000957EE">
          <w:rPr>
            <w:webHidden/>
          </w:rPr>
          <w:tab/>
        </w:r>
        <w:r w:rsidR="000957EE">
          <w:rPr>
            <w:webHidden/>
          </w:rPr>
          <w:fldChar w:fldCharType="begin"/>
        </w:r>
        <w:r w:rsidR="000957EE">
          <w:rPr>
            <w:webHidden/>
          </w:rPr>
          <w:instrText xml:space="preserve"> PAGEREF _Toc83036059 \h </w:instrText>
        </w:r>
        <w:r w:rsidR="000957EE">
          <w:rPr>
            <w:webHidden/>
          </w:rPr>
        </w:r>
        <w:r w:rsidR="000957EE">
          <w:rPr>
            <w:webHidden/>
          </w:rPr>
          <w:fldChar w:fldCharType="separate"/>
        </w:r>
        <w:r w:rsidR="001877C1">
          <w:rPr>
            <w:webHidden/>
          </w:rPr>
          <w:t>29</w:t>
        </w:r>
        <w:r w:rsidR="000957EE">
          <w:rPr>
            <w:webHidden/>
          </w:rPr>
          <w:fldChar w:fldCharType="end"/>
        </w:r>
      </w:hyperlink>
    </w:p>
    <w:p w14:paraId="1D69379A" w14:textId="0846A809" w:rsidR="000957EE" w:rsidRDefault="001163AD">
      <w:pPr>
        <w:pStyle w:val="TOC1"/>
        <w:rPr>
          <w:rFonts w:asciiTheme="minorHAnsi" w:eastAsiaTheme="minorEastAsia" w:hAnsiTheme="minorHAnsi" w:cstheme="minorBidi"/>
          <w:bCs w:val="0"/>
          <w:sz w:val="22"/>
          <w:szCs w:val="22"/>
          <w:lang w:eastAsia="en-GB"/>
        </w:rPr>
      </w:pPr>
      <w:hyperlink w:anchor="_Toc83036060" w:history="1">
        <w:r w:rsidR="000957EE" w:rsidRPr="00931CEA">
          <w:rPr>
            <w:rStyle w:val="Hyperlink"/>
            <w:rFonts w:cs="Arial"/>
          </w:rPr>
          <w:t>Table 2.8</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Dwelling stock condition in England and Medway estimates</w:t>
        </w:r>
        <w:r w:rsidR="000957EE">
          <w:rPr>
            <w:webHidden/>
          </w:rPr>
          <w:tab/>
        </w:r>
        <w:r w:rsidR="000957EE">
          <w:rPr>
            <w:webHidden/>
          </w:rPr>
          <w:fldChar w:fldCharType="begin"/>
        </w:r>
        <w:r w:rsidR="000957EE">
          <w:rPr>
            <w:webHidden/>
          </w:rPr>
          <w:instrText xml:space="preserve"> PAGEREF _Toc83036060 \h </w:instrText>
        </w:r>
        <w:r w:rsidR="000957EE">
          <w:rPr>
            <w:webHidden/>
          </w:rPr>
        </w:r>
        <w:r w:rsidR="000957EE">
          <w:rPr>
            <w:webHidden/>
          </w:rPr>
          <w:fldChar w:fldCharType="separate"/>
        </w:r>
        <w:r w:rsidR="001877C1">
          <w:rPr>
            <w:webHidden/>
          </w:rPr>
          <w:t>30</w:t>
        </w:r>
        <w:r w:rsidR="000957EE">
          <w:rPr>
            <w:webHidden/>
          </w:rPr>
          <w:fldChar w:fldCharType="end"/>
        </w:r>
      </w:hyperlink>
    </w:p>
    <w:p w14:paraId="6886CF3B" w14:textId="082302D4" w:rsidR="000957EE" w:rsidRDefault="001163AD">
      <w:pPr>
        <w:pStyle w:val="TOC1"/>
        <w:rPr>
          <w:rFonts w:asciiTheme="minorHAnsi" w:eastAsiaTheme="minorEastAsia" w:hAnsiTheme="minorHAnsi" w:cstheme="minorBidi"/>
          <w:bCs w:val="0"/>
          <w:sz w:val="22"/>
          <w:szCs w:val="22"/>
          <w:lang w:eastAsia="en-GB"/>
        </w:rPr>
      </w:pPr>
      <w:hyperlink w:anchor="_Toc83036061" w:history="1">
        <w:r w:rsidR="000957EE" w:rsidRPr="00931CEA">
          <w:rPr>
            <w:rStyle w:val="Hyperlink"/>
            <w:rFonts w:cs="Arial"/>
          </w:rPr>
          <w:t>Table 2.9</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Dissatisfaction with quality of accommodation by tenure, property type and property age</w:t>
        </w:r>
        <w:r w:rsidR="000957EE">
          <w:rPr>
            <w:webHidden/>
          </w:rPr>
          <w:tab/>
        </w:r>
        <w:r w:rsidR="000957EE">
          <w:rPr>
            <w:webHidden/>
          </w:rPr>
          <w:fldChar w:fldCharType="begin"/>
        </w:r>
        <w:r w:rsidR="000957EE">
          <w:rPr>
            <w:webHidden/>
          </w:rPr>
          <w:instrText xml:space="preserve"> PAGEREF _Toc83036061 \h </w:instrText>
        </w:r>
        <w:r w:rsidR="000957EE">
          <w:rPr>
            <w:webHidden/>
          </w:rPr>
        </w:r>
        <w:r w:rsidR="000957EE">
          <w:rPr>
            <w:webHidden/>
          </w:rPr>
          <w:fldChar w:fldCharType="separate"/>
        </w:r>
        <w:r w:rsidR="001877C1">
          <w:rPr>
            <w:webHidden/>
          </w:rPr>
          <w:t>31</w:t>
        </w:r>
        <w:r w:rsidR="000957EE">
          <w:rPr>
            <w:webHidden/>
          </w:rPr>
          <w:fldChar w:fldCharType="end"/>
        </w:r>
      </w:hyperlink>
    </w:p>
    <w:p w14:paraId="16C904CB" w14:textId="4D2507EC" w:rsidR="000957EE" w:rsidRDefault="001163AD">
      <w:pPr>
        <w:pStyle w:val="TOC1"/>
        <w:rPr>
          <w:rFonts w:asciiTheme="minorHAnsi" w:eastAsiaTheme="minorEastAsia" w:hAnsiTheme="minorHAnsi" w:cstheme="minorBidi"/>
          <w:bCs w:val="0"/>
          <w:sz w:val="22"/>
          <w:szCs w:val="22"/>
          <w:lang w:eastAsia="en-GB"/>
        </w:rPr>
      </w:pPr>
      <w:hyperlink w:anchor="_Toc83036062" w:history="1">
        <w:r w:rsidR="000957EE" w:rsidRPr="00931CEA">
          <w:rPr>
            <w:rStyle w:val="Hyperlink"/>
            <w:rFonts w:cs="Arial"/>
          </w:rPr>
          <w:t>Table 2.10a</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Tenure profile by ward</w:t>
        </w:r>
        <w:r w:rsidR="000957EE">
          <w:rPr>
            <w:webHidden/>
          </w:rPr>
          <w:tab/>
        </w:r>
        <w:r w:rsidR="000957EE">
          <w:rPr>
            <w:webHidden/>
          </w:rPr>
          <w:fldChar w:fldCharType="begin"/>
        </w:r>
        <w:r w:rsidR="000957EE">
          <w:rPr>
            <w:webHidden/>
          </w:rPr>
          <w:instrText xml:space="preserve"> PAGEREF _Toc83036062 \h </w:instrText>
        </w:r>
        <w:r w:rsidR="000957EE">
          <w:rPr>
            <w:webHidden/>
          </w:rPr>
        </w:r>
        <w:r w:rsidR="000957EE">
          <w:rPr>
            <w:webHidden/>
          </w:rPr>
          <w:fldChar w:fldCharType="separate"/>
        </w:r>
        <w:r w:rsidR="001877C1">
          <w:rPr>
            <w:webHidden/>
          </w:rPr>
          <w:t>32</w:t>
        </w:r>
        <w:r w:rsidR="000957EE">
          <w:rPr>
            <w:webHidden/>
          </w:rPr>
          <w:fldChar w:fldCharType="end"/>
        </w:r>
      </w:hyperlink>
    </w:p>
    <w:p w14:paraId="38C9AAFA" w14:textId="434547A3" w:rsidR="000957EE" w:rsidRDefault="001163AD">
      <w:pPr>
        <w:pStyle w:val="TOC1"/>
        <w:tabs>
          <w:tab w:val="left" w:pos="1701"/>
        </w:tabs>
        <w:rPr>
          <w:rFonts w:asciiTheme="minorHAnsi" w:eastAsiaTheme="minorEastAsia" w:hAnsiTheme="minorHAnsi" w:cstheme="minorBidi"/>
          <w:bCs w:val="0"/>
          <w:sz w:val="22"/>
          <w:szCs w:val="22"/>
          <w:lang w:eastAsia="en-GB"/>
        </w:rPr>
      </w:pPr>
      <w:hyperlink w:anchor="_Toc83036063" w:history="1">
        <w:r w:rsidR="000957EE" w:rsidRPr="00931CEA">
          <w:rPr>
            <w:rStyle w:val="Hyperlink"/>
            <w:rFonts w:cs="Arial"/>
          </w:rPr>
          <w:t xml:space="preserve">Table 2.10b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Tenure profile by Key Development Locations and Neighbourhood Planning Areas</w:t>
        </w:r>
        <w:r w:rsidR="000957EE">
          <w:rPr>
            <w:webHidden/>
          </w:rPr>
          <w:tab/>
        </w:r>
        <w:r w:rsidR="000957EE">
          <w:rPr>
            <w:webHidden/>
          </w:rPr>
          <w:fldChar w:fldCharType="begin"/>
        </w:r>
        <w:r w:rsidR="000957EE">
          <w:rPr>
            <w:webHidden/>
          </w:rPr>
          <w:instrText xml:space="preserve"> PAGEREF _Toc83036063 \h </w:instrText>
        </w:r>
        <w:r w:rsidR="000957EE">
          <w:rPr>
            <w:webHidden/>
          </w:rPr>
        </w:r>
        <w:r w:rsidR="000957EE">
          <w:rPr>
            <w:webHidden/>
          </w:rPr>
          <w:fldChar w:fldCharType="separate"/>
        </w:r>
        <w:r w:rsidR="001877C1">
          <w:rPr>
            <w:webHidden/>
          </w:rPr>
          <w:t>33</w:t>
        </w:r>
        <w:r w:rsidR="000957EE">
          <w:rPr>
            <w:webHidden/>
          </w:rPr>
          <w:fldChar w:fldCharType="end"/>
        </w:r>
      </w:hyperlink>
    </w:p>
    <w:p w14:paraId="2BB0FA62" w14:textId="7058103B" w:rsidR="000957EE" w:rsidRDefault="001163AD">
      <w:pPr>
        <w:pStyle w:val="TOC1"/>
        <w:rPr>
          <w:rFonts w:asciiTheme="minorHAnsi" w:eastAsiaTheme="minorEastAsia" w:hAnsiTheme="minorHAnsi" w:cstheme="minorBidi"/>
          <w:bCs w:val="0"/>
          <w:sz w:val="22"/>
          <w:szCs w:val="22"/>
          <w:lang w:eastAsia="en-GB"/>
        </w:rPr>
      </w:pPr>
      <w:hyperlink w:anchor="_Toc83036064" w:history="1">
        <w:r w:rsidR="000957EE" w:rsidRPr="00931CEA">
          <w:rPr>
            <w:rStyle w:val="Hyperlink"/>
            <w:rFonts w:cs="Arial"/>
          </w:rPr>
          <w:t>Table 2.11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Dwelling completions 2010/11 to 2019/20</w:t>
        </w:r>
        <w:r w:rsidR="000957EE">
          <w:rPr>
            <w:webHidden/>
          </w:rPr>
          <w:tab/>
        </w:r>
        <w:r w:rsidR="000957EE">
          <w:rPr>
            <w:webHidden/>
          </w:rPr>
          <w:fldChar w:fldCharType="begin"/>
        </w:r>
        <w:r w:rsidR="000957EE">
          <w:rPr>
            <w:webHidden/>
          </w:rPr>
          <w:instrText xml:space="preserve"> PAGEREF _Toc83036064 \h </w:instrText>
        </w:r>
        <w:r w:rsidR="000957EE">
          <w:rPr>
            <w:webHidden/>
          </w:rPr>
        </w:r>
        <w:r w:rsidR="000957EE">
          <w:rPr>
            <w:webHidden/>
          </w:rPr>
          <w:fldChar w:fldCharType="separate"/>
        </w:r>
        <w:r w:rsidR="001877C1">
          <w:rPr>
            <w:webHidden/>
          </w:rPr>
          <w:t>36</w:t>
        </w:r>
        <w:r w:rsidR="000957EE">
          <w:rPr>
            <w:webHidden/>
          </w:rPr>
          <w:fldChar w:fldCharType="end"/>
        </w:r>
      </w:hyperlink>
    </w:p>
    <w:p w14:paraId="3F8258F8" w14:textId="54837CF8" w:rsidR="000957EE" w:rsidRDefault="001163AD">
      <w:pPr>
        <w:pStyle w:val="TOC1"/>
        <w:rPr>
          <w:rFonts w:asciiTheme="minorHAnsi" w:eastAsiaTheme="minorEastAsia" w:hAnsiTheme="minorHAnsi" w:cstheme="minorBidi"/>
          <w:bCs w:val="0"/>
          <w:sz w:val="22"/>
          <w:szCs w:val="22"/>
          <w:lang w:eastAsia="en-GB"/>
        </w:rPr>
      </w:pPr>
      <w:hyperlink w:anchor="_Toc83036065" w:history="1">
        <w:r w:rsidR="000957EE" w:rsidRPr="00931CEA">
          <w:rPr>
            <w:rStyle w:val="Hyperlink"/>
          </w:rPr>
          <w:t xml:space="preserve">Table 2.12 </w:t>
        </w:r>
        <w:r w:rsidR="000957EE">
          <w:rPr>
            <w:rFonts w:asciiTheme="minorHAnsi" w:eastAsiaTheme="minorEastAsia" w:hAnsiTheme="minorHAnsi" w:cstheme="minorBidi"/>
            <w:bCs w:val="0"/>
            <w:sz w:val="22"/>
            <w:szCs w:val="22"/>
            <w:lang w:eastAsia="en-GB"/>
          </w:rPr>
          <w:tab/>
        </w:r>
        <w:r w:rsidR="000957EE" w:rsidRPr="00931CEA">
          <w:rPr>
            <w:rStyle w:val="Hyperlink"/>
          </w:rPr>
          <w:t>Change in population 2021-2040 by age group</w:t>
        </w:r>
        <w:r w:rsidR="000957EE">
          <w:rPr>
            <w:webHidden/>
          </w:rPr>
          <w:tab/>
        </w:r>
        <w:r w:rsidR="000957EE">
          <w:rPr>
            <w:webHidden/>
          </w:rPr>
          <w:fldChar w:fldCharType="begin"/>
        </w:r>
        <w:r w:rsidR="000957EE">
          <w:rPr>
            <w:webHidden/>
          </w:rPr>
          <w:instrText xml:space="preserve"> PAGEREF _Toc83036065 \h </w:instrText>
        </w:r>
        <w:r w:rsidR="000957EE">
          <w:rPr>
            <w:webHidden/>
          </w:rPr>
        </w:r>
        <w:r w:rsidR="000957EE">
          <w:rPr>
            <w:webHidden/>
          </w:rPr>
          <w:fldChar w:fldCharType="separate"/>
        </w:r>
        <w:r w:rsidR="001877C1">
          <w:rPr>
            <w:webHidden/>
          </w:rPr>
          <w:t>38</w:t>
        </w:r>
        <w:r w:rsidR="000957EE">
          <w:rPr>
            <w:webHidden/>
          </w:rPr>
          <w:fldChar w:fldCharType="end"/>
        </w:r>
      </w:hyperlink>
    </w:p>
    <w:p w14:paraId="069BF3FF" w14:textId="5D02F98F" w:rsidR="000957EE" w:rsidRDefault="001163AD">
      <w:pPr>
        <w:pStyle w:val="TOC1"/>
        <w:rPr>
          <w:rFonts w:asciiTheme="minorHAnsi" w:eastAsiaTheme="minorEastAsia" w:hAnsiTheme="minorHAnsi" w:cstheme="minorBidi"/>
          <w:bCs w:val="0"/>
          <w:sz w:val="22"/>
          <w:szCs w:val="22"/>
          <w:lang w:eastAsia="en-GB"/>
        </w:rPr>
      </w:pPr>
      <w:hyperlink w:anchor="_Toc83036066" w:history="1">
        <w:r w:rsidR="000957EE" w:rsidRPr="00931CEA">
          <w:rPr>
            <w:rStyle w:val="Hyperlink"/>
          </w:rPr>
          <w:t xml:space="preserve">Table 2.13 </w:t>
        </w:r>
        <w:r w:rsidR="000957EE">
          <w:rPr>
            <w:rFonts w:asciiTheme="minorHAnsi" w:eastAsiaTheme="minorEastAsia" w:hAnsiTheme="minorHAnsi" w:cstheme="minorBidi"/>
            <w:bCs w:val="0"/>
            <w:sz w:val="22"/>
            <w:szCs w:val="22"/>
            <w:lang w:eastAsia="en-GB"/>
          </w:rPr>
          <w:tab/>
        </w:r>
        <w:r w:rsidR="000957EE" w:rsidRPr="00931CEA">
          <w:rPr>
            <w:rStyle w:val="Hyperlink"/>
          </w:rPr>
          <w:t>Change in population 2021-2040 under alternative scenarios</w:t>
        </w:r>
        <w:r w:rsidR="000957EE">
          <w:rPr>
            <w:webHidden/>
          </w:rPr>
          <w:tab/>
        </w:r>
        <w:r w:rsidR="000957EE">
          <w:rPr>
            <w:webHidden/>
          </w:rPr>
          <w:fldChar w:fldCharType="begin"/>
        </w:r>
        <w:r w:rsidR="000957EE">
          <w:rPr>
            <w:webHidden/>
          </w:rPr>
          <w:instrText xml:space="preserve"> PAGEREF _Toc83036066 \h </w:instrText>
        </w:r>
        <w:r w:rsidR="000957EE">
          <w:rPr>
            <w:webHidden/>
          </w:rPr>
        </w:r>
        <w:r w:rsidR="000957EE">
          <w:rPr>
            <w:webHidden/>
          </w:rPr>
          <w:fldChar w:fldCharType="separate"/>
        </w:r>
        <w:r w:rsidR="001877C1">
          <w:rPr>
            <w:webHidden/>
          </w:rPr>
          <w:t>39</w:t>
        </w:r>
        <w:r w:rsidR="000957EE">
          <w:rPr>
            <w:webHidden/>
          </w:rPr>
          <w:fldChar w:fldCharType="end"/>
        </w:r>
      </w:hyperlink>
    </w:p>
    <w:p w14:paraId="27EC1F35" w14:textId="11D6EF12" w:rsidR="000957EE" w:rsidRDefault="001163AD">
      <w:pPr>
        <w:pStyle w:val="TOC1"/>
        <w:rPr>
          <w:rFonts w:asciiTheme="minorHAnsi" w:eastAsiaTheme="minorEastAsia" w:hAnsiTheme="minorHAnsi" w:cstheme="minorBidi"/>
          <w:bCs w:val="0"/>
          <w:sz w:val="22"/>
          <w:szCs w:val="22"/>
          <w:lang w:eastAsia="en-GB"/>
        </w:rPr>
      </w:pPr>
      <w:hyperlink w:anchor="_Toc83036067" w:history="1">
        <w:r w:rsidR="000957EE" w:rsidRPr="00931CEA">
          <w:rPr>
            <w:rStyle w:val="Hyperlink"/>
            <w:rFonts w:cs="Arial"/>
          </w:rPr>
          <w:t>Table 2.14</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National and international migration by year</w:t>
        </w:r>
        <w:r w:rsidR="000957EE">
          <w:rPr>
            <w:webHidden/>
          </w:rPr>
          <w:tab/>
        </w:r>
        <w:r w:rsidR="000957EE">
          <w:rPr>
            <w:webHidden/>
          </w:rPr>
          <w:fldChar w:fldCharType="begin"/>
        </w:r>
        <w:r w:rsidR="000957EE">
          <w:rPr>
            <w:webHidden/>
          </w:rPr>
          <w:instrText xml:space="preserve"> PAGEREF _Toc83036067 \h </w:instrText>
        </w:r>
        <w:r w:rsidR="000957EE">
          <w:rPr>
            <w:webHidden/>
          </w:rPr>
        </w:r>
        <w:r w:rsidR="000957EE">
          <w:rPr>
            <w:webHidden/>
          </w:rPr>
          <w:fldChar w:fldCharType="separate"/>
        </w:r>
        <w:r w:rsidR="001877C1">
          <w:rPr>
            <w:webHidden/>
          </w:rPr>
          <w:t>43</w:t>
        </w:r>
        <w:r w:rsidR="000957EE">
          <w:rPr>
            <w:webHidden/>
          </w:rPr>
          <w:fldChar w:fldCharType="end"/>
        </w:r>
      </w:hyperlink>
    </w:p>
    <w:p w14:paraId="2875F61E" w14:textId="38DEAD0F" w:rsidR="000957EE" w:rsidRDefault="001163AD">
      <w:pPr>
        <w:pStyle w:val="TOC1"/>
        <w:rPr>
          <w:rFonts w:asciiTheme="minorHAnsi" w:eastAsiaTheme="minorEastAsia" w:hAnsiTheme="minorHAnsi" w:cstheme="minorBidi"/>
          <w:bCs w:val="0"/>
          <w:sz w:val="22"/>
          <w:szCs w:val="22"/>
          <w:lang w:eastAsia="en-GB"/>
        </w:rPr>
      </w:pPr>
      <w:hyperlink w:anchor="_Toc83036068" w:history="1">
        <w:r w:rsidR="000957EE" w:rsidRPr="00931CEA">
          <w:rPr>
            <w:rStyle w:val="Hyperlink"/>
            <w:rFonts w:cs="Arial"/>
          </w:rPr>
          <w:t>Table 2.15</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Summary of national and international migration by year group and age group</w:t>
        </w:r>
        <w:r w:rsidR="000957EE">
          <w:rPr>
            <w:webHidden/>
          </w:rPr>
          <w:tab/>
        </w:r>
        <w:r w:rsidR="000957EE">
          <w:rPr>
            <w:webHidden/>
          </w:rPr>
          <w:fldChar w:fldCharType="begin"/>
        </w:r>
        <w:r w:rsidR="000957EE">
          <w:rPr>
            <w:webHidden/>
          </w:rPr>
          <w:instrText xml:space="preserve"> PAGEREF _Toc83036068 \h </w:instrText>
        </w:r>
        <w:r w:rsidR="000957EE">
          <w:rPr>
            <w:webHidden/>
          </w:rPr>
        </w:r>
        <w:r w:rsidR="000957EE">
          <w:rPr>
            <w:webHidden/>
          </w:rPr>
          <w:fldChar w:fldCharType="separate"/>
        </w:r>
        <w:r w:rsidR="001877C1">
          <w:rPr>
            <w:webHidden/>
          </w:rPr>
          <w:t>44</w:t>
        </w:r>
        <w:r w:rsidR="000957EE">
          <w:rPr>
            <w:webHidden/>
          </w:rPr>
          <w:fldChar w:fldCharType="end"/>
        </w:r>
      </w:hyperlink>
    </w:p>
    <w:p w14:paraId="506FA9C6" w14:textId="4B51E425" w:rsidR="000957EE" w:rsidRDefault="001163AD">
      <w:pPr>
        <w:pStyle w:val="TOC1"/>
        <w:rPr>
          <w:rFonts w:asciiTheme="minorHAnsi" w:eastAsiaTheme="minorEastAsia" w:hAnsiTheme="minorHAnsi" w:cstheme="minorBidi"/>
          <w:bCs w:val="0"/>
          <w:sz w:val="22"/>
          <w:szCs w:val="22"/>
          <w:lang w:eastAsia="en-GB"/>
        </w:rPr>
      </w:pPr>
      <w:hyperlink w:anchor="_Toc83036069" w:history="1">
        <w:r w:rsidR="000957EE" w:rsidRPr="00931CEA">
          <w:rPr>
            <w:rStyle w:val="Hyperlink"/>
          </w:rPr>
          <w:t>Table 2.16</w:t>
        </w:r>
        <w:r w:rsidR="000957EE">
          <w:rPr>
            <w:rFonts w:asciiTheme="minorHAnsi" w:eastAsiaTheme="minorEastAsia" w:hAnsiTheme="minorHAnsi" w:cstheme="minorBidi"/>
            <w:bCs w:val="0"/>
            <w:sz w:val="22"/>
            <w:szCs w:val="22"/>
            <w:lang w:eastAsia="en-GB"/>
          </w:rPr>
          <w:tab/>
        </w:r>
        <w:r w:rsidR="000957EE" w:rsidRPr="00931CEA">
          <w:rPr>
            <w:rStyle w:val="Hyperlink"/>
          </w:rPr>
          <w:t>Household types and change 2021-2036 and 2021-2040</w:t>
        </w:r>
        <w:r w:rsidR="000957EE">
          <w:rPr>
            <w:webHidden/>
          </w:rPr>
          <w:tab/>
        </w:r>
        <w:r w:rsidR="000957EE">
          <w:rPr>
            <w:webHidden/>
          </w:rPr>
          <w:fldChar w:fldCharType="begin"/>
        </w:r>
        <w:r w:rsidR="000957EE">
          <w:rPr>
            <w:webHidden/>
          </w:rPr>
          <w:instrText xml:space="preserve"> PAGEREF _Toc83036069 \h </w:instrText>
        </w:r>
        <w:r w:rsidR="000957EE">
          <w:rPr>
            <w:webHidden/>
          </w:rPr>
        </w:r>
        <w:r w:rsidR="000957EE">
          <w:rPr>
            <w:webHidden/>
          </w:rPr>
          <w:fldChar w:fldCharType="separate"/>
        </w:r>
        <w:r w:rsidR="001877C1">
          <w:rPr>
            <w:webHidden/>
          </w:rPr>
          <w:t>47</w:t>
        </w:r>
        <w:r w:rsidR="000957EE">
          <w:rPr>
            <w:webHidden/>
          </w:rPr>
          <w:fldChar w:fldCharType="end"/>
        </w:r>
      </w:hyperlink>
    </w:p>
    <w:p w14:paraId="66D0F8B4" w14:textId="5E142B78" w:rsidR="000957EE" w:rsidRDefault="001163AD">
      <w:pPr>
        <w:pStyle w:val="TOC1"/>
        <w:rPr>
          <w:rFonts w:asciiTheme="minorHAnsi" w:eastAsiaTheme="minorEastAsia" w:hAnsiTheme="minorHAnsi" w:cstheme="minorBidi"/>
          <w:bCs w:val="0"/>
          <w:sz w:val="22"/>
          <w:szCs w:val="22"/>
          <w:lang w:eastAsia="en-GB"/>
        </w:rPr>
      </w:pPr>
      <w:hyperlink w:anchor="_Toc83036070" w:history="1">
        <w:r w:rsidR="000957EE" w:rsidRPr="00931CEA">
          <w:rPr>
            <w:rStyle w:val="Hyperlink"/>
            <w:rFonts w:cs="Arial"/>
          </w:rPr>
          <w:t>Table 2.17</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Population movement by origin and destination</w:t>
        </w:r>
        <w:r w:rsidR="000957EE">
          <w:rPr>
            <w:webHidden/>
          </w:rPr>
          <w:tab/>
        </w:r>
        <w:r w:rsidR="000957EE">
          <w:rPr>
            <w:webHidden/>
          </w:rPr>
          <w:fldChar w:fldCharType="begin"/>
        </w:r>
        <w:r w:rsidR="000957EE">
          <w:rPr>
            <w:webHidden/>
          </w:rPr>
          <w:instrText xml:space="preserve"> PAGEREF _Toc83036070 \h </w:instrText>
        </w:r>
        <w:r w:rsidR="000957EE">
          <w:rPr>
            <w:webHidden/>
          </w:rPr>
        </w:r>
        <w:r w:rsidR="000957EE">
          <w:rPr>
            <w:webHidden/>
          </w:rPr>
          <w:fldChar w:fldCharType="separate"/>
        </w:r>
        <w:r w:rsidR="001877C1">
          <w:rPr>
            <w:webHidden/>
          </w:rPr>
          <w:t>49</w:t>
        </w:r>
        <w:r w:rsidR="000957EE">
          <w:rPr>
            <w:webHidden/>
          </w:rPr>
          <w:fldChar w:fldCharType="end"/>
        </w:r>
      </w:hyperlink>
    </w:p>
    <w:p w14:paraId="79E2012E" w14:textId="6030103C" w:rsidR="000957EE" w:rsidRDefault="001163AD">
      <w:pPr>
        <w:pStyle w:val="TOC1"/>
        <w:rPr>
          <w:rFonts w:asciiTheme="minorHAnsi" w:eastAsiaTheme="minorEastAsia" w:hAnsiTheme="minorHAnsi" w:cstheme="minorBidi"/>
          <w:bCs w:val="0"/>
          <w:sz w:val="22"/>
          <w:szCs w:val="22"/>
          <w:lang w:eastAsia="en-GB"/>
        </w:rPr>
      </w:pPr>
      <w:hyperlink w:anchor="_Toc83036071" w:history="1">
        <w:r w:rsidR="000957EE" w:rsidRPr="00931CEA">
          <w:rPr>
            <w:rStyle w:val="Hyperlink"/>
            <w:rFonts w:cs="Arial"/>
          </w:rPr>
          <w:t>Table 2.18</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Migration containment ratios</w:t>
        </w:r>
        <w:r w:rsidR="000957EE">
          <w:rPr>
            <w:webHidden/>
          </w:rPr>
          <w:tab/>
        </w:r>
        <w:r w:rsidR="000957EE">
          <w:rPr>
            <w:webHidden/>
          </w:rPr>
          <w:fldChar w:fldCharType="begin"/>
        </w:r>
        <w:r w:rsidR="000957EE">
          <w:rPr>
            <w:webHidden/>
          </w:rPr>
          <w:instrText xml:space="preserve"> PAGEREF _Toc83036071 \h </w:instrText>
        </w:r>
        <w:r w:rsidR="000957EE">
          <w:rPr>
            <w:webHidden/>
          </w:rPr>
        </w:r>
        <w:r w:rsidR="000957EE">
          <w:rPr>
            <w:webHidden/>
          </w:rPr>
          <w:fldChar w:fldCharType="separate"/>
        </w:r>
        <w:r w:rsidR="001877C1">
          <w:rPr>
            <w:webHidden/>
          </w:rPr>
          <w:t>49</w:t>
        </w:r>
        <w:r w:rsidR="000957EE">
          <w:rPr>
            <w:webHidden/>
          </w:rPr>
          <w:fldChar w:fldCharType="end"/>
        </w:r>
      </w:hyperlink>
    </w:p>
    <w:p w14:paraId="6E544236" w14:textId="24AA05F0" w:rsidR="000957EE" w:rsidRDefault="001163AD">
      <w:pPr>
        <w:pStyle w:val="TOC1"/>
        <w:rPr>
          <w:rFonts w:asciiTheme="minorHAnsi" w:eastAsiaTheme="minorEastAsia" w:hAnsiTheme="minorHAnsi" w:cstheme="minorBidi"/>
          <w:bCs w:val="0"/>
          <w:sz w:val="22"/>
          <w:szCs w:val="22"/>
          <w:lang w:eastAsia="en-GB"/>
        </w:rPr>
      </w:pPr>
      <w:hyperlink w:anchor="_Toc83036072" w:history="1">
        <w:r w:rsidR="000957EE" w:rsidRPr="00931CEA">
          <w:rPr>
            <w:rStyle w:val="Hyperlink"/>
          </w:rPr>
          <w:t>Table 2.19</w:t>
        </w:r>
        <w:r w:rsidR="000957EE">
          <w:rPr>
            <w:rFonts w:asciiTheme="minorHAnsi" w:eastAsiaTheme="minorEastAsia" w:hAnsiTheme="minorHAnsi" w:cstheme="minorBidi"/>
            <w:bCs w:val="0"/>
            <w:sz w:val="22"/>
            <w:szCs w:val="22"/>
            <w:lang w:eastAsia="en-GB"/>
          </w:rPr>
          <w:tab/>
        </w:r>
        <w:r w:rsidR="000957EE" w:rsidRPr="00931CEA">
          <w:rPr>
            <w:rStyle w:val="Hyperlink"/>
          </w:rPr>
          <w:t>Medway 2011 Census commuting flows: workers (aged 16-74 years)</w:t>
        </w:r>
        <w:r w:rsidR="000957EE">
          <w:rPr>
            <w:webHidden/>
          </w:rPr>
          <w:tab/>
        </w:r>
        <w:r w:rsidR="000957EE">
          <w:rPr>
            <w:webHidden/>
          </w:rPr>
          <w:fldChar w:fldCharType="begin"/>
        </w:r>
        <w:r w:rsidR="000957EE">
          <w:rPr>
            <w:webHidden/>
          </w:rPr>
          <w:instrText xml:space="preserve"> PAGEREF _Toc83036072 \h </w:instrText>
        </w:r>
        <w:r w:rsidR="000957EE">
          <w:rPr>
            <w:webHidden/>
          </w:rPr>
        </w:r>
        <w:r w:rsidR="000957EE">
          <w:rPr>
            <w:webHidden/>
          </w:rPr>
          <w:fldChar w:fldCharType="separate"/>
        </w:r>
        <w:r w:rsidR="001877C1">
          <w:rPr>
            <w:webHidden/>
          </w:rPr>
          <w:t>50</w:t>
        </w:r>
        <w:r w:rsidR="000957EE">
          <w:rPr>
            <w:webHidden/>
          </w:rPr>
          <w:fldChar w:fldCharType="end"/>
        </w:r>
      </w:hyperlink>
    </w:p>
    <w:p w14:paraId="317CFF3D" w14:textId="3FF6F227" w:rsidR="000957EE" w:rsidRDefault="001163AD">
      <w:pPr>
        <w:pStyle w:val="TOC1"/>
        <w:rPr>
          <w:rFonts w:asciiTheme="minorHAnsi" w:eastAsiaTheme="minorEastAsia" w:hAnsiTheme="minorHAnsi" w:cstheme="minorBidi"/>
          <w:bCs w:val="0"/>
          <w:sz w:val="22"/>
          <w:szCs w:val="22"/>
          <w:lang w:eastAsia="en-GB"/>
        </w:rPr>
      </w:pPr>
      <w:hyperlink w:anchor="_Toc83036073" w:history="1">
        <w:r w:rsidR="000957EE" w:rsidRPr="00931CEA">
          <w:rPr>
            <w:rStyle w:val="Hyperlink"/>
          </w:rPr>
          <w:t>Table 2.20a</w:t>
        </w:r>
        <w:r w:rsidR="000957EE">
          <w:rPr>
            <w:rFonts w:asciiTheme="minorHAnsi" w:eastAsiaTheme="minorEastAsia" w:hAnsiTheme="minorHAnsi" w:cstheme="minorBidi"/>
            <w:bCs w:val="0"/>
            <w:sz w:val="22"/>
            <w:szCs w:val="22"/>
            <w:lang w:eastAsia="en-GB"/>
          </w:rPr>
          <w:tab/>
        </w:r>
        <w:r w:rsidR="000957EE" w:rsidRPr="00931CEA">
          <w:rPr>
            <w:rStyle w:val="Hyperlink"/>
          </w:rPr>
          <w:t>Gross household income by ward</w:t>
        </w:r>
        <w:r w:rsidR="000957EE">
          <w:rPr>
            <w:webHidden/>
          </w:rPr>
          <w:tab/>
        </w:r>
        <w:r w:rsidR="000957EE">
          <w:rPr>
            <w:webHidden/>
          </w:rPr>
          <w:fldChar w:fldCharType="begin"/>
        </w:r>
        <w:r w:rsidR="000957EE">
          <w:rPr>
            <w:webHidden/>
          </w:rPr>
          <w:instrText xml:space="preserve"> PAGEREF _Toc83036073 \h </w:instrText>
        </w:r>
        <w:r w:rsidR="000957EE">
          <w:rPr>
            <w:webHidden/>
          </w:rPr>
        </w:r>
        <w:r w:rsidR="000957EE">
          <w:rPr>
            <w:webHidden/>
          </w:rPr>
          <w:fldChar w:fldCharType="separate"/>
        </w:r>
        <w:r w:rsidR="001877C1">
          <w:rPr>
            <w:webHidden/>
          </w:rPr>
          <w:t>55</w:t>
        </w:r>
        <w:r w:rsidR="000957EE">
          <w:rPr>
            <w:webHidden/>
          </w:rPr>
          <w:fldChar w:fldCharType="end"/>
        </w:r>
      </w:hyperlink>
    </w:p>
    <w:p w14:paraId="2358971C" w14:textId="4F7882E6" w:rsidR="000957EE" w:rsidRDefault="001163AD">
      <w:pPr>
        <w:pStyle w:val="TOC1"/>
        <w:rPr>
          <w:rFonts w:asciiTheme="minorHAnsi" w:eastAsiaTheme="minorEastAsia" w:hAnsiTheme="minorHAnsi" w:cstheme="minorBidi"/>
          <w:bCs w:val="0"/>
          <w:sz w:val="22"/>
          <w:szCs w:val="22"/>
          <w:lang w:eastAsia="en-GB"/>
        </w:rPr>
      </w:pPr>
      <w:hyperlink w:anchor="_Toc83036074" w:history="1">
        <w:r w:rsidR="000957EE" w:rsidRPr="00931CEA">
          <w:rPr>
            <w:rStyle w:val="Hyperlink"/>
          </w:rPr>
          <w:t>Table 2.20b</w:t>
        </w:r>
        <w:r w:rsidR="000957EE">
          <w:rPr>
            <w:rFonts w:asciiTheme="minorHAnsi" w:eastAsiaTheme="minorEastAsia" w:hAnsiTheme="minorHAnsi" w:cstheme="minorBidi"/>
            <w:bCs w:val="0"/>
            <w:sz w:val="22"/>
            <w:szCs w:val="22"/>
            <w:lang w:eastAsia="en-GB"/>
          </w:rPr>
          <w:tab/>
        </w:r>
        <w:r w:rsidR="000957EE" w:rsidRPr="00931CEA">
          <w:rPr>
            <w:rStyle w:val="Hyperlink"/>
          </w:rPr>
          <w:t>Gross household income by Key Development Locations and Neighbourhood Planning Areas</w:t>
        </w:r>
        <w:r w:rsidR="000957EE">
          <w:rPr>
            <w:webHidden/>
          </w:rPr>
          <w:tab/>
        </w:r>
        <w:r w:rsidR="000957EE">
          <w:rPr>
            <w:webHidden/>
          </w:rPr>
          <w:fldChar w:fldCharType="begin"/>
        </w:r>
        <w:r w:rsidR="000957EE">
          <w:rPr>
            <w:webHidden/>
          </w:rPr>
          <w:instrText xml:space="preserve"> PAGEREF _Toc83036074 \h </w:instrText>
        </w:r>
        <w:r w:rsidR="000957EE">
          <w:rPr>
            <w:webHidden/>
          </w:rPr>
        </w:r>
        <w:r w:rsidR="000957EE">
          <w:rPr>
            <w:webHidden/>
          </w:rPr>
          <w:fldChar w:fldCharType="separate"/>
        </w:r>
        <w:r w:rsidR="001877C1">
          <w:rPr>
            <w:webHidden/>
          </w:rPr>
          <w:t>56</w:t>
        </w:r>
        <w:r w:rsidR="000957EE">
          <w:rPr>
            <w:webHidden/>
          </w:rPr>
          <w:fldChar w:fldCharType="end"/>
        </w:r>
      </w:hyperlink>
    </w:p>
    <w:p w14:paraId="18A9DFBF" w14:textId="5B860366" w:rsidR="000957EE" w:rsidRDefault="001163AD">
      <w:pPr>
        <w:pStyle w:val="TOC1"/>
        <w:rPr>
          <w:rFonts w:asciiTheme="minorHAnsi" w:eastAsiaTheme="minorEastAsia" w:hAnsiTheme="minorHAnsi" w:cstheme="minorBidi"/>
          <w:bCs w:val="0"/>
          <w:sz w:val="22"/>
          <w:szCs w:val="22"/>
          <w:lang w:eastAsia="en-GB"/>
        </w:rPr>
      </w:pPr>
      <w:hyperlink w:anchor="_Toc83036075" w:history="1">
        <w:r w:rsidR="000957EE" w:rsidRPr="00931CEA">
          <w:rPr>
            <w:rStyle w:val="Hyperlink"/>
            <w:rFonts w:cs="Arial"/>
          </w:rPr>
          <w:t>Table 3.1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Comparative median house price change 2000-2020 with neighbouring districts, South East and England</w:t>
        </w:r>
        <w:r w:rsidR="000957EE">
          <w:rPr>
            <w:webHidden/>
          </w:rPr>
          <w:tab/>
        </w:r>
        <w:r w:rsidR="000957EE">
          <w:rPr>
            <w:webHidden/>
          </w:rPr>
          <w:fldChar w:fldCharType="begin"/>
        </w:r>
        <w:r w:rsidR="000957EE">
          <w:rPr>
            <w:webHidden/>
          </w:rPr>
          <w:instrText xml:space="preserve"> PAGEREF _Toc83036075 \h </w:instrText>
        </w:r>
        <w:r w:rsidR="000957EE">
          <w:rPr>
            <w:webHidden/>
          </w:rPr>
        </w:r>
        <w:r w:rsidR="000957EE">
          <w:rPr>
            <w:webHidden/>
          </w:rPr>
          <w:fldChar w:fldCharType="separate"/>
        </w:r>
        <w:r w:rsidR="001877C1">
          <w:rPr>
            <w:webHidden/>
          </w:rPr>
          <w:t>60</w:t>
        </w:r>
        <w:r w:rsidR="000957EE">
          <w:rPr>
            <w:webHidden/>
          </w:rPr>
          <w:fldChar w:fldCharType="end"/>
        </w:r>
      </w:hyperlink>
    </w:p>
    <w:p w14:paraId="47F95C4E" w14:textId="2CA9036E" w:rsidR="000957EE" w:rsidRDefault="001163AD">
      <w:pPr>
        <w:pStyle w:val="TOC1"/>
        <w:rPr>
          <w:rFonts w:asciiTheme="minorHAnsi" w:eastAsiaTheme="minorEastAsia" w:hAnsiTheme="minorHAnsi" w:cstheme="minorBidi"/>
          <w:bCs w:val="0"/>
          <w:sz w:val="22"/>
          <w:szCs w:val="22"/>
          <w:lang w:eastAsia="en-GB"/>
        </w:rPr>
      </w:pPr>
      <w:hyperlink w:anchor="_Toc83036076" w:history="1">
        <w:r w:rsidR="000957EE" w:rsidRPr="00931CEA">
          <w:rPr>
            <w:rStyle w:val="Hyperlink"/>
            <w:rFonts w:cs="Arial"/>
          </w:rPr>
          <w:t>Table 3.2</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Comparative lower quartile (LQ) house price change 2000-2020 with neighbouring districts, South East and England</w:t>
        </w:r>
        <w:r w:rsidR="000957EE">
          <w:rPr>
            <w:webHidden/>
          </w:rPr>
          <w:tab/>
        </w:r>
        <w:r w:rsidR="000957EE">
          <w:rPr>
            <w:webHidden/>
          </w:rPr>
          <w:fldChar w:fldCharType="begin"/>
        </w:r>
        <w:r w:rsidR="000957EE">
          <w:rPr>
            <w:webHidden/>
          </w:rPr>
          <w:instrText xml:space="preserve"> PAGEREF _Toc83036076 \h </w:instrText>
        </w:r>
        <w:r w:rsidR="000957EE">
          <w:rPr>
            <w:webHidden/>
          </w:rPr>
        </w:r>
        <w:r w:rsidR="000957EE">
          <w:rPr>
            <w:webHidden/>
          </w:rPr>
          <w:fldChar w:fldCharType="separate"/>
        </w:r>
        <w:r w:rsidR="001877C1">
          <w:rPr>
            <w:webHidden/>
          </w:rPr>
          <w:t>60</w:t>
        </w:r>
        <w:r w:rsidR="000957EE">
          <w:rPr>
            <w:webHidden/>
          </w:rPr>
          <w:fldChar w:fldCharType="end"/>
        </w:r>
      </w:hyperlink>
    </w:p>
    <w:p w14:paraId="445705D6" w14:textId="6472C51C" w:rsidR="000957EE" w:rsidRDefault="001163AD">
      <w:pPr>
        <w:pStyle w:val="TOC1"/>
        <w:rPr>
          <w:rFonts w:asciiTheme="minorHAnsi" w:eastAsiaTheme="minorEastAsia" w:hAnsiTheme="minorHAnsi" w:cstheme="minorBidi"/>
          <w:bCs w:val="0"/>
          <w:sz w:val="22"/>
          <w:szCs w:val="22"/>
          <w:lang w:eastAsia="en-GB"/>
        </w:rPr>
      </w:pPr>
      <w:hyperlink w:anchor="_Toc83036077" w:history="1">
        <w:r w:rsidR="000957EE" w:rsidRPr="00931CEA">
          <w:rPr>
            <w:rStyle w:val="Hyperlink"/>
          </w:rPr>
          <w:t xml:space="preserve">Table 3.3a </w:t>
        </w:r>
        <w:r w:rsidR="000957EE">
          <w:rPr>
            <w:rFonts w:asciiTheme="minorHAnsi" w:eastAsiaTheme="minorEastAsia" w:hAnsiTheme="minorHAnsi" w:cstheme="minorBidi"/>
            <w:bCs w:val="0"/>
            <w:sz w:val="22"/>
            <w:szCs w:val="22"/>
            <w:lang w:eastAsia="en-GB"/>
          </w:rPr>
          <w:tab/>
        </w:r>
        <w:r w:rsidR="000957EE" w:rsidRPr="00931CEA">
          <w:rPr>
            <w:rStyle w:val="Hyperlink"/>
          </w:rPr>
          <w:t>Comparative lower quartile and median house price change 2007-2020 for Medway Wards</w:t>
        </w:r>
        <w:r w:rsidR="000957EE">
          <w:rPr>
            <w:webHidden/>
          </w:rPr>
          <w:tab/>
        </w:r>
        <w:r w:rsidR="000957EE">
          <w:rPr>
            <w:webHidden/>
          </w:rPr>
          <w:fldChar w:fldCharType="begin"/>
        </w:r>
        <w:r w:rsidR="000957EE">
          <w:rPr>
            <w:webHidden/>
          </w:rPr>
          <w:instrText xml:space="preserve"> PAGEREF _Toc83036077 \h </w:instrText>
        </w:r>
        <w:r w:rsidR="000957EE">
          <w:rPr>
            <w:webHidden/>
          </w:rPr>
        </w:r>
        <w:r w:rsidR="000957EE">
          <w:rPr>
            <w:webHidden/>
          </w:rPr>
          <w:fldChar w:fldCharType="separate"/>
        </w:r>
        <w:r w:rsidR="001877C1">
          <w:rPr>
            <w:webHidden/>
          </w:rPr>
          <w:t>61</w:t>
        </w:r>
        <w:r w:rsidR="000957EE">
          <w:rPr>
            <w:webHidden/>
          </w:rPr>
          <w:fldChar w:fldCharType="end"/>
        </w:r>
      </w:hyperlink>
    </w:p>
    <w:p w14:paraId="5987B2FD" w14:textId="0D57C4F9" w:rsidR="000957EE" w:rsidRDefault="001163AD">
      <w:pPr>
        <w:pStyle w:val="TOC1"/>
        <w:rPr>
          <w:rFonts w:asciiTheme="minorHAnsi" w:eastAsiaTheme="minorEastAsia" w:hAnsiTheme="minorHAnsi" w:cstheme="minorBidi"/>
          <w:bCs w:val="0"/>
          <w:sz w:val="22"/>
          <w:szCs w:val="22"/>
          <w:lang w:eastAsia="en-GB"/>
        </w:rPr>
      </w:pPr>
      <w:hyperlink w:anchor="_Toc83036078" w:history="1">
        <w:r w:rsidR="000957EE" w:rsidRPr="00931CEA">
          <w:rPr>
            <w:rStyle w:val="Hyperlink"/>
          </w:rPr>
          <w:t xml:space="preserve">Table 3.3b </w:t>
        </w:r>
        <w:r w:rsidR="000957EE">
          <w:rPr>
            <w:rFonts w:asciiTheme="minorHAnsi" w:eastAsiaTheme="minorEastAsia" w:hAnsiTheme="minorHAnsi" w:cstheme="minorBidi"/>
            <w:bCs w:val="0"/>
            <w:sz w:val="22"/>
            <w:szCs w:val="22"/>
            <w:lang w:eastAsia="en-GB"/>
          </w:rPr>
          <w:tab/>
        </w:r>
        <w:r w:rsidR="000957EE" w:rsidRPr="00931CEA">
          <w:rPr>
            <w:rStyle w:val="Hyperlink"/>
          </w:rPr>
          <w:t>Comparative lower quartile and median house price change 2007-2020 for Medway Key Development Locations and Neighbourhood Planning Areas</w:t>
        </w:r>
        <w:r w:rsidR="000957EE">
          <w:rPr>
            <w:webHidden/>
          </w:rPr>
          <w:tab/>
        </w:r>
        <w:r w:rsidR="000957EE">
          <w:rPr>
            <w:webHidden/>
          </w:rPr>
          <w:fldChar w:fldCharType="begin"/>
        </w:r>
        <w:r w:rsidR="000957EE">
          <w:rPr>
            <w:webHidden/>
          </w:rPr>
          <w:instrText xml:space="preserve"> PAGEREF _Toc83036078 \h </w:instrText>
        </w:r>
        <w:r w:rsidR="000957EE">
          <w:rPr>
            <w:webHidden/>
          </w:rPr>
        </w:r>
        <w:r w:rsidR="000957EE">
          <w:rPr>
            <w:webHidden/>
          </w:rPr>
          <w:fldChar w:fldCharType="separate"/>
        </w:r>
        <w:r w:rsidR="001877C1">
          <w:rPr>
            <w:webHidden/>
          </w:rPr>
          <w:t>62</w:t>
        </w:r>
        <w:r w:rsidR="000957EE">
          <w:rPr>
            <w:webHidden/>
          </w:rPr>
          <w:fldChar w:fldCharType="end"/>
        </w:r>
      </w:hyperlink>
    </w:p>
    <w:p w14:paraId="45EA825B" w14:textId="6898F272" w:rsidR="000957EE" w:rsidRDefault="001163AD">
      <w:pPr>
        <w:pStyle w:val="TOC1"/>
        <w:rPr>
          <w:rFonts w:asciiTheme="minorHAnsi" w:eastAsiaTheme="minorEastAsia" w:hAnsiTheme="minorHAnsi" w:cstheme="minorBidi"/>
          <w:bCs w:val="0"/>
          <w:sz w:val="22"/>
          <w:szCs w:val="22"/>
          <w:lang w:eastAsia="en-GB"/>
        </w:rPr>
      </w:pPr>
      <w:hyperlink w:anchor="_Toc83036079" w:history="1">
        <w:r w:rsidR="000957EE" w:rsidRPr="00931CEA">
          <w:rPr>
            <w:rStyle w:val="Hyperlink"/>
            <w:rFonts w:cs="Arial"/>
          </w:rPr>
          <w:t>Table 3.4</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Comparative lower quartile and median rental price 2010-2020</w:t>
        </w:r>
        <w:r w:rsidR="000957EE">
          <w:rPr>
            <w:webHidden/>
          </w:rPr>
          <w:tab/>
        </w:r>
        <w:r w:rsidR="000957EE">
          <w:rPr>
            <w:webHidden/>
          </w:rPr>
          <w:fldChar w:fldCharType="begin"/>
        </w:r>
        <w:r w:rsidR="000957EE">
          <w:rPr>
            <w:webHidden/>
          </w:rPr>
          <w:instrText xml:space="preserve"> PAGEREF _Toc83036079 \h </w:instrText>
        </w:r>
        <w:r w:rsidR="000957EE">
          <w:rPr>
            <w:webHidden/>
          </w:rPr>
        </w:r>
        <w:r w:rsidR="000957EE">
          <w:rPr>
            <w:webHidden/>
          </w:rPr>
          <w:fldChar w:fldCharType="separate"/>
        </w:r>
        <w:r w:rsidR="001877C1">
          <w:rPr>
            <w:webHidden/>
          </w:rPr>
          <w:t>65</w:t>
        </w:r>
        <w:r w:rsidR="000957EE">
          <w:rPr>
            <w:webHidden/>
          </w:rPr>
          <w:fldChar w:fldCharType="end"/>
        </w:r>
      </w:hyperlink>
    </w:p>
    <w:p w14:paraId="5097ACDB" w14:textId="016F4A6D" w:rsidR="000957EE" w:rsidRDefault="001163AD">
      <w:pPr>
        <w:pStyle w:val="TOC1"/>
        <w:rPr>
          <w:rFonts w:asciiTheme="minorHAnsi" w:eastAsiaTheme="minorEastAsia" w:hAnsiTheme="minorHAnsi" w:cstheme="minorBidi"/>
          <w:bCs w:val="0"/>
          <w:sz w:val="22"/>
          <w:szCs w:val="22"/>
          <w:lang w:eastAsia="en-GB"/>
        </w:rPr>
      </w:pPr>
      <w:hyperlink w:anchor="_Toc83036080" w:history="1">
        <w:r w:rsidR="000957EE" w:rsidRPr="00931CEA">
          <w:rPr>
            <w:rStyle w:val="Hyperlink"/>
          </w:rPr>
          <w:t xml:space="preserve">Table 3.5a </w:t>
        </w:r>
        <w:r w:rsidR="000957EE">
          <w:rPr>
            <w:rFonts w:asciiTheme="minorHAnsi" w:eastAsiaTheme="minorEastAsia" w:hAnsiTheme="minorHAnsi" w:cstheme="minorBidi"/>
            <w:bCs w:val="0"/>
            <w:sz w:val="22"/>
            <w:szCs w:val="22"/>
            <w:lang w:eastAsia="en-GB"/>
          </w:rPr>
          <w:tab/>
        </w:r>
        <w:r w:rsidR="000957EE" w:rsidRPr="00931CEA">
          <w:rPr>
            <w:rStyle w:val="Hyperlink"/>
          </w:rPr>
          <w:t>Lower quartile and median rents by ward 2020</w:t>
        </w:r>
        <w:r w:rsidR="000957EE">
          <w:rPr>
            <w:webHidden/>
          </w:rPr>
          <w:tab/>
        </w:r>
        <w:r w:rsidR="000957EE">
          <w:rPr>
            <w:webHidden/>
          </w:rPr>
          <w:fldChar w:fldCharType="begin"/>
        </w:r>
        <w:r w:rsidR="000957EE">
          <w:rPr>
            <w:webHidden/>
          </w:rPr>
          <w:instrText xml:space="preserve"> PAGEREF _Toc83036080 \h </w:instrText>
        </w:r>
        <w:r w:rsidR="000957EE">
          <w:rPr>
            <w:webHidden/>
          </w:rPr>
        </w:r>
        <w:r w:rsidR="000957EE">
          <w:rPr>
            <w:webHidden/>
          </w:rPr>
          <w:fldChar w:fldCharType="separate"/>
        </w:r>
        <w:r w:rsidR="001877C1">
          <w:rPr>
            <w:webHidden/>
          </w:rPr>
          <w:t>65</w:t>
        </w:r>
        <w:r w:rsidR="000957EE">
          <w:rPr>
            <w:webHidden/>
          </w:rPr>
          <w:fldChar w:fldCharType="end"/>
        </w:r>
      </w:hyperlink>
    </w:p>
    <w:p w14:paraId="65CF388E" w14:textId="411AEA6D" w:rsidR="000957EE" w:rsidRDefault="001163AD">
      <w:pPr>
        <w:pStyle w:val="TOC1"/>
        <w:rPr>
          <w:rFonts w:asciiTheme="minorHAnsi" w:eastAsiaTheme="minorEastAsia" w:hAnsiTheme="minorHAnsi" w:cstheme="minorBidi"/>
          <w:bCs w:val="0"/>
          <w:sz w:val="22"/>
          <w:szCs w:val="22"/>
          <w:lang w:eastAsia="en-GB"/>
        </w:rPr>
      </w:pPr>
      <w:hyperlink w:anchor="_Toc83036081" w:history="1">
        <w:r w:rsidR="000957EE" w:rsidRPr="00931CEA">
          <w:rPr>
            <w:rStyle w:val="Hyperlink"/>
          </w:rPr>
          <w:t>Table 3.5b</w:t>
        </w:r>
        <w:r w:rsidR="000957EE">
          <w:rPr>
            <w:rFonts w:asciiTheme="minorHAnsi" w:eastAsiaTheme="minorEastAsia" w:hAnsiTheme="minorHAnsi" w:cstheme="minorBidi"/>
            <w:bCs w:val="0"/>
            <w:sz w:val="22"/>
            <w:szCs w:val="22"/>
            <w:lang w:eastAsia="en-GB"/>
          </w:rPr>
          <w:tab/>
        </w:r>
        <w:r w:rsidR="000957EE" w:rsidRPr="00931CEA">
          <w:rPr>
            <w:rStyle w:val="Hyperlink"/>
          </w:rPr>
          <w:t>Lower quartile and median rents by Key Development Location and Neighbourhood Planning Areas 2020</w:t>
        </w:r>
        <w:r w:rsidR="000957EE">
          <w:rPr>
            <w:webHidden/>
          </w:rPr>
          <w:tab/>
        </w:r>
        <w:r w:rsidR="000957EE">
          <w:rPr>
            <w:webHidden/>
          </w:rPr>
          <w:fldChar w:fldCharType="begin"/>
        </w:r>
        <w:r w:rsidR="000957EE">
          <w:rPr>
            <w:webHidden/>
          </w:rPr>
          <w:instrText xml:space="preserve"> PAGEREF _Toc83036081 \h </w:instrText>
        </w:r>
        <w:r w:rsidR="000957EE">
          <w:rPr>
            <w:webHidden/>
          </w:rPr>
        </w:r>
        <w:r w:rsidR="000957EE">
          <w:rPr>
            <w:webHidden/>
          </w:rPr>
          <w:fldChar w:fldCharType="separate"/>
        </w:r>
        <w:r w:rsidR="001877C1">
          <w:rPr>
            <w:webHidden/>
          </w:rPr>
          <w:t>66</w:t>
        </w:r>
        <w:r w:rsidR="000957EE">
          <w:rPr>
            <w:webHidden/>
          </w:rPr>
          <w:fldChar w:fldCharType="end"/>
        </w:r>
      </w:hyperlink>
    </w:p>
    <w:p w14:paraId="59B9881C" w14:textId="5A2153A7" w:rsidR="000957EE" w:rsidRDefault="001163AD">
      <w:pPr>
        <w:pStyle w:val="TOC1"/>
        <w:rPr>
          <w:rFonts w:asciiTheme="minorHAnsi" w:eastAsiaTheme="minorEastAsia" w:hAnsiTheme="minorHAnsi" w:cstheme="minorBidi"/>
          <w:bCs w:val="0"/>
          <w:sz w:val="22"/>
          <w:szCs w:val="22"/>
          <w:lang w:eastAsia="en-GB"/>
        </w:rPr>
      </w:pPr>
      <w:hyperlink w:anchor="_Toc83036082" w:history="1">
        <w:r w:rsidR="000957EE" w:rsidRPr="00931CEA">
          <w:rPr>
            <w:rStyle w:val="Hyperlink"/>
            <w:rFonts w:cs="Arial"/>
          </w:rPr>
          <w:t>Table 3.6</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Broad Rental Market Area Local Housing Allowance Rates (April 2020)</w:t>
        </w:r>
        <w:r w:rsidR="000957EE">
          <w:rPr>
            <w:webHidden/>
          </w:rPr>
          <w:tab/>
        </w:r>
        <w:r w:rsidR="000957EE">
          <w:rPr>
            <w:webHidden/>
          </w:rPr>
          <w:fldChar w:fldCharType="begin"/>
        </w:r>
        <w:r w:rsidR="000957EE">
          <w:rPr>
            <w:webHidden/>
          </w:rPr>
          <w:instrText xml:space="preserve"> PAGEREF _Toc83036082 \h </w:instrText>
        </w:r>
        <w:r w:rsidR="000957EE">
          <w:rPr>
            <w:webHidden/>
          </w:rPr>
        </w:r>
        <w:r w:rsidR="000957EE">
          <w:rPr>
            <w:webHidden/>
          </w:rPr>
          <w:fldChar w:fldCharType="separate"/>
        </w:r>
        <w:r w:rsidR="001877C1">
          <w:rPr>
            <w:webHidden/>
          </w:rPr>
          <w:t>70</w:t>
        </w:r>
        <w:r w:rsidR="000957EE">
          <w:rPr>
            <w:webHidden/>
          </w:rPr>
          <w:fldChar w:fldCharType="end"/>
        </w:r>
      </w:hyperlink>
    </w:p>
    <w:p w14:paraId="3DA782EC" w14:textId="65BE736D" w:rsidR="000957EE" w:rsidRDefault="001163AD">
      <w:pPr>
        <w:pStyle w:val="TOC1"/>
        <w:rPr>
          <w:rFonts w:asciiTheme="minorHAnsi" w:eastAsiaTheme="minorEastAsia" w:hAnsiTheme="minorHAnsi" w:cstheme="minorBidi"/>
          <w:bCs w:val="0"/>
          <w:sz w:val="22"/>
          <w:szCs w:val="22"/>
          <w:lang w:eastAsia="en-GB"/>
        </w:rPr>
      </w:pPr>
      <w:hyperlink w:anchor="_Toc83036083" w:history="1">
        <w:r w:rsidR="000957EE" w:rsidRPr="00931CEA">
          <w:rPr>
            <w:rStyle w:val="Hyperlink"/>
            <w:rFonts w:cs="Arial"/>
          </w:rPr>
          <w:t>Table 3.7</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Relative affordability of lower quartile and median prices by local authority area, South East and England (workplace-based and residence-based)</w:t>
        </w:r>
        <w:r w:rsidR="000957EE">
          <w:rPr>
            <w:webHidden/>
          </w:rPr>
          <w:tab/>
        </w:r>
        <w:r w:rsidR="000957EE">
          <w:rPr>
            <w:webHidden/>
          </w:rPr>
          <w:fldChar w:fldCharType="begin"/>
        </w:r>
        <w:r w:rsidR="000957EE">
          <w:rPr>
            <w:webHidden/>
          </w:rPr>
          <w:instrText xml:space="preserve"> PAGEREF _Toc83036083 \h </w:instrText>
        </w:r>
        <w:r w:rsidR="000957EE">
          <w:rPr>
            <w:webHidden/>
          </w:rPr>
        </w:r>
        <w:r w:rsidR="000957EE">
          <w:rPr>
            <w:webHidden/>
          </w:rPr>
          <w:fldChar w:fldCharType="separate"/>
        </w:r>
        <w:r w:rsidR="001877C1">
          <w:rPr>
            <w:webHidden/>
          </w:rPr>
          <w:t>70</w:t>
        </w:r>
        <w:r w:rsidR="000957EE">
          <w:rPr>
            <w:webHidden/>
          </w:rPr>
          <w:fldChar w:fldCharType="end"/>
        </w:r>
      </w:hyperlink>
    </w:p>
    <w:p w14:paraId="5E566F06" w14:textId="18204A52" w:rsidR="000957EE" w:rsidRDefault="001163AD">
      <w:pPr>
        <w:pStyle w:val="TOC1"/>
        <w:rPr>
          <w:rFonts w:asciiTheme="minorHAnsi" w:eastAsiaTheme="minorEastAsia" w:hAnsiTheme="minorHAnsi" w:cstheme="minorBidi"/>
          <w:bCs w:val="0"/>
          <w:sz w:val="22"/>
          <w:szCs w:val="22"/>
          <w:lang w:eastAsia="en-GB"/>
        </w:rPr>
      </w:pPr>
      <w:hyperlink w:anchor="_Toc83036084" w:history="1">
        <w:r w:rsidR="000957EE" w:rsidRPr="00931CEA">
          <w:rPr>
            <w:rStyle w:val="Hyperlink"/>
            <w:rFonts w:cs="Arial"/>
          </w:rPr>
          <w:t>Table</w:t>
        </w:r>
        <w:r w:rsidR="000957EE" w:rsidRPr="00931CEA">
          <w:rPr>
            <w:rStyle w:val="Hyperlink"/>
            <w:rFonts w:cs="Arial"/>
            <w:lang w:val="en-US"/>
          </w:rPr>
          <w:t xml:space="preserve"> 3.8</w:t>
        </w:r>
        <w:r w:rsidR="000957EE">
          <w:rPr>
            <w:rFonts w:asciiTheme="minorHAnsi" w:eastAsiaTheme="minorEastAsia" w:hAnsiTheme="minorHAnsi" w:cstheme="minorBidi"/>
            <w:bCs w:val="0"/>
            <w:sz w:val="22"/>
            <w:szCs w:val="22"/>
            <w:lang w:eastAsia="en-GB"/>
          </w:rPr>
          <w:tab/>
        </w:r>
        <w:r w:rsidR="000957EE" w:rsidRPr="00931CEA">
          <w:rPr>
            <w:rStyle w:val="Hyperlink"/>
            <w:rFonts w:cs="Arial"/>
            <w:lang w:val="en-US"/>
          </w:rPr>
          <w:t>Summary of tenure (including affordable options), price assumptions and data sources</w:t>
        </w:r>
        <w:r w:rsidR="000957EE">
          <w:rPr>
            <w:webHidden/>
          </w:rPr>
          <w:tab/>
        </w:r>
        <w:r w:rsidR="000957EE">
          <w:rPr>
            <w:webHidden/>
          </w:rPr>
          <w:fldChar w:fldCharType="begin"/>
        </w:r>
        <w:r w:rsidR="000957EE">
          <w:rPr>
            <w:webHidden/>
          </w:rPr>
          <w:instrText xml:space="preserve"> PAGEREF _Toc83036084 \h </w:instrText>
        </w:r>
        <w:r w:rsidR="000957EE">
          <w:rPr>
            <w:webHidden/>
          </w:rPr>
        </w:r>
        <w:r w:rsidR="000957EE">
          <w:rPr>
            <w:webHidden/>
          </w:rPr>
          <w:fldChar w:fldCharType="separate"/>
        </w:r>
        <w:r w:rsidR="001877C1">
          <w:rPr>
            <w:webHidden/>
          </w:rPr>
          <w:t>72</w:t>
        </w:r>
        <w:r w:rsidR="000957EE">
          <w:rPr>
            <w:webHidden/>
          </w:rPr>
          <w:fldChar w:fldCharType="end"/>
        </w:r>
      </w:hyperlink>
    </w:p>
    <w:p w14:paraId="34EE2A79" w14:textId="2AFF13F9" w:rsidR="000957EE" w:rsidRDefault="001163AD">
      <w:pPr>
        <w:pStyle w:val="TOC1"/>
        <w:rPr>
          <w:rFonts w:asciiTheme="minorHAnsi" w:eastAsiaTheme="minorEastAsia" w:hAnsiTheme="minorHAnsi" w:cstheme="minorBidi"/>
          <w:bCs w:val="0"/>
          <w:sz w:val="22"/>
          <w:szCs w:val="22"/>
          <w:lang w:eastAsia="en-GB"/>
        </w:rPr>
      </w:pPr>
      <w:hyperlink w:anchor="_Toc83036085" w:history="1">
        <w:r w:rsidR="000957EE" w:rsidRPr="00931CEA">
          <w:rPr>
            <w:rStyle w:val="Hyperlink"/>
          </w:rPr>
          <w:t>Table 3.9a</w:t>
        </w:r>
        <w:r w:rsidR="000957EE">
          <w:rPr>
            <w:rFonts w:asciiTheme="minorHAnsi" w:eastAsiaTheme="minorEastAsia" w:hAnsiTheme="minorHAnsi" w:cstheme="minorBidi"/>
            <w:bCs w:val="0"/>
            <w:sz w:val="22"/>
            <w:szCs w:val="22"/>
            <w:lang w:eastAsia="en-GB"/>
          </w:rPr>
          <w:tab/>
        </w:r>
        <w:r w:rsidR="000957EE" w:rsidRPr="00931CEA">
          <w:rPr>
            <w:rStyle w:val="Hyperlink"/>
          </w:rPr>
          <w:t>Cost</w:t>
        </w:r>
        <w:r w:rsidR="000957EE" w:rsidRPr="00931CEA">
          <w:rPr>
            <w:rStyle w:val="Hyperlink"/>
            <w:lang w:val="en-US"/>
          </w:rPr>
          <w:t xml:space="preserve"> of alternative tenures by ward</w:t>
        </w:r>
        <w:r w:rsidR="000957EE">
          <w:rPr>
            <w:webHidden/>
          </w:rPr>
          <w:tab/>
        </w:r>
        <w:r w:rsidR="000957EE">
          <w:rPr>
            <w:webHidden/>
          </w:rPr>
          <w:fldChar w:fldCharType="begin"/>
        </w:r>
        <w:r w:rsidR="000957EE">
          <w:rPr>
            <w:webHidden/>
          </w:rPr>
          <w:instrText xml:space="preserve"> PAGEREF _Toc83036085 \h </w:instrText>
        </w:r>
        <w:r w:rsidR="000957EE">
          <w:rPr>
            <w:webHidden/>
          </w:rPr>
        </w:r>
        <w:r w:rsidR="000957EE">
          <w:rPr>
            <w:webHidden/>
          </w:rPr>
          <w:fldChar w:fldCharType="separate"/>
        </w:r>
        <w:r w:rsidR="001877C1">
          <w:rPr>
            <w:webHidden/>
          </w:rPr>
          <w:t>73</w:t>
        </w:r>
        <w:r w:rsidR="000957EE">
          <w:rPr>
            <w:webHidden/>
          </w:rPr>
          <w:fldChar w:fldCharType="end"/>
        </w:r>
      </w:hyperlink>
    </w:p>
    <w:p w14:paraId="2FE03003" w14:textId="2E956563" w:rsidR="000957EE" w:rsidRDefault="001163AD">
      <w:pPr>
        <w:pStyle w:val="TOC1"/>
        <w:rPr>
          <w:rFonts w:asciiTheme="minorHAnsi" w:eastAsiaTheme="minorEastAsia" w:hAnsiTheme="minorHAnsi" w:cstheme="minorBidi"/>
          <w:bCs w:val="0"/>
          <w:sz w:val="22"/>
          <w:szCs w:val="22"/>
          <w:lang w:eastAsia="en-GB"/>
        </w:rPr>
      </w:pPr>
      <w:hyperlink w:anchor="_Toc83036086" w:history="1">
        <w:r w:rsidR="000957EE" w:rsidRPr="00931CEA">
          <w:rPr>
            <w:rStyle w:val="Hyperlink"/>
          </w:rPr>
          <w:t>Table 3.9b</w:t>
        </w:r>
        <w:r w:rsidR="000957EE">
          <w:rPr>
            <w:rFonts w:asciiTheme="minorHAnsi" w:eastAsiaTheme="minorEastAsia" w:hAnsiTheme="minorHAnsi" w:cstheme="minorBidi"/>
            <w:bCs w:val="0"/>
            <w:sz w:val="22"/>
            <w:szCs w:val="22"/>
            <w:lang w:eastAsia="en-GB"/>
          </w:rPr>
          <w:tab/>
        </w:r>
        <w:r w:rsidR="000957EE" w:rsidRPr="00931CEA">
          <w:rPr>
            <w:rStyle w:val="Hyperlink"/>
            <w:lang w:val="en-US"/>
          </w:rPr>
          <w:t>Cost of alternative tenures by Key Development Locations and Neighbourhood Planning Areas</w:t>
        </w:r>
        <w:r w:rsidR="000957EE">
          <w:rPr>
            <w:webHidden/>
          </w:rPr>
          <w:tab/>
        </w:r>
        <w:r w:rsidR="000957EE">
          <w:rPr>
            <w:webHidden/>
          </w:rPr>
          <w:fldChar w:fldCharType="begin"/>
        </w:r>
        <w:r w:rsidR="000957EE">
          <w:rPr>
            <w:webHidden/>
          </w:rPr>
          <w:instrText xml:space="preserve"> PAGEREF _Toc83036086 \h </w:instrText>
        </w:r>
        <w:r w:rsidR="000957EE">
          <w:rPr>
            <w:webHidden/>
          </w:rPr>
        </w:r>
        <w:r w:rsidR="000957EE">
          <w:rPr>
            <w:webHidden/>
          </w:rPr>
          <w:fldChar w:fldCharType="separate"/>
        </w:r>
        <w:r w:rsidR="001877C1">
          <w:rPr>
            <w:webHidden/>
          </w:rPr>
          <w:t>74</w:t>
        </w:r>
        <w:r w:rsidR="000957EE">
          <w:rPr>
            <w:webHidden/>
          </w:rPr>
          <w:fldChar w:fldCharType="end"/>
        </w:r>
      </w:hyperlink>
    </w:p>
    <w:p w14:paraId="469EA494" w14:textId="47936D38" w:rsidR="000957EE" w:rsidRDefault="001163AD">
      <w:pPr>
        <w:pStyle w:val="TOC1"/>
        <w:rPr>
          <w:rFonts w:asciiTheme="minorHAnsi" w:eastAsiaTheme="minorEastAsia" w:hAnsiTheme="minorHAnsi" w:cstheme="minorBidi"/>
          <w:bCs w:val="0"/>
          <w:sz w:val="22"/>
          <w:szCs w:val="22"/>
          <w:lang w:eastAsia="en-GB"/>
        </w:rPr>
      </w:pPr>
      <w:hyperlink w:anchor="_Toc83036087" w:history="1">
        <w:r w:rsidR="000957EE" w:rsidRPr="00931CEA">
          <w:rPr>
            <w:rStyle w:val="Hyperlink"/>
          </w:rPr>
          <w:t>Table 3.10a</w:t>
        </w:r>
        <w:r w:rsidR="000957EE">
          <w:rPr>
            <w:rFonts w:asciiTheme="minorHAnsi" w:eastAsiaTheme="minorEastAsia" w:hAnsiTheme="minorHAnsi" w:cstheme="minorBidi"/>
            <w:bCs w:val="0"/>
            <w:sz w:val="22"/>
            <w:szCs w:val="22"/>
            <w:lang w:eastAsia="en-GB"/>
          </w:rPr>
          <w:tab/>
        </w:r>
        <w:r w:rsidR="000957EE" w:rsidRPr="00931CEA">
          <w:rPr>
            <w:rStyle w:val="Hyperlink"/>
            <w:lang w:val="en-US"/>
          </w:rPr>
          <w:t>Household income required for tenure to be affordable (based on 25% of income for rents and 3.5x income for buying) by ward</w:t>
        </w:r>
        <w:r w:rsidR="000957EE">
          <w:rPr>
            <w:webHidden/>
          </w:rPr>
          <w:tab/>
        </w:r>
        <w:r w:rsidR="000957EE">
          <w:rPr>
            <w:webHidden/>
          </w:rPr>
          <w:fldChar w:fldCharType="begin"/>
        </w:r>
        <w:r w:rsidR="000957EE">
          <w:rPr>
            <w:webHidden/>
          </w:rPr>
          <w:instrText xml:space="preserve"> PAGEREF _Toc83036087 \h </w:instrText>
        </w:r>
        <w:r w:rsidR="000957EE">
          <w:rPr>
            <w:webHidden/>
          </w:rPr>
        </w:r>
        <w:r w:rsidR="000957EE">
          <w:rPr>
            <w:webHidden/>
          </w:rPr>
          <w:fldChar w:fldCharType="separate"/>
        </w:r>
        <w:r w:rsidR="001877C1">
          <w:rPr>
            <w:webHidden/>
          </w:rPr>
          <w:t>75</w:t>
        </w:r>
        <w:r w:rsidR="000957EE">
          <w:rPr>
            <w:webHidden/>
          </w:rPr>
          <w:fldChar w:fldCharType="end"/>
        </w:r>
      </w:hyperlink>
    </w:p>
    <w:p w14:paraId="4F1C922A" w14:textId="7547829B" w:rsidR="000957EE" w:rsidRDefault="001163AD">
      <w:pPr>
        <w:pStyle w:val="TOC1"/>
        <w:rPr>
          <w:rFonts w:asciiTheme="minorHAnsi" w:eastAsiaTheme="minorEastAsia" w:hAnsiTheme="minorHAnsi" w:cstheme="minorBidi"/>
          <w:bCs w:val="0"/>
          <w:sz w:val="22"/>
          <w:szCs w:val="22"/>
          <w:lang w:eastAsia="en-GB"/>
        </w:rPr>
      </w:pPr>
      <w:hyperlink w:anchor="_Toc83036088" w:history="1">
        <w:r w:rsidR="000957EE" w:rsidRPr="00931CEA">
          <w:rPr>
            <w:rStyle w:val="Hyperlink"/>
          </w:rPr>
          <w:t>Table 3.10b</w:t>
        </w:r>
        <w:r w:rsidR="000957EE">
          <w:rPr>
            <w:rFonts w:asciiTheme="minorHAnsi" w:eastAsiaTheme="minorEastAsia" w:hAnsiTheme="minorHAnsi" w:cstheme="minorBidi"/>
            <w:bCs w:val="0"/>
            <w:sz w:val="22"/>
            <w:szCs w:val="22"/>
            <w:lang w:eastAsia="en-GB"/>
          </w:rPr>
          <w:tab/>
        </w:r>
        <w:r w:rsidR="000957EE" w:rsidRPr="00931CEA">
          <w:rPr>
            <w:rStyle w:val="Hyperlink"/>
            <w:lang w:val="en-US"/>
          </w:rPr>
          <w:t xml:space="preserve">Household </w:t>
        </w:r>
        <w:r w:rsidR="000957EE" w:rsidRPr="00931CEA">
          <w:rPr>
            <w:rStyle w:val="Hyperlink"/>
          </w:rPr>
          <w:t>income</w:t>
        </w:r>
        <w:r w:rsidR="000957EE" w:rsidRPr="00931CEA">
          <w:rPr>
            <w:rStyle w:val="Hyperlink"/>
            <w:lang w:val="en-US"/>
          </w:rPr>
          <w:t xml:space="preserve"> required for tenure to be affordable (based on 25% of income for rents and 3.5x income for buying) by Key Development Locations and Neighbourhood Planning Area</w:t>
        </w:r>
        <w:r w:rsidR="000957EE">
          <w:rPr>
            <w:webHidden/>
          </w:rPr>
          <w:tab/>
        </w:r>
        <w:r w:rsidR="000957EE">
          <w:rPr>
            <w:webHidden/>
          </w:rPr>
          <w:fldChar w:fldCharType="begin"/>
        </w:r>
        <w:r w:rsidR="000957EE">
          <w:rPr>
            <w:webHidden/>
          </w:rPr>
          <w:instrText xml:space="preserve"> PAGEREF _Toc83036088 \h </w:instrText>
        </w:r>
        <w:r w:rsidR="000957EE">
          <w:rPr>
            <w:webHidden/>
          </w:rPr>
        </w:r>
        <w:r w:rsidR="000957EE">
          <w:rPr>
            <w:webHidden/>
          </w:rPr>
          <w:fldChar w:fldCharType="separate"/>
        </w:r>
        <w:r w:rsidR="001877C1">
          <w:rPr>
            <w:webHidden/>
          </w:rPr>
          <w:t>76</w:t>
        </w:r>
        <w:r w:rsidR="000957EE">
          <w:rPr>
            <w:webHidden/>
          </w:rPr>
          <w:fldChar w:fldCharType="end"/>
        </w:r>
      </w:hyperlink>
    </w:p>
    <w:p w14:paraId="16202B47" w14:textId="361B964E" w:rsidR="000957EE" w:rsidRDefault="001163AD">
      <w:pPr>
        <w:pStyle w:val="TOC1"/>
        <w:rPr>
          <w:rFonts w:asciiTheme="minorHAnsi" w:eastAsiaTheme="minorEastAsia" w:hAnsiTheme="minorHAnsi" w:cstheme="minorBidi"/>
          <w:bCs w:val="0"/>
          <w:sz w:val="22"/>
          <w:szCs w:val="22"/>
          <w:lang w:eastAsia="en-GB"/>
        </w:rPr>
      </w:pPr>
      <w:hyperlink w:anchor="_Toc83036089" w:history="1">
        <w:r w:rsidR="000957EE" w:rsidRPr="00931CEA">
          <w:rPr>
            <w:rStyle w:val="Hyperlink"/>
            <w:rFonts w:cs="Arial"/>
          </w:rPr>
          <w:t>Table 3.11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Impact of alternative deposits on sale price and income required for open market properties</w:t>
        </w:r>
        <w:r w:rsidR="000957EE">
          <w:rPr>
            <w:webHidden/>
          </w:rPr>
          <w:tab/>
        </w:r>
        <w:r w:rsidR="000957EE">
          <w:rPr>
            <w:webHidden/>
          </w:rPr>
          <w:fldChar w:fldCharType="begin"/>
        </w:r>
        <w:r w:rsidR="000957EE">
          <w:rPr>
            <w:webHidden/>
          </w:rPr>
          <w:instrText xml:space="preserve"> PAGEREF _Toc83036089 \h </w:instrText>
        </w:r>
        <w:r w:rsidR="000957EE">
          <w:rPr>
            <w:webHidden/>
          </w:rPr>
        </w:r>
        <w:r w:rsidR="000957EE">
          <w:rPr>
            <w:webHidden/>
          </w:rPr>
          <w:fldChar w:fldCharType="separate"/>
        </w:r>
        <w:r w:rsidR="001877C1">
          <w:rPr>
            <w:webHidden/>
          </w:rPr>
          <w:t>77</w:t>
        </w:r>
        <w:r w:rsidR="000957EE">
          <w:rPr>
            <w:webHidden/>
          </w:rPr>
          <w:fldChar w:fldCharType="end"/>
        </w:r>
      </w:hyperlink>
    </w:p>
    <w:p w14:paraId="6B290A59" w14:textId="56E9C5AC" w:rsidR="000957EE" w:rsidRDefault="001163AD">
      <w:pPr>
        <w:pStyle w:val="TOC1"/>
        <w:rPr>
          <w:rFonts w:asciiTheme="minorHAnsi" w:eastAsiaTheme="minorEastAsia" w:hAnsiTheme="minorHAnsi" w:cstheme="minorBidi"/>
          <w:bCs w:val="0"/>
          <w:sz w:val="22"/>
          <w:szCs w:val="22"/>
          <w:lang w:eastAsia="en-GB"/>
        </w:rPr>
      </w:pPr>
      <w:hyperlink w:anchor="_Toc83036090" w:history="1">
        <w:r w:rsidR="000957EE" w:rsidRPr="00931CEA">
          <w:rPr>
            <w:rStyle w:val="Hyperlink"/>
            <w:rFonts w:cs="Arial"/>
          </w:rPr>
          <w:t>Table 3.12a</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Affordability of private rents by ward</w:t>
        </w:r>
        <w:r w:rsidR="000957EE">
          <w:rPr>
            <w:webHidden/>
          </w:rPr>
          <w:tab/>
        </w:r>
        <w:r w:rsidR="000957EE">
          <w:rPr>
            <w:webHidden/>
          </w:rPr>
          <w:fldChar w:fldCharType="begin"/>
        </w:r>
        <w:r w:rsidR="000957EE">
          <w:rPr>
            <w:webHidden/>
          </w:rPr>
          <w:instrText xml:space="preserve"> PAGEREF _Toc83036090 \h </w:instrText>
        </w:r>
        <w:r w:rsidR="000957EE">
          <w:rPr>
            <w:webHidden/>
          </w:rPr>
        </w:r>
        <w:r w:rsidR="000957EE">
          <w:rPr>
            <w:webHidden/>
          </w:rPr>
          <w:fldChar w:fldCharType="separate"/>
        </w:r>
        <w:r w:rsidR="001877C1">
          <w:rPr>
            <w:webHidden/>
          </w:rPr>
          <w:t>80</w:t>
        </w:r>
        <w:r w:rsidR="000957EE">
          <w:rPr>
            <w:webHidden/>
          </w:rPr>
          <w:fldChar w:fldCharType="end"/>
        </w:r>
      </w:hyperlink>
    </w:p>
    <w:p w14:paraId="207EE415" w14:textId="0256F4E8" w:rsidR="000957EE" w:rsidRDefault="001163AD">
      <w:pPr>
        <w:pStyle w:val="TOC1"/>
        <w:rPr>
          <w:rFonts w:asciiTheme="minorHAnsi" w:eastAsiaTheme="minorEastAsia" w:hAnsiTheme="minorHAnsi" w:cstheme="minorBidi"/>
          <w:bCs w:val="0"/>
          <w:sz w:val="22"/>
          <w:szCs w:val="22"/>
          <w:lang w:eastAsia="en-GB"/>
        </w:rPr>
      </w:pPr>
      <w:hyperlink w:anchor="_Toc83036091" w:history="1">
        <w:r w:rsidR="000957EE" w:rsidRPr="00931CEA">
          <w:rPr>
            <w:rStyle w:val="Hyperlink"/>
            <w:rFonts w:cs="Arial"/>
          </w:rPr>
          <w:t>Table 3.12b</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Affordability of private rents by Key Development Location and Neighbourhood Planning Areas</w:t>
        </w:r>
        <w:r w:rsidR="000957EE">
          <w:rPr>
            <w:webHidden/>
          </w:rPr>
          <w:tab/>
        </w:r>
        <w:r w:rsidR="000957EE">
          <w:rPr>
            <w:webHidden/>
          </w:rPr>
          <w:fldChar w:fldCharType="begin"/>
        </w:r>
        <w:r w:rsidR="000957EE">
          <w:rPr>
            <w:webHidden/>
          </w:rPr>
          <w:instrText xml:space="preserve"> PAGEREF _Toc83036091 \h </w:instrText>
        </w:r>
        <w:r w:rsidR="000957EE">
          <w:rPr>
            <w:webHidden/>
          </w:rPr>
        </w:r>
        <w:r w:rsidR="000957EE">
          <w:rPr>
            <w:webHidden/>
          </w:rPr>
          <w:fldChar w:fldCharType="separate"/>
        </w:r>
        <w:r w:rsidR="001877C1">
          <w:rPr>
            <w:webHidden/>
          </w:rPr>
          <w:t>81</w:t>
        </w:r>
        <w:r w:rsidR="000957EE">
          <w:rPr>
            <w:webHidden/>
          </w:rPr>
          <w:fldChar w:fldCharType="end"/>
        </w:r>
      </w:hyperlink>
    </w:p>
    <w:p w14:paraId="3F00B4E6" w14:textId="1BB250B2" w:rsidR="000957EE" w:rsidRDefault="001163AD">
      <w:pPr>
        <w:pStyle w:val="TOC1"/>
        <w:rPr>
          <w:rFonts w:asciiTheme="minorHAnsi" w:eastAsiaTheme="minorEastAsia" w:hAnsiTheme="minorHAnsi" w:cstheme="minorBidi"/>
          <w:bCs w:val="0"/>
          <w:sz w:val="22"/>
          <w:szCs w:val="22"/>
          <w:lang w:eastAsia="en-GB"/>
        </w:rPr>
      </w:pPr>
      <w:hyperlink w:anchor="_Toc83036092" w:history="1">
        <w:r w:rsidR="000957EE" w:rsidRPr="00931CEA">
          <w:rPr>
            <w:rStyle w:val="Hyperlink"/>
            <w:rFonts w:cs="Arial"/>
          </w:rPr>
          <w:t>Table 3.13a</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Affordability of owner occupation by ward</w:t>
        </w:r>
        <w:r w:rsidR="000957EE">
          <w:rPr>
            <w:webHidden/>
          </w:rPr>
          <w:tab/>
        </w:r>
        <w:r w:rsidR="000957EE">
          <w:rPr>
            <w:webHidden/>
          </w:rPr>
          <w:fldChar w:fldCharType="begin"/>
        </w:r>
        <w:r w:rsidR="000957EE">
          <w:rPr>
            <w:webHidden/>
          </w:rPr>
          <w:instrText xml:space="preserve"> PAGEREF _Toc83036092 \h </w:instrText>
        </w:r>
        <w:r w:rsidR="000957EE">
          <w:rPr>
            <w:webHidden/>
          </w:rPr>
        </w:r>
        <w:r w:rsidR="000957EE">
          <w:rPr>
            <w:webHidden/>
          </w:rPr>
          <w:fldChar w:fldCharType="separate"/>
        </w:r>
        <w:r w:rsidR="001877C1">
          <w:rPr>
            <w:webHidden/>
          </w:rPr>
          <w:t>82</w:t>
        </w:r>
        <w:r w:rsidR="000957EE">
          <w:rPr>
            <w:webHidden/>
          </w:rPr>
          <w:fldChar w:fldCharType="end"/>
        </w:r>
      </w:hyperlink>
    </w:p>
    <w:p w14:paraId="1928A909" w14:textId="67D5C289" w:rsidR="000957EE" w:rsidRDefault="001163AD">
      <w:pPr>
        <w:pStyle w:val="TOC1"/>
        <w:rPr>
          <w:rFonts w:asciiTheme="minorHAnsi" w:eastAsiaTheme="minorEastAsia" w:hAnsiTheme="minorHAnsi" w:cstheme="minorBidi"/>
          <w:bCs w:val="0"/>
          <w:sz w:val="22"/>
          <w:szCs w:val="22"/>
          <w:lang w:eastAsia="en-GB"/>
        </w:rPr>
      </w:pPr>
      <w:hyperlink w:anchor="_Toc83036093" w:history="1">
        <w:r w:rsidR="000957EE" w:rsidRPr="00931CEA">
          <w:rPr>
            <w:rStyle w:val="Hyperlink"/>
            <w:rFonts w:cs="Arial"/>
          </w:rPr>
          <w:t>Table 3.13b</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Affordability of owner occupation  by Key Development Location and Neighbourhood Planning Area</w:t>
        </w:r>
        <w:r w:rsidR="000957EE">
          <w:rPr>
            <w:webHidden/>
          </w:rPr>
          <w:tab/>
        </w:r>
        <w:r w:rsidR="000957EE">
          <w:rPr>
            <w:webHidden/>
          </w:rPr>
          <w:fldChar w:fldCharType="begin"/>
        </w:r>
        <w:r w:rsidR="000957EE">
          <w:rPr>
            <w:webHidden/>
          </w:rPr>
          <w:instrText xml:space="preserve"> PAGEREF _Toc83036093 \h </w:instrText>
        </w:r>
        <w:r w:rsidR="000957EE">
          <w:rPr>
            <w:webHidden/>
          </w:rPr>
        </w:r>
        <w:r w:rsidR="000957EE">
          <w:rPr>
            <w:webHidden/>
          </w:rPr>
          <w:fldChar w:fldCharType="separate"/>
        </w:r>
        <w:r w:rsidR="001877C1">
          <w:rPr>
            <w:webHidden/>
          </w:rPr>
          <w:t>83</w:t>
        </w:r>
        <w:r w:rsidR="000957EE">
          <w:rPr>
            <w:webHidden/>
          </w:rPr>
          <w:fldChar w:fldCharType="end"/>
        </w:r>
      </w:hyperlink>
    </w:p>
    <w:p w14:paraId="47E96AB4" w14:textId="04F54515" w:rsidR="000957EE" w:rsidRDefault="001163AD">
      <w:pPr>
        <w:pStyle w:val="TOC1"/>
        <w:rPr>
          <w:rFonts w:asciiTheme="minorHAnsi" w:eastAsiaTheme="minorEastAsia" w:hAnsiTheme="minorHAnsi" w:cstheme="minorBidi"/>
          <w:bCs w:val="0"/>
          <w:sz w:val="22"/>
          <w:szCs w:val="22"/>
          <w:lang w:eastAsia="en-GB"/>
        </w:rPr>
      </w:pPr>
      <w:hyperlink w:anchor="_Toc83036094" w:history="1">
        <w:r w:rsidR="000957EE" w:rsidRPr="00931CEA">
          <w:rPr>
            <w:rStyle w:val="Hyperlink"/>
            <w:rFonts w:cs="Arial"/>
          </w:rPr>
          <w:t xml:space="preserve">Table 3.14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Incomes of key workers and households on minimum/living wage and rental affordability</w:t>
        </w:r>
        <w:r w:rsidR="000957EE">
          <w:rPr>
            <w:webHidden/>
          </w:rPr>
          <w:tab/>
        </w:r>
        <w:r w:rsidR="000957EE">
          <w:rPr>
            <w:webHidden/>
          </w:rPr>
          <w:fldChar w:fldCharType="begin"/>
        </w:r>
        <w:r w:rsidR="000957EE">
          <w:rPr>
            <w:webHidden/>
          </w:rPr>
          <w:instrText xml:space="preserve"> PAGEREF _Toc83036094 \h </w:instrText>
        </w:r>
        <w:r w:rsidR="000957EE">
          <w:rPr>
            <w:webHidden/>
          </w:rPr>
        </w:r>
        <w:r w:rsidR="000957EE">
          <w:rPr>
            <w:webHidden/>
          </w:rPr>
          <w:fldChar w:fldCharType="separate"/>
        </w:r>
        <w:r w:rsidR="001877C1">
          <w:rPr>
            <w:webHidden/>
          </w:rPr>
          <w:t>84</w:t>
        </w:r>
        <w:r w:rsidR="000957EE">
          <w:rPr>
            <w:webHidden/>
          </w:rPr>
          <w:fldChar w:fldCharType="end"/>
        </w:r>
      </w:hyperlink>
    </w:p>
    <w:p w14:paraId="60AF4A37" w14:textId="3D256423" w:rsidR="000957EE" w:rsidRDefault="001163AD">
      <w:pPr>
        <w:pStyle w:val="TOC1"/>
        <w:rPr>
          <w:rFonts w:asciiTheme="minorHAnsi" w:eastAsiaTheme="minorEastAsia" w:hAnsiTheme="minorHAnsi" w:cstheme="minorBidi"/>
          <w:bCs w:val="0"/>
          <w:sz w:val="22"/>
          <w:szCs w:val="22"/>
          <w:lang w:eastAsia="en-GB"/>
        </w:rPr>
      </w:pPr>
      <w:hyperlink w:anchor="_Toc83036095" w:history="1">
        <w:r w:rsidR="000957EE" w:rsidRPr="00931CEA">
          <w:rPr>
            <w:rStyle w:val="Hyperlink"/>
            <w:rFonts w:cs="Arial"/>
          </w:rPr>
          <w:t>Table 3.15</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Incomes of households, selected key workers and households on minimum/living wage and open market prices</w:t>
        </w:r>
        <w:r w:rsidR="000957EE">
          <w:rPr>
            <w:webHidden/>
          </w:rPr>
          <w:tab/>
        </w:r>
        <w:r w:rsidR="000957EE">
          <w:rPr>
            <w:webHidden/>
          </w:rPr>
          <w:fldChar w:fldCharType="begin"/>
        </w:r>
        <w:r w:rsidR="000957EE">
          <w:rPr>
            <w:webHidden/>
          </w:rPr>
          <w:instrText xml:space="preserve"> PAGEREF _Toc83036095 \h </w:instrText>
        </w:r>
        <w:r w:rsidR="000957EE">
          <w:rPr>
            <w:webHidden/>
          </w:rPr>
        </w:r>
        <w:r w:rsidR="000957EE">
          <w:rPr>
            <w:webHidden/>
          </w:rPr>
          <w:fldChar w:fldCharType="separate"/>
        </w:r>
        <w:r w:rsidR="001877C1">
          <w:rPr>
            <w:webHidden/>
          </w:rPr>
          <w:t>85</w:t>
        </w:r>
        <w:r w:rsidR="000957EE">
          <w:rPr>
            <w:webHidden/>
          </w:rPr>
          <w:fldChar w:fldCharType="end"/>
        </w:r>
      </w:hyperlink>
    </w:p>
    <w:p w14:paraId="3FBEFD1E" w14:textId="589F9ED4" w:rsidR="000957EE" w:rsidRDefault="001163AD">
      <w:pPr>
        <w:pStyle w:val="TOC1"/>
        <w:rPr>
          <w:rFonts w:asciiTheme="minorHAnsi" w:eastAsiaTheme="minorEastAsia" w:hAnsiTheme="minorHAnsi" w:cstheme="minorBidi"/>
          <w:bCs w:val="0"/>
          <w:sz w:val="22"/>
          <w:szCs w:val="22"/>
          <w:lang w:eastAsia="en-GB"/>
        </w:rPr>
      </w:pPr>
      <w:hyperlink w:anchor="_Toc83036096" w:history="1">
        <w:r w:rsidR="000957EE" w:rsidRPr="00931CEA">
          <w:rPr>
            <w:rStyle w:val="Hyperlink"/>
          </w:rPr>
          <w:t>Table 3.16a</w:t>
        </w:r>
        <w:r w:rsidR="000957EE">
          <w:rPr>
            <w:rFonts w:asciiTheme="minorHAnsi" w:eastAsiaTheme="minorEastAsia" w:hAnsiTheme="minorHAnsi" w:cstheme="minorBidi"/>
            <w:bCs w:val="0"/>
            <w:sz w:val="22"/>
            <w:szCs w:val="22"/>
            <w:lang w:eastAsia="en-GB"/>
          </w:rPr>
          <w:tab/>
        </w:r>
        <w:r w:rsidR="000957EE" w:rsidRPr="00931CEA">
          <w:rPr>
            <w:rStyle w:val="Hyperlink"/>
          </w:rPr>
          <w:t>Genuinely affordable rents and purchase prices by ward</w:t>
        </w:r>
        <w:r w:rsidR="000957EE">
          <w:rPr>
            <w:webHidden/>
          </w:rPr>
          <w:tab/>
        </w:r>
        <w:r w:rsidR="000957EE">
          <w:rPr>
            <w:webHidden/>
          </w:rPr>
          <w:fldChar w:fldCharType="begin"/>
        </w:r>
        <w:r w:rsidR="000957EE">
          <w:rPr>
            <w:webHidden/>
          </w:rPr>
          <w:instrText xml:space="preserve"> PAGEREF _Toc83036096 \h </w:instrText>
        </w:r>
        <w:r w:rsidR="000957EE">
          <w:rPr>
            <w:webHidden/>
          </w:rPr>
        </w:r>
        <w:r w:rsidR="000957EE">
          <w:rPr>
            <w:webHidden/>
          </w:rPr>
          <w:fldChar w:fldCharType="separate"/>
        </w:r>
        <w:r w:rsidR="001877C1">
          <w:rPr>
            <w:webHidden/>
          </w:rPr>
          <w:t>87</w:t>
        </w:r>
        <w:r w:rsidR="000957EE">
          <w:rPr>
            <w:webHidden/>
          </w:rPr>
          <w:fldChar w:fldCharType="end"/>
        </w:r>
      </w:hyperlink>
    </w:p>
    <w:p w14:paraId="1D013946" w14:textId="68741B5E" w:rsidR="000957EE" w:rsidRDefault="001163AD">
      <w:pPr>
        <w:pStyle w:val="TOC1"/>
        <w:rPr>
          <w:rFonts w:asciiTheme="minorHAnsi" w:eastAsiaTheme="minorEastAsia" w:hAnsiTheme="minorHAnsi" w:cstheme="minorBidi"/>
          <w:bCs w:val="0"/>
          <w:sz w:val="22"/>
          <w:szCs w:val="22"/>
          <w:lang w:eastAsia="en-GB"/>
        </w:rPr>
      </w:pPr>
      <w:hyperlink w:anchor="_Toc83036097" w:history="1">
        <w:r w:rsidR="000957EE" w:rsidRPr="00931CEA">
          <w:rPr>
            <w:rStyle w:val="Hyperlink"/>
          </w:rPr>
          <w:t>Table 3.16b</w:t>
        </w:r>
        <w:r w:rsidR="000957EE">
          <w:rPr>
            <w:rFonts w:asciiTheme="minorHAnsi" w:eastAsiaTheme="minorEastAsia" w:hAnsiTheme="minorHAnsi" w:cstheme="minorBidi"/>
            <w:bCs w:val="0"/>
            <w:sz w:val="22"/>
            <w:szCs w:val="22"/>
            <w:lang w:eastAsia="en-GB"/>
          </w:rPr>
          <w:tab/>
        </w:r>
        <w:r w:rsidR="000957EE" w:rsidRPr="00931CEA">
          <w:rPr>
            <w:rStyle w:val="Hyperlink"/>
          </w:rPr>
          <w:t>Genuinely affordable rents and purchase prices by Key Development Location and Neighbourhood Planning Area</w:t>
        </w:r>
        <w:r w:rsidR="000957EE">
          <w:rPr>
            <w:webHidden/>
          </w:rPr>
          <w:tab/>
        </w:r>
        <w:r w:rsidR="000957EE">
          <w:rPr>
            <w:webHidden/>
          </w:rPr>
          <w:fldChar w:fldCharType="begin"/>
        </w:r>
        <w:r w:rsidR="000957EE">
          <w:rPr>
            <w:webHidden/>
          </w:rPr>
          <w:instrText xml:space="preserve"> PAGEREF _Toc83036097 \h </w:instrText>
        </w:r>
        <w:r w:rsidR="000957EE">
          <w:rPr>
            <w:webHidden/>
          </w:rPr>
        </w:r>
        <w:r w:rsidR="000957EE">
          <w:rPr>
            <w:webHidden/>
          </w:rPr>
          <w:fldChar w:fldCharType="separate"/>
        </w:r>
        <w:r w:rsidR="001877C1">
          <w:rPr>
            <w:webHidden/>
          </w:rPr>
          <w:t>88</w:t>
        </w:r>
        <w:r w:rsidR="000957EE">
          <w:rPr>
            <w:webHidden/>
          </w:rPr>
          <w:fldChar w:fldCharType="end"/>
        </w:r>
      </w:hyperlink>
    </w:p>
    <w:p w14:paraId="52FEEFF2" w14:textId="56062521" w:rsidR="000957EE" w:rsidRDefault="001163AD">
      <w:pPr>
        <w:pStyle w:val="TOC1"/>
        <w:rPr>
          <w:rFonts w:asciiTheme="minorHAnsi" w:eastAsiaTheme="minorEastAsia" w:hAnsiTheme="minorHAnsi" w:cstheme="minorBidi"/>
          <w:bCs w:val="0"/>
          <w:sz w:val="22"/>
          <w:szCs w:val="22"/>
          <w:lang w:eastAsia="en-GB"/>
        </w:rPr>
      </w:pPr>
      <w:hyperlink w:anchor="_Toc83036098" w:history="1">
        <w:r w:rsidR="000957EE" w:rsidRPr="00931CEA">
          <w:rPr>
            <w:rStyle w:val="Hyperlink"/>
            <w:rFonts w:cs="Arial"/>
          </w:rPr>
          <w:t>Table 4.1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Household change under 2014-based household projections</w:t>
        </w:r>
        <w:r w:rsidR="000957EE">
          <w:rPr>
            <w:webHidden/>
          </w:rPr>
          <w:tab/>
        </w:r>
        <w:r w:rsidR="000957EE">
          <w:rPr>
            <w:webHidden/>
          </w:rPr>
          <w:fldChar w:fldCharType="begin"/>
        </w:r>
        <w:r w:rsidR="000957EE">
          <w:rPr>
            <w:webHidden/>
          </w:rPr>
          <w:instrText xml:space="preserve"> PAGEREF _Toc83036098 \h </w:instrText>
        </w:r>
        <w:r w:rsidR="000957EE">
          <w:rPr>
            <w:webHidden/>
          </w:rPr>
        </w:r>
        <w:r w:rsidR="000957EE">
          <w:rPr>
            <w:webHidden/>
          </w:rPr>
          <w:fldChar w:fldCharType="separate"/>
        </w:r>
        <w:r w:rsidR="001877C1">
          <w:rPr>
            <w:webHidden/>
          </w:rPr>
          <w:t>90</w:t>
        </w:r>
        <w:r w:rsidR="000957EE">
          <w:rPr>
            <w:webHidden/>
          </w:rPr>
          <w:fldChar w:fldCharType="end"/>
        </w:r>
      </w:hyperlink>
    </w:p>
    <w:p w14:paraId="1947F5A0" w14:textId="45F48B26" w:rsidR="000957EE" w:rsidRDefault="001163AD">
      <w:pPr>
        <w:pStyle w:val="TOC1"/>
        <w:rPr>
          <w:rFonts w:asciiTheme="minorHAnsi" w:eastAsiaTheme="minorEastAsia" w:hAnsiTheme="minorHAnsi" w:cstheme="minorBidi"/>
          <w:bCs w:val="0"/>
          <w:sz w:val="22"/>
          <w:szCs w:val="22"/>
          <w:lang w:eastAsia="en-GB"/>
        </w:rPr>
      </w:pPr>
      <w:hyperlink w:anchor="_Toc83036099" w:history="1">
        <w:r w:rsidR="000957EE" w:rsidRPr="00931CEA">
          <w:rPr>
            <w:rStyle w:val="Hyperlink"/>
          </w:rPr>
          <w:t>Table 4.2</w:t>
        </w:r>
        <w:r w:rsidR="000957EE">
          <w:rPr>
            <w:rFonts w:asciiTheme="minorHAnsi" w:eastAsiaTheme="minorEastAsia" w:hAnsiTheme="minorHAnsi" w:cstheme="minorBidi"/>
            <w:bCs w:val="0"/>
            <w:sz w:val="22"/>
            <w:szCs w:val="22"/>
            <w:lang w:eastAsia="en-GB"/>
          </w:rPr>
          <w:tab/>
        </w:r>
        <w:r w:rsidR="000957EE" w:rsidRPr="00931CEA">
          <w:rPr>
            <w:rStyle w:val="Hyperlink"/>
          </w:rPr>
          <w:t>Affordability ratios and affordability uplift</w:t>
        </w:r>
        <w:r w:rsidR="000957EE">
          <w:rPr>
            <w:webHidden/>
          </w:rPr>
          <w:tab/>
        </w:r>
        <w:r w:rsidR="000957EE">
          <w:rPr>
            <w:webHidden/>
          </w:rPr>
          <w:fldChar w:fldCharType="begin"/>
        </w:r>
        <w:r w:rsidR="000957EE">
          <w:rPr>
            <w:webHidden/>
          </w:rPr>
          <w:instrText xml:space="preserve"> PAGEREF _Toc83036099 \h </w:instrText>
        </w:r>
        <w:r w:rsidR="000957EE">
          <w:rPr>
            <w:webHidden/>
          </w:rPr>
        </w:r>
        <w:r w:rsidR="000957EE">
          <w:rPr>
            <w:webHidden/>
          </w:rPr>
          <w:fldChar w:fldCharType="separate"/>
        </w:r>
        <w:r w:rsidR="001877C1">
          <w:rPr>
            <w:webHidden/>
          </w:rPr>
          <w:t>90</w:t>
        </w:r>
        <w:r w:rsidR="000957EE">
          <w:rPr>
            <w:webHidden/>
          </w:rPr>
          <w:fldChar w:fldCharType="end"/>
        </w:r>
      </w:hyperlink>
    </w:p>
    <w:p w14:paraId="78A6C560" w14:textId="60A810A5" w:rsidR="000957EE" w:rsidRDefault="001163AD">
      <w:pPr>
        <w:pStyle w:val="TOC1"/>
        <w:rPr>
          <w:rFonts w:asciiTheme="minorHAnsi" w:eastAsiaTheme="minorEastAsia" w:hAnsiTheme="minorHAnsi" w:cstheme="minorBidi"/>
          <w:bCs w:val="0"/>
          <w:sz w:val="22"/>
          <w:szCs w:val="22"/>
          <w:lang w:eastAsia="en-GB"/>
        </w:rPr>
      </w:pPr>
      <w:hyperlink w:anchor="_Toc83036100" w:history="1">
        <w:r w:rsidR="000957EE" w:rsidRPr="00931CEA">
          <w:rPr>
            <w:rStyle w:val="Hyperlink"/>
            <w:rFonts w:cs="Arial"/>
          </w:rPr>
          <w:t xml:space="preserve">Table 4.3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Components of the dwelling need calculation for Medway</w:t>
        </w:r>
        <w:r w:rsidR="000957EE">
          <w:rPr>
            <w:webHidden/>
          </w:rPr>
          <w:tab/>
        </w:r>
        <w:r w:rsidR="000957EE">
          <w:rPr>
            <w:webHidden/>
          </w:rPr>
          <w:fldChar w:fldCharType="begin"/>
        </w:r>
        <w:r w:rsidR="000957EE">
          <w:rPr>
            <w:webHidden/>
          </w:rPr>
          <w:instrText xml:space="preserve"> PAGEREF _Toc83036100 \h </w:instrText>
        </w:r>
        <w:r w:rsidR="000957EE">
          <w:rPr>
            <w:webHidden/>
          </w:rPr>
        </w:r>
        <w:r w:rsidR="000957EE">
          <w:rPr>
            <w:webHidden/>
          </w:rPr>
          <w:fldChar w:fldCharType="separate"/>
        </w:r>
        <w:r w:rsidR="001877C1">
          <w:rPr>
            <w:webHidden/>
          </w:rPr>
          <w:t>91</w:t>
        </w:r>
        <w:r w:rsidR="000957EE">
          <w:rPr>
            <w:webHidden/>
          </w:rPr>
          <w:fldChar w:fldCharType="end"/>
        </w:r>
      </w:hyperlink>
    </w:p>
    <w:p w14:paraId="30EEF44E" w14:textId="72FA863D" w:rsidR="000957EE" w:rsidRDefault="001163AD">
      <w:pPr>
        <w:pStyle w:val="TOC1"/>
        <w:rPr>
          <w:rFonts w:asciiTheme="minorHAnsi" w:eastAsiaTheme="minorEastAsia" w:hAnsiTheme="minorHAnsi" w:cstheme="minorBidi"/>
          <w:bCs w:val="0"/>
          <w:sz w:val="22"/>
          <w:szCs w:val="22"/>
          <w:lang w:eastAsia="en-GB"/>
        </w:rPr>
      </w:pPr>
      <w:hyperlink w:anchor="_Toc83036101" w:history="1">
        <w:r w:rsidR="000957EE" w:rsidRPr="00931CEA">
          <w:rPr>
            <w:rStyle w:val="Hyperlink"/>
            <w:rFonts w:cs="Arial"/>
          </w:rPr>
          <w:t xml:space="preserve">Table 4.4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Summary of alternative demographic scenarios 2021-2037</w:t>
        </w:r>
        <w:r w:rsidR="000957EE">
          <w:rPr>
            <w:webHidden/>
          </w:rPr>
          <w:tab/>
        </w:r>
        <w:r w:rsidR="000957EE">
          <w:rPr>
            <w:webHidden/>
          </w:rPr>
          <w:fldChar w:fldCharType="begin"/>
        </w:r>
        <w:r w:rsidR="000957EE">
          <w:rPr>
            <w:webHidden/>
          </w:rPr>
          <w:instrText xml:space="preserve"> PAGEREF _Toc83036101 \h </w:instrText>
        </w:r>
        <w:r w:rsidR="000957EE">
          <w:rPr>
            <w:webHidden/>
          </w:rPr>
        </w:r>
        <w:r w:rsidR="000957EE">
          <w:rPr>
            <w:webHidden/>
          </w:rPr>
          <w:fldChar w:fldCharType="separate"/>
        </w:r>
        <w:r w:rsidR="001877C1">
          <w:rPr>
            <w:webHidden/>
          </w:rPr>
          <w:t>94</w:t>
        </w:r>
        <w:r w:rsidR="000957EE">
          <w:rPr>
            <w:webHidden/>
          </w:rPr>
          <w:fldChar w:fldCharType="end"/>
        </w:r>
      </w:hyperlink>
    </w:p>
    <w:p w14:paraId="5A1F14B3" w14:textId="718686E0" w:rsidR="000957EE" w:rsidRDefault="001163AD">
      <w:pPr>
        <w:pStyle w:val="TOC1"/>
        <w:rPr>
          <w:rFonts w:asciiTheme="minorHAnsi" w:eastAsiaTheme="minorEastAsia" w:hAnsiTheme="minorHAnsi" w:cstheme="minorBidi"/>
          <w:bCs w:val="0"/>
          <w:sz w:val="22"/>
          <w:szCs w:val="22"/>
          <w:lang w:eastAsia="en-GB"/>
        </w:rPr>
      </w:pPr>
      <w:hyperlink w:anchor="_Toc83036102" w:history="1">
        <w:r w:rsidR="000957EE" w:rsidRPr="00931CEA">
          <w:rPr>
            <w:rStyle w:val="Hyperlink"/>
            <w:rFonts w:cs="Arial"/>
          </w:rPr>
          <w:t>Table 5.1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Older persons’ housing preferences by age group</w:t>
        </w:r>
        <w:r w:rsidR="000957EE">
          <w:rPr>
            <w:webHidden/>
          </w:rPr>
          <w:tab/>
        </w:r>
        <w:r w:rsidR="000957EE">
          <w:rPr>
            <w:webHidden/>
          </w:rPr>
          <w:fldChar w:fldCharType="begin"/>
        </w:r>
        <w:r w:rsidR="000957EE">
          <w:rPr>
            <w:webHidden/>
          </w:rPr>
          <w:instrText xml:space="preserve"> PAGEREF _Toc83036102 \h </w:instrText>
        </w:r>
        <w:r w:rsidR="000957EE">
          <w:rPr>
            <w:webHidden/>
          </w:rPr>
        </w:r>
        <w:r w:rsidR="000957EE">
          <w:rPr>
            <w:webHidden/>
          </w:rPr>
          <w:fldChar w:fldCharType="separate"/>
        </w:r>
        <w:r w:rsidR="001877C1">
          <w:rPr>
            <w:webHidden/>
          </w:rPr>
          <w:t>101</w:t>
        </w:r>
        <w:r w:rsidR="000957EE">
          <w:rPr>
            <w:webHidden/>
          </w:rPr>
          <w:fldChar w:fldCharType="end"/>
        </w:r>
      </w:hyperlink>
    </w:p>
    <w:p w14:paraId="7569F1FD" w14:textId="4E1EB0C2" w:rsidR="000957EE" w:rsidRDefault="001163AD">
      <w:pPr>
        <w:pStyle w:val="TOC1"/>
        <w:rPr>
          <w:rFonts w:asciiTheme="minorHAnsi" w:eastAsiaTheme="minorEastAsia" w:hAnsiTheme="minorHAnsi" w:cstheme="minorBidi"/>
          <w:bCs w:val="0"/>
          <w:sz w:val="22"/>
          <w:szCs w:val="22"/>
          <w:lang w:eastAsia="en-GB"/>
        </w:rPr>
      </w:pPr>
      <w:hyperlink w:anchor="_Toc83036103" w:history="1">
        <w:r w:rsidR="000957EE" w:rsidRPr="00931CEA">
          <w:rPr>
            <w:rStyle w:val="Hyperlink"/>
            <w:rFonts w:cs="Arial"/>
          </w:rPr>
          <w:t>Table 5.</w:t>
        </w:r>
        <w:r w:rsidR="000957EE" w:rsidRPr="00931CEA">
          <w:rPr>
            <w:rStyle w:val="Hyperlink"/>
            <w:rFonts w:cs="Arial"/>
            <w:lang w:val="en-US"/>
          </w:rPr>
          <w:t>2</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Future housing choices of older households (rightsizing)</w:t>
        </w:r>
        <w:r w:rsidR="000957EE">
          <w:rPr>
            <w:webHidden/>
          </w:rPr>
          <w:tab/>
        </w:r>
        <w:r w:rsidR="000957EE">
          <w:rPr>
            <w:webHidden/>
          </w:rPr>
          <w:fldChar w:fldCharType="begin"/>
        </w:r>
        <w:r w:rsidR="000957EE">
          <w:rPr>
            <w:webHidden/>
          </w:rPr>
          <w:instrText xml:space="preserve"> PAGEREF _Toc83036103 \h </w:instrText>
        </w:r>
        <w:r w:rsidR="000957EE">
          <w:rPr>
            <w:webHidden/>
          </w:rPr>
        </w:r>
        <w:r w:rsidR="000957EE">
          <w:rPr>
            <w:webHidden/>
          </w:rPr>
          <w:fldChar w:fldCharType="separate"/>
        </w:r>
        <w:r w:rsidR="001877C1">
          <w:rPr>
            <w:webHidden/>
          </w:rPr>
          <w:t>101</w:t>
        </w:r>
        <w:r w:rsidR="000957EE">
          <w:rPr>
            <w:webHidden/>
          </w:rPr>
          <w:fldChar w:fldCharType="end"/>
        </w:r>
      </w:hyperlink>
    </w:p>
    <w:p w14:paraId="7C756461" w14:textId="7EAC14E2" w:rsidR="000957EE" w:rsidRDefault="001163AD">
      <w:pPr>
        <w:pStyle w:val="TOC1"/>
        <w:rPr>
          <w:rFonts w:asciiTheme="minorHAnsi" w:eastAsiaTheme="minorEastAsia" w:hAnsiTheme="minorHAnsi" w:cstheme="minorBidi"/>
          <w:bCs w:val="0"/>
          <w:sz w:val="22"/>
          <w:szCs w:val="22"/>
          <w:lang w:eastAsia="en-GB"/>
        </w:rPr>
      </w:pPr>
      <w:hyperlink w:anchor="_Toc83036104" w:history="1">
        <w:r w:rsidR="000957EE" w:rsidRPr="00931CEA">
          <w:rPr>
            <w:rStyle w:val="Hyperlink"/>
            <w:rFonts w:cs="Arial"/>
          </w:rPr>
          <w:t>Table 5.3</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Categories of older person accommodation</w:t>
        </w:r>
        <w:r w:rsidR="000957EE">
          <w:rPr>
            <w:webHidden/>
          </w:rPr>
          <w:tab/>
        </w:r>
        <w:r w:rsidR="000957EE">
          <w:rPr>
            <w:webHidden/>
          </w:rPr>
          <w:fldChar w:fldCharType="begin"/>
        </w:r>
        <w:r w:rsidR="000957EE">
          <w:rPr>
            <w:webHidden/>
          </w:rPr>
          <w:instrText xml:space="preserve"> PAGEREF _Toc83036104 \h </w:instrText>
        </w:r>
        <w:r w:rsidR="000957EE">
          <w:rPr>
            <w:webHidden/>
          </w:rPr>
        </w:r>
        <w:r w:rsidR="000957EE">
          <w:rPr>
            <w:webHidden/>
          </w:rPr>
          <w:fldChar w:fldCharType="separate"/>
        </w:r>
        <w:r w:rsidR="001877C1">
          <w:rPr>
            <w:webHidden/>
          </w:rPr>
          <w:t>102</w:t>
        </w:r>
        <w:r w:rsidR="000957EE">
          <w:rPr>
            <w:webHidden/>
          </w:rPr>
          <w:fldChar w:fldCharType="end"/>
        </w:r>
      </w:hyperlink>
    </w:p>
    <w:p w14:paraId="3E98C59D" w14:textId="58A2E228" w:rsidR="000957EE" w:rsidRDefault="001163AD">
      <w:pPr>
        <w:pStyle w:val="TOC1"/>
        <w:rPr>
          <w:rFonts w:asciiTheme="minorHAnsi" w:eastAsiaTheme="minorEastAsia" w:hAnsiTheme="minorHAnsi" w:cstheme="minorBidi"/>
          <w:bCs w:val="0"/>
          <w:sz w:val="22"/>
          <w:szCs w:val="22"/>
          <w:lang w:eastAsia="en-GB"/>
        </w:rPr>
      </w:pPr>
      <w:hyperlink w:anchor="_Toc83036105" w:history="1">
        <w:r w:rsidR="000957EE" w:rsidRPr="00931CEA">
          <w:rPr>
            <w:rStyle w:val="Hyperlink"/>
            <w:rFonts w:cs="Arial"/>
          </w:rPr>
          <w:t>Table 5.4</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Analysis of future need for specialist older person accommodation 2021-2037</w:t>
        </w:r>
        <w:r w:rsidR="000957EE">
          <w:rPr>
            <w:webHidden/>
          </w:rPr>
          <w:tab/>
        </w:r>
        <w:r w:rsidR="000957EE">
          <w:rPr>
            <w:webHidden/>
          </w:rPr>
          <w:fldChar w:fldCharType="begin"/>
        </w:r>
        <w:r w:rsidR="000957EE">
          <w:rPr>
            <w:webHidden/>
          </w:rPr>
          <w:instrText xml:space="preserve"> PAGEREF _Toc83036105 \h </w:instrText>
        </w:r>
        <w:r w:rsidR="000957EE">
          <w:rPr>
            <w:webHidden/>
          </w:rPr>
        </w:r>
        <w:r w:rsidR="000957EE">
          <w:rPr>
            <w:webHidden/>
          </w:rPr>
          <w:fldChar w:fldCharType="separate"/>
        </w:r>
        <w:r w:rsidR="001877C1">
          <w:rPr>
            <w:webHidden/>
          </w:rPr>
          <w:t>104</w:t>
        </w:r>
        <w:r w:rsidR="000957EE">
          <w:rPr>
            <w:webHidden/>
          </w:rPr>
          <w:fldChar w:fldCharType="end"/>
        </w:r>
      </w:hyperlink>
    </w:p>
    <w:p w14:paraId="05E1F2ED" w14:textId="37A66B4F" w:rsidR="000957EE" w:rsidRDefault="001163AD">
      <w:pPr>
        <w:pStyle w:val="TOC1"/>
        <w:rPr>
          <w:rFonts w:asciiTheme="minorHAnsi" w:eastAsiaTheme="minorEastAsia" w:hAnsiTheme="minorHAnsi" w:cstheme="minorBidi"/>
          <w:bCs w:val="0"/>
          <w:sz w:val="22"/>
          <w:szCs w:val="22"/>
          <w:lang w:eastAsia="en-GB"/>
        </w:rPr>
      </w:pPr>
      <w:hyperlink w:anchor="_Toc83036106" w:history="1">
        <w:r w:rsidR="000957EE" w:rsidRPr="00931CEA">
          <w:rPr>
            <w:rStyle w:val="Hyperlink"/>
            <w:rFonts w:cs="Arial"/>
          </w:rPr>
          <w:t>Table 5.5</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Analysis of future need for specialist older person accommodation 2021-2040</w:t>
        </w:r>
        <w:r w:rsidR="000957EE">
          <w:rPr>
            <w:webHidden/>
          </w:rPr>
          <w:tab/>
        </w:r>
        <w:r w:rsidR="000957EE">
          <w:rPr>
            <w:webHidden/>
          </w:rPr>
          <w:fldChar w:fldCharType="begin"/>
        </w:r>
        <w:r w:rsidR="000957EE">
          <w:rPr>
            <w:webHidden/>
          </w:rPr>
          <w:instrText xml:space="preserve"> PAGEREF _Toc83036106 \h </w:instrText>
        </w:r>
        <w:r w:rsidR="000957EE">
          <w:rPr>
            <w:webHidden/>
          </w:rPr>
        </w:r>
        <w:r w:rsidR="000957EE">
          <w:rPr>
            <w:webHidden/>
          </w:rPr>
          <w:fldChar w:fldCharType="separate"/>
        </w:r>
        <w:r w:rsidR="001877C1">
          <w:rPr>
            <w:webHidden/>
          </w:rPr>
          <w:t>104</w:t>
        </w:r>
        <w:r w:rsidR="000957EE">
          <w:rPr>
            <w:webHidden/>
          </w:rPr>
          <w:fldChar w:fldCharType="end"/>
        </w:r>
      </w:hyperlink>
    </w:p>
    <w:p w14:paraId="48312E3C" w14:textId="7F3EC5AF" w:rsidR="000957EE" w:rsidRDefault="001163AD">
      <w:pPr>
        <w:pStyle w:val="TOC1"/>
        <w:rPr>
          <w:rFonts w:asciiTheme="minorHAnsi" w:eastAsiaTheme="minorEastAsia" w:hAnsiTheme="minorHAnsi" w:cstheme="minorBidi"/>
          <w:bCs w:val="0"/>
          <w:sz w:val="22"/>
          <w:szCs w:val="22"/>
          <w:lang w:eastAsia="en-GB"/>
        </w:rPr>
      </w:pPr>
      <w:hyperlink w:anchor="_Toc83036107" w:history="1">
        <w:r w:rsidR="000957EE" w:rsidRPr="00931CEA">
          <w:rPr>
            <w:rStyle w:val="Hyperlink"/>
            <w:rFonts w:cs="Arial"/>
          </w:rPr>
          <w:t>Table 5.6</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People with dementia</w:t>
        </w:r>
        <w:r w:rsidR="000957EE">
          <w:rPr>
            <w:webHidden/>
          </w:rPr>
          <w:tab/>
        </w:r>
        <w:r w:rsidR="000957EE">
          <w:rPr>
            <w:webHidden/>
          </w:rPr>
          <w:fldChar w:fldCharType="begin"/>
        </w:r>
        <w:r w:rsidR="000957EE">
          <w:rPr>
            <w:webHidden/>
          </w:rPr>
          <w:instrText xml:space="preserve"> PAGEREF _Toc83036107 \h </w:instrText>
        </w:r>
        <w:r w:rsidR="000957EE">
          <w:rPr>
            <w:webHidden/>
          </w:rPr>
        </w:r>
        <w:r w:rsidR="000957EE">
          <w:rPr>
            <w:webHidden/>
          </w:rPr>
          <w:fldChar w:fldCharType="separate"/>
        </w:r>
        <w:r w:rsidR="001877C1">
          <w:rPr>
            <w:webHidden/>
          </w:rPr>
          <w:t>106</w:t>
        </w:r>
        <w:r w:rsidR="000957EE">
          <w:rPr>
            <w:webHidden/>
          </w:rPr>
          <w:fldChar w:fldCharType="end"/>
        </w:r>
      </w:hyperlink>
    </w:p>
    <w:p w14:paraId="21C7A038" w14:textId="03B71BC5" w:rsidR="000957EE" w:rsidRDefault="001163AD">
      <w:pPr>
        <w:pStyle w:val="TOC1"/>
        <w:rPr>
          <w:rFonts w:asciiTheme="minorHAnsi" w:eastAsiaTheme="minorEastAsia" w:hAnsiTheme="minorHAnsi" w:cstheme="minorBidi"/>
          <w:bCs w:val="0"/>
          <w:sz w:val="22"/>
          <w:szCs w:val="22"/>
          <w:lang w:eastAsia="en-GB"/>
        </w:rPr>
      </w:pPr>
      <w:hyperlink w:anchor="_Toc83036108" w:history="1">
        <w:r w:rsidR="000957EE" w:rsidRPr="00931CEA">
          <w:rPr>
            <w:rStyle w:val="Hyperlink"/>
            <w:rFonts w:cs="Arial"/>
          </w:rPr>
          <w:t>Table 5.7</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Dwellings occupied by households where the HRP is aged 65 and over</w:t>
        </w:r>
        <w:r w:rsidR="000957EE">
          <w:rPr>
            <w:webHidden/>
          </w:rPr>
          <w:tab/>
        </w:r>
        <w:r w:rsidR="000957EE">
          <w:rPr>
            <w:webHidden/>
          </w:rPr>
          <w:fldChar w:fldCharType="begin"/>
        </w:r>
        <w:r w:rsidR="000957EE">
          <w:rPr>
            <w:webHidden/>
          </w:rPr>
          <w:instrText xml:space="preserve"> PAGEREF _Toc83036108 \h </w:instrText>
        </w:r>
        <w:r w:rsidR="000957EE">
          <w:rPr>
            <w:webHidden/>
          </w:rPr>
        </w:r>
        <w:r w:rsidR="000957EE">
          <w:rPr>
            <w:webHidden/>
          </w:rPr>
          <w:fldChar w:fldCharType="separate"/>
        </w:r>
        <w:r w:rsidR="001877C1">
          <w:rPr>
            <w:webHidden/>
          </w:rPr>
          <w:t>108</w:t>
        </w:r>
        <w:r w:rsidR="000957EE">
          <w:rPr>
            <w:webHidden/>
          </w:rPr>
          <w:fldChar w:fldCharType="end"/>
        </w:r>
      </w:hyperlink>
    </w:p>
    <w:p w14:paraId="025A57D1" w14:textId="7DCD714F" w:rsidR="000957EE" w:rsidRDefault="001163AD">
      <w:pPr>
        <w:pStyle w:val="TOC1"/>
        <w:rPr>
          <w:rFonts w:asciiTheme="minorHAnsi" w:eastAsiaTheme="minorEastAsia" w:hAnsiTheme="minorHAnsi" w:cstheme="minorBidi"/>
          <w:bCs w:val="0"/>
          <w:sz w:val="22"/>
          <w:szCs w:val="22"/>
          <w:lang w:eastAsia="en-GB"/>
        </w:rPr>
      </w:pPr>
      <w:hyperlink w:anchor="_Toc83036109" w:history="1">
        <w:r w:rsidR="000957EE" w:rsidRPr="00931CEA">
          <w:rPr>
            <w:rStyle w:val="Hyperlink"/>
            <w:rFonts w:cs="Arial"/>
          </w:rPr>
          <w:t xml:space="preserve">Table 5.8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Adaptations, support needs and space for carer by tenure and age group</w:t>
        </w:r>
        <w:r w:rsidR="000957EE">
          <w:rPr>
            <w:webHidden/>
          </w:rPr>
          <w:tab/>
        </w:r>
        <w:r w:rsidR="000957EE">
          <w:rPr>
            <w:webHidden/>
          </w:rPr>
          <w:fldChar w:fldCharType="begin"/>
        </w:r>
        <w:r w:rsidR="000957EE">
          <w:rPr>
            <w:webHidden/>
          </w:rPr>
          <w:instrText xml:space="preserve"> PAGEREF _Toc83036109 \h </w:instrText>
        </w:r>
        <w:r w:rsidR="000957EE">
          <w:rPr>
            <w:webHidden/>
          </w:rPr>
        </w:r>
        <w:r w:rsidR="000957EE">
          <w:rPr>
            <w:webHidden/>
          </w:rPr>
          <w:fldChar w:fldCharType="separate"/>
        </w:r>
        <w:r w:rsidR="001877C1">
          <w:rPr>
            <w:webHidden/>
          </w:rPr>
          <w:t>109</w:t>
        </w:r>
        <w:r w:rsidR="000957EE">
          <w:rPr>
            <w:webHidden/>
          </w:rPr>
          <w:fldChar w:fldCharType="end"/>
        </w:r>
      </w:hyperlink>
    </w:p>
    <w:p w14:paraId="5EE7ADBD" w14:textId="6512C252" w:rsidR="000957EE" w:rsidRDefault="001163AD">
      <w:pPr>
        <w:pStyle w:val="TOC1"/>
        <w:rPr>
          <w:rFonts w:asciiTheme="minorHAnsi" w:eastAsiaTheme="minorEastAsia" w:hAnsiTheme="minorHAnsi" w:cstheme="minorBidi"/>
          <w:bCs w:val="0"/>
          <w:sz w:val="22"/>
          <w:szCs w:val="22"/>
          <w:lang w:eastAsia="en-GB"/>
        </w:rPr>
      </w:pPr>
      <w:hyperlink w:anchor="_Toc83036110" w:history="1">
        <w:r w:rsidR="000957EE" w:rsidRPr="00931CEA">
          <w:rPr>
            <w:rStyle w:val="Hyperlink"/>
            <w:rFonts w:cs="Arial"/>
          </w:rPr>
          <w:t xml:space="preserve">Table 5.9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Adaptations and home improvements required by age group</w:t>
        </w:r>
        <w:r w:rsidR="000957EE">
          <w:rPr>
            <w:webHidden/>
          </w:rPr>
          <w:tab/>
        </w:r>
        <w:r w:rsidR="000957EE">
          <w:rPr>
            <w:webHidden/>
          </w:rPr>
          <w:fldChar w:fldCharType="begin"/>
        </w:r>
        <w:r w:rsidR="000957EE">
          <w:rPr>
            <w:webHidden/>
          </w:rPr>
          <w:instrText xml:space="preserve"> PAGEREF _Toc83036110 \h </w:instrText>
        </w:r>
        <w:r w:rsidR="000957EE">
          <w:rPr>
            <w:webHidden/>
          </w:rPr>
        </w:r>
        <w:r w:rsidR="000957EE">
          <w:rPr>
            <w:webHidden/>
          </w:rPr>
          <w:fldChar w:fldCharType="separate"/>
        </w:r>
        <w:r w:rsidR="001877C1">
          <w:rPr>
            <w:webHidden/>
          </w:rPr>
          <w:t>110</w:t>
        </w:r>
        <w:r w:rsidR="000957EE">
          <w:rPr>
            <w:webHidden/>
          </w:rPr>
          <w:fldChar w:fldCharType="end"/>
        </w:r>
      </w:hyperlink>
    </w:p>
    <w:p w14:paraId="79010A12" w14:textId="23F97DCE" w:rsidR="000957EE" w:rsidRDefault="001163AD">
      <w:pPr>
        <w:pStyle w:val="TOC1"/>
        <w:rPr>
          <w:rFonts w:asciiTheme="minorHAnsi" w:eastAsiaTheme="minorEastAsia" w:hAnsiTheme="minorHAnsi" w:cstheme="minorBidi"/>
          <w:bCs w:val="0"/>
          <w:sz w:val="22"/>
          <w:szCs w:val="22"/>
          <w:lang w:eastAsia="en-GB"/>
        </w:rPr>
      </w:pPr>
      <w:hyperlink w:anchor="_Toc83036111" w:history="1">
        <w:r w:rsidR="000957EE" w:rsidRPr="00931CEA">
          <w:rPr>
            <w:rStyle w:val="Hyperlink"/>
            <w:rFonts w:cs="Arial"/>
          </w:rPr>
          <w:t>Table 5.10</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Type of assistance required age group</w:t>
        </w:r>
        <w:r w:rsidR="000957EE">
          <w:rPr>
            <w:webHidden/>
          </w:rPr>
          <w:tab/>
        </w:r>
        <w:r w:rsidR="000957EE">
          <w:rPr>
            <w:webHidden/>
          </w:rPr>
          <w:fldChar w:fldCharType="begin"/>
        </w:r>
        <w:r w:rsidR="000957EE">
          <w:rPr>
            <w:webHidden/>
          </w:rPr>
          <w:instrText xml:space="preserve"> PAGEREF _Toc83036111 \h </w:instrText>
        </w:r>
        <w:r w:rsidR="000957EE">
          <w:rPr>
            <w:webHidden/>
          </w:rPr>
        </w:r>
        <w:r w:rsidR="000957EE">
          <w:rPr>
            <w:webHidden/>
          </w:rPr>
          <w:fldChar w:fldCharType="separate"/>
        </w:r>
        <w:r w:rsidR="001877C1">
          <w:rPr>
            <w:webHidden/>
          </w:rPr>
          <w:t>111</w:t>
        </w:r>
        <w:r w:rsidR="000957EE">
          <w:rPr>
            <w:webHidden/>
          </w:rPr>
          <w:fldChar w:fldCharType="end"/>
        </w:r>
      </w:hyperlink>
    </w:p>
    <w:p w14:paraId="37EC4049" w14:textId="283D35C6" w:rsidR="000957EE" w:rsidRDefault="001163AD">
      <w:pPr>
        <w:pStyle w:val="TOC1"/>
        <w:rPr>
          <w:rFonts w:asciiTheme="minorHAnsi" w:eastAsiaTheme="minorEastAsia" w:hAnsiTheme="minorHAnsi" w:cstheme="minorBidi"/>
          <w:bCs w:val="0"/>
          <w:sz w:val="22"/>
          <w:szCs w:val="22"/>
          <w:lang w:eastAsia="en-GB"/>
        </w:rPr>
      </w:pPr>
      <w:hyperlink w:anchor="_Toc83036112" w:history="1">
        <w:r w:rsidR="000957EE" w:rsidRPr="00931CEA">
          <w:rPr>
            <w:rStyle w:val="Hyperlink"/>
            <w:rFonts w:cs="Arial"/>
          </w:rPr>
          <w:t>Table 5.11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Physical disability prevalence</w:t>
        </w:r>
        <w:r w:rsidR="000957EE">
          <w:rPr>
            <w:webHidden/>
          </w:rPr>
          <w:tab/>
        </w:r>
        <w:r w:rsidR="000957EE">
          <w:rPr>
            <w:webHidden/>
          </w:rPr>
          <w:fldChar w:fldCharType="begin"/>
        </w:r>
        <w:r w:rsidR="000957EE">
          <w:rPr>
            <w:webHidden/>
          </w:rPr>
          <w:instrText xml:space="preserve"> PAGEREF _Toc83036112 \h </w:instrText>
        </w:r>
        <w:r w:rsidR="000957EE">
          <w:rPr>
            <w:webHidden/>
          </w:rPr>
        </w:r>
        <w:r w:rsidR="000957EE">
          <w:rPr>
            <w:webHidden/>
          </w:rPr>
          <w:fldChar w:fldCharType="separate"/>
        </w:r>
        <w:r w:rsidR="001877C1">
          <w:rPr>
            <w:webHidden/>
          </w:rPr>
          <w:t>112</w:t>
        </w:r>
        <w:r w:rsidR="000957EE">
          <w:rPr>
            <w:webHidden/>
          </w:rPr>
          <w:fldChar w:fldCharType="end"/>
        </w:r>
      </w:hyperlink>
    </w:p>
    <w:p w14:paraId="7D6B1226" w14:textId="1B5C72D2" w:rsidR="000957EE" w:rsidRDefault="001163AD">
      <w:pPr>
        <w:pStyle w:val="TOC1"/>
        <w:rPr>
          <w:rFonts w:asciiTheme="minorHAnsi" w:eastAsiaTheme="minorEastAsia" w:hAnsiTheme="minorHAnsi" w:cstheme="minorBidi"/>
          <w:bCs w:val="0"/>
          <w:sz w:val="22"/>
          <w:szCs w:val="22"/>
          <w:lang w:eastAsia="en-GB"/>
        </w:rPr>
      </w:pPr>
      <w:hyperlink w:anchor="_Toc83036113" w:history="1">
        <w:r w:rsidR="000957EE" w:rsidRPr="00931CEA">
          <w:rPr>
            <w:rStyle w:val="Hyperlink"/>
            <w:rFonts w:cs="Arial"/>
          </w:rPr>
          <w:t>Table 5.12</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Learning disability and autism</w:t>
        </w:r>
        <w:r w:rsidR="000957EE">
          <w:rPr>
            <w:webHidden/>
          </w:rPr>
          <w:tab/>
        </w:r>
        <w:r w:rsidR="000957EE">
          <w:rPr>
            <w:webHidden/>
          </w:rPr>
          <w:fldChar w:fldCharType="begin"/>
        </w:r>
        <w:r w:rsidR="000957EE">
          <w:rPr>
            <w:webHidden/>
          </w:rPr>
          <w:instrText xml:space="preserve"> PAGEREF _Toc83036113 \h </w:instrText>
        </w:r>
        <w:r w:rsidR="000957EE">
          <w:rPr>
            <w:webHidden/>
          </w:rPr>
        </w:r>
        <w:r w:rsidR="000957EE">
          <w:rPr>
            <w:webHidden/>
          </w:rPr>
          <w:fldChar w:fldCharType="separate"/>
        </w:r>
        <w:r w:rsidR="001877C1">
          <w:rPr>
            <w:webHidden/>
          </w:rPr>
          <w:t>112</w:t>
        </w:r>
        <w:r w:rsidR="000957EE">
          <w:rPr>
            <w:webHidden/>
          </w:rPr>
          <w:fldChar w:fldCharType="end"/>
        </w:r>
      </w:hyperlink>
    </w:p>
    <w:p w14:paraId="0FA42FA6" w14:textId="53E12028" w:rsidR="000957EE" w:rsidRDefault="001163AD">
      <w:pPr>
        <w:pStyle w:val="TOC1"/>
        <w:rPr>
          <w:rFonts w:asciiTheme="minorHAnsi" w:eastAsiaTheme="minorEastAsia" w:hAnsiTheme="minorHAnsi" w:cstheme="minorBidi"/>
          <w:bCs w:val="0"/>
          <w:sz w:val="22"/>
          <w:szCs w:val="22"/>
          <w:lang w:eastAsia="en-GB"/>
        </w:rPr>
      </w:pPr>
      <w:hyperlink w:anchor="_Toc83036114" w:history="1">
        <w:r w:rsidR="000957EE" w:rsidRPr="00931CEA">
          <w:rPr>
            <w:rStyle w:val="Hyperlink"/>
            <w:rFonts w:cs="Arial"/>
          </w:rPr>
          <w:t>Table 5.13</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Mental health prevalence</w:t>
        </w:r>
        <w:r w:rsidR="000957EE">
          <w:rPr>
            <w:webHidden/>
          </w:rPr>
          <w:tab/>
        </w:r>
        <w:r w:rsidR="000957EE">
          <w:rPr>
            <w:webHidden/>
          </w:rPr>
          <w:fldChar w:fldCharType="begin"/>
        </w:r>
        <w:r w:rsidR="000957EE">
          <w:rPr>
            <w:webHidden/>
          </w:rPr>
          <w:instrText xml:space="preserve"> PAGEREF _Toc83036114 \h </w:instrText>
        </w:r>
        <w:r w:rsidR="000957EE">
          <w:rPr>
            <w:webHidden/>
          </w:rPr>
        </w:r>
        <w:r w:rsidR="000957EE">
          <w:rPr>
            <w:webHidden/>
          </w:rPr>
          <w:fldChar w:fldCharType="separate"/>
        </w:r>
        <w:r w:rsidR="001877C1">
          <w:rPr>
            <w:webHidden/>
          </w:rPr>
          <w:t>113</w:t>
        </w:r>
        <w:r w:rsidR="000957EE">
          <w:rPr>
            <w:webHidden/>
          </w:rPr>
          <w:fldChar w:fldCharType="end"/>
        </w:r>
      </w:hyperlink>
    </w:p>
    <w:p w14:paraId="28C49FE4" w14:textId="2EF53435" w:rsidR="000957EE" w:rsidRDefault="001163AD">
      <w:pPr>
        <w:pStyle w:val="TOC1"/>
        <w:rPr>
          <w:rFonts w:asciiTheme="minorHAnsi" w:eastAsiaTheme="minorEastAsia" w:hAnsiTheme="minorHAnsi" w:cstheme="minorBidi"/>
          <w:bCs w:val="0"/>
          <w:sz w:val="22"/>
          <w:szCs w:val="22"/>
          <w:lang w:eastAsia="en-GB"/>
        </w:rPr>
      </w:pPr>
      <w:hyperlink w:anchor="_Toc83036115" w:history="1">
        <w:r w:rsidR="000957EE" w:rsidRPr="00931CEA">
          <w:rPr>
            <w:rStyle w:val="Hyperlink"/>
            <w:rFonts w:cs="Arial"/>
          </w:rPr>
          <w:t>Table 5.14</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Summary of accessible housing standards</w:t>
        </w:r>
        <w:r w:rsidR="000957EE">
          <w:rPr>
            <w:webHidden/>
          </w:rPr>
          <w:tab/>
        </w:r>
        <w:r w:rsidR="000957EE">
          <w:rPr>
            <w:webHidden/>
          </w:rPr>
          <w:fldChar w:fldCharType="begin"/>
        </w:r>
        <w:r w:rsidR="000957EE">
          <w:rPr>
            <w:webHidden/>
          </w:rPr>
          <w:instrText xml:space="preserve"> PAGEREF _Toc83036115 \h </w:instrText>
        </w:r>
        <w:r w:rsidR="000957EE">
          <w:rPr>
            <w:webHidden/>
          </w:rPr>
        </w:r>
        <w:r w:rsidR="000957EE">
          <w:rPr>
            <w:webHidden/>
          </w:rPr>
          <w:fldChar w:fldCharType="separate"/>
        </w:r>
        <w:r w:rsidR="001877C1">
          <w:rPr>
            <w:webHidden/>
          </w:rPr>
          <w:t>115</w:t>
        </w:r>
        <w:r w:rsidR="000957EE">
          <w:rPr>
            <w:webHidden/>
          </w:rPr>
          <w:fldChar w:fldCharType="end"/>
        </w:r>
      </w:hyperlink>
    </w:p>
    <w:p w14:paraId="1A36A43B" w14:textId="3A003983" w:rsidR="000957EE" w:rsidRDefault="001163AD">
      <w:pPr>
        <w:pStyle w:val="TOC1"/>
        <w:rPr>
          <w:rFonts w:asciiTheme="minorHAnsi" w:eastAsiaTheme="minorEastAsia" w:hAnsiTheme="minorHAnsi" w:cstheme="minorBidi"/>
          <w:bCs w:val="0"/>
          <w:sz w:val="22"/>
          <w:szCs w:val="22"/>
          <w:lang w:eastAsia="en-GB"/>
        </w:rPr>
      </w:pPr>
      <w:hyperlink w:anchor="_Toc83036116" w:history="1">
        <w:r w:rsidR="000957EE" w:rsidRPr="00931CEA">
          <w:rPr>
            <w:rStyle w:val="Hyperlink"/>
            <w:rFonts w:cs="Arial"/>
            <w:lang w:val="en-US"/>
          </w:rPr>
          <w:t>Table 5.15</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Wheelchair use assumptions and resulting annual need</w:t>
        </w:r>
        <w:r w:rsidR="000957EE">
          <w:rPr>
            <w:webHidden/>
          </w:rPr>
          <w:tab/>
        </w:r>
        <w:r w:rsidR="000957EE">
          <w:rPr>
            <w:webHidden/>
          </w:rPr>
          <w:fldChar w:fldCharType="begin"/>
        </w:r>
        <w:r w:rsidR="000957EE">
          <w:rPr>
            <w:webHidden/>
          </w:rPr>
          <w:instrText xml:space="preserve"> PAGEREF _Toc83036116 \h </w:instrText>
        </w:r>
        <w:r w:rsidR="000957EE">
          <w:rPr>
            <w:webHidden/>
          </w:rPr>
        </w:r>
        <w:r w:rsidR="000957EE">
          <w:rPr>
            <w:webHidden/>
          </w:rPr>
          <w:fldChar w:fldCharType="separate"/>
        </w:r>
        <w:r w:rsidR="001877C1">
          <w:rPr>
            <w:webHidden/>
          </w:rPr>
          <w:t>115</w:t>
        </w:r>
        <w:r w:rsidR="000957EE">
          <w:rPr>
            <w:webHidden/>
          </w:rPr>
          <w:fldChar w:fldCharType="end"/>
        </w:r>
      </w:hyperlink>
    </w:p>
    <w:p w14:paraId="3D4719F7" w14:textId="0214CD28" w:rsidR="000957EE" w:rsidRDefault="001163AD">
      <w:pPr>
        <w:pStyle w:val="TOC1"/>
        <w:rPr>
          <w:rFonts w:asciiTheme="minorHAnsi" w:eastAsiaTheme="minorEastAsia" w:hAnsiTheme="minorHAnsi" w:cstheme="minorBidi"/>
          <w:bCs w:val="0"/>
          <w:sz w:val="22"/>
          <w:szCs w:val="22"/>
          <w:lang w:eastAsia="en-GB"/>
        </w:rPr>
      </w:pPr>
      <w:hyperlink w:anchor="_Toc83036117" w:history="1">
        <w:r w:rsidR="000957EE" w:rsidRPr="00931CEA">
          <w:rPr>
            <w:rStyle w:val="Hyperlink"/>
            <w:rFonts w:cs="Arial"/>
          </w:rPr>
          <w:t>Table 5.16</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Distribution of BAME households across Medway</w:t>
        </w:r>
        <w:r w:rsidR="000957EE">
          <w:rPr>
            <w:webHidden/>
          </w:rPr>
          <w:tab/>
        </w:r>
        <w:r w:rsidR="000957EE">
          <w:rPr>
            <w:webHidden/>
          </w:rPr>
          <w:fldChar w:fldCharType="begin"/>
        </w:r>
        <w:r w:rsidR="000957EE">
          <w:rPr>
            <w:webHidden/>
          </w:rPr>
          <w:instrText xml:space="preserve"> PAGEREF _Toc83036117 \h </w:instrText>
        </w:r>
        <w:r w:rsidR="000957EE">
          <w:rPr>
            <w:webHidden/>
          </w:rPr>
        </w:r>
        <w:r w:rsidR="000957EE">
          <w:rPr>
            <w:webHidden/>
          </w:rPr>
          <w:fldChar w:fldCharType="separate"/>
        </w:r>
        <w:r w:rsidR="001877C1">
          <w:rPr>
            <w:webHidden/>
          </w:rPr>
          <w:t>117</w:t>
        </w:r>
        <w:r w:rsidR="000957EE">
          <w:rPr>
            <w:webHidden/>
          </w:rPr>
          <w:fldChar w:fldCharType="end"/>
        </w:r>
      </w:hyperlink>
    </w:p>
    <w:p w14:paraId="6BBBEAD9" w14:textId="273F856C" w:rsidR="000957EE" w:rsidRDefault="001163AD">
      <w:pPr>
        <w:pStyle w:val="TOC1"/>
        <w:rPr>
          <w:rFonts w:asciiTheme="minorHAnsi" w:eastAsiaTheme="minorEastAsia" w:hAnsiTheme="minorHAnsi" w:cstheme="minorBidi"/>
          <w:bCs w:val="0"/>
          <w:sz w:val="22"/>
          <w:szCs w:val="22"/>
          <w:lang w:eastAsia="en-GB"/>
        </w:rPr>
      </w:pPr>
      <w:hyperlink w:anchor="_Toc83036118" w:history="1">
        <w:r w:rsidR="000957EE" w:rsidRPr="00931CEA">
          <w:rPr>
            <w:rStyle w:val="Hyperlink"/>
            <w:rFonts w:cs="Arial"/>
          </w:rPr>
          <w:t>Table 5.17</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Location preferences of households on the self-build register</w:t>
        </w:r>
        <w:r w:rsidR="000957EE">
          <w:rPr>
            <w:webHidden/>
          </w:rPr>
          <w:tab/>
        </w:r>
        <w:r w:rsidR="000957EE">
          <w:rPr>
            <w:webHidden/>
          </w:rPr>
          <w:fldChar w:fldCharType="begin"/>
        </w:r>
        <w:r w:rsidR="000957EE">
          <w:rPr>
            <w:webHidden/>
          </w:rPr>
          <w:instrText xml:space="preserve"> PAGEREF _Toc83036118 \h </w:instrText>
        </w:r>
        <w:r w:rsidR="000957EE">
          <w:rPr>
            <w:webHidden/>
          </w:rPr>
        </w:r>
        <w:r w:rsidR="000957EE">
          <w:rPr>
            <w:webHidden/>
          </w:rPr>
          <w:fldChar w:fldCharType="separate"/>
        </w:r>
        <w:r w:rsidR="001877C1">
          <w:rPr>
            <w:webHidden/>
          </w:rPr>
          <w:t>119</w:t>
        </w:r>
        <w:r w:rsidR="000957EE">
          <w:rPr>
            <w:webHidden/>
          </w:rPr>
          <w:fldChar w:fldCharType="end"/>
        </w:r>
      </w:hyperlink>
    </w:p>
    <w:p w14:paraId="232D8A09" w14:textId="30B28E3D" w:rsidR="000957EE" w:rsidRDefault="001163AD">
      <w:pPr>
        <w:pStyle w:val="TOC1"/>
        <w:rPr>
          <w:rFonts w:asciiTheme="minorHAnsi" w:eastAsiaTheme="minorEastAsia" w:hAnsiTheme="minorHAnsi" w:cstheme="minorBidi"/>
          <w:bCs w:val="0"/>
          <w:sz w:val="22"/>
          <w:szCs w:val="22"/>
          <w:lang w:eastAsia="en-GB"/>
        </w:rPr>
      </w:pPr>
      <w:hyperlink w:anchor="_Toc83036119" w:history="1">
        <w:r w:rsidR="000957EE" w:rsidRPr="00931CEA">
          <w:rPr>
            <w:rStyle w:val="Hyperlink"/>
          </w:rPr>
          <w:t>Table 5.18</w:t>
        </w:r>
        <w:r w:rsidR="000957EE">
          <w:rPr>
            <w:rFonts w:asciiTheme="minorHAnsi" w:eastAsiaTheme="minorEastAsia" w:hAnsiTheme="minorHAnsi" w:cstheme="minorBidi"/>
            <w:bCs w:val="0"/>
            <w:sz w:val="22"/>
            <w:szCs w:val="22"/>
            <w:lang w:eastAsia="en-GB"/>
          </w:rPr>
          <w:tab/>
        </w:r>
        <w:r w:rsidR="000957EE" w:rsidRPr="00931CEA">
          <w:rPr>
            <w:rStyle w:val="Hyperlink"/>
          </w:rPr>
          <w:t>Location of council tax student discount properties</w:t>
        </w:r>
        <w:r w:rsidR="000957EE">
          <w:rPr>
            <w:webHidden/>
          </w:rPr>
          <w:tab/>
        </w:r>
        <w:r w:rsidR="000957EE">
          <w:rPr>
            <w:webHidden/>
          </w:rPr>
          <w:fldChar w:fldCharType="begin"/>
        </w:r>
        <w:r w:rsidR="000957EE">
          <w:rPr>
            <w:webHidden/>
          </w:rPr>
          <w:instrText xml:space="preserve"> PAGEREF _Toc83036119 \h </w:instrText>
        </w:r>
        <w:r w:rsidR="000957EE">
          <w:rPr>
            <w:webHidden/>
          </w:rPr>
        </w:r>
        <w:r w:rsidR="000957EE">
          <w:rPr>
            <w:webHidden/>
          </w:rPr>
          <w:fldChar w:fldCharType="separate"/>
        </w:r>
        <w:r w:rsidR="001877C1">
          <w:rPr>
            <w:webHidden/>
          </w:rPr>
          <w:t>120</w:t>
        </w:r>
        <w:r w:rsidR="000957EE">
          <w:rPr>
            <w:webHidden/>
          </w:rPr>
          <w:fldChar w:fldCharType="end"/>
        </w:r>
      </w:hyperlink>
    </w:p>
    <w:p w14:paraId="251530D8" w14:textId="3264881C" w:rsidR="000957EE" w:rsidRDefault="001163AD">
      <w:pPr>
        <w:pStyle w:val="TOC1"/>
        <w:rPr>
          <w:rFonts w:asciiTheme="minorHAnsi" w:eastAsiaTheme="minorEastAsia" w:hAnsiTheme="minorHAnsi" w:cstheme="minorBidi"/>
          <w:bCs w:val="0"/>
          <w:sz w:val="22"/>
          <w:szCs w:val="22"/>
          <w:lang w:eastAsia="en-GB"/>
        </w:rPr>
      </w:pPr>
      <w:hyperlink w:anchor="_Toc83036120" w:history="1">
        <w:r w:rsidR="000957EE" w:rsidRPr="00931CEA">
          <w:rPr>
            <w:rStyle w:val="Hyperlink"/>
            <w:rFonts w:cs="Arial"/>
          </w:rPr>
          <w:t>Table 6.1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Overall annual dwelling type/size and tenure mix recommendations</w:t>
        </w:r>
        <w:r w:rsidR="000957EE">
          <w:rPr>
            <w:webHidden/>
          </w:rPr>
          <w:tab/>
        </w:r>
        <w:r w:rsidR="000957EE">
          <w:rPr>
            <w:webHidden/>
          </w:rPr>
          <w:fldChar w:fldCharType="begin"/>
        </w:r>
        <w:r w:rsidR="000957EE">
          <w:rPr>
            <w:webHidden/>
          </w:rPr>
          <w:instrText xml:space="preserve"> PAGEREF _Toc83036120 \h </w:instrText>
        </w:r>
        <w:r w:rsidR="000957EE">
          <w:rPr>
            <w:webHidden/>
          </w:rPr>
        </w:r>
        <w:r w:rsidR="000957EE">
          <w:rPr>
            <w:webHidden/>
          </w:rPr>
          <w:fldChar w:fldCharType="separate"/>
        </w:r>
        <w:r w:rsidR="001877C1">
          <w:rPr>
            <w:webHidden/>
          </w:rPr>
          <w:t>123</w:t>
        </w:r>
        <w:r w:rsidR="000957EE">
          <w:rPr>
            <w:webHidden/>
          </w:rPr>
          <w:fldChar w:fldCharType="end"/>
        </w:r>
      </w:hyperlink>
    </w:p>
    <w:p w14:paraId="38FFA370" w14:textId="38B0F086" w:rsidR="000957EE" w:rsidRDefault="001163AD">
      <w:pPr>
        <w:pStyle w:val="TOC1"/>
        <w:rPr>
          <w:rFonts w:asciiTheme="minorHAnsi" w:eastAsiaTheme="minorEastAsia" w:hAnsiTheme="minorHAnsi" w:cstheme="minorBidi"/>
          <w:bCs w:val="0"/>
          <w:sz w:val="22"/>
          <w:szCs w:val="22"/>
          <w:lang w:eastAsia="en-GB"/>
        </w:rPr>
      </w:pPr>
      <w:hyperlink w:anchor="_Toc83036121" w:history="1">
        <w:r w:rsidR="000957EE" w:rsidRPr="00931CEA">
          <w:rPr>
            <w:rStyle w:val="Hyperlink"/>
          </w:rPr>
          <w:t>Table 7.1</w:t>
        </w:r>
        <w:r w:rsidR="000957EE">
          <w:rPr>
            <w:rFonts w:asciiTheme="minorHAnsi" w:eastAsiaTheme="minorEastAsia" w:hAnsiTheme="minorHAnsi" w:cstheme="minorBidi"/>
            <w:bCs w:val="0"/>
            <w:sz w:val="22"/>
            <w:szCs w:val="22"/>
            <w:lang w:eastAsia="en-GB"/>
          </w:rPr>
          <w:tab/>
        </w:r>
        <w:r w:rsidR="000957EE" w:rsidRPr="00931CEA">
          <w:rPr>
            <w:rStyle w:val="Hyperlink"/>
          </w:rPr>
          <w:t>Summary of overall dwelling mix</w:t>
        </w:r>
        <w:r w:rsidR="000957EE">
          <w:rPr>
            <w:webHidden/>
          </w:rPr>
          <w:tab/>
        </w:r>
        <w:r w:rsidR="000957EE">
          <w:rPr>
            <w:webHidden/>
          </w:rPr>
          <w:fldChar w:fldCharType="begin"/>
        </w:r>
        <w:r w:rsidR="000957EE">
          <w:rPr>
            <w:webHidden/>
          </w:rPr>
          <w:instrText xml:space="preserve"> PAGEREF _Toc83036121 \h </w:instrText>
        </w:r>
        <w:r w:rsidR="000957EE">
          <w:rPr>
            <w:webHidden/>
          </w:rPr>
        </w:r>
        <w:r w:rsidR="000957EE">
          <w:rPr>
            <w:webHidden/>
          </w:rPr>
          <w:fldChar w:fldCharType="separate"/>
        </w:r>
        <w:r w:rsidR="001877C1">
          <w:rPr>
            <w:webHidden/>
          </w:rPr>
          <w:t>126</w:t>
        </w:r>
        <w:r w:rsidR="000957EE">
          <w:rPr>
            <w:webHidden/>
          </w:rPr>
          <w:fldChar w:fldCharType="end"/>
        </w:r>
      </w:hyperlink>
    </w:p>
    <w:p w14:paraId="422DD8C7" w14:textId="0A460B7F" w:rsidR="000957EE" w:rsidRDefault="001163AD">
      <w:pPr>
        <w:pStyle w:val="TOC1"/>
        <w:rPr>
          <w:rFonts w:asciiTheme="minorHAnsi" w:eastAsiaTheme="minorEastAsia" w:hAnsiTheme="minorHAnsi" w:cstheme="minorBidi"/>
          <w:bCs w:val="0"/>
          <w:sz w:val="22"/>
          <w:szCs w:val="22"/>
          <w:lang w:eastAsia="en-GB"/>
        </w:rPr>
      </w:pPr>
      <w:hyperlink w:anchor="_Toc83036122" w:history="1">
        <w:r w:rsidR="000957EE" w:rsidRPr="00931CEA">
          <w:rPr>
            <w:rStyle w:val="Hyperlink"/>
            <w:rFonts w:cs="Arial"/>
          </w:rPr>
          <w:t>Table C1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Current gross unmet need (before affordability testing)</w:t>
        </w:r>
        <w:r w:rsidR="000957EE">
          <w:rPr>
            <w:webHidden/>
          </w:rPr>
          <w:tab/>
        </w:r>
        <w:r w:rsidR="000957EE">
          <w:rPr>
            <w:webHidden/>
          </w:rPr>
          <w:fldChar w:fldCharType="begin"/>
        </w:r>
        <w:r w:rsidR="000957EE">
          <w:rPr>
            <w:webHidden/>
          </w:rPr>
          <w:instrText xml:space="preserve"> PAGEREF _Toc83036122 \h </w:instrText>
        </w:r>
        <w:r w:rsidR="000957EE">
          <w:rPr>
            <w:webHidden/>
          </w:rPr>
        </w:r>
        <w:r w:rsidR="000957EE">
          <w:rPr>
            <w:webHidden/>
          </w:rPr>
          <w:fldChar w:fldCharType="separate"/>
        </w:r>
        <w:r w:rsidR="001877C1">
          <w:rPr>
            <w:webHidden/>
          </w:rPr>
          <w:t>132</w:t>
        </w:r>
        <w:r w:rsidR="000957EE">
          <w:rPr>
            <w:webHidden/>
          </w:rPr>
          <w:fldChar w:fldCharType="end"/>
        </w:r>
      </w:hyperlink>
    </w:p>
    <w:p w14:paraId="73E22301" w14:textId="2859E166" w:rsidR="000957EE" w:rsidRDefault="001163AD">
      <w:pPr>
        <w:pStyle w:val="TOC1"/>
        <w:rPr>
          <w:rFonts w:asciiTheme="minorHAnsi" w:eastAsiaTheme="minorEastAsia" w:hAnsiTheme="minorHAnsi" w:cstheme="minorBidi"/>
          <w:bCs w:val="0"/>
          <w:sz w:val="22"/>
          <w:szCs w:val="22"/>
          <w:lang w:eastAsia="en-GB"/>
        </w:rPr>
      </w:pPr>
      <w:hyperlink w:anchor="_Toc83036123" w:history="1">
        <w:r w:rsidR="000957EE" w:rsidRPr="00931CEA">
          <w:rPr>
            <w:rStyle w:val="Hyperlink"/>
          </w:rPr>
          <w:t>Table C2</w:t>
        </w:r>
        <w:r w:rsidR="000957EE">
          <w:rPr>
            <w:rFonts w:asciiTheme="minorHAnsi" w:eastAsiaTheme="minorEastAsia" w:hAnsiTheme="minorHAnsi" w:cstheme="minorBidi"/>
            <w:bCs w:val="0"/>
            <w:sz w:val="22"/>
            <w:szCs w:val="22"/>
            <w:lang w:eastAsia="en-GB"/>
          </w:rPr>
          <w:tab/>
        </w:r>
        <w:r w:rsidR="000957EE" w:rsidRPr="00931CEA">
          <w:rPr>
            <w:rStyle w:val="Hyperlink"/>
          </w:rPr>
          <w:t>Lower quartile house prices and rents by ward, Priority Growth Areas and Neighbourhood Planning Areas and</w:t>
        </w:r>
        <w:r w:rsidR="000957EE">
          <w:rPr>
            <w:webHidden/>
          </w:rPr>
          <w:tab/>
        </w:r>
        <w:r w:rsidR="000957EE">
          <w:rPr>
            <w:webHidden/>
          </w:rPr>
          <w:fldChar w:fldCharType="begin"/>
        </w:r>
        <w:r w:rsidR="000957EE">
          <w:rPr>
            <w:webHidden/>
          </w:rPr>
          <w:instrText xml:space="preserve"> PAGEREF _Toc83036123 \h </w:instrText>
        </w:r>
        <w:r w:rsidR="000957EE">
          <w:rPr>
            <w:webHidden/>
          </w:rPr>
        </w:r>
        <w:r w:rsidR="000957EE">
          <w:rPr>
            <w:webHidden/>
          </w:rPr>
          <w:fldChar w:fldCharType="separate"/>
        </w:r>
        <w:r w:rsidR="001877C1">
          <w:rPr>
            <w:webHidden/>
          </w:rPr>
          <w:t>134</w:t>
        </w:r>
        <w:r w:rsidR="000957EE">
          <w:rPr>
            <w:webHidden/>
          </w:rPr>
          <w:fldChar w:fldCharType="end"/>
        </w:r>
      </w:hyperlink>
    </w:p>
    <w:p w14:paraId="4565DFF7" w14:textId="05D81745" w:rsidR="000957EE" w:rsidRDefault="001163AD">
      <w:pPr>
        <w:pStyle w:val="TOC1"/>
        <w:rPr>
          <w:rFonts w:asciiTheme="minorHAnsi" w:eastAsiaTheme="minorEastAsia" w:hAnsiTheme="minorHAnsi" w:cstheme="minorBidi"/>
          <w:bCs w:val="0"/>
          <w:sz w:val="22"/>
          <w:szCs w:val="22"/>
          <w:lang w:eastAsia="en-GB"/>
        </w:rPr>
      </w:pPr>
      <w:hyperlink w:anchor="_Toc83036124" w:history="1">
        <w:r w:rsidR="000957EE" w:rsidRPr="00931CEA">
          <w:rPr>
            <w:rStyle w:val="Hyperlink"/>
            <w:rFonts w:cs="Arial"/>
          </w:rPr>
          <w:t>Table C3</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Affordability of open market housing for households in need</w:t>
        </w:r>
        <w:r w:rsidR="000957EE">
          <w:rPr>
            <w:webHidden/>
          </w:rPr>
          <w:tab/>
        </w:r>
        <w:r w:rsidR="000957EE">
          <w:rPr>
            <w:webHidden/>
          </w:rPr>
          <w:fldChar w:fldCharType="begin"/>
        </w:r>
        <w:r w:rsidR="000957EE">
          <w:rPr>
            <w:webHidden/>
          </w:rPr>
          <w:instrText xml:space="preserve"> PAGEREF _Toc83036124 \h </w:instrText>
        </w:r>
        <w:r w:rsidR="000957EE">
          <w:rPr>
            <w:webHidden/>
          </w:rPr>
        </w:r>
        <w:r w:rsidR="000957EE">
          <w:rPr>
            <w:webHidden/>
          </w:rPr>
          <w:fldChar w:fldCharType="separate"/>
        </w:r>
        <w:r w:rsidR="001877C1">
          <w:rPr>
            <w:webHidden/>
          </w:rPr>
          <w:t>135</w:t>
        </w:r>
        <w:r w:rsidR="000957EE">
          <w:rPr>
            <w:webHidden/>
          </w:rPr>
          <w:fldChar w:fldCharType="end"/>
        </w:r>
      </w:hyperlink>
    </w:p>
    <w:p w14:paraId="704DD148" w14:textId="26C3D59E" w:rsidR="000957EE" w:rsidRDefault="001163AD">
      <w:pPr>
        <w:pStyle w:val="TOC1"/>
        <w:rPr>
          <w:rFonts w:asciiTheme="minorHAnsi" w:eastAsiaTheme="minorEastAsia" w:hAnsiTheme="minorHAnsi" w:cstheme="minorBidi"/>
          <w:bCs w:val="0"/>
          <w:sz w:val="22"/>
          <w:szCs w:val="22"/>
          <w:lang w:eastAsia="en-GB"/>
        </w:rPr>
      </w:pPr>
      <w:hyperlink w:anchor="_Toc83036125" w:history="1">
        <w:r w:rsidR="000957EE" w:rsidRPr="00931CEA">
          <w:rPr>
            <w:rStyle w:val="Hyperlink"/>
            <w:rFonts w:cs="Arial"/>
          </w:rPr>
          <w:t>Table C4</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Net and gross household formation 2021-2031</w:t>
        </w:r>
        <w:r w:rsidR="000957EE">
          <w:rPr>
            <w:webHidden/>
          </w:rPr>
          <w:tab/>
        </w:r>
        <w:r w:rsidR="000957EE">
          <w:rPr>
            <w:webHidden/>
          </w:rPr>
          <w:fldChar w:fldCharType="begin"/>
        </w:r>
        <w:r w:rsidR="000957EE">
          <w:rPr>
            <w:webHidden/>
          </w:rPr>
          <w:instrText xml:space="preserve"> PAGEREF _Toc83036125 \h </w:instrText>
        </w:r>
        <w:r w:rsidR="000957EE">
          <w:rPr>
            <w:webHidden/>
          </w:rPr>
        </w:r>
        <w:r w:rsidR="000957EE">
          <w:rPr>
            <w:webHidden/>
          </w:rPr>
          <w:fldChar w:fldCharType="separate"/>
        </w:r>
        <w:r w:rsidR="001877C1">
          <w:rPr>
            <w:webHidden/>
          </w:rPr>
          <w:t>136</w:t>
        </w:r>
        <w:r w:rsidR="000957EE">
          <w:rPr>
            <w:webHidden/>
          </w:rPr>
          <w:fldChar w:fldCharType="end"/>
        </w:r>
      </w:hyperlink>
    </w:p>
    <w:p w14:paraId="7462AD17" w14:textId="50AD91BF" w:rsidR="000957EE" w:rsidRDefault="001163AD">
      <w:pPr>
        <w:pStyle w:val="TOC1"/>
        <w:rPr>
          <w:rFonts w:asciiTheme="minorHAnsi" w:eastAsiaTheme="minorEastAsia" w:hAnsiTheme="minorHAnsi" w:cstheme="minorBidi"/>
          <w:bCs w:val="0"/>
          <w:sz w:val="22"/>
          <w:szCs w:val="22"/>
          <w:lang w:eastAsia="en-GB"/>
        </w:rPr>
      </w:pPr>
      <w:hyperlink w:anchor="_Toc83036126" w:history="1">
        <w:r w:rsidR="000957EE" w:rsidRPr="00931CEA">
          <w:rPr>
            <w:rStyle w:val="Hyperlink"/>
            <w:rFonts w:cs="Arial"/>
          </w:rPr>
          <w:t>Table C5</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Total newly-arising affordable housing need</w:t>
        </w:r>
        <w:r w:rsidR="000957EE">
          <w:rPr>
            <w:webHidden/>
          </w:rPr>
          <w:tab/>
        </w:r>
        <w:r w:rsidR="000957EE">
          <w:rPr>
            <w:webHidden/>
          </w:rPr>
          <w:fldChar w:fldCharType="begin"/>
        </w:r>
        <w:r w:rsidR="000957EE">
          <w:rPr>
            <w:webHidden/>
          </w:rPr>
          <w:instrText xml:space="preserve"> PAGEREF _Toc83036126 \h </w:instrText>
        </w:r>
        <w:r w:rsidR="000957EE">
          <w:rPr>
            <w:webHidden/>
          </w:rPr>
        </w:r>
        <w:r w:rsidR="000957EE">
          <w:rPr>
            <w:webHidden/>
          </w:rPr>
          <w:fldChar w:fldCharType="separate"/>
        </w:r>
        <w:r w:rsidR="001877C1">
          <w:rPr>
            <w:webHidden/>
          </w:rPr>
          <w:t>136</w:t>
        </w:r>
        <w:r w:rsidR="000957EE">
          <w:rPr>
            <w:webHidden/>
          </w:rPr>
          <w:fldChar w:fldCharType="end"/>
        </w:r>
      </w:hyperlink>
    </w:p>
    <w:p w14:paraId="089747F7" w14:textId="4F7E2D91" w:rsidR="000957EE" w:rsidRDefault="001163AD">
      <w:pPr>
        <w:pStyle w:val="TOC1"/>
        <w:rPr>
          <w:rFonts w:asciiTheme="minorHAnsi" w:eastAsiaTheme="minorEastAsia" w:hAnsiTheme="minorHAnsi" w:cstheme="minorBidi"/>
          <w:bCs w:val="0"/>
          <w:sz w:val="22"/>
          <w:szCs w:val="22"/>
          <w:lang w:eastAsia="en-GB"/>
        </w:rPr>
      </w:pPr>
      <w:hyperlink w:anchor="_Toc83036127" w:history="1">
        <w:r w:rsidR="000957EE" w:rsidRPr="00931CEA">
          <w:rPr>
            <w:rStyle w:val="Hyperlink"/>
            <w:rFonts w:cs="Arial"/>
          </w:rPr>
          <w:t>Table C6</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 xml:space="preserve"> Affordable housing supply</w:t>
        </w:r>
        <w:r w:rsidR="000957EE">
          <w:rPr>
            <w:webHidden/>
          </w:rPr>
          <w:tab/>
        </w:r>
        <w:r w:rsidR="000957EE">
          <w:rPr>
            <w:webHidden/>
          </w:rPr>
          <w:fldChar w:fldCharType="begin"/>
        </w:r>
        <w:r w:rsidR="000957EE">
          <w:rPr>
            <w:webHidden/>
          </w:rPr>
          <w:instrText xml:space="preserve"> PAGEREF _Toc83036127 \h </w:instrText>
        </w:r>
        <w:r w:rsidR="000957EE">
          <w:rPr>
            <w:webHidden/>
          </w:rPr>
        </w:r>
        <w:r w:rsidR="000957EE">
          <w:rPr>
            <w:webHidden/>
          </w:rPr>
          <w:fldChar w:fldCharType="separate"/>
        </w:r>
        <w:r w:rsidR="001877C1">
          <w:rPr>
            <w:webHidden/>
          </w:rPr>
          <w:t>137</w:t>
        </w:r>
        <w:r w:rsidR="000957EE">
          <w:rPr>
            <w:webHidden/>
          </w:rPr>
          <w:fldChar w:fldCharType="end"/>
        </w:r>
      </w:hyperlink>
    </w:p>
    <w:p w14:paraId="2EB084E8" w14:textId="3B9F81E3" w:rsidR="000957EE" w:rsidRDefault="001163AD">
      <w:pPr>
        <w:pStyle w:val="TOC1"/>
        <w:rPr>
          <w:rFonts w:asciiTheme="minorHAnsi" w:eastAsiaTheme="minorEastAsia" w:hAnsiTheme="minorHAnsi" w:cstheme="minorBidi"/>
          <w:bCs w:val="0"/>
          <w:sz w:val="22"/>
          <w:szCs w:val="22"/>
          <w:lang w:eastAsia="en-GB"/>
        </w:rPr>
      </w:pPr>
      <w:hyperlink w:anchor="_Toc83036128" w:history="1">
        <w:r w:rsidR="000957EE" w:rsidRPr="00931CEA">
          <w:rPr>
            <w:rStyle w:val="Hyperlink"/>
            <w:rFonts w:cs="Arial"/>
          </w:rPr>
          <w:t xml:space="preserve">Table C7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Gross and net annual affordable need</w:t>
        </w:r>
        <w:r w:rsidR="000957EE">
          <w:rPr>
            <w:webHidden/>
          </w:rPr>
          <w:tab/>
        </w:r>
        <w:r w:rsidR="000957EE">
          <w:rPr>
            <w:webHidden/>
          </w:rPr>
          <w:fldChar w:fldCharType="begin"/>
        </w:r>
        <w:r w:rsidR="000957EE">
          <w:rPr>
            <w:webHidden/>
          </w:rPr>
          <w:instrText xml:space="preserve"> PAGEREF _Toc83036128 \h </w:instrText>
        </w:r>
        <w:r w:rsidR="000957EE">
          <w:rPr>
            <w:webHidden/>
          </w:rPr>
        </w:r>
        <w:r w:rsidR="000957EE">
          <w:rPr>
            <w:webHidden/>
          </w:rPr>
          <w:fldChar w:fldCharType="separate"/>
        </w:r>
        <w:r w:rsidR="001877C1">
          <w:rPr>
            <w:webHidden/>
          </w:rPr>
          <w:t>138</w:t>
        </w:r>
        <w:r w:rsidR="000957EE">
          <w:rPr>
            <w:webHidden/>
          </w:rPr>
          <w:fldChar w:fldCharType="end"/>
        </w:r>
      </w:hyperlink>
    </w:p>
    <w:p w14:paraId="44E77845" w14:textId="3F9E0741" w:rsidR="000957EE" w:rsidRDefault="001163AD">
      <w:pPr>
        <w:pStyle w:val="TOC1"/>
        <w:rPr>
          <w:rFonts w:asciiTheme="minorHAnsi" w:eastAsiaTheme="minorEastAsia" w:hAnsiTheme="minorHAnsi" w:cstheme="minorBidi"/>
          <w:bCs w:val="0"/>
          <w:sz w:val="22"/>
          <w:szCs w:val="22"/>
          <w:lang w:eastAsia="en-GB"/>
        </w:rPr>
      </w:pPr>
      <w:hyperlink w:anchor="_Toc83036129" w:history="1">
        <w:r w:rsidR="000957EE" w:rsidRPr="00931CEA">
          <w:rPr>
            <w:rStyle w:val="Hyperlink"/>
            <w:rFonts w:cs="Arial"/>
          </w:rPr>
          <w:t xml:space="preserve">Table C8 </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Affordable dwelling need by number of bedrooms</w:t>
        </w:r>
        <w:r w:rsidR="000957EE">
          <w:rPr>
            <w:webHidden/>
          </w:rPr>
          <w:tab/>
        </w:r>
        <w:r w:rsidR="000957EE">
          <w:rPr>
            <w:webHidden/>
          </w:rPr>
          <w:fldChar w:fldCharType="begin"/>
        </w:r>
        <w:r w:rsidR="000957EE">
          <w:rPr>
            <w:webHidden/>
          </w:rPr>
          <w:instrText xml:space="preserve"> PAGEREF _Toc83036129 \h </w:instrText>
        </w:r>
        <w:r w:rsidR="000957EE">
          <w:rPr>
            <w:webHidden/>
          </w:rPr>
        </w:r>
        <w:r w:rsidR="000957EE">
          <w:rPr>
            <w:webHidden/>
          </w:rPr>
          <w:fldChar w:fldCharType="separate"/>
        </w:r>
        <w:r w:rsidR="001877C1">
          <w:rPr>
            <w:webHidden/>
          </w:rPr>
          <w:t>139</w:t>
        </w:r>
        <w:r w:rsidR="000957EE">
          <w:rPr>
            <w:webHidden/>
          </w:rPr>
          <w:fldChar w:fldCharType="end"/>
        </w:r>
      </w:hyperlink>
    </w:p>
    <w:p w14:paraId="7EFDCD8C" w14:textId="20EDB0FE" w:rsidR="000957EE" w:rsidRDefault="001163AD">
      <w:pPr>
        <w:pStyle w:val="TOC1"/>
        <w:rPr>
          <w:rFonts w:asciiTheme="minorHAnsi" w:eastAsiaTheme="minorEastAsia" w:hAnsiTheme="minorHAnsi" w:cstheme="minorBidi"/>
          <w:bCs w:val="0"/>
          <w:sz w:val="22"/>
          <w:szCs w:val="22"/>
          <w:lang w:eastAsia="en-GB"/>
        </w:rPr>
      </w:pPr>
      <w:hyperlink w:anchor="_Toc83036130" w:history="1">
        <w:r w:rsidR="000957EE" w:rsidRPr="00931CEA">
          <w:rPr>
            <w:rStyle w:val="Hyperlink"/>
            <w:rFonts w:cs="Arial"/>
          </w:rPr>
          <w:t>Table C9</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Comparison between current supply and annual gross need</w:t>
        </w:r>
        <w:r w:rsidR="000957EE">
          <w:rPr>
            <w:webHidden/>
          </w:rPr>
          <w:tab/>
        </w:r>
        <w:r w:rsidR="000957EE">
          <w:rPr>
            <w:webHidden/>
          </w:rPr>
          <w:fldChar w:fldCharType="begin"/>
        </w:r>
        <w:r w:rsidR="000957EE">
          <w:rPr>
            <w:webHidden/>
          </w:rPr>
          <w:instrText xml:space="preserve"> PAGEREF _Toc83036130 \h </w:instrText>
        </w:r>
        <w:r w:rsidR="000957EE">
          <w:rPr>
            <w:webHidden/>
          </w:rPr>
        </w:r>
        <w:r w:rsidR="000957EE">
          <w:rPr>
            <w:webHidden/>
          </w:rPr>
          <w:fldChar w:fldCharType="separate"/>
        </w:r>
        <w:r w:rsidR="001877C1">
          <w:rPr>
            <w:webHidden/>
          </w:rPr>
          <w:t>139</w:t>
        </w:r>
        <w:r w:rsidR="000957EE">
          <w:rPr>
            <w:webHidden/>
          </w:rPr>
          <w:fldChar w:fldCharType="end"/>
        </w:r>
      </w:hyperlink>
    </w:p>
    <w:p w14:paraId="69C375EF" w14:textId="2C4C50B7" w:rsidR="000957EE" w:rsidRDefault="001163AD">
      <w:pPr>
        <w:pStyle w:val="TOC1"/>
        <w:rPr>
          <w:rFonts w:asciiTheme="minorHAnsi" w:eastAsiaTheme="minorEastAsia" w:hAnsiTheme="minorHAnsi" w:cstheme="minorBidi"/>
          <w:bCs w:val="0"/>
          <w:sz w:val="22"/>
          <w:szCs w:val="22"/>
          <w:lang w:eastAsia="en-GB"/>
        </w:rPr>
      </w:pPr>
      <w:hyperlink w:anchor="_Toc83036131" w:history="1">
        <w:r w:rsidR="000957EE" w:rsidRPr="00931CEA">
          <w:rPr>
            <w:rStyle w:val="Hyperlink"/>
          </w:rPr>
          <w:t xml:space="preserve">Table C10 </w:t>
        </w:r>
        <w:r w:rsidR="000957EE">
          <w:rPr>
            <w:rFonts w:asciiTheme="minorHAnsi" w:eastAsiaTheme="minorEastAsia" w:hAnsiTheme="minorHAnsi" w:cstheme="minorBidi"/>
            <w:bCs w:val="0"/>
            <w:sz w:val="22"/>
            <w:szCs w:val="22"/>
            <w:lang w:eastAsia="en-GB"/>
          </w:rPr>
          <w:tab/>
        </w:r>
        <w:r w:rsidR="000957EE" w:rsidRPr="00931CEA">
          <w:rPr>
            <w:rStyle w:val="Hyperlink"/>
          </w:rPr>
          <w:t>Affordable tenure split</w:t>
        </w:r>
        <w:r w:rsidR="000957EE">
          <w:rPr>
            <w:webHidden/>
          </w:rPr>
          <w:tab/>
        </w:r>
        <w:r w:rsidR="000957EE">
          <w:rPr>
            <w:webHidden/>
          </w:rPr>
          <w:fldChar w:fldCharType="begin"/>
        </w:r>
        <w:r w:rsidR="000957EE">
          <w:rPr>
            <w:webHidden/>
          </w:rPr>
          <w:instrText xml:space="preserve"> PAGEREF _Toc83036131 \h </w:instrText>
        </w:r>
        <w:r w:rsidR="000957EE">
          <w:rPr>
            <w:webHidden/>
          </w:rPr>
        </w:r>
        <w:r w:rsidR="000957EE">
          <w:rPr>
            <w:webHidden/>
          </w:rPr>
          <w:fldChar w:fldCharType="separate"/>
        </w:r>
        <w:r w:rsidR="001877C1">
          <w:rPr>
            <w:webHidden/>
          </w:rPr>
          <w:t>140</w:t>
        </w:r>
        <w:r w:rsidR="000957EE">
          <w:rPr>
            <w:webHidden/>
          </w:rPr>
          <w:fldChar w:fldCharType="end"/>
        </w:r>
      </w:hyperlink>
    </w:p>
    <w:p w14:paraId="0A903841" w14:textId="3FCEF3D8" w:rsidR="000957EE" w:rsidRDefault="001163AD">
      <w:pPr>
        <w:pStyle w:val="TOC1"/>
        <w:rPr>
          <w:rFonts w:asciiTheme="minorHAnsi" w:eastAsiaTheme="minorEastAsia" w:hAnsiTheme="minorHAnsi" w:cstheme="minorBidi"/>
          <w:bCs w:val="0"/>
          <w:sz w:val="22"/>
          <w:szCs w:val="22"/>
          <w:lang w:eastAsia="en-GB"/>
        </w:rPr>
      </w:pPr>
      <w:hyperlink w:anchor="_Toc83036132" w:history="1">
        <w:r w:rsidR="000957EE" w:rsidRPr="00931CEA">
          <w:rPr>
            <w:rStyle w:val="Hyperlink"/>
          </w:rPr>
          <w:t xml:space="preserve">Table C11 </w:t>
        </w:r>
        <w:r w:rsidR="000957EE">
          <w:rPr>
            <w:rFonts w:asciiTheme="minorHAnsi" w:eastAsiaTheme="minorEastAsia" w:hAnsiTheme="minorHAnsi" w:cstheme="minorBidi"/>
            <w:bCs w:val="0"/>
            <w:sz w:val="22"/>
            <w:szCs w:val="22"/>
            <w:lang w:eastAsia="en-GB"/>
          </w:rPr>
          <w:tab/>
        </w:r>
        <w:r w:rsidR="000957EE" w:rsidRPr="00931CEA">
          <w:rPr>
            <w:rStyle w:val="Hyperlink"/>
          </w:rPr>
          <w:t>Detailed calculation of tenure split</w:t>
        </w:r>
        <w:r w:rsidR="000957EE">
          <w:rPr>
            <w:webHidden/>
          </w:rPr>
          <w:tab/>
        </w:r>
        <w:r w:rsidR="000957EE">
          <w:rPr>
            <w:webHidden/>
          </w:rPr>
          <w:fldChar w:fldCharType="begin"/>
        </w:r>
        <w:r w:rsidR="000957EE">
          <w:rPr>
            <w:webHidden/>
          </w:rPr>
          <w:instrText xml:space="preserve"> PAGEREF _Toc83036132 \h </w:instrText>
        </w:r>
        <w:r w:rsidR="000957EE">
          <w:rPr>
            <w:webHidden/>
          </w:rPr>
        </w:r>
        <w:r w:rsidR="000957EE">
          <w:rPr>
            <w:webHidden/>
          </w:rPr>
          <w:fldChar w:fldCharType="separate"/>
        </w:r>
        <w:r w:rsidR="001877C1">
          <w:rPr>
            <w:webHidden/>
          </w:rPr>
          <w:t>141</w:t>
        </w:r>
        <w:r w:rsidR="000957EE">
          <w:rPr>
            <w:webHidden/>
          </w:rPr>
          <w:fldChar w:fldCharType="end"/>
        </w:r>
      </w:hyperlink>
    </w:p>
    <w:p w14:paraId="59CAD4B4" w14:textId="602A11D6" w:rsidR="000957EE" w:rsidRDefault="001163AD">
      <w:pPr>
        <w:pStyle w:val="TOC1"/>
        <w:rPr>
          <w:rFonts w:asciiTheme="minorHAnsi" w:eastAsiaTheme="minorEastAsia" w:hAnsiTheme="minorHAnsi" w:cstheme="minorBidi"/>
          <w:bCs w:val="0"/>
          <w:sz w:val="22"/>
          <w:szCs w:val="22"/>
          <w:lang w:eastAsia="en-GB"/>
        </w:rPr>
      </w:pPr>
      <w:hyperlink w:anchor="_Toc83036133" w:history="1">
        <w:r w:rsidR="000957EE" w:rsidRPr="00931CEA">
          <w:rPr>
            <w:rStyle w:val="Hyperlink"/>
          </w:rPr>
          <w:t>Table</w:t>
        </w:r>
        <w:r w:rsidR="000957EE" w:rsidRPr="00931CEA">
          <w:rPr>
            <w:rStyle w:val="Hyperlink"/>
            <w:lang w:val="en-US"/>
          </w:rPr>
          <w:t xml:space="preserve"> C12</w:t>
        </w:r>
        <w:r w:rsidR="000957EE">
          <w:rPr>
            <w:rFonts w:asciiTheme="minorHAnsi" w:eastAsiaTheme="minorEastAsia" w:hAnsiTheme="minorHAnsi" w:cstheme="minorBidi"/>
            <w:bCs w:val="0"/>
            <w:sz w:val="22"/>
            <w:szCs w:val="22"/>
            <w:lang w:eastAsia="en-GB"/>
          </w:rPr>
          <w:tab/>
        </w:r>
        <w:r w:rsidR="000957EE" w:rsidRPr="00931CEA">
          <w:rPr>
            <w:rStyle w:val="Hyperlink"/>
            <w:lang w:val="en-US"/>
          </w:rPr>
          <w:t>Affordable tenure split for Medway</w:t>
        </w:r>
        <w:r w:rsidR="000957EE">
          <w:rPr>
            <w:webHidden/>
          </w:rPr>
          <w:tab/>
        </w:r>
        <w:r w:rsidR="000957EE">
          <w:rPr>
            <w:webHidden/>
          </w:rPr>
          <w:fldChar w:fldCharType="begin"/>
        </w:r>
        <w:r w:rsidR="000957EE">
          <w:rPr>
            <w:webHidden/>
          </w:rPr>
          <w:instrText xml:space="preserve"> PAGEREF _Toc83036133 \h </w:instrText>
        </w:r>
        <w:r w:rsidR="000957EE">
          <w:rPr>
            <w:webHidden/>
          </w:rPr>
        </w:r>
        <w:r w:rsidR="000957EE">
          <w:rPr>
            <w:webHidden/>
          </w:rPr>
          <w:fldChar w:fldCharType="separate"/>
        </w:r>
        <w:r w:rsidR="001877C1">
          <w:rPr>
            <w:webHidden/>
          </w:rPr>
          <w:t>141</w:t>
        </w:r>
        <w:r w:rsidR="000957EE">
          <w:rPr>
            <w:webHidden/>
          </w:rPr>
          <w:fldChar w:fldCharType="end"/>
        </w:r>
      </w:hyperlink>
    </w:p>
    <w:p w14:paraId="554ED4FB" w14:textId="65FBD178" w:rsidR="000957EE" w:rsidRDefault="001163AD">
      <w:pPr>
        <w:pStyle w:val="TOC1"/>
        <w:rPr>
          <w:rFonts w:asciiTheme="minorHAnsi" w:eastAsiaTheme="minorEastAsia" w:hAnsiTheme="minorHAnsi" w:cstheme="minorBidi"/>
          <w:bCs w:val="0"/>
          <w:sz w:val="22"/>
          <w:szCs w:val="22"/>
          <w:lang w:eastAsia="en-GB"/>
        </w:rPr>
      </w:pPr>
      <w:hyperlink w:anchor="_Toc83036134" w:history="1">
        <w:r w:rsidR="000957EE" w:rsidRPr="00931CEA">
          <w:rPr>
            <w:rStyle w:val="Hyperlink"/>
          </w:rPr>
          <w:t>Table</w:t>
        </w:r>
        <w:r w:rsidR="000957EE" w:rsidRPr="00931CEA">
          <w:rPr>
            <w:rStyle w:val="Hyperlink"/>
            <w:lang w:val="en-US"/>
          </w:rPr>
          <w:t xml:space="preserve"> C13</w:t>
        </w:r>
        <w:r w:rsidR="000957EE">
          <w:rPr>
            <w:rFonts w:asciiTheme="minorHAnsi" w:eastAsiaTheme="minorEastAsia" w:hAnsiTheme="minorHAnsi" w:cstheme="minorBidi"/>
            <w:bCs w:val="0"/>
            <w:sz w:val="22"/>
            <w:szCs w:val="22"/>
            <w:lang w:eastAsia="en-GB"/>
          </w:rPr>
          <w:tab/>
        </w:r>
        <w:r w:rsidR="000957EE" w:rsidRPr="00931CEA">
          <w:rPr>
            <w:rStyle w:val="Hyperlink"/>
          </w:rPr>
          <w:t>Affordable</w:t>
        </w:r>
        <w:r w:rsidR="000957EE" w:rsidRPr="00931CEA">
          <w:rPr>
            <w:rStyle w:val="Hyperlink"/>
            <w:lang w:val="en-US"/>
          </w:rPr>
          <w:t xml:space="preserve"> dwelling mix by </w:t>
        </w:r>
        <w:r w:rsidR="000957EE" w:rsidRPr="00931CEA">
          <w:rPr>
            <w:rStyle w:val="Hyperlink"/>
          </w:rPr>
          <w:t>number</w:t>
        </w:r>
        <w:r w:rsidR="000957EE" w:rsidRPr="00931CEA">
          <w:rPr>
            <w:rStyle w:val="Hyperlink"/>
            <w:lang w:val="en-US"/>
          </w:rPr>
          <w:t xml:space="preserve"> of bedrooms and dwelling type</w:t>
        </w:r>
        <w:r w:rsidR="000957EE">
          <w:rPr>
            <w:webHidden/>
          </w:rPr>
          <w:tab/>
        </w:r>
        <w:r w:rsidR="000957EE">
          <w:rPr>
            <w:webHidden/>
          </w:rPr>
          <w:fldChar w:fldCharType="begin"/>
        </w:r>
        <w:r w:rsidR="000957EE">
          <w:rPr>
            <w:webHidden/>
          </w:rPr>
          <w:instrText xml:space="preserve"> PAGEREF _Toc83036134 \h </w:instrText>
        </w:r>
        <w:r w:rsidR="000957EE">
          <w:rPr>
            <w:webHidden/>
          </w:rPr>
        </w:r>
        <w:r w:rsidR="000957EE">
          <w:rPr>
            <w:webHidden/>
          </w:rPr>
          <w:fldChar w:fldCharType="separate"/>
        </w:r>
        <w:r w:rsidR="001877C1">
          <w:rPr>
            <w:webHidden/>
          </w:rPr>
          <w:t>142</w:t>
        </w:r>
        <w:r w:rsidR="000957EE">
          <w:rPr>
            <w:webHidden/>
          </w:rPr>
          <w:fldChar w:fldCharType="end"/>
        </w:r>
      </w:hyperlink>
    </w:p>
    <w:p w14:paraId="4C4D87FC" w14:textId="74070D17" w:rsidR="000957EE" w:rsidRDefault="001163AD">
      <w:pPr>
        <w:pStyle w:val="TOC1"/>
        <w:rPr>
          <w:rFonts w:asciiTheme="minorHAnsi" w:eastAsiaTheme="minorEastAsia" w:hAnsiTheme="minorHAnsi" w:cstheme="minorBidi"/>
          <w:bCs w:val="0"/>
          <w:sz w:val="22"/>
          <w:szCs w:val="22"/>
          <w:lang w:eastAsia="en-GB"/>
        </w:rPr>
      </w:pPr>
      <w:hyperlink w:anchor="_Toc83036135" w:history="1">
        <w:r w:rsidR="000957EE" w:rsidRPr="00931CEA">
          <w:rPr>
            <w:rStyle w:val="Hyperlink"/>
          </w:rPr>
          <w:t xml:space="preserve">Table C14 </w:t>
        </w:r>
        <w:r w:rsidR="000957EE">
          <w:rPr>
            <w:rFonts w:asciiTheme="minorHAnsi" w:eastAsiaTheme="minorEastAsia" w:hAnsiTheme="minorHAnsi" w:cstheme="minorBidi"/>
            <w:bCs w:val="0"/>
            <w:sz w:val="22"/>
            <w:szCs w:val="22"/>
            <w:lang w:eastAsia="en-GB"/>
          </w:rPr>
          <w:tab/>
        </w:r>
        <w:r w:rsidR="000957EE" w:rsidRPr="00931CEA">
          <w:rPr>
            <w:rStyle w:val="Hyperlink"/>
          </w:rPr>
          <w:t>Recommended profile of affordable home ownership dwellings</w:t>
        </w:r>
        <w:r w:rsidR="000957EE">
          <w:rPr>
            <w:webHidden/>
          </w:rPr>
          <w:tab/>
        </w:r>
        <w:r w:rsidR="000957EE">
          <w:rPr>
            <w:webHidden/>
          </w:rPr>
          <w:fldChar w:fldCharType="begin"/>
        </w:r>
        <w:r w:rsidR="000957EE">
          <w:rPr>
            <w:webHidden/>
          </w:rPr>
          <w:instrText xml:space="preserve"> PAGEREF _Toc83036135 \h </w:instrText>
        </w:r>
        <w:r w:rsidR="000957EE">
          <w:rPr>
            <w:webHidden/>
          </w:rPr>
        </w:r>
        <w:r w:rsidR="000957EE">
          <w:rPr>
            <w:webHidden/>
          </w:rPr>
          <w:fldChar w:fldCharType="separate"/>
        </w:r>
        <w:r w:rsidR="001877C1">
          <w:rPr>
            <w:webHidden/>
          </w:rPr>
          <w:t>142</w:t>
        </w:r>
        <w:r w:rsidR="000957EE">
          <w:rPr>
            <w:webHidden/>
          </w:rPr>
          <w:fldChar w:fldCharType="end"/>
        </w:r>
      </w:hyperlink>
    </w:p>
    <w:p w14:paraId="5566B07A" w14:textId="5DC5F130" w:rsidR="000957EE" w:rsidRDefault="001163AD">
      <w:pPr>
        <w:pStyle w:val="TOC1"/>
        <w:rPr>
          <w:rFonts w:asciiTheme="minorHAnsi" w:eastAsiaTheme="minorEastAsia" w:hAnsiTheme="minorHAnsi" w:cstheme="minorBidi"/>
          <w:bCs w:val="0"/>
          <w:sz w:val="22"/>
          <w:szCs w:val="22"/>
          <w:lang w:eastAsia="en-GB"/>
        </w:rPr>
      </w:pPr>
      <w:hyperlink w:anchor="_Toc83036136" w:history="1">
        <w:r w:rsidR="000957EE" w:rsidRPr="00931CEA">
          <w:rPr>
            <w:rStyle w:val="Hyperlink"/>
            <w:rFonts w:cs="Arial"/>
          </w:rPr>
          <w:t>Table D1</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Age groups, household type and dwelling types used</w:t>
        </w:r>
        <w:r w:rsidR="000957EE">
          <w:rPr>
            <w:webHidden/>
          </w:rPr>
          <w:tab/>
        </w:r>
        <w:r w:rsidR="000957EE">
          <w:rPr>
            <w:webHidden/>
          </w:rPr>
          <w:fldChar w:fldCharType="begin"/>
        </w:r>
        <w:r w:rsidR="000957EE">
          <w:rPr>
            <w:webHidden/>
          </w:rPr>
          <w:instrText xml:space="preserve"> PAGEREF _Toc83036136 \h </w:instrText>
        </w:r>
        <w:r w:rsidR="000957EE">
          <w:rPr>
            <w:webHidden/>
          </w:rPr>
        </w:r>
        <w:r w:rsidR="000957EE">
          <w:rPr>
            <w:webHidden/>
          </w:rPr>
          <w:fldChar w:fldCharType="separate"/>
        </w:r>
        <w:r w:rsidR="001877C1">
          <w:rPr>
            <w:webHidden/>
          </w:rPr>
          <w:t>144</w:t>
        </w:r>
        <w:r w:rsidR="000957EE">
          <w:rPr>
            <w:webHidden/>
          </w:rPr>
          <w:fldChar w:fldCharType="end"/>
        </w:r>
      </w:hyperlink>
    </w:p>
    <w:p w14:paraId="5F8D21AB" w14:textId="7D4A4E1C" w:rsidR="000957EE" w:rsidRDefault="001163AD">
      <w:pPr>
        <w:pStyle w:val="TOC1"/>
        <w:rPr>
          <w:rFonts w:asciiTheme="minorHAnsi" w:eastAsiaTheme="minorEastAsia" w:hAnsiTheme="minorHAnsi" w:cstheme="minorBidi"/>
          <w:bCs w:val="0"/>
          <w:sz w:val="22"/>
          <w:szCs w:val="22"/>
          <w:lang w:eastAsia="en-GB"/>
        </w:rPr>
      </w:pPr>
      <w:hyperlink w:anchor="_Toc83036137" w:history="1">
        <w:r w:rsidR="000957EE" w:rsidRPr="00931CEA">
          <w:rPr>
            <w:rStyle w:val="Hyperlink"/>
            <w:rFonts w:cs="Arial"/>
          </w:rPr>
          <w:t>Table D2</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Change in number of households by age group and household type 2021 to 2037</w:t>
        </w:r>
        <w:r w:rsidR="000957EE">
          <w:rPr>
            <w:webHidden/>
          </w:rPr>
          <w:tab/>
        </w:r>
        <w:r w:rsidR="000957EE">
          <w:rPr>
            <w:webHidden/>
          </w:rPr>
          <w:fldChar w:fldCharType="begin"/>
        </w:r>
        <w:r w:rsidR="000957EE">
          <w:rPr>
            <w:webHidden/>
          </w:rPr>
          <w:instrText xml:space="preserve"> PAGEREF _Toc83036137 \h </w:instrText>
        </w:r>
        <w:r w:rsidR="000957EE">
          <w:rPr>
            <w:webHidden/>
          </w:rPr>
        </w:r>
        <w:r w:rsidR="000957EE">
          <w:rPr>
            <w:webHidden/>
          </w:rPr>
          <w:fldChar w:fldCharType="separate"/>
        </w:r>
        <w:r w:rsidR="001877C1">
          <w:rPr>
            <w:webHidden/>
          </w:rPr>
          <w:t>145</w:t>
        </w:r>
        <w:r w:rsidR="000957EE">
          <w:rPr>
            <w:webHidden/>
          </w:rPr>
          <w:fldChar w:fldCharType="end"/>
        </w:r>
      </w:hyperlink>
    </w:p>
    <w:p w14:paraId="445185CC" w14:textId="67F91BF9" w:rsidR="000957EE" w:rsidRDefault="001163AD">
      <w:pPr>
        <w:pStyle w:val="TOC1"/>
        <w:rPr>
          <w:rFonts w:asciiTheme="minorHAnsi" w:eastAsiaTheme="minorEastAsia" w:hAnsiTheme="minorHAnsi" w:cstheme="minorBidi"/>
          <w:bCs w:val="0"/>
          <w:sz w:val="22"/>
          <w:szCs w:val="22"/>
          <w:lang w:eastAsia="en-GB"/>
        </w:rPr>
      </w:pPr>
      <w:hyperlink w:anchor="_Toc83036138" w:history="1">
        <w:r w:rsidR="000957EE" w:rsidRPr="00931CEA">
          <w:rPr>
            <w:rStyle w:val="Hyperlink"/>
            <w:rFonts w:cs="Arial"/>
          </w:rPr>
          <w:t>Table D3</w:t>
        </w:r>
        <w:r w:rsidR="000957EE">
          <w:rPr>
            <w:rFonts w:asciiTheme="minorHAnsi" w:eastAsiaTheme="minorEastAsia" w:hAnsiTheme="minorHAnsi" w:cstheme="minorBidi"/>
            <w:bCs w:val="0"/>
            <w:sz w:val="22"/>
            <w:szCs w:val="22"/>
            <w:lang w:eastAsia="en-GB"/>
          </w:rPr>
          <w:tab/>
        </w:r>
        <w:r w:rsidR="000957EE" w:rsidRPr="00931CEA">
          <w:rPr>
            <w:rStyle w:val="Hyperlink"/>
            <w:rFonts w:cs="Arial"/>
          </w:rPr>
          <w:t>Impact of change in households by age group on dwellings occupied</w:t>
        </w:r>
        <w:r w:rsidR="000957EE">
          <w:rPr>
            <w:webHidden/>
          </w:rPr>
          <w:tab/>
        </w:r>
        <w:r w:rsidR="000957EE">
          <w:rPr>
            <w:webHidden/>
          </w:rPr>
          <w:fldChar w:fldCharType="begin"/>
        </w:r>
        <w:r w:rsidR="000957EE">
          <w:rPr>
            <w:webHidden/>
          </w:rPr>
          <w:instrText xml:space="preserve"> PAGEREF _Toc83036138 \h </w:instrText>
        </w:r>
        <w:r w:rsidR="000957EE">
          <w:rPr>
            <w:webHidden/>
          </w:rPr>
        </w:r>
        <w:r w:rsidR="000957EE">
          <w:rPr>
            <w:webHidden/>
          </w:rPr>
          <w:fldChar w:fldCharType="separate"/>
        </w:r>
        <w:r w:rsidR="001877C1">
          <w:rPr>
            <w:webHidden/>
          </w:rPr>
          <w:t>147</w:t>
        </w:r>
        <w:r w:rsidR="000957EE">
          <w:rPr>
            <w:webHidden/>
          </w:rPr>
          <w:fldChar w:fldCharType="end"/>
        </w:r>
      </w:hyperlink>
    </w:p>
    <w:p w14:paraId="0686B370" w14:textId="1F99C435" w:rsidR="000957EE" w:rsidRDefault="001163AD">
      <w:pPr>
        <w:pStyle w:val="TOC1"/>
        <w:rPr>
          <w:rFonts w:asciiTheme="minorHAnsi" w:eastAsiaTheme="minorEastAsia" w:hAnsiTheme="minorHAnsi" w:cstheme="minorBidi"/>
          <w:bCs w:val="0"/>
          <w:sz w:val="22"/>
          <w:szCs w:val="22"/>
          <w:lang w:eastAsia="en-GB"/>
        </w:rPr>
      </w:pPr>
      <w:hyperlink w:anchor="_Toc83036139" w:history="1">
        <w:r w:rsidR="000957EE" w:rsidRPr="00931CEA">
          <w:rPr>
            <w:rStyle w:val="Hyperlink"/>
          </w:rPr>
          <w:t>Table D4</w:t>
        </w:r>
        <w:r w:rsidR="000957EE">
          <w:rPr>
            <w:rFonts w:asciiTheme="minorHAnsi" w:eastAsiaTheme="minorEastAsia" w:hAnsiTheme="minorHAnsi" w:cstheme="minorBidi"/>
            <w:bCs w:val="0"/>
            <w:sz w:val="22"/>
            <w:szCs w:val="22"/>
            <w:lang w:eastAsia="en-GB"/>
          </w:rPr>
          <w:tab/>
        </w:r>
        <w:r w:rsidR="000957EE" w:rsidRPr="00931CEA">
          <w:rPr>
            <w:rStyle w:val="Hyperlink"/>
          </w:rPr>
          <w:t>Dwelling type and size outcomes under alternative scenarios</w:t>
        </w:r>
        <w:r w:rsidR="000957EE">
          <w:rPr>
            <w:webHidden/>
          </w:rPr>
          <w:tab/>
        </w:r>
        <w:r w:rsidR="000957EE">
          <w:rPr>
            <w:webHidden/>
          </w:rPr>
          <w:fldChar w:fldCharType="begin"/>
        </w:r>
        <w:r w:rsidR="000957EE">
          <w:rPr>
            <w:webHidden/>
          </w:rPr>
          <w:instrText xml:space="preserve"> PAGEREF _Toc83036139 \h </w:instrText>
        </w:r>
        <w:r w:rsidR="000957EE">
          <w:rPr>
            <w:webHidden/>
          </w:rPr>
        </w:r>
        <w:r w:rsidR="000957EE">
          <w:rPr>
            <w:webHidden/>
          </w:rPr>
          <w:fldChar w:fldCharType="separate"/>
        </w:r>
        <w:r w:rsidR="001877C1">
          <w:rPr>
            <w:webHidden/>
          </w:rPr>
          <w:t>148</w:t>
        </w:r>
        <w:r w:rsidR="000957EE">
          <w:rPr>
            <w:webHidden/>
          </w:rPr>
          <w:fldChar w:fldCharType="end"/>
        </w:r>
      </w:hyperlink>
    </w:p>
    <w:p w14:paraId="789E785F" w14:textId="1316339E" w:rsidR="000957EE" w:rsidRDefault="001163AD">
      <w:pPr>
        <w:pStyle w:val="TOC1"/>
        <w:rPr>
          <w:rFonts w:asciiTheme="minorHAnsi" w:eastAsiaTheme="minorEastAsia" w:hAnsiTheme="minorHAnsi" w:cstheme="minorBidi"/>
          <w:bCs w:val="0"/>
          <w:sz w:val="22"/>
          <w:szCs w:val="22"/>
          <w:lang w:eastAsia="en-GB"/>
        </w:rPr>
      </w:pPr>
      <w:hyperlink w:anchor="_Toc83036140" w:history="1">
        <w:r w:rsidR="000957EE" w:rsidRPr="00931CEA">
          <w:rPr>
            <w:rStyle w:val="Hyperlink"/>
          </w:rPr>
          <w:t>Table D5</w:t>
        </w:r>
        <w:r w:rsidR="000957EE">
          <w:rPr>
            <w:rFonts w:asciiTheme="minorHAnsi" w:eastAsiaTheme="minorEastAsia" w:hAnsiTheme="minorHAnsi" w:cstheme="minorBidi"/>
            <w:bCs w:val="0"/>
            <w:sz w:val="22"/>
            <w:szCs w:val="22"/>
            <w:lang w:eastAsia="en-GB"/>
          </w:rPr>
          <w:tab/>
        </w:r>
        <w:r w:rsidR="000957EE" w:rsidRPr="00931CEA">
          <w:rPr>
            <w:rStyle w:val="Hyperlink"/>
          </w:rPr>
          <w:t>Dwelling type and size outcomes under aspiration and expectation scenarios</w:t>
        </w:r>
        <w:r w:rsidR="000957EE">
          <w:rPr>
            <w:webHidden/>
          </w:rPr>
          <w:tab/>
        </w:r>
        <w:r w:rsidR="000957EE">
          <w:rPr>
            <w:webHidden/>
          </w:rPr>
          <w:fldChar w:fldCharType="begin"/>
        </w:r>
        <w:r w:rsidR="000957EE">
          <w:rPr>
            <w:webHidden/>
          </w:rPr>
          <w:instrText xml:space="preserve"> PAGEREF _Toc83036140 \h </w:instrText>
        </w:r>
        <w:r w:rsidR="000957EE">
          <w:rPr>
            <w:webHidden/>
          </w:rPr>
        </w:r>
        <w:r w:rsidR="000957EE">
          <w:rPr>
            <w:webHidden/>
          </w:rPr>
          <w:fldChar w:fldCharType="separate"/>
        </w:r>
        <w:r w:rsidR="001877C1">
          <w:rPr>
            <w:webHidden/>
          </w:rPr>
          <w:t>149</w:t>
        </w:r>
        <w:r w:rsidR="000957EE">
          <w:rPr>
            <w:webHidden/>
          </w:rPr>
          <w:fldChar w:fldCharType="end"/>
        </w:r>
      </w:hyperlink>
    </w:p>
    <w:p w14:paraId="727CC68D" w14:textId="4C8ED8F7" w:rsidR="000957EE" w:rsidRDefault="001163AD">
      <w:pPr>
        <w:pStyle w:val="TOC1"/>
        <w:rPr>
          <w:rFonts w:asciiTheme="minorHAnsi" w:eastAsiaTheme="minorEastAsia" w:hAnsiTheme="minorHAnsi" w:cstheme="minorBidi"/>
          <w:bCs w:val="0"/>
          <w:sz w:val="22"/>
          <w:szCs w:val="22"/>
          <w:lang w:eastAsia="en-GB"/>
        </w:rPr>
      </w:pPr>
      <w:hyperlink w:anchor="_Toc83036141" w:history="1">
        <w:r w:rsidR="000957EE" w:rsidRPr="00931CEA">
          <w:rPr>
            <w:rStyle w:val="Hyperlink"/>
          </w:rPr>
          <w:t>Table D6</w:t>
        </w:r>
        <w:r w:rsidR="000957EE">
          <w:rPr>
            <w:rFonts w:asciiTheme="minorHAnsi" w:eastAsiaTheme="minorEastAsia" w:hAnsiTheme="minorHAnsi" w:cstheme="minorBidi"/>
            <w:bCs w:val="0"/>
            <w:sz w:val="22"/>
            <w:szCs w:val="22"/>
            <w:lang w:eastAsia="en-GB"/>
          </w:rPr>
          <w:tab/>
        </w:r>
        <w:r w:rsidR="000957EE" w:rsidRPr="00931CEA">
          <w:rPr>
            <w:rStyle w:val="Hyperlink"/>
          </w:rPr>
          <w:t>Summary of overall dwelling mix by tenure</w:t>
        </w:r>
        <w:r w:rsidR="000957EE">
          <w:rPr>
            <w:webHidden/>
          </w:rPr>
          <w:tab/>
        </w:r>
        <w:r w:rsidR="000957EE">
          <w:rPr>
            <w:webHidden/>
          </w:rPr>
          <w:fldChar w:fldCharType="begin"/>
        </w:r>
        <w:r w:rsidR="000957EE">
          <w:rPr>
            <w:webHidden/>
          </w:rPr>
          <w:instrText xml:space="preserve"> PAGEREF _Toc83036141 \h </w:instrText>
        </w:r>
        <w:r w:rsidR="000957EE">
          <w:rPr>
            <w:webHidden/>
          </w:rPr>
        </w:r>
        <w:r w:rsidR="000957EE">
          <w:rPr>
            <w:webHidden/>
          </w:rPr>
          <w:fldChar w:fldCharType="separate"/>
        </w:r>
        <w:r w:rsidR="001877C1">
          <w:rPr>
            <w:webHidden/>
          </w:rPr>
          <w:t>151</w:t>
        </w:r>
        <w:r w:rsidR="000957EE">
          <w:rPr>
            <w:webHidden/>
          </w:rPr>
          <w:fldChar w:fldCharType="end"/>
        </w:r>
      </w:hyperlink>
    </w:p>
    <w:p w14:paraId="37D9FABF" w14:textId="1F6DD407" w:rsidR="000957EE" w:rsidRDefault="001163AD">
      <w:pPr>
        <w:pStyle w:val="TOC1"/>
        <w:rPr>
          <w:rFonts w:asciiTheme="minorHAnsi" w:eastAsiaTheme="minorEastAsia" w:hAnsiTheme="minorHAnsi" w:cstheme="minorBidi"/>
          <w:bCs w:val="0"/>
          <w:sz w:val="22"/>
          <w:szCs w:val="22"/>
          <w:lang w:eastAsia="en-GB"/>
        </w:rPr>
      </w:pPr>
      <w:hyperlink w:anchor="_Toc83036142" w:history="1">
        <w:r w:rsidR="000957EE" w:rsidRPr="00931CEA">
          <w:rPr>
            <w:rStyle w:val="Hyperlink"/>
          </w:rPr>
          <w:t>Table D7</w:t>
        </w:r>
        <w:r w:rsidR="000957EE">
          <w:rPr>
            <w:rFonts w:asciiTheme="minorHAnsi" w:eastAsiaTheme="minorEastAsia" w:hAnsiTheme="minorHAnsi" w:cstheme="minorBidi"/>
            <w:bCs w:val="0"/>
            <w:sz w:val="22"/>
            <w:szCs w:val="22"/>
            <w:lang w:eastAsia="en-GB"/>
          </w:rPr>
          <w:tab/>
        </w:r>
        <w:r w:rsidR="000957EE" w:rsidRPr="00931CEA">
          <w:rPr>
            <w:rStyle w:val="Hyperlink"/>
          </w:rPr>
          <w:t>Summary of overall dwelling mix by ward</w:t>
        </w:r>
        <w:r w:rsidR="000957EE">
          <w:rPr>
            <w:webHidden/>
          </w:rPr>
          <w:tab/>
        </w:r>
        <w:r w:rsidR="000957EE">
          <w:rPr>
            <w:webHidden/>
          </w:rPr>
          <w:fldChar w:fldCharType="begin"/>
        </w:r>
        <w:r w:rsidR="000957EE">
          <w:rPr>
            <w:webHidden/>
          </w:rPr>
          <w:instrText xml:space="preserve"> PAGEREF _Toc83036142 \h </w:instrText>
        </w:r>
        <w:r w:rsidR="000957EE">
          <w:rPr>
            <w:webHidden/>
          </w:rPr>
        </w:r>
        <w:r w:rsidR="000957EE">
          <w:rPr>
            <w:webHidden/>
          </w:rPr>
          <w:fldChar w:fldCharType="separate"/>
        </w:r>
        <w:r w:rsidR="001877C1">
          <w:rPr>
            <w:webHidden/>
          </w:rPr>
          <w:t>153</w:t>
        </w:r>
        <w:r w:rsidR="000957EE">
          <w:rPr>
            <w:webHidden/>
          </w:rPr>
          <w:fldChar w:fldCharType="end"/>
        </w:r>
      </w:hyperlink>
    </w:p>
    <w:p w14:paraId="40753E0A" w14:textId="6C25B921" w:rsidR="000957EE" w:rsidRDefault="001163AD">
      <w:pPr>
        <w:pStyle w:val="TOC1"/>
        <w:rPr>
          <w:rFonts w:asciiTheme="minorHAnsi" w:eastAsiaTheme="minorEastAsia" w:hAnsiTheme="minorHAnsi" w:cstheme="minorBidi"/>
          <w:bCs w:val="0"/>
          <w:sz w:val="22"/>
          <w:szCs w:val="22"/>
          <w:lang w:eastAsia="en-GB"/>
        </w:rPr>
      </w:pPr>
      <w:hyperlink w:anchor="_Toc83036143" w:history="1">
        <w:r w:rsidR="000957EE" w:rsidRPr="00931CEA">
          <w:rPr>
            <w:rStyle w:val="Hyperlink"/>
          </w:rPr>
          <w:t>Table D8</w:t>
        </w:r>
        <w:r w:rsidR="000957EE">
          <w:rPr>
            <w:rFonts w:asciiTheme="minorHAnsi" w:eastAsiaTheme="minorEastAsia" w:hAnsiTheme="minorHAnsi" w:cstheme="minorBidi"/>
            <w:bCs w:val="0"/>
            <w:sz w:val="22"/>
            <w:szCs w:val="22"/>
            <w:lang w:eastAsia="en-GB"/>
          </w:rPr>
          <w:tab/>
        </w:r>
        <w:r w:rsidR="000957EE" w:rsidRPr="00931CEA">
          <w:rPr>
            <w:rStyle w:val="Hyperlink"/>
          </w:rPr>
          <w:t>Summary of overall dwelling mix by sub-area</w:t>
        </w:r>
        <w:r w:rsidR="000957EE">
          <w:rPr>
            <w:webHidden/>
          </w:rPr>
          <w:tab/>
        </w:r>
        <w:r w:rsidR="000957EE">
          <w:rPr>
            <w:webHidden/>
          </w:rPr>
          <w:fldChar w:fldCharType="begin"/>
        </w:r>
        <w:r w:rsidR="000957EE">
          <w:rPr>
            <w:webHidden/>
          </w:rPr>
          <w:instrText xml:space="preserve"> PAGEREF _Toc83036143 \h </w:instrText>
        </w:r>
        <w:r w:rsidR="000957EE">
          <w:rPr>
            <w:webHidden/>
          </w:rPr>
        </w:r>
        <w:r w:rsidR="000957EE">
          <w:rPr>
            <w:webHidden/>
          </w:rPr>
          <w:fldChar w:fldCharType="separate"/>
        </w:r>
        <w:r w:rsidR="001877C1">
          <w:rPr>
            <w:webHidden/>
          </w:rPr>
          <w:t>154</w:t>
        </w:r>
        <w:r w:rsidR="000957EE">
          <w:rPr>
            <w:webHidden/>
          </w:rPr>
          <w:fldChar w:fldCharType="end"/>
        </w:r>
      </w:hyperlink>
    </w:p>
    <w:p w14:paraId="194F31C5" w14:textId="6CD9D880" w:rsidR="00CE1BDB" w:rsidRPr="00FA4DC7" w:rsidRDefault="00CE1BDB" w:rsidP="00CE1BDB">
      <w:pPr>
        <w:tabs>
          <w:tab w:val="left" w:pos="0"/>
          <w:tab w:val="left" w:pos="709"/>
          <w:tab w:val="left" w:pos="1418"/>
        </w:tabs>
        <w:rPr>
          <w:rFonts w:cs="Arial"/>
          <w:highlight w:val="yellow"/>
        </w:rPr>
      </w:pPr>
      <w:r w:rsidRPr="00FA4DC7">
        <w:rPr>
          <w:rFonts w:cs="Arial"/>
          <w:highlight w:val="yellow"/>
        </w:rPr>
        <w:fldChar w:fldCharType="end"/>
      </w:r>
    </w:p>
    <w:p w14:paraId="0E35199A" w14:textId="77777777" w:rsidR="00CE1BDB" w:rsidRPr="00FA4DC7" w:rsidRDefault="00CE1BDB" w:rsidP="00CE1BDB">
      <w:pPr>
        <w:pStyle w:val="TOCHeading1"/>
        <w:tabs>
          <w:tab w:val="left" w:pos="0"/>
          <w:tab w:val="left" w:pos="709"/>
          <w:tab w:val="left" w:pos="1418"/>
        </w:tabs>
        <w:rPr>
          <w:lang w:eastAsia="en-GB"/>
        </w:rPr>
      </w:pPr>
      <w:r w:rsidRPr="00FA4DC7">
        <w:rPr>
          <w:lang w:eastAsia="en-GB"/>
        </w:rPr>
        <w:t xml:space="preserve">List of Charts and Figures </w:t>
      </w:r>
    </w:p>
    <w:p w14:paraId="6544B231" w14:textId="5FCA6D3F" w:rsidR="000957EE" w:rsidRDefault="00CE1BDB">
      <w:pPr>
        <w:pStyle w:val="TOC1"/>
        <w:rPr>
          <w:rFonts w:asciiTheme="minorHAnsi" w:eastAsiaTheme="minorEastAsia" w:hAnsiTheme="minorHAnsi" w:cstheme="minorBidi"/>
          <w:bCs w:val="0"/>
          <w:sz w:val="22"/>
          <w:szCs w:val="22"/>
          <w:lang w:eastAsia="en-GB"/>
        </w:rPr>
      </w:pPr>
      <w:r w:rsidRPr="0053620D">
        <w:rPr>
          <w:rFonts w:cs="Arial"/>
          <w:iCs/>
          <w:color w:val="008080"/>
          <w:szCs w:val="20"/>
          <w:highlight w:val="yellow"/>
          <w:lang w:eastAsia="en-GB"/>
        </w:rPr>
        <w:fldChar w:fldCharType="begin"/>
      </w:r>
      <w:r w:rsidRPr="0053620D">
        <w:rPr>
          <w:rFonts w:cs="Arial"/>
          <w:iCs/>
          <w:color w:val="008080"/>
          <w:szCs w:val="20"/>
          <w:highlight w:val="yellow"/>
          <w:lang w:eastAsia="en-GB"/>
        </w:rPr>
        <w:instrText xml:space="preserve"> TOC \h \z \t "Figureheading" </w:instrText>
      </w:r>
      <w:r w:rsidRPr="0053620D">
        <w:rPr>
          <w:rFonts w:cs="Arial"/>
          <w:iCs/>
          <w:color w:val="008080"/>
          <w:szCs w:val="20"/>
          <w:highlight w:val="yellow"/>
          <w:lang w:eastAsia="en-GB"/>
        </w:rPr>
        <w:fldChar w:fldCharType="separate"/>
      </w:r>
      <w:hyperlink w:anchor="_Toc83036144" w:history="1">
        <w:r w:rsidR="000957EE" w:rsidRPr="009F012A">
          <w:rPr>
            <w:rStyle w:val="Hyperlink"/>
            <w:shd w:val="clear" w:color="auto" w:fill="FFFFFF"/>
            <w:lang w:eastAsia="en-GB"/>
          </w:rPr>
          <w:t>Figure 2.1</w:t>
        </w:r>
        <w:r w:rsidR="000957EE">
          <w:rPr>
            <w:rFonts w:asciiTheme="minorHAnsi" w:eastAsiaTheme="minorEastAsia" w:hAnsiTheme="minorHAnsi" w:cstheme="minorBidi"/>
            <w:bCs w:val="0"/>
            <w:sz w:val="22"/>
            <w:szCs w:val="22"/>
            <w:lang w:eastAsia="en-GB"/>
          </w:rPr>
          <w:tab/>
        </w:r>
        <w:r w:rsidR="000957EE" w:rsidRPr="009F012A">
          <w:rPr>
            <w:rStyle w:val="Hyperlink"/>
            <w:shd w:val="clear" w:color="auto" w:fill="FFFFFF"/>
            <w:lang w:eastAsia="en-GB"/>
          </w:rPr>
          <w:t>Dwelling completions compared with the annual requirement, 2010/11 to 2019/20</w:t>
        </w:r>
        <w:r w:rsidR="000957EE">
          <w:rPr>
            <w:webHidden/>
          </w:rPr>
          <w:tab/>
        </w:r>
        <w:r w:rsidR="000957EE">
          <w:rPr>
            <w:webHidden/>
          </w:rPr>
          <w:fldChar w:fldCharType="begin"/>
        </w:r>
        <w:r w:rsidR="000957EE">
          <w:rPr>
            <w:webHidden/>
          </w:rPr>
          <w:instrText xml:space="preserve"> PAGEREF _Toc83036144 \h </w:instrText>
        </w:r>
        <w:r w:rsidR="000957EE">
          <w:rPr>
            <w:webHidden/>
          </w:rPr>
        </w:r>
        <w:r w:rsidR="000957EE">
          <w:rPr>
            <w:webHidden/>
          </w:rPr>
          <w:fldChar w:fldCharType="separate"/>
        </w:r>
        <w:r w:rsidR="001877C1">
          <w:rPr>
            <w:webHidden/>
          </w:rPr>
          <w:t>37</w:t>
        </w:r>
        <w:r w:rsidR="000957EE">
          <w:rPr>
            <w:webHidden/>
          </w:rPr>
          <w:fldChar w:fldCharType="end"/>
        </w:r>
      </w:hyperlink>
    </w:p>
    <w:p w14:paraId="1774F9B0" w14:textId="3D809E6A" w:rsidR="000957EE" w:rsidRDefault="001163AD">
      <w:pPr>
        <w:pStyle w:val="TOC1"/>
        <w:rPr>
          <w:rFonts w:asciiTheme="minorHAnsi" w:eastAsiaTheme="minorEastAsia" w:hAnsiTheme="minorHAnsi" w:cstheme="minorBidi"/>
          <w:bCs w:val="0"/>
          <w:sz w:val="22"/>
          <w:szCs w:val="22"/>
          <w:lang w:eastAsia="en-GB"/>
        </w:rPr>
      </w:pPr>
      <w:hyperlink w:anchor="_Toc83036145" w:history="1">
        <w:r w:rsidR="000957EE" w:rsidRPr="009F012A">
          <w:rPr>
            <w:rStyle w:val="Hyperlink"/>
          </w:rPr>
          <w:t>Figure 2.2</w:t>
        </w:r>
        <w:r w:rsidR="000957EE">
          <w:rPr>
            <w:rFonts w:asciiTheme="minorHAnsi" w:eastAsiaTheme="minorEastAsia" w:hAnsiTheme="minorHAnsi" w:cstheme="minorBidi"/>
            <w:bCs w:val="0"/>
            <w:sz w:val="22"/>
            <w:szCs w:val="22"/>
            <w:lang w:eastAsia="en-GB"/>
          </w:rPr>
          <w:tab/>
        </w:r>
        <w:r w:rsidR="000957EE" w:rsidRPr="009F012A">
          <w:rPr>
            <w:rStyle w:val="Hyperlink"/>
          </w:rPr>
          <w:t>Variant population projections 2020 to 2037/2040</w:t>
        </w:r>
        <w:r w:rsidR="000957EE">
          <w:rPr>
            <w:webHidden/>
          </w:rPr>
          <w:tab/>
        </w:r>
        <w:r w:rsidR="000957EE">
          <w:rPr>
            <w:webHidden/>
          </w:rPr>
          <w:fldChar w:fldCharType="begin"/>
        </w:r>
        <w:r w:rsidR="000957EE">
          <w:rPr>
            <w:webHidden/>
          </w:rPr>
          <w:instrText xml:space="preserve"> PAGEREF _Toc83036145 \h </w:instrText>
        </w:r>
        <w:r w:rsidR="000957EE">
          <w:rPr>
            <w:webHidden/>
          </w:rPr>
        </w:r>
        <w:r w:rsidR="000957EE">
          <w:rPr>
            <w:webHidden/>
          </w:rPr>
          <w:fldChar w:fldCharType="separate"/>
        </w:r>
        <w:r w:rsidR="001877C1">
          <w:rPr>
            <w:webHidden/>
          </w:rPr>
          <w:t>40</w:t>
        </w:r>
        <w:r w:rsidR="000957EE">
          <w:rPr>
            <w:webHidden/>
          </w:rPr>
          <w:fldChar w:fldCharType="end"/>
        </w:r>
      </w:hyperlink>
    </w:p>
    <w:p w14:paraId="7D9BA063" w14:textId="58178D62" w:rsidR="000957EE" w:rsidRDefault="001163AD">
      <w:pPr>
        <w:pStyle w:val="TOC1"/>
        <w:rPr>
          <w:rFonts w:asciiTheme="minorHAnsi" w:eastAsiaTheme="minorEastAsia" w:hAnsiTheme="minorHAnsi" w:cstheme="minorBidi"/>
          <w:bCs w:val="0"/>
          <w:sz w:val="22"/>
          <w:szCs w:val="22"/>
          <w:lang w:eastAsia="en-GB"/>
        </w:rPr>
      </w:pPr>
      <w:hyperlink w:anchor="_Toc83036146" w:history="1">
        <w:r w:rsidR="000957EE" w:rsidRPr="009F012A">
          <w:rPr>
            <w:rStyle w:val="Hyperlink"/>
          </w:rPr>
          <w:t>Figure 2.3</w:t>
        </w:r>
        <w:r w:rsidR="000957EE">
          <w:rPr>
            <w:rFonts w:asciiTheme="minorHAnsi" w:eastAsiaTheme="minorEastAsia" w:hAnsiTheme="minorHAnsi" w:cstheme="minorBidi"/>
            <w:bCs w:val="0"/>
            <w:sz w:val="22"/>
            <w:szCs w:val="22"/>
            <w:lang w:eastAsia="en-GB"/>
          </w:rPr>
          <w:tab/>
        </w:r>
        <w:r w:rsidR="000957EE" w:rsidRPr="009F012A">
          <w:rPr>
            <w:rStyle w:val="Hyperlink"/>
          </w:rPr>
          <w:t>Components of population change 2011 to 2020</w:t>
        </w:r>
        <w:r w:rsidR="000957EE">
          <w:rPr>
            <w:webHidden/>
          </w:rPr>
          <w:tab/>
        </w:r>
        <w:r w:rsidR="000957EE">
          <w:rPr>
            <w:webHidden/>
          </w:rPr>
          <w:fldChar w:fldCharType="begin"/>
        </w:r>
        <w:r w:rsidR="000957EE">
          <w:rPr>
            <w:webHidden/>
          </w:rPr>
          <w:instrText xml:space="preserve"> PAGEREF _Toc83036146 \h </w:instrText>
        </w:r>
        <w:r w:rsidR="000957EE">
          <w:rPr>
            <w:webHidden/>
          </w:rPr>
        </w:r>
        <w:r w:rsidR="000957EE">
          <w:rPr>
            <w:webHidden/>
          </w:rPr>
          <w:fldChar w:fldCharType="separate"/>
        </w:r>
        <w:r w:rsidR="001877C1">
          <w:rPr>
            <w:webHidden/>
          </w:rPr>
          <w:t>41</w:t>
        </w:r>
        <w:r w:rsidR="000957EE">
          <w:rPr>
            <w:webHidden/>
          </w:rPr>
          <w:fldChar w:fldCharType="end"/>
        </w:r>
      </w:hyperlink>
    </w:p>
    <w:p w14:paraId="5664F2CB" w14:textId="4D94DD7F" w:rsidR="000957EE" w:rsidRDefault="001163AD">
      <w:pPr>
        <w:pStyle w:val="TOC1"/>
        <w:rPr>
          <w:rFonts w:asciiTheme="minorHAnsi" w:eastAsiaTheme="minorEastAsia" w:hAnsiTheme="minorHAnsi" w:cstheme="minorBidi"/>
          <w:bCs w:val="0"/>
          <w:sz w:val="22"/>
          <w:szCs w:val="22"/>
          <w:lang w:eastAsia="en-GB"/>
        </w:rPr>
      </w:pPr>
      <w:hyperlink w:anchor="_Toc83036147" w:history="1">
        <w:r w:rsidR="000957EE" w:rsidRPr="009F012A">
          <w:rPr>
            <w:rStyle w:val="Hyperlink"/>
          </w:rPr>
          <w:t>Figure 2.4</w:t>
        </w:r>
        <w:r w:rsidR="000957EE">
          <w:rPr>
            <w:rFonts w:asciiTheme="minorHAnsi" w:eastAsiaTheme="minorEastAsia" w:hAnsiTheme="minorHAnsi" w:cstheme="minorBidi"/>
            <w:bCs w:val="0"/>
            <w:sz w:val="22"/>
            <w:szCs w:val="22"/>
            <w:lang w:eastAsia="en-GB"/>
          </w:rPr>
          <w:tab/>
        </w:r>
        <w:r w:rsidR="000957EE" w:rsidRPr="009F012A">
          <w:rPr>
            <w:rStyle w:val="Hyperlink"/>
          </w:rPr>
          <w:t>Profile of households by age of Household Reference Person  2021 and 2037/40 and change to 2040</w:t>
        </w:r>
        <w:r w:rsidR="000957EE">
          <w:rPr>
            <w:webHidden/>
          </w:rPr>
          <w:tab/>
        </w:r>
        <w:r w:rsidR="000957EE">
          <w:rPr>
            <w:webHidden/>
          </w:rPr>
          <w:fldChar w:fldCharType="begin"/>
        </w:r>
        <w:r w:rsidR="000957EE">
          <w:rPr>
            <w:webHidden/>
          </w:rPr>
          <w:instrText xml:space="preserve"> PAGEREF _Toc83036147 \h </w:instrText>
        </w:r>
        <w:r w:rsidR="000957EE">
          <w:rPr>
            <w:webHidden/>
          </w:rPr>
        </w:r>
        <w:r w:rsidR="000957EE">
          <w:rPr>
            <w:webHidden/>
          </w:rPr>
          <w:fldChar w:fldCharType="separate"/>
        </w:r>
        <w:r w:rsidR="001877C1">
          <w:rPr>
            <w:webHidden/>
          </w:rPr>
          <w:t>46</w:t>
        </w:r>
        <w:r w:rsidR="000957EE">
          <w:rPr>
            <w:webHidden/>
          </w:rPr>
          <w:fldChar w:fldCharType="end"/>
        </w:r>
      </w:hyperlink>
    </w:p>
    <w:p w14:paraId="79C34742" w14:textId="638E1DA1" w:rsidR="000957EE" w:rsidRDefault="001163AD">
      <w:pPr>
        <w:pStyle w:val="TOC1"/>
        <w:rPr>
          <w:rFonts w:asciiTheme="minorHAnsi" w:eastAsiaTheme="minorEastAsia" w:hAnsiTheme="minorHAnsi" w:cstheme="minorBidi"/>
          <w:bCs w:val="0"/>
          <w:sz w:val="22"/>
          <w:szCs w:val="22"/>
          <w:lang w:eastAsia="en-GB"/>
        </w:rPr>
      </w:pPr>
      <w:hyperlink w:anchor="_Toc83036148" w:history="1">
        <w:r w:rsidR="000957EE" w:rsidRPr="009F012A">
          <w:rPr>
            <w:rStyle w:val="Hyperlink"/>
            <w:shd w:val="clear" w:color="auto" w:fill="FFFFFF"/>
            <w:lang w:eastAsia="en-GB"/>
          </w:rPr>
          <w:t>Figure</w:t>
        </w:r>
        <w:r w:rsidR="000957EE" w:rsidRPr="009F012A">
          <w:rPr>
            <w:rStyle w:val="Hyperlink"/>
          </w:rPr>
          <w:t xml:space="preserve"> 3.1</w:t>
        </w:r>
        <w:r w:rsidR="000957EE">
          <w:rPr>
            <w:rFonts w:asciiTheme="minorHAnsi" w:eastAsiaTheme="minorEastAsia" w:hAnsiTheme="minorHAnsi" w:cstheme="minorBidi"/>
            <w:bCs w:val="0"/>
            <w:sz w:val="22"/>
            <w:szCs w:val="22"/>
            <w:lang w:eastAsia="en-GB"/>
          </w:rPr>
          <w:tab/>
        </w:r>
        <w:r w:rsidR="000957EE" w:rsidRPr="009F012A">
          <w:rPr>
            <w:rStyle w:val="Hyperlink"/>
          </w:rPr>
          <w:t>Median house price trends 2000 to 2020: Medway, South East, SE London boroughs and England</w:t>
        </w:r>
        <w:r w:rsidR="000957EE">
          <w:rPr>
            <w:webHidden/>
          </w:rPr>
          <w:tab/>
        </w:r>
        <w:r w:rsidR="000957EE">
          <w:rPr>
            <w:webHidden/>
          </w:rPr>
          <w:fldChar w:fldCharType="begin"/>
        </w:r>
        <w:r w:rsidR="000957EE">
          <w:rPr>
            <w:webHidden/>
          </w:rPr>
          <w:instrText xml:space="preserve"> PAGEREF _Toc83036148 \h </w:instrText>
        </w:r>
        <w:r w:rsidR="000957EE">
          <w:rPr>
            <w:webHidden/>
          </w:rPr>
        </w:r>
        <w:r w:rsidR="000957EE">
          <w:rPr>
            <w:webHidden/>
          </w:rPr>
          <w:fldChar w:fldCharType="separate"/>
        </w:r>
        <w:r w:rsidR="001877C1">
          <w:rPr>
            <w:webHidden/>
          </w:rPr>
          <w:t>59</w:t>
        </w:r>
        <w:r w:rsidR="000957EE">
          <w:rPr>
            <w:webHidden/>
          </w:rPr>
          <w:fldChar w:fldCharType="end"/>
        </w:r>
      </w:hyperlink>
    </w:p>
    <w:p w14:paraId="5391B64C" w14:textId="32BB047A" w:rsidR="000957EE" w:rsidRDefault="001163AD">
      <w:pPr>
        <w:pStyle w:val="TOC1"/>
        <w:rPr>
          <w:rFonts w:asciiTheme="minorHAnsi" w:eastAsiaTheme="minorEastAsia" w:hAnsiTheme="minorHAnsi" w:cstheme="minorBidi"/>
          <w:bCs w:val="0"/>
          <w:sz w:val="22"/>
          <w:szCs w:val="22"/>
          <w:lang w:eastAsia="en-GB"/>
        </w:rPr>
      </w:pPr>
      <w:hyperlink w:anchor="_Toc83036149" w:history="1">
        <w:r w:rsidR="000957EE" w:rsidRPr="009F012A">
          <w:rPr>
            <w:rStyle w:val="Hyperlink"/>
          </w:rPr>
          <w:t>Figure 5.1</w:t>
        </w:r>
        <w:r w:rsidR="000957EE">
          <w:rPr>
            <w:rFonts w:asciiTheme="minorHAnsi" w:eastAsiaTheme="minorEastAsia" w:hAnsiTheme="minorHAnsi" w:cstheme="minorBidi"/>
            <w:bCs w:val="0"/>
            <w:sz w:val="22"/>
            <w:szCs w:val="22"/>
            <w:lang w:eastAsia="en-GB"/>
          </w:rPr>
          <w:tab/>
        </w:r>
        <w:r w:rsidR="000957EE" w:rsidRPr="009F012A">
          <w:rPr>
            <w:rStyle w:val="Hyperlink"/>
          </w:rPr>
          <w:t>Establishing need associated with age, health and life experience</w:t>
        </w:r>
        <w:r w:rsidR="000957EE">
          <w:rPr>
            <w:webHidden/>
          </w:rPr>
          <w:tab/>
        </w:r>
        <w:r w:rsidR="000957EE">
          <w:rPr>
            <w:webHidden/>
          </w:rPr>
          <w:fldChar w:fldCharType="begin"/>
        </w:r>
        <w:r w:rsidR="000957EE">
          <w:rPr>
            <w:webHidden/>
          </w:rPr>
          <w:instrText xml:space="preserve"> PAGEREF _Toc83036149 \h </w:instrText>
        </w:r>
        <w:r w:rsidR="000957EE">
          <w:rPr>
            <w:webHidden/>
          </w:rPr>
        </w:r>
        <w:r w:rsidR="000957EE">
          <w:rPr>
            <w:webHidden/>
          </w:rPr>
          <w:fldChar w:fldCharType="separate"/>
        </w:r>
        <w:r w:rsidR="001877C1">
          <w:rPr>
            <w:webHidden/>
          </w:rPr>
          <w:t>98</w:t>
        </w:r>
        <w:r w:rsidR="000957EE">
          <w:rPr>
            <w:webHidden/>
          </w:rPr>
          <w:fldChar w:fldCharType="end"/>
        </w:r>
      </w:hyperlink>
    </w:p>
    <w:p w14:paraId="180B5D40" w14:textId="72BAA84B" w:rsidR="000957EE" w:rsidRDefault="001163AD">
      <w:pPr>
        <w:pStyle w:val="TOC1"/>
        <w:rPr>
          <w:rFonts w:asciiTheme="minorHAnsi" w:eastAsiaTheme="minorEastAsia" w:hAnsiTheme="minorHAnsi" w:cstheme="minorBidi"/>
          <w:bCs w:val="0"/>
          <w:sz w:val="22"/>
          <w:szCs w:val="22"/>
          <w:lang w:eastAsia="en-GB"/>
        </w:rPr>
      </w:pPr>
      <w:hyperlink w:anchor="_Toc83036150" w:history="1">
        <w:r w:rsidR="000957EE" w:rsidRPr="009F012A">
          <w:rPr>
            <w:rStyle w:val="Hyperlink"/>
          </w:rPr>
          <w:t>Figure D1</w:t>
        </w:r>
        <w:r w:rsidR="000957EE">
          <w:rPr>
            <w:rFonts w:asciiTheme="minorHAnsi" w:eastAsiaTheme="minorEastAsia" w:hAnsiTheme="minorHAnsi" w:cstheme="minorBidi"/>
            <w:bCs w:val="0"/>
            <w:sz w:val="22"/>
            <w:szCs w:val="22"/>
            <w:lang w:eastAsia="en-GB"/>
          </w:rPr>
          <w:tab/>
        </w:r>
        <w:r w:rsidR="000957EE" w:rsidRPr="009F012A">
          <w:rPr>
            <w:rStyle w:val="Hyperlink"/>
          </w:rPr>
          <w:t>Change in HRP age groups 2021-2037</w:t>
        </w:r>
        <w:r w:rsidR="000957EE">
          <w:rPr>
            <w:webHidden/>
          </w:rPr>
          <w:tab/>
        </w:r>
        <w:r w:rsidR="000957EE">
          <w:rPr>
            <w:webHidden/>
          </w:rPr>
          <w:fldChar w:fldCharType="begin"/>
        </w:r>
        <w:r w:rsidR="000957EE">
          <w:rPr>
            <w:webHidden/>
          </w:rPr>
          <w:instrText xml:space="preserve"> PAGEREF _Toc83036150 \h </w:instrText>
        </w:r>
        <w:r w:rsidR="000957EE">
          <w:rPr>
            <w:webHidden/>
          </w:rPr>
        </w:r>
        <w:r w:rsidR="000957EE">
          <w:rPr>
            <w:webHidden/>
          </w:rPr>
          <w:fldChar w:fldCharType="separate"/>
        </w:r>
        <w:r w:rsidR="001877C1">
          <w:rPr>
            <w:webHidden/>
          </w:rPr>
          <w:t>146</w:t>
        </w:r>
        <w:r w:rsidR="000957EE">
          <w:rPr>
            <w:webHidden/>
          </w:rPr>
          <w:fldChar w:fldCharType="end"/>
        </w:r>
      </w:hyperlink>
    </w:p>
    <w:p w14:paraId="07051959" w14:textId="4650E15F" w:rsidR="000957EE" w:rsidRDefault="001163AD">
      <w:pPr>
        <w:pStyle w:val="TOC1"/>
        <w:rPr>
          <w:rFonts w:asciiTheme="minorHAnsi" w:eastAsiaTheme="minorEastAsia" w:hAnsiTheme="minorHAnsi" w:cstheme="minorBidi"/>
          <w:bCs w:val="0"/>
          <w:sz w:val="22"/>
          <w:szCs w:val="22"/>
          <w:lang w:eastAsia="en-GB"/>
        </w:rPr>
      </w:pPr>
      <w:hyperlink w:anchor="_Toc83036151" w:history="1">
        <w:r w:rsidR="000957EE" w:rsidRPr="009F012A">
          <w:rPr>
            <w:rStyle w:val="Hyperlink"/>
          </w:rPr>
          <w:t>Figure D2</w:t>
        </w:r>
        <w:r w:rsidR="000957EE">
          <w:rPr>
            <w:rFonts w:asciiTheme="minorHAnsi" w:eastAsiaTheme="minorEastAsia" w:hAnsiTheme="minorHAnsi" w:cstheme="minorBidi"/>
            <w:bCs w:val="0"/>
            <w:sz w:val="22"/>
            <w:szCs w:val="22"/>
            <w:lang w:eastAsia="en-GB"/>
          </w:rPr>
          <w:tab/>
        </w:r>
        <w:r w:rsidR="000957EE" w:rsidRPr="009F012A">
          <w:rPr>
            <w:rStyle w:val="Hyperlink"/>
          </w:rPr>
          <w:t>Summary of dwelling types in current stock and under baseline demographic and under 35 scenario, aspiration and expectation scenarios</w:t>
        </w:r>
        <w:r w:rsidR="000957EE">
          <w:rPr>
            <w:webHidden/>
          </w:rPr>
          <w:tab/>
        </w:r>
        <w:r w:rsidR="000957EE">
          <w:rPr>
            <w:webHidden/>
          </w:rPr>
          <w:fldChar w:fldCharType="begin"/>
        </w:r>
        <w:r w:rsidR="000957EE">
          <w:rPr>
            <w:webHidden/>
          </w:rPr>
          <w:instrText xml:space="preserve"> PAGEREF _Toc83036151 \h </w:instrText>
        </w:r>
        <w:r w:rsidR="000957EE">
          <w:rPr>
            <w:webHidden/>
          </w:rPr>
        </w:r>
        <w:r w:rsidR="000957EE">
          <w:rPr>
            <w:webHidden/>
          </w:rPr>
          <w:fldChar w:fldCharType="separate"/>
        </w:r>
        <w:r w:rsidR="001877C1">
          <w:rPr>
            <w:webHidden/>
          </w:rPr>
          <w:t>150</w:t>
        </w:r>
        <w:r w:rsidR="000957EE">
          <w:rPr>
            <w:webHidden/>
          </w:rPr>
          <w:fldChar w:fldCharType="end"/>
        </w:r>
      </w:hyperlink>
    </w:p>
    <w:p w14:paraId="66694821" w14:textId="69AA2E8A" w:rsidR="00CE1BDB" w:rsidRPr="0053620D" w:rsidRDefault="00CE1BDB" w:rsidP="00CE1BDB">
      <w:pPr>
        <w:pStyle w:val="TOC1"/>
        <w:rPr>
          <w:rFonts w:cs="Arial"/>
          <w:color w:val="009999"/>
          <w:sz w:val="20"/>
          <w:szCs w:val="20"/>
        </w:rPr>
      </w:pPr>
      <w:r w:rsidRPr="0053620D">
        <w:rPr>
          <w:rFonts w:cs="Arial"/>
          <w:highlight w:val="yellow"/>
        </w:rPr>
        <w:fldChar w:fldCharType="end"/>
      </w:r>
    </w:p>
    <w:p w14:paraId="7000F4F3" w14:textId="3CBF1BF2" w:rsidR="00CE1BDB" w:rsidRPr="0053620D" w:rsidRDefault="00CE1BDB" w:rsidP="00CE1BDB">
      <w:pPr>
        <w:tabs>
          <w:tab w:val="left" w:pos="0"/>
          <w:tab w:val="left" w:pos="709"/>
          <w:tab w:val="left" w:pos="1418"/>
        </w:tabs>
        <w:rPr>
          <w:rFonts w:cs="Arial"/>
          <w:b/>
          <w:iCs/>
          <w:color w:val="008080"/>
          <w:szCs w:val="20"/>
        </w:rPr>
      </w:pPr>
      <w:bookmarkStart w:id="1" w:name="_Toc297239571"/>
      <w:bookmarkEnd w:id="0"/>
    </w:p>
    <w:p w14:paraId="0A9FE8DC" w14:textId="2397641C" w:rsidR="00C75F28" w:rsidRDefault="00C75F28">
      <w:pPr>
        <w:rPr>
          <w:rFonts w:cs="Arial"/>
          <w:b/>
          <w:iCs/>
          <w:color w:val="008080"/>
          <w:szCs w:val="20"/>
        </w:rPr>
      </w:pPr>
      <w:r>
        <w:rPr>
          <w:rFonts w:cs="Arial"/>
          <w:b/>
          <w:iCs/>
          <w:color w:val="008080"/>
          <w:szCs w:val="20"/>
        </w:rPr>
        <w:br w:type="page"/>
      </w:r>
    </w:p>
    <w:p w14:paraId="6FC1FBBF" w14:textId="77777777" w:rsidR="00CE1BDB" w:rsidRPr="00FA4DC7" w:rsidRDefault="00CE1BDB" w:rsidP="00CE1BDB">
      <w:pPr>
        <w:tabs>
          <w:tab w:val="left" w:pos="0"/>
          <w:tab w:val="left" w:pos="709"/>
          <w:tab w:val="left" w:pos="1418"/>
        </w:tabs>
        <w:rPr>
          <w:rFonts w:cs="Arial"/>
          <w:b/>
          <w:iCs/>
          <w:color w:val="008080"/>
          <w:szCs w:val="20"/>
        </w:rPr>
      </w:pPr>
      <w:r w:rsidRPr="00FA4DC7">
        <w:rPr>
          <w:rFonts w:cs="Arial"/>
          <w:b/>
          <w:iCs/>
          <w:color w:val="008080"/>
          <w:szCs w:val="20"/>
        </w:rPr>
        <w:lastRenderedPageBreak/>
        <w:t xml:space="preserve">Please note that in this report some of the tables include rounded figures. This can result in some column or row totals not adding up to 100 or to the anticipated row or column ‘total’ due to the use of rounded decimal figures. We include this description here as it covers all tables and associated textual commentary included. If tables or figures are to be used </w:t>
      </w:r>
      <w:proofErr w:type="gramStart"/>
      <w:r w:rsidRPr="00FA4DC7">
        <w:rPr>
          <w:rFonts w:cs="Arial"/>
          <w:b/>
          <w:iCs/>
          <w:color w:val="008080"/>
          <w:szCs w:val="20"/>
        </w:rPr>
        <w:t>in-house</w:t>
      </w:r>
      <w:proofErr w:type="gramEnd"/>
      <w:r w:rsidRPr="00FA4DC7">
        <w:rPr>
          <w:rFonts w:cs="Arial"/>
          <w:b/>
          <w:iCs/>
          <w:color w:val="008080"/>
          <w:szCs w:val="20"/>
        </w:rPr>
        <w:t xml:space="preserve"> then we recommend the addition of a similarly worded statement being included as a note to each table used.</w:t>
      </w:r>
    </w:p>
    <w:p w14:paraId="7FE3B6C2"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5DE731BA"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096B9327"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7EF8E5D4"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2D95EBBB"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6B812632"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54A32E05"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1329585A" w14:textId="1C155DCB" w:rsidR="00CE1BDB" w:rsidRDefault="00CE1BDB" w:rsidP="00CE1BDB">
      <w:pPr>
        <w:tabs>
          <w:tab w:val="left" w:pos="0"/>
          <w:tab w:val="left" w:pos="709"/>
          <w:tab w:val="left" w:pos="1418"/>
          <w:tab w:val="right" w:pos="9214"/>
          <w:tab w:val="right" w:leader="dot" w:pos="9356"/>
        </w:tabs>
        <w:ind w:right="-2"/>
        <w:rPr>
          <w:rFonts w:cs="Arial"/>
        </w:rPr>
      </w:pPr>
    </w:p>
    <w:p w14:paraId="7ABBE66C" w14:textId="1583A77C" w:rsidR="0053620D" w:rsidRDefault="0053620D" w:rsidP="00CE1BDB">
      <w:pPr>
        <w:tabs>
          <w:tab w:val="left" w:pos="0"/>
          <w:tab w:val="left" w:pos="709"/>
          <w:tab w:val="left" w:pos="1418"/>
          <w:tab w:val="right" w:pos="9214"/>
          <w:tab w:val="right" w:leader="dot" w:pos="9356"/>
        </w:tabs>
        <w:ind w:right="-2"/>
        <w:rPr>
          <w:rFonts w:cs="Arial"/>
        </w:rPr>
      </w:pPr>
    </w:p>
    <w:p w14:paraId="76BD0966" w14:textId="4D1E8797" w:rsidR="0053620D" w:rsidRDefault="0053620D" w:rsidP="00CE1BDB">
      <w:pPr>
        <w:tabs>
          <w:tab w:val="left" w:pos="0"/>
          <w:tab w:val="left" w:pos="709"/>
          <w:tab w:val="left" w:pos="1418"/>
          <w:tab w:val="right" w:pos="9214"/>
          <w:tab w:val="right" w:leader="dot" w:pos="9356"/>
        </w:tabs>
        <w:ind w:right="-2"/>
        <w:rPr>
          <w:rFonts w:cs="Arial"/>
        </w:rPr>
      </w:pPr>
    </w:p>
    <w:p w14:paraId="2744774F" w14:textId="08A1E82C" w:rsidR="0053620D" w:rsidRDefault="0053620D" w:rsidP="00CE1BDB">
      <w:pPr>
        <w:tabs>
          <w:tab w:val="left" w:pos="0"/>
          <w:tab w:val="left" w:pos="709"/>
          <w:tab w:val="left" w:pos="1418"/>
          <w:tab w:val="right" w:pos="9214"/>
          <w:tab w:val="right" w:leader="dot" w:pos="9356"/>
        </w:tabs>
        <w:ind w:right="-2"/>
        <w:rPr>
          <w:rFonts w:cs="Arial"/>
        </w:rPr>
      </w:pPr>
    </w:p>
    <w:p w14:paraId="465484A0" w14:textId="3370C126" w:rsidR="0053620D" w:rsidRDefault="0053620D" w:rsidP="00CE1BDB">
      <w:pPr>
        <w:tabs>
          <w:tab w:val="left" w:pos="0"/>
          <w:tab w:val="left" w:pos="709"/>
          <w:tab w:val="left" w:pos="1418"/>
          <w:tab w:val="right" w:pos="9214"/>
          <w:tab w:val="right" w:leader="dot" w:pos="9356"/>
        </w:tabs>
        <w:ind w:right="-2"/>
        <w:rPr>
          <w:rFonts w:cs="Arial"/>
        </w:rPr>
      </w:pPr>
    </w:p>
    <w:p w14:paraId="07AE8C2D" w14:textId="4E4444C2" w:rsidR="0053620D" w:rsidRDefault="0053620D" w:rsidP="00CE1BDB">
      <w:pPr>
        <w:tabs>
          <w:tab w:val="left" w:pos="0"/>
          <w:tab w:val="left" w:pos="709"/>
          <w:tab w:val="left" w:pos="1418"/>
          <w:tab w:val="right" w:pos="9214"/>
          <w:tab w:val="right" w:leader="dot" w:pos="9356"/>
        </w:tabs>
        <w:ind w:right="-2"/>
        <w:rPr>
          <w:rFonts w:cs="Arial"/>
        </w:rPr>
      </w:pPr>
    </w:p>
    <w:p w14:paraId="2C0E98F9" w14:textId="470F61C5" w:rsidR="0053620D" w:rsidRDefault="0053620D" w:rsidP="00CE1BDB">
      <w:pPr>
        <w:tabs>
          <w:tab w:val="left" w:pos="0"/>
          <w:tab w:val="left" w:pos="709"/>
          <w:tab w:val="left" w:pos="1418"/>
          <w:tab w:val="right" w:pos="9214"/>
          <w:tab w:val="right" w:leader="dot" w:pos="9356"/>
        </w:tabs>
        <w:ind w:right="-2"/>
        <w:rPr>
          <w:rFonts w:cs="Arial"/>
        </w:rPr>
      </w:pPr>
    </w:p>
    <w:p w14:paraId="3426B030" w14:textId="4B41F150" w:rsidR="0053620D" w:rsidRDefault="0053620D" w:rsidP="00CE1BDB">
      <w:pPr>
        <w:tabs>
          <w:tab w:val="left" w:pos="0"/>
          <w:tab w:val="left" w:pos="709"/>
          <w:tab w:val="left" w:pos="1418"/>
          <w:tab w:val="right" w:pos="9214"/>
          <w:tab w:val="right" w:leader="dot" w:pos="9356"/>
        </w:tabs>
        <w:ind w:right="-2"/>
        <w:rPr>
          <w:rFonts w:cs="Arial"/>
        </w:rPr>
      </w:pPr>
    </w:p>
    <w:p w14:paraId="3BD355AA" w14:textId="358A3F2A" w:rsidR="0053620D" w:rsidRDefault="0053620D" w:rsidP="00CE1BDB">
      <w:pPr>
        <w:tabs>
          <w:tab w:val="left" w:pos="0"/>
          <w:tab w:val="left" w:pos="709"/>
          <w:tab w:val="left" w:pos="1418"/>
          <w:tab w:val="right" w:pos="9214"/>
          <w:tab w:val="right" w:leader="dot" w:pos="9356"/>
        </w:tabs>
        <w:ind w:right="-2"/>
        <w:rPr>
          <w:rFonts w:cs="Arial"/>
        </w:rPr>
      </w:pPr>
    </w:p>
    <w:p w14:paraId="13A5F106" w14:textId="601C2096" w:rsidR="0053620D" w:rsidRDefault="0053620D" w:rsidP="00CE1BDB">
      <w:pPr>
        <w:tabs>
          <w:tab w:val="left" w:pos="0"/>
          <w:tab w:val="left" w:pos="709"/>
          <w:tab w:val="left" w:pos="1418"/>
          <w:tab w:val="right" w:pos="9214"/>
          <w:tab w:val="right" w:leader="dot" w:pos="9356"/>
        </w:tabs>
        <w:ind w:right="-2"/>
        <w:rPr>
          <w:rFonts w:cs="Arial"/>
        </w:rPr>
      </w:pPr>
    </w:p>
    <w:p w14:paraId="321AF72E" w14:textId="77777777" w:rsidR="0053620D" w:rsidRPr="00FA4DC7" w:rsidRDefault="0053620D" w:rsidP="00CE1BDB">
      <w:pPr>
        <w:tabs>
          <w:tab w:val="left" w:pos="0"/>
          <w:tab w:val="left" w:pos="709"/>
          <w:tab w:val="left" w:pos="1418"/>
          <w:tab w:val="right" w:pos="9214"/>
          <w:tab w:val="right" w:leader="dot" w:pos="9356"/>
        </w:tabs>
        <w:ind w:right="-2"/>
        <w:rPr>
          <w:rFonts w:cs="Arial"/>
        </w:rPr>
      </w:pPr>
    </w:p>
    <w:p w14:paraId="342F22B4" w14:textId="4F896DA3" w:rsidR="00CE1BDB" w:rsidRDefault="00CE1BDB" w:rsidP="00CE1BDB">
      <w:pPr>
        <w:tabs>
          <w:tab w:val="left" w:pos="0"/>
          <w:tab w:val="left" w:pos="709"/>
          <w:tab w:val="left" w:pos="1418"/>
          <w:tab w:val="right" w:pos="9214"/>
          <w:tab w:val="right" w:leader="dot" w:pos="9356"/>
        </w:tabs>
        <w:ind w:right="-2"/>
        <w:rPr>
          <w:rFonts w:cs="Arial"/>
        </w:rPr>
      </w:pPr>
    </w:p>
    <w:p w14:paraId="663FDC75" w14:textId="3AF950F7" w:rsidR="0053620D" w:rsidRDefault="0053620D" w:rsidP="00CE1BDB">
      <w:pPr>
        <w:tabs>
          <w:tab w:val="left" w:pos="0"/>
          <w:tab w:val="left" w:pos="709"/>
          <w:tab w:val="left" w:pos="1418"/>
          <w:tab w:val="right" w:pos="9214"/>
          <w:tab w:val="right" w:leader="dot" w:pos="9356"/>
        </w:tabs>
        <w:ind w:right="-2"/>
        <w:rPr>
          <w:rFonts w:cs="Arial"/>
        </w:rPr>
      </w:pPr>
    </w:p>
    <w:p w14:paraId="09A3F31E" w14:textId="71B28223" w:rsidR="0053620D" w:rsidRDefault="0053620D" w:rsidP="00CE1BDB">
      <w:pPr>
        <w:tabs>
          <w:tab w:val="left" w:pos="0"/>
          <w:tab w:val="left" w:pos="709"/>
          <w:tab w:val="left" w:pos="1418"/>
          <w:tab w:val="right" w:pos="9214"/>
          <w:tab w:val="right" w:leader="dot" w:pos="9356"/>
        </w:tabs>
        <w:ind w:right="-2"/>
        <w:rPr>
          <w:rFonts w:cs="Arial"/>
        </w:rPr>
      </w:pPr>
    </w:p>
    <w:p w14:paraId="68377A6A" w14:textId="33601E88" w:rsidR="0053620D" w:rsidRDefault="0053620D" w:rsidP="00CE1BDB">
      <w:pPr>
        <w:tabs>
          <w:tab w:val="left" w:pos="0"/>
          <w:tab w:val="left" w:pos="709"/>
          <w:tab w:val="left" w:pos="1418"/>
          <w:tab w:val="right" w:pos="9214"/>
          <w:tab w:val="right" w:leader="dot" w:pos="9356"/>
        </w:tabs>
        <w:ind w:right="-2"/>
        <w:rPr>
          <w:rFonts w:cs="Arial"/>
        </w:rPr>
      </w:pPr>
    </w:p>
    <w:p w14:paraId="09802213" w14:textId="13A7DE24" w:rsidR="0053620D" w:rsidRDefault="0053620D" w:rsidP="00CE1BDB">
      <w:pPr>
        <w:tabs>
          <w:tab w:val="left" w:pos="0"/>
          <w:tab w:val="left" w:pos="709"/>
          <w:tab w:val="left" w:pos="1418"/>
          <w:tab w:val="right" w:pos="9214"/>
          <w:tab w:val="right" w:leader="dot" w:pos="9356"/>
        </w:tabs>
        <w:ind w:right="-2"/>
        <w:rPr>
          <w:rFonts w:cs="Arial"/>
        </w:rPr>
      </w:pPr>
    </w:p>
    <w:p w14:paraId="2A01B723" w14:textId="77777777" w:rsidR="0053620D" w:rsidRPr="00FA4DC7" w:rsidRDefault="0053620D" w:rsidP="00CE1BDB">
      <w:pPr>
        <w:tabs>
          <w:tab w:val="left" w:pos="0"/>
          <w:tab w:val="left" w:pos="709"/>
          <w:tab w:val="left" w:pos="1418"/>
          <w:tab w:val="right" w:pos="9214"/>
          <w:tab w:val="right" w:leader="dot" w:pos="9356"/>
        </w:tabs>
        <w:ind w:right="-2"/>
        <w:rPr>
          <w:rFonts w:cs="Arial"/>
        </w:rPr>
      </w:pPr>
    </w:p>
    <w:p w14:paraId="0F531B1A"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234378A6"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6E78416F"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167323F5" w14:textId="77777777" w:rsidR="00CE1BDB" w:rsidRPr="00FA4DC7" w:rsidRDefault="00CE1BDB" w:rsidP="00CE1BDB">
      <w:pPr>
        <w:tabs>
          <w:tab w:val="left" w:pos="0"/>
          <w:tab w:val="left" w:pos="709"/>
          <w:tab w:val="left" w:pos="1418"/>
          <w:tab w:val="right" w:pos="9214"/>
          <w:tab w:val="right" w:leader="dot" w:pos="9356"/>
        </w:tabs>
        <w:ind w:right="-2"/>
        <w:rPr>
          <w:rFonts w:cs="Arial"/>
        </w:rPr>
      </w:pPr>
    </w:p>
    <w:p w14:paraId="5A371F61" w14:textId="77777777" w:rsidR="00CE1BDB" w:rsidRPr="00FA4DC7" w:rsidRDefault="00CE1BDB" w:rsidP="00CE1BDB">
      <w:pPr>
        <w:tabs>
          <w:tab w:val="left" w:pos="0"/>
          <w:tab w:val="left" w:pos="709"/>
          <w:tab w:val="left" w:pos="1418"/>
          <w:tab w:val="right" w:pos="9214"/>
          <w:tab w:val="right" w:leader="dot" w:pos="9356"/>
        </w:tabs>
        <w:ind w:right="-2"/>
        <w:rPr>
          <w:rFonts w:cs="Arial"/>
          <w:i/>
          <w:iCs/>
          <w:color w:val="009999"/>
          <w:sz w:val="20"/>
          <w:szCs w:val="20"/>
        </w:rPr>
      </w:pPr>
    </w:p>
    <w:p w14:paraId="0FBBC0FB" w14:textId="77777777" w:rsidR="00CE1BDB" w:rsidRPr="00FA4DC7" w:rsidRDefault="00CE1BDB" w:rsidP="00CE1BDB">
      <w:pPr>
        <w:tabs>
          <w:tab w:val="left" w:pos="0"/>
          <w:tab w:val="left" w:pos="709"/>
          <w:tab w:val="left" w:pos="1418"/>
          <w:tab w:val="right" w:pos="9214"/>
          <w:tab w:val="right" w:leader="dot" w:pos="9356"/>
        </w:tabs>
        <w:ind w:right="-2"/>
        <w:rPr>
          <w:rFonts w:cs="Arial"/>
          <w:color w:val="009999"/>
          <w:sz w:val="22"/>
          <w:szCs w:val="22"/>
        </w:rPr>
      </w:pPr>
      <w:r w:rsidRPr="00FA4DC7">
        <w:rPr>
          <w:rFonts w:cs="Arial"/>
          <w:color w:val="009999"/>
          <w:sz w:val="22"/>
          <w:szCs w:val="22"/>
        </w:rPr>
        <w:t xml:space="preserve">This report </w:t>
      </w:r>
      <w:proofErr w:type="gramStart"/>
      <w:r w:rsidRPr="00FA4DC7">
        <w:rPr>
          <w:rFonts w:cs="Arial"/>
          <w:color w:val="009999"/>
          <w:sz w:val="22"/>
          <w:szCs w:val="22"/>
        </w:rPr>
        <w:t>takes into account</w:t>
      </w:r>
      <w:proofErr w:type="gramEnd"/>
      <w:r w:rsidRPr="00FA4DC7">
        <w:rPr>
          <w:rFonts w:cs="Arial"/>
          <w:color w:val="009999"/>
          <w:sz w:val="22"/>
          <w:szCs w:val="22"/>
        </w:rPr>
        <w:t xml:space="preserve"> the particular instructions and requirements of our client. It is not intended for and should not be relied upon by any third party and no responsibility is undertaken to any third party.</w:t>
      </w:r>
    </w:p>
    <w:p w14:paraId="30E71083" w14:textId="77777777" w:rsidR="00CE1BDB" w:rsidRPr="00FA4DC7" w:rsidRDefault="00CE1BDB" w:rsidP="00CE1BDB">
      <w:pPr>
        <w:tabs>
          <w:tab w:val="left" w:pos="0"/>
          <w:tab w:val="left" w:pos="709"/>
          <w:tab w:val="left" w:pos="1418"/>
          <w:tab w:val="right" w:pos="9214"/>
          <w:tab w:val="right" w:leader="dot" w:pos="9356"/>
        </w:tabs>
        <w:ind w:right="-2"/>
        <w:rPr>
          <w:rFonts w:cs="Arial"/>
          <w:color w:val="009999"/>
          <w:sz w:val="22"/>
          <w:szCs w:val="22"/>
        </w:rPr>
      </w:pPr>
      <w:r w:rsidRPr="00FA4DC7">
        <w:rPr>
          <w:rFonts w:cs="Arial"/>
          <w:color w:val="009999"/>
          <w:sz w:val="22"/>
          <w:szCs w:val="22"/>
        </w:rPr>
        <w:t>arc</w:t>
      </w:r>
      <w:r w:rsidRPr="00FA4DC7">
        <w:rPr>
          <w:rFonts w:cs="Arial"/>
          <w:color w:val="009999"/>
          <w:sz w:val="22"/>
          <w:szCs w:val="22"/>
          <w:vertAlign w:val="superscript"/>
        </w:rPr>
        <w:t xml:space="preserve">4 </w:t>
      </w:r>
      <w:r w:rsidRPr="00FA4DC7">
        <w:rPr>
          <w:rFonts w:cs="Arial"/>
          <w:color w:val="009999"/>
          <w:sz w:val="22"/>
          <w:szCs w:val="22"/>
        </w:rPr>
        <w:t xml:space="preserve">Limited accepts no responsibility or liability for, and makes no representation or warranty with respect to, the accuracy or completeness of any </w:t>
      </w:r>
      <w:proofErr w:type="gramStart"/>
      <w:r w:rsidRPr="00FA4DC7">
        <w:rPr>
          <w:rFonts w:cs="Arial"/>
          <w:color w:val="009999"/>
          <w:sz w:val="22"/>
          <w:szCs w:val="22"/>
        </w:rPr>
        <w:t>third party</w:t>
      </w:r>
      <w:proofErr w:type="gramEnd"/>
      <w:r w:rsidRPr="00FA4DC7">
        <w:rPr>
          <w:rFonts w:cs="Arial"/>
          <w:color w:val="009999"/>
          <w:sz w:val="22"/>
          <w:szCs w:val="22"/>
        </w:rPr>
        <w:t xml:space="preserve"> information (including data) that is contained in this document.</w:t>
      </w:r>
    </w:p>
    <w:p w14:paraId="2B713554" w14:textId="77777777" w:rsidR="00CE1BDB" w:rsidRPr="00FA4DC7" w:rsidRDefault="00CE1BDB" w:rsidP="00CE1BDB">
      <w:pPr>
        <w:tabs>
          <w:tab w:val="left" w:pos="0"/>
          <w:tab w:val="left" w:pos="709"/>
          <w:tab w:val="left" w:pos="1418"/>
          <w:tab w:val="right" w:pos="9214"/>
          <w:tab w:val="right" w:leader="dot" w:pos="9356"/>
        </w:tabs>
        <w:ind w:right="-2"/>
        <w:rPr>
          <w:rFonts w:cs="Arial"/>
          <w:color w:val="009999"/>
          <w:sz w:val="22"/>
          <w:szCs w:val="22"/>
        </w:rPr>
      </w:pPr>
    </w:p>
    <w:p w14:paraId="311792C9" w14:textId="77777777" w:rsidR="00CE1BDB" w:rsidRPr="00FA4DC7" w:rsidRDefault="00CE1BDB" w:rsidP="00CE1BDB">
      <w:pPr>
        <w:tabs>
          <w:tab w:val="left" w:pos="0"/>
          <w:tab w:val="left" w:pos="709"/>
          <w:tab w:val="left" w:pos="1418"/>
          <w:tab w:val="right" w:pos="9214"/>
          <w:tab w:val="right" w:leader="dot" w:pos="9356"/>
        </w:tabs>
        <w:ind w:right="-2"/>
        <w:rPr>
          <w:rFonts w:cs="Arial"/>
          <w:color w:val="009999"/>
          <w:sz w:val="22"/>
          <w:szCs w:val="22"/>
        </w:rPr>
      </w:pPr>
    </w:p>
    <w:p w14:paraId="7066F67E" w14:textId="77777777" w:rsidR="00CE1BDB" w:rsidRPr="00FA4DC7" w:rsidRDefault="00CE1BDB" w:rsidP="00CE1BDB">
      <w:pPr>
        <w:tabs>
          <w:tab w:val="left" w:pos="0"/>
          <w:tab w:val="left" w:pos="709"/>
          <w:tab w:val="left" w:pos="1418"/>
          <w:tab w:val="right" w:pos="9214"/>
          <w:tab w:val="right" w:leader="dot" w:pos="9356"/>
        </w:tabs>
        <w:jc w:val="center"/>
        <w:rPr>
          <w:rFonts w:cs="Arial"/>
          <w:color w:val="009999"/>
          <w:sz w:val="22"/>
          <w:szCs w:val="22"/>
        </w:rPr>
      </w:pPr>
      <w:r w:rsidRPr="00FA4DC7">
        <w:rPr>
          <w:rFonts w:cs="Arial"/>
          <w:color w:val="009999"/>
          <w:sz w:val="22"/>
          <w:szCs w:val="22"/>
        </w:rPr>
        <w:t>Registered Address: arc4, 41 Clarendon Road, Sale, Manchester, M33 2DY</w:t>
      </w:r>
    </w:p>
    <w:p w14:paraId="390B38EF" w14:textId="77777777" w:rsidR="00CE1BDB" w:rsidRPr="00FA4DC7" w:rsidRDefault="00CE1BDB" w:rsidP="00CE1BDB">
      <w:pPr>
        <w:tabs>
          <w:tab w:val="left" w:pos="0"/>
          <w:tab w:val="left" w:pos="709"/>
          <w:tab w:val="left" w:pos="1418"/>
          <w:tab w:val="right" w:pos="9214"/>
          <w:tab w:val="right" w:leader="dot" w:pos="9356"/>
        </w:tabs>
        <w:jc w:val="center"/>
        <w:rPr>
          <w:rFonts w:cs="Arial"/>
          <w:color w:val="009999"/>
          <w:sz w:val="22"/>
          <w:szCs w:val="22"/>
        </w:rPr>
      </w:pPr>
      <w:r w:rsidRPr="00FA4DC7">
        <w:rPr>
          <w:rFonts w:cs="Arial"/>
          <w:color w:val="009999"/>
          <w:sz w:val="22"/>
          <w:szCs w:val="22"/>
        </w:rPr>
        <w:t xml:space="preserve">Email: </w:t>
      </w:r>
      <w:hyperlink r:id="rId14" w:history="1">
        <w:r w:rsidRPr="00FA4DC7">
          <w:rPr>
            <w:rStyle w:val="Hyperlink"/>
            <w:rFonts w:cs="Arial"/>
            <w:sz w:val="22"/>
            <w:szCs w:val="22"/>
          </w:rPr>
          <w:t>businessteam@arc4.co.uk</w:t>
        </w:r>
      </w:hyperlink>
      <w:r w:rsidRPr="00FA4DC7">
        <w:rPr>
          <w:rFonts w:cs="Arial"/>
          <w:color w:val="009999"/>
          <w:sz w:val="22"/>
          <w:szCs w:val="22"/>
        </w:rPr>
        <w:t xml:space="preserve">     Web: </w:t>
      </w:r>
      <w:hyperlink r:id="rId15" w:history="1">
        <w:r w:rsidRPr="00FA4DC7">
          <w:rPr>
            <w:rStyle w:val="Hyperlink"/>
            <w:rFonts w:cs="Arial"/>
            <w:sz w:val="22"/>
            <w:szCs w:val="22"/>
          </w:rPr>
          <w:t>www.arc4.co.uk</w:t>
        </w:r>
      </w:hyperlink>
    </w:p>
    <w:p w14:paraId="7E93F7B8" w14:textId="77777777" w:rsidR="00CE1BDB" w:rsidRPr="00FA4DC7" w:rsidRDefault="00CE1BDB" w:rsidP="00CE1BDB">
      <w:pPr>
        <w:tabs>
          <w:tab w:val="left" w:pos="0"/>
          <w:tab w:val="left" w:pos="709"/>
          <w:tab w:val="left" w:pos="1418"/>
          <w:tab w:val="right" w:pos="9214"/>
          <w:tab w:val="right" w:leader="dot" w:pos="9356"/>
        </w:tabs>
        <w:jc w:val="center"/>
        <w:rPr>
          <w:rFonts w:cs="Arial"/>
          <w:color w:val="009999"/>
          <w:sz w:val="22"/>
          <w:szCs w:val="22"/>
        </w:rPr>
      </w:pPr>
      <w:r w:rsidRPr="00FA4DC7">
        <w:rPr>
          <w:rFonts w:cs="Arial"/>
          <w:color w:val="009999"/>
          <w:sz w:val="22"/>
          <w:szCs w:val="22"/>
        </w:rPr>
        <w:t>arc4 Limited, Registered in England &amp; Wales 6205180   VAT Registration No: 909 9814 77</w:t>
      </w:r>
    </w:p>
    <w:p w14:paraId="0D935851" w14:textId="77777777" w:rsidR="00CE1BDB" w:rsidRPr="00FA4DC7" w:rsidRDefault="00CE1BDB" w:rsidP="00CE1BDB">
      <w:pPr>
        <w:tabs>
          <w:tab w:val="left" w:pos="0"/>
          <w:tab w:val="left" w:pos="709"/>
          <w:tab w:val="left" w:pos="1418"/>
          <w:tab w:val="right" w:pos="9214"/>
          <w:tab w:val="right" w:leader="dot" w:pos="9356"/>
        </w:tabs>
        <w:jc w:val="center"/>
        <w:rPr>
          <w:rFonts w:cs="Arial"/>
          <w:color w:val="009999"/>
          <w:sz w:val="22"/>
          <w:szCs w:val="22"/>
        </w:rPr>
      </w:pPr>
      <w:r w:rsidRPr="00FA4DC7">
        <w:rPr>
          <w:rFonts w:cs="Arial"/>
          <w:color w:val="009999"/>
          <w:sz w:val="22"/>
          <w:szCs w:val="22"/>
        </w:rPr>
        <w:t xml:space="preserve">Directors Helen </w:t>
      </w:r>
      <w:proofErr w:type="spellStart"/>
      <w:r w:rsidRPr="00FA4DC7">
        <w:rPr>
          <w:rFonts w:cs="Arial"/>
          <w:color w:val="009999"/>
          <w:sz w:val="22"/>
          <w:szCs w:val="22"/>
        </w:rPr>
        <w:t>Brzozowski</w:t>
      </w:r>
      <w:proofErr w:type="spellEnd"/>
      <w:r w:rsidRPr="00FA4DC7">
        <w:rPr>
          <w:rFonts w:cs="Arial"/>
          <w:color w:val="009999"/>
          <w:sz w:val="22"/>
          <w:szCs w:val="22"/>
        </w:rPr>
        <w:t xml:space="preserve"> and Michael Bullock</w:t>
      </w:r>
    </w:p>
    <w:p w14:paraId="68AFC250" w14:textId="77777777" w:rsidR="00CE1BDB" w:rsidRPr="00FA4DC7" w:rsidRDefault="00CE1BDB" w:rsidP="00CE1BDB">
      <w:pPr>
        <w:rPr>
          <w:rFonts w:cs="Arial"/>
          <w:color w:val="009999"/>
          <w:sz w:val="22"/>
          <w:szCs w:val="22"/>
        </w:rPr>
      </w:pPr>
      <w:r w:rsidRPr="00FA4DC7">
        <w:rPr>
          <w:rFonts w:cs="Arial"/>
          <w:color w:val="009999"/>
          <w:sz w:val="22"/>
          <w:szCs w:val="22"/>
        </w:rPr>
        <w:br w:type="page"/>
      </w:r>
    </w:p>
    <w:p w14:paraId="39BE5B51" w14:textId="77777777" w:rsidR="00CE1BDB" w:rsidRPr="00FA4DC7" w:rsidRDefault="00CE1BDB" w:rsidP="00CE1BDB">
      <w:pPr>
        <w:pStyle w:val="Heading1"/>
        <w:numPr>
          <w:ilvl w:val="0"/>
          <w:numId w:val="0"/>
        </w:numPr>
        <w:tabs>
          <w:tab w:val="left" w:pos="0"/>
          <w:tab w:val="left" w:pos="709"/>
          <w:tab w:val="left" w:pos="1418"/>
        </w:tabs>
        <w:rPr>
          <w:rFonts w:cs="Arial"/>
        </w:rPr>
      </w:pPr>
      <w:bookmarkStart w:id="2" w:name="_Toc399864307"/>
      <w:bookmarkStart w:id="3" w:name="_Toc428528451"/>
      <w:bookmarkStart w:id="4" w:name="_Toc430084543"/>
      <w:bookmarkStart w:id="5" w:name="_Toc430781998"/>
      <w:bookmarkStart w:id="6" w:name="_Toc529651956"/>
      <w:bookmarkStart w:id="7" w:name="_Toc7683250"/>
      <w:bookmarkStart w:id="8" w:name="_Toc83035624"/>
      <w:bookmarkEnd w:id="1"/>
      <w:r w:rsidRPr="00FA4DC7">
        <w:rPr>
          <w:rFonts w:cs="Arial"/>
        </w:rPr>
        <w:lastRenderedPageBreak/>
        <w:t>Executive Summary</w:t>
      </w:r>
      <w:bookmarkEnd w:id="2"/>
      <w:bookmarkEnd w:id="3"/>
      <w:bookmarkEnd w:id="4"/>
      <w:bookmarkEnd w:id="5"/>
      <w:bookmarkEnd w:id="6"/>
      <w:bookmarkEnd w:id="7"/>
      <w:bookmarkEnd w:id="8"/>
    </w:p>
    <w:p w14:paraId="56C20D9D" w14:textId="77777777" w:rsidR="00CE1BDB" w:rsidRPr="00FA4DC7" w:rsidRDefault="00CE1BDB" w:rsidP="00CE1BDB">
      <w:pPr>
        <w:pStyle w:val="Heading2"/>
        <w:tabs>
          <w:tab w:val="left" w:pos="0"/>
          <w:tab w:val="left" w:pos="709"/>
          <w:tab w:val="left" w:pos="1418"/>
        </w:tabs>
        <w:ind w:left="720"/>
        <w:rPr>
          <w:rFonts w:cs="Arial"/>
        </w:rPr>
      </w:pPr>
      <w:bookmarkStart w:id="9" w:name="_Toc19198463"/>
      <w:bookmarkStart w:id="10" w:name="_Toc56186755"/>
      <w:bookmarkStart w:id="11" w:name="_Toc56517411"/>
      <w:bookmarkStart w:id="12" w:name="_Toc81317309"/>
      <w:bookmarkStart w:id="13" w:name="_Toc83035625"/>
      <w:bookmarkStart w:id="14" w:name="_Toc360192555"/>
      <w:bookmarkStart w:id="15" w:name="_Toc399864308"/>
      <w:bookmarkStart w:id="16" w:name="_Toc285286520"/>
      <w:bookmarkStart w:id="17" w:name="_Toc428528452"/>
      <w:bookmarkStart w:id="18" w:name="_Toc430084544"/>
      <w:bookmarkStart w:id="19" w:name="_Toc430781999"/>
      <w:bookmarkStart w:id="20" w:name="_Toc305277785"/>
      <w:bookmarkStart w:id="21" w:name="_Toc432599011"/>
      <w:bookmarkStart w:id="22" w:name="_Toc319240011"/>
      <w:bookmarkStart w:id="23" w:name="_Toc482784867"/>
      <w:bookmarkStart w:id="24" w:name="_Toc359601833"/>
      <w:bookmarkStart w:id="25" w:name="_Toc517370598"/>
      <w:bookmarkStart w:id="26" w:name="_Toc391314042"/>
      <w:bookmarkStart w:id="27" w:name="_Toc400831621"/>
      <w:bookmarkStart w:id="28" w:name="_Toc529651957"/>
      <w:bookmarkStart w:id="29" w:name="_Toc529739237"/>
      <w:bookmarkStart w:id="30" w:name="_Toc529780720"/>
      <w:bookmarkStart w:id="31" w:name="_Toc531973714"/>
      <w:r w:rsidRPr="00FA4DC7">
        <w:rPr>
          <w:rFonts w:cs="Arial"/>
        </w:rPr>
        <w:t>Introduction</w:t>
      </w:r>
      <w:bookmarkEnd w:id="9"/>
      <w:bookmarkEnd w:id="10"/>
      <w:bookmarkEnd w:id="11"/>
      <w:bookmarkEnd w:id="12"/>
      <w:bookmarkEnd w:id="13"/>
    </w:p>
    <w:p w14:paraId="6D911C0B" w14:textId="77777777" w:rsidR="00CE1BDB" w:rsidRPr="00FA4DC7" w:rsidRDefault="00CE1BDB" w:rsidP="00CE1BDB">
      <w:pPr>
        <w:tabs>
          <w:tab w:val="left" w:pos="0"/>
          <w:tab w:val="left" w:pos="709"/>
          <w:tab w:val="left" w:pos="1418"/>
        </w:tabs>
        <w:rPr>
          <w:rFonts w:cs="Arial"/>
        </w:rPr>
      </w:pPr>
      <w:r w:rsidRPr="00FA4DC7">
        <w:rPr>
          <w:rFonts w:cs="Arial"/>
        </w:rPr>
        <w:t xml:space="preserve">The Medway Local Housing Needs Assessment (LNHA) 2021 provides up to date evidence to inform the strategies, policies and decisions of the council and its partners. </w:t>
      </w:r>
    </w:p>
    <w:p w14:paraId="72EDD44B" w14:textId="77777777" w:rsidR="00CE1BDB" w:rsidRPr="00FA4DC7" w:rsidRDefault="00CE1BDB" w:rsidP="00CE1BDB">
      <w:pPr>
        <w:tabs>
          <w:tab w:val="left" w:pos="0"/>
          <w:tab w:val="left" w:pos="709"/>
          <w:tab w:val="left" w:pos="1418"/>
        </w:tabs>
        <w:rPr>
          <w:rFonts w:cs="Arial"/>
        </w:rPr>
      </w:pPr>
    </w:p>
    <w:p w14:paraId="28F63CA8" w14:textId="77777777" w:rsidR="00CE1BDB" w:rsidRPr="00FA4DC7" w:rsidRDefault="00CE1BDB" w:rsidP="00CE1BDB">
      <w:pPr>
        <w:tabs>
          <w:tab w:val="left" w:pos="0"/>
          <w:tab w:val="left" w:pos="709"/>
          <w:tab w:val="left" w:pos="1418"/>
        </w:tabs>
        <w:rPr>
          <w:rFonts w:cs="Arial"/>
        </w:rPr>
      </w:pPr>
      <w:r w:rsidRPr="00FA4DC7">
        <w:rPr>
          <w:rFonts w:cs="Arial"/>
        </w:rPr>
        <w:t xml:space="preserve">The overarching aim of the study is to inform the production and review of the Local Plan and housing strategies by providing robust evidence of the housing needs of Medway. The evidence may also be used as a measurement on which five-year housing land supply and Housing Delivery Test calculations are based. </w:t>
      </w:r>
    </w:p>
    <w:p w14:paraId="0981B2CE" w14:textId="77777777" w:rsidR="00CE1BDB" w:rsidRPr="00FA4DC7" w:rsidRDefault="00CE1BDB" w:rsidP="00CE1BDB">
      <w:pPr>
        <w:tabs>
          <w:tab w:val="left" w:pos="0"/>
          <w:tab w:val="left" w:pos="709"/>
          <w:tab w:val="left" w:pos="1418"/>
        </w:tabs>
        <w:rPr>
          <w:rFonts w:cs="Arial"/>
        </w:rPr>
      </w:pPr>
    </w:p>
    <w:p w14:paraId="4FB53E09" w14:textId="77777777" w:rsidR="00CE1BDB" w:rsidRPr="00FA4DC7" w:rsidRDefault="00CE1BDB" w:rsidP="00CE1BDB">
      <w:pPr>
        <w:tabs>
          <w:tab w:val="left" w:pos="0"/>
          <w:tab w:val="left" w:pos="709"/>
          <w:tab w:val="left" w:pos="1418"/>
        </w:tabs>
        <w:rPr>
          <w:rFonts w:cs="Arial"/>
        </w:rPr>
      </w:pPr>
      <w:r w:rsidRPr="00FA4DC7">
        <w:rPr>
          <w:rFonts w:cs="Arial"/>
        </w:rPr>
        <w:t>The assessment considers future housing need across all sections of the community over the period 2021 to 2037 and to 2040.</w:t>
      </w:r>
    </w:p>
    <w:p w14:paraId="7719B7C2" w14:textId="77777777" w:rsidR="00CE1BDB" w:rsidRPr="00FA4DC7" w:rsidRDefault="00CE1BDB" w:rsidP="00CE1BDB">
      <w:pPr>
        <w:pStyle w:val="Maintext"/>
        <w:numPr>
          <w:ilvl w:val="0"/>
          <w:numId w:val="0"/>
        </w:numPr>
        <w:tabs>
          <w:tab w:val="left" w:pos="0"/>
          <w:tab w:val="left" w:pos="709"/>
          <w:tab w:val="left" w:pos="1418"/>
        </w:tabs>
        <w:rPr>
          <w:rFonts w:ascii="Arial" w:hAnsi="Arial" w:cs="Arial"/>
        </w:rPr>
      </w:pPr>
      <w:r w:rsidRPr="00FA4DC7">
        <w:rPr>
          <w:rFonts w:ascii="Arial" w:hAnsi="Arial" w:cs="Arial"/>
        </w:rPr>
        <w:t xml:space="preserve">The LNHA has been prepared in accordance with the National Planning Policy Framework (NPPF) and associated Planning Practice Guidance (PPG). </w:t>
      </w:r>
    </w:p>
    <w:p w14:paraId="30AB7B2C" w14:textId="77777777" w:rsidR="00CE1BDB" w:rsidRPr="00FA4DC7" w:rsidRDefault="00CE1BDB" w:rsidP="00CE1BDB">
      <w:pPr>
        <w:pStyle w:val="Maintext"/>
        <w:numPr>
          <w:ilvl w:val="0"/>
          <w:numId w:val="0"/>
        </w:numPr>
        <w:tabs>
          <w:tab w:val="left" w:pos="0"/>
          <w:tab w:val="left" w:pos="709"/>
          <w:tab w:val="left" w:pos="1418"/>
        </w:tabs>
        <w:rPr>
          <w:rFonts w:ascii="Arial" w:hAnsi="Arial" w:cs="Arial"/>
        </w:rPr>
      </w:pPr>
      <w:r w:rsidRPr="00FA4DC7">
        <w:rPr>
          <w:rFonts w:ascii="Arial" w:hAnsi="Arial" w:cs="Arial"/>
        </w:rPr>
        <w:t xml:space="preserve">This report has been prepared during the COVID-19 pandemic. The impact this may have on population projections, the economy and dwelling need will emerge in due course.  </w:t>
      </w:r>
    </w:p>
    <w:p w14:paraId="3DA11DD4" w14:textId="77777777" w:rsidR="00CE1BDB" w:rsidRPr="00FA4DC7" w:rsidRDefault="00CE1BDB" w:rsidP="00CE1BDB">
      <w:pPr>
        <w:tabs>
          <w:tab w:val="left" w:pos="0"/>
          <w:tab w:val="left" w:pos="709"/>
          <w:tab w:val="left" w:pos="1418"/>
        </w:tabs>
        <w:rPr>
          <w:rFonts w:cs="Arial"/>
          <w:highlight w:val="yellow"/>
        </w:rPr>
      </w:pPr>
    </w:p>
    <w:p w14:paraId="6902157F" w14:textId="77777777" w:rsidR="00CE1BDB" w:rsidRPr="00FA4DC7" w:rsidRDefault="00CE1BDB" w:rsidP="00CE1BDB">
      <w:pPr>
        <w:pStyle w:val="Heading2"/>
        <w:ind w:left="0" w:firstLine="0"/>
        <w:rPr>
          <w:rFonts w:cs="Arial"/>
        </w:rPr>
      </w:pPr>
      <w:bookmarkStart w:id="32" w:name="_Toc56186756"/>
      <w:bookmarkStart w:id="33" w:name="_Toc56517412"/>
      <w:bookmarkStart w:id="34" w:name="_Toc81317310"/>
      <w:bookmarkStart w:id="35" w:name="_Toc83035626"/>
      <w:r w:rsidRPr="00FA4DC7">
        <w:rPr>
          <w:rFonts w:cs="Arial"/>
        </w:rPr>
        <w:t>Dwelling stock</w:t>
      </w:r>
      <w:bookmarkEnd w:id="32"/>
      <w:bookmarkEnd w:id="33"/>
      <w:bookmarkEnd w:id="34"/>
      <w:bookmarkEnd w:id="35"/>
    </w:p>
    <w:p w14:paraId="0FFF8DEB" w14:textId="77777777" w:rsidR="00CE1BDB" w:rsidRPr="00FA4DC7" w:rsidRDefault="00CE1BDB" w:rsidP="00CE1BDB">
      <w:pPr>
        <w:pStyle w:val="Reporttext"/>
        <w:numPr>
          <w:ilvl w:val="1"/>
          <w:numId w:val="0"/>
        </w:numPr>
        <w:tabs>
          <w:tab w:val="left" w:pos="1418"/>
        </w:tabs>
        <w:rPr>
          <w:rFonts w:cs="Arial"/>
        </w:rPr>
      </w:pPr>
      <w:r w:rsidRPr="00FA4DC7">
        <w:rPr>
          <w:rFonts w:cs="Arial"/>
        </w:rPr>
        <w:t xml:space="preserve">There are 116,287 dwellings and 112,443 households across the borough in 2020. The vacancy rate is 3.3% which is higher than the rate for England (2.7%). Most dwellings are houses (75.8%), 17.7% are flats and 6.5% bungalows. 67.7% of households are owner occupiers, 18.1% privately rent and 14.2% live in affordable housing. There are around 1,344 affordable home ownership properties in Medway. </w:t>
      </w:r>
    </w:p>
    <w:p w14:paraId="59F42F9C" w14:textId="77777777" w:rsidR="00CE1BDB" w:rsidRPr="00FA4DC7" w:rsidRDefault="00CE1BDB" w:rsidP="00CE1BDB">
      <w:pPr>
        <w:tabs>
          <w:tab w:val="left" w:pos="0"/>
          <w:tab w:val="left" w:pos="709"/>
          <w:tab w:val="left" w:pos="1418"/>
        </w:tabs>
        <w:rPr>
          <w:rFonts w:cs="Arial"/>
          <w:highlight w:val="yellow"/>
        </w:rPr>
      </w:pPr>
    </w:p>
    <w:p w14:paraId="07D35934" w14:textId="77777777" w:rsidR="00CE1BDB" w:rsidRPr="00FA4DC7" w:rsidRDefault="00CE1BDB" w:rsidP="00CE1BDB">
      <w:pPr>
        <w:pStyle w:val="Heading2"/>
        <w:ind w:left="0" w:firstLine="0"/>
        <w:rPr>
          <w:rFonts w:cs="Arial"/>
        </w:rPr>
      </w:pPr>
      <w:bookmarkStart w:id="36" w:name="_Toc56186757"/>
      <w:bookmarkStart w:id="37" w:name="_Toc56517413"/>
      <w:bookmarkStart w:id="38" w:name="_Toc81317311"/>
      <w:bookmarkStart w:id="39" w:name="_Toc83035627"/>
      <w:r w:rsidRPr="00FA4DC7">
        <w:rPr>
          <w:rFonts w:cs="Arial"/>
        </w:rPr>
        <w:t>House prices and rents</w:t>
      </w:r>
      <w:bookmarkEnd w:id="36"/>
      <w:bookmarkEnd w:id="37"/>
      <w:bookmarkEnd w:id="38"/>
      <w:bookmarkEnd w:id="39"/>
    </w:p>
    <w:p w14:paraId="5211D816" w14:textId="77777777" w:rsidR="00CE1BDB" w:rsidRPr="00FA4DC7" w:rsidRDefault="00CE1BDB" w:rsidP="00CE1BDB">
      <w:pPr>
        <w:pStyle w:val="Maintext"/>
        <w:numPr>
          <w:ilvl w:val="1"/>
          <w:numId w:val="0"/>
        </w:numPr>
        <w:shd w:val="clear" w:color="auto" w:fill="FFFFFF" w:themeFill="background1"/>
        <w:tabs>
          <w:tab w:val="left" w:pos="0"/>
          <w:tab w:val="left" w:pos="709"/>
          <w:tab w:val="left" w:pos="1418"/>
        </w:tabs>
        <w:rPr>
          <w:rFonts w:ascii="Arial" w:hAnsi="Arial" w:cs="Arial"/>
        </w:rPr>
      </w:pPr>
      <w:r w:rsidRPr="00FA4DC7">
        <w:rPr>
          <w:rFonts w:ascii="Arial" w:hAnsi="Arial" w:cs="Arial"/>
        </w:rPr>
        <w:t>In 2020, lower quartile prices were £207,000 (</w:t>
      </w:r>
      <w:proofErr w:type="gramStart"/>
      <w:r w:rsidRPr="00FA4DC7">
        <w:rPr>
          <w:rFonts w:ascii="Arial" w:hAnsi="Arial" w:cs="Arial"/>
        </w:rPr>
        <w:t>South East</w:t>
      </w:r>
      <w:proofErr w:type="gramEnd"/>
      <w:r w:rsidRPr="00FA4DC7">
        <w:rPr>
          <w:rFonts w:ascii="Arial" w:hAnsi="Arial" w:cs="Arial"/>
        </w:rPr>
        <w:t xml:space="preserve"> £245,000 and England £164,000) and median prices were £250,000 (South East £327,500 and England £249,000). </w:t>
      </w:r>
    </w:p>
    <w:p w14:paraId="119BA6AD" w14:textId="77777777" w:rsidR="00CE1BDB" w:rsidRPr="00FA4DC7" w:rsidRDefault="00CE1BDB" w:rsidP="00CE1BDB">
      <w:pPr>
        <w:pStyle w:val="Maintext"/>
        <w:numPr>
          <w:ilvl w:val="1"/>
          <w:numId w:val="0"/>
        </w:numPr>
        <w:shd w:val="clear" w:color="auto" w:fill="FFFFFF" w:themeFill="background1"/>
        <w:tabs>
          <w:tab w:val="left" w:pos="0"/>
          <w:tab w:val="left" w:pos="709"/>
          <w:tab w:val="left" w:pos="1418"/>
        </w:tabs>
        <w:rPr>
          <w:rFonts w:ascii="Arial" w:hAnsi="Arial" w:cs="Arial"/>
        </w:rPr>
      </w:pPr>
      <w:r w:rsidRPr="00FA4DC7">
        <w:rPr>
          <w:rFonts w:ascii="Arial" w:hAnsi="Arial" w:cs="Arial"/>
        </w:rPr>
        <w:t>In 2020, lower quartile private rents were £724 each month (£793 South East and £724 England) and median rents were £871 (</w:t>
      </w:r>
      <w:proofErr w:type="gramStart"/>
      <w:r w:rsidRPr="00FA4DC7">
        <w:rPr>
          <w:rFonts w:ascii="Arial" w:hAnsi="Arial" w:cs="Arial"/>
        </w:rPr>
        <w:t>South East</w:t>
      </w:r>
      <w:proofErr w:type="gramEnd"/>
      <w:r w:rsidRPr="00FA4DC7">
        <w:rPr>
          <w:rFonts w:ascii="Arial" w:hAnsi="Arial" w:cs="Arial"/>
        </w:rPr>
        <w:t xml:space="preserve"> £1,001and England £1,148).</w:t>
      </w:r>
    </w:p>
    <w:p w14:paraId="1B55F6CB" w14:textId="77777777" w:rsidR="00CE1BDB" w:rsidRPr="00FA4DC7" w:rsidRDefault="00CE1BDB" w:rsidP="00CE1BDB">
      <w:pPr>
        <w:pStyle w:val="Maintext"/>
        <w:numPr>
          <w:ilvl w:val="1"/>
          <w:numId w:val="0"/>
        </w:numPr>
        <w:shd w:val="clear" w:color="auto" w:fill="FFFFFF" w:themeFill="background1"/>
        <w:tabs>
          <w:tab w:val="left" w:pos="0"/>
          <w:tab w:val="left" w:pos="709"/>
          <w:tab w:val="left" w:pos="1418"/>
        </w:tabs>
        <w:rPr>
          <w:rFonts w:ascii="Arial" w:hAnsi="Arial" w:cs="Arial"/>
          <w:highlight w:val="yellow"/>
        </w:rPr>
      </w:pPr>
    </w:p>
    <w:p w14:paraId="4BE98936" w14:textId="77777777" w:rsidR="00CE1BDB" w:rsidRPr="00FA4DC7" w:rsidRDefault="00CE1BDB" w:rsidP="00CE1BDB">
      <w:pPr>
        <w:pStyle w:val="Heading2"/>
        <w:ind w:left="0" w:firstLine="0"/>
        <w:rPr>
          <w:rFonts w:cs="Arial"/>
        </w:rPr>
      </w:pPr>
      <w:bookmarkStart w:id="40" w:name="_Toc56186758"/>
      <w:bookmarkStart w:id="41" w:name="_Toc56517414"/>
      <w:bookmarkStart w:id="42" w:name="_Toc81317312"/>
      <w:bookmarkStart w:id="43" w:name="_Toc83035628"/>
      <w:r w:rsidRPr="00FA4DC7">
        <w:rPr>
          <w:rFonts w:cs="Arial"/>
        </w:rPr>
        <w:t>Future dwelling mix and development priorities</w:t>
      </w:r>
      <w:bookmarkEnd w:id="40"/>
      <w:bookmarkEnd w:id="41"/>
      <w:bookmarkEnd w:id="42"/>
      <w:bookmarkEnd w:id="43"/>
    </w:p>
    <w:p w14:paraId="5941B0AF" w14:textId="77777777" w:rsidR="00CE1BDB" w:rsidRPr="00FA4DC7" w:rsidRDefault="00CE1BDB" w:rsidP="00CE1BDB">
      <w:pPr>
        <w:pStyle w:val="Reporttext"/>
        <w:numPr>
          <w:ilvl w:val="0"/>
          <w:numId w:val="0"/>
        </w:numPr>
        <w:rPr>
          <w:rFonts w:cs="Arial"/>
        </w:rPr>
      </w:pPr>
      <w:r w:rsidRPr="00FA4DC7">
        <w:rPr>
          <w:rFonts w:cs="Arial"/>
        </w:rPr>
        <w:t xml:space="preserve">The LNHA has carefully considered the future population and household projections over the period 2021 to 2037 and 2021 to 2040, the range of dwellings lived in by different households and their dwelling aspirations (likes) and expectations. This helps to determine an appropriate mix of dwellings to inform future development priorities to better reflect the housing needs of communities across Medway. Modelling has </w:t>
      </w:r>
      <w:proofErr w:type="gramStart"/>
      <w:r w:rsidRPr="00FA4DC7">
        <w:rPr>
          <w:rFonts w:cs="Arial"/>
        </w:rPr>
        <w:t>taken into account</w:t>
      </w:r>
      <w:proofErr w:type="gramEnd"/>
      <w:r w:rsidRPr="00FA4DC7">
        <w:rPr>
          <w:rFonts w:cs="Arial"/>
        </w:rPr>
        <w:t xml:space="preserve"> the needs of younger (under 35) households to help meet their needs. </w:t>
      </w:r>
    </w:p>
    <w:p w14:paraId="48242222" w14:textId="77777777" w:rsidR="00CE1BDB" w:rsidRPr="00FA4DC7" w:rsidRDefault="00CE1BDB" w:rsidP="00CE1BDB">
      <w:pPr>
        <w:pStyle w:val="Reporttext"/>
        <w:numPr>
          <w:ilvl w:val="0"/>
          <w:numId w:val="0"/>
        </w:numPr>
        <w:rPr>
          <w:rFonts w:cs="Arial"/>
        </w:rPr>
      </w:pPr>
      <w:r w:rsidRPr="00FA4DC7">
        <w:rPr>
          <w:rFonts w:cs="Arial"/>
        </w:rPr>
        <w:t xml:space="preserve">Over the period 2010/11 to 2019/20 the total housing requirement has been 10,477: 815 in 2010/11, 1,000 each year between 2011/12 and 2018/19 and 1,662 in 2019/20. </w:t>
      </w:r>
      <w:r w:rsidRPr="00FA4DC7">
        <w:rPr>
          <w:rFonts w:cs="Arial"/>
        </w:rPr>
        <w:lastRenderedPageBreak/>
        <w:t xml:space="preserve">These annual targets are considerably below the 1,586 minimum housing need </w:t>
      </w:r>
      <w:proofErr w:type="gramStart"/>
      <w:r w:rsidRPr="00FA4DC7">
        <w:rPr>
          <w:rFonts w:cs="Arial"/>
        </w:rPr>
        <w:t>figure</w:t>
      </w:r>
      <w:proofErr w:type="gramEnd"/>
      <w:r w:rsidRPr="00FA4DC7">
        <w:rPr>
          <w:rFonts w:cs="Arial"/>
        </w:rPr>
        <w:t xml:space="preserve"> established through the ‘standard method’ for calculating minimum housing need as set out in December 2020 Planning Practice Guidance (PPG). </w:t>
      </w:r>
    </w:p>
    <w:p w14:paraId="2D3E5628" w14:textId="77777777" w:rsidR="00CE1BDB" w:rsidRPr="00FA4DC7" w:rsidRDefault="00CE1BDB" w:rsidP="00CE1BDB">
      <w:pPr>
        <w:pStyle w:val="Reporttext"/>
        <w:numPr>
          <w:ilvl w:val="0"/>
          <w:numId w:val="0"/>
        </w:numPr>
        <w:rPr>
          <w:rFonts w:cs="Arial"/>
        </w:rPr>
      </w:pPr>
      <w:r w:rsidRPr="00FA4DC7">
        <w:rPr>
          <w:rFonts w:cs="Arial"/>
        </w:rPr>
        <w:t xml:space="preserve">There is an annual need for 870 affordable homes each year across the borough which justifies the need for a robust affordable housing policy. This represents 55% of the overall housing need. An overall affordable tenure split for new affordable housing is 51% rented and 49% affordable home ownership including First Homes. </w:t>
      </w:r>
    </w:p>
    <w:p w14:paraId="4B7C1446" w14:textId="77777777" w:rsidR="00CE1BDB" w:rsidRPr="00FA4DC7" w:rsidRDefault="00CE1BDB" w:rsidP="00CE1BDB">
      <w:pPr>
        <w:pStyle w:val="Reporttext"/>
        <w:numPr>
          <w:ilvl w:val="0"/>
          <w:numId w:val="0"/>
        </w:numPr>
        <w:rPr>
          <w:rFonts w:cs="Arial"/>
        </w:rPr>
      </w:pPr>
      <w:r w:rsidRPr="00FA4DC7">
        <w:rPr>
          <w:rFonts w:cs="Arial"/>
        </w:rPr>
        <w:t xml:space="preserve">Given the level of affordable need, the forthcoming Local Plan needs a robust affordable housing policy setting out targets and tenure split which </w:t>
      </w:r>
      <w:proofErr w:type="gramStart"/>
      <w:r w:rsidRPr="00FA4DC7">
        <w:rPr>
          <w:rFonts w:cs="Arial"/>
        </w:rPr>
        <w:t>takes into account</w:t>
      </w:r>
      <w:proofErr w:type="gramEnd"/>
      <w:r w:rsidRPr="00FA4DC7">
        <w:rPr>
          <w:rFonts w:cs="Arial"/>
        </w:rPr>
        <w:t xml:space="preserve"> First Homes. The affordable housing policy will continue to support the ongoing delivery of affordable housing and diversify the affordable products available to local residents to reflect identified needs.</w:t>
      </w:r>
    </w:p>
    <w:p w14:paraId="72228FCD" w14:textId="5DFE84BF" w:rsidR="00CE1BDB" w:rsidRDefault="00CE1BDB" w:rsidP="00CE1BDB">
      <w:pPr>
        <w:pStyle w:val="Reporttext"/>
        <w:numPr>
          <w:ilvl w:val="0"/>
          <w:numId w:val="0"/>
        </w:numPr>
        <w:rPr>
          <w:rFonts w:cs="Arial"/>
        </w:rPr>
      </w:pPr>
      <w:r w:rsidRPr="00FA4DC7">
        <w:rPr>
          <w:rFonts w:cs="Arial"/>
        </w:rPr>
        <w:t>The overall dwelling mix recommendations by tenure are set out in Table ES1.</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825"/>
        <w:gridCol w:w="1272"/>
        <w:gridCol w:w="1417"/>
        <w:gridCol w:w="1416"/>
        <w:gridCol w:w="1250"/>
      </w:tblGrid>
      <w:tr w:rsidR="00FA21F6" w:rsidRPr="00FA4DC7" w14:paraId="6B38337F" w14:textId="77777777" w:rsidTr="00C75F28">
        <w:trPr>
          <w:trHeight w:val="253"/>
        </w:trPr>
        <w:tc>
          <w:tcPr>
            <w:tcW w:w="5000" w:type="pct"/>
            <w:gridSpan w:val="5"/>
            <w:shd w:val="clear" w:color="auto" w:fill="006666"/>
          </w:tcPr>
          <w:p w14:paraId="5097D0F5" w14:textId="29129C50" w:rsidR="00FA21F6" w:rsidRPr="00FA4DC7" w:rsidRDefault="00FA21F6" w:rsidP="00C75F28">
            <w:pPr>
              <w:pStyle w:val="Tableheading1"/>
            </w:pPr>
            <w:bookmarkStart w:id="44" w:name="_Toc83036051"/>
            <w:r w:rsidRPr="00FA4DC7">
              <w:t xml:space="preserve">Table ES1 </w:t>
            </w:r>
            <w:r>
              <w:tab/>
            </w:r>
            <w:r w:rsidRPr="00FA4DC7">
              <w:t>Summary of overall dwelling mix by tenure</w:t>
            </w:r>
            <w:bookmarkEnd w:id="44"/>
          </w:p>
        </w:tc>
      </w:tr>
      <w:tr w:rsidR="00FA21F6" w:rsidRPr="00FA4DC7" w14:paraId="09924EF4" w14:textId="77777777" w:rsidTr="00C75F28">
        <w:trPr>
          <w:trHeight w:val="253"/>
        </w:trPr>
        <w:tc>
          <w:tcPr>
            <w:tcW w:w="2083" w:type="pct"/>
            <w:shd w:val="clear" w:color="auto" w:fill="006666"/>
            <w:vAlign w:val="bottom"/>
            <w:hideMark/>
          </w:tcPr>
          <w:p w14:paraId="661C8FF0" w14:textId="77777777" w:rsidR="00FA21F6" w:rsidRPr="00FA4DC7" w:rsidRDefault="00FA21F6" w:rsidP="007F5D13">
            <w:pPr>
              <w:rPr>
                <w:rFonts w:cs="Arial"/>
                <w:b/>
                <w:bCs/>
                <w:color w:val="FFFFFF"/>
                <w:sz w:val="22"/>
                <w:szCs w:val="22"/>
              </w:rPr>
            </w:pPr>
            <w:r w:rsidRPr="00FA4DC7">
              <w:rPr>
                <w:rFonts w:cs="Arial"/>
                <w:b/>
                <w:bCs/>
                <w:color w:val="FFFFFF"/>
                <w:sz w:val="22"/>
                <w:szCs w:val="22"/>
              </w:rPr>
              <w:t>Dwelling type/size</w:t>
            </w:r>
          </w:p>
        </w:tc>
        <w:tc>
          <w:tcPr>
            <w:tcW w:w="693" w:type="pct"/>
            <w:shd w:val="clear" w:color="auto" w:fill="006666"/>
            <w:vAlign w:val="bottom"/>
          </w:tcPr>
          <w:p w14:paraId="70CACD51"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Market</w:t>
            </w:r>
          </w:p>
        </w:tc>
        <w:tc>
          <w:tcPr>
            <w:tcW w:w="772" w:type="pct"/>
            <w:shd w:val="clear" w:color="auto" w:fill="006666"/>
            <w:vAlign w:val="bottom"/>
          </w:tcPr>
          <w:p w14:paraId="2F33822E"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Affordable Rented</w:t>
            </w:r>
          </w:p>
        </w:tc>
        <w:tc>
          <w:tcPr>
            <w:tcW w:w="771" w:type="pct"/>
            <w:shd w:val="clear" w:color="auto" w:fill="006666"/>
            <w:vAlign w:val="bottom"/>
          </w:tcPr>
          <w:p w14:paraId="6615EBF6"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Affordable home ownership</w:t>
            </w:r>
          </w:p>
        </w:tc>
        <w:tc>
          <w:tcPr>
            <w:tcW w:w="680" w:type="pct"/>
            <w:shd w:val="clear" w:color="auto" w:fill="006666"/>
            <w:vAlign w:val="bottom"/>
          </w:tcPr>
          <w:p w14:paraId="720A209E"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Overall range</w:t>
            </w:r>
          </w:p>
        </w:tc>
      </w:tr>
      <w:tr w:rsidR="00FA21F6" w:rsidRPr="00FA4DC7" w14:paraId="730781F8" w14:textId="77777777" w:rsidTr="00C75F28">
        <w:tc>
          <w:tcPr>
            <w:tcW w:w="2083" w:type="pct"/>
            <w:shd w:val="clear" w:color="auto" w:fill="auto"/>
            <w:noWrap/>
            <w:vAlign w:val="center"/>
            <w:hideMark/>
          </w:tcPr>
          <w:p w14:paraId="4CEB9C5D" w14:textId="77777777" w:rsidR="00FA21F6" w:rsidRPr="00FA4DC7" w:rsidRDefault="00FA21F6" w:rsidP="007F5D13">
            <w:pPr>
              <w:rPr>
                <w:rFonts w:cs="Arial"/>
                <w:color w:val="000000"/>
                <w:sz w:val="22"/>
                <w:szCs w:val="22"/>
              </w:rPr>
            </w:pPr>
            <w:r w:rsidRPr="00FA4DC7">
              <w:rPr>
                <w:rFonts w:cs="Arial"/>
                <w:color w:val="000000"/>
                <w:sz w:val="22"/>
                <w:szCs w:val="22"/>
              </w:rPr>
              <w:t>1</w:t>
            </w:r>
            <w:r>
              <w:rPr>
                <w:rFonts w:cs="Arial"/>
                <w:color w:val="000000"/>
                <w:sz w:val="22"/>
                <w:szCs w:val="22"/>
              </w:rPr>
              <w:t>-</w:t>
            </w:r>
            <w:r w:rsidRPr="00FA4DC7">
              <w:rPr>
                <w:rFonts w:cs="Arial"/>
                <w:color w:val="000000"/>
                <w:sz w:val="22"/>
                <w:szCs w:val="22"/>
              </w:rPr>
              <w:t>bedroom house</w:t>
            </w:r>
          </w:p>
        </w:tc>
        <w:tc>
          <w:tcPr>
            <w:tcW w:w="693" w:type="pct"/>
            <w:vAlign w:val="center"/>
          </w:tcPr>
          <w:p w14:paraId="05DA7EB2" w14:textId="77777777" w:rsidR="00FA21F6" w:rsidRPr="00FA4DC7" w:rsidRDefault="00FA21F6" w:rsidP="00C75F28">
            <w:pPr>
              <w:jc w:val="right"/>
              <w:rPr>
                <w:rFonts w:cs="Arial"/>
                <w:color w:val="000000"/>
                <w:sz w:val="22"/>
                <w:szCs w:val="22"/>
              </w:rPr>
            </w:pPr>
            <w:r w:rsidRPr="00FA21F6">
              <w:rPr>
                <w:rFonts w:cs="Arial"/>
                <w:color w:val="000000"/>
                <w:sz w:val="22"/>
                <w:szCs w:val="22"/>
              </w:rPr>
              <w:t>0-2%</w:t>
            </w:r>
          </w:p>
        </w:tc>
        <w:tc>
          <w:tcPr>
            <w:tcW w:w="772" w:type="pct"/>
            <w:vAlign w:val="center"/>
          </w:tcPr>
          <w:p w14:paraId="2A3B1D26" w14:textId="77777777" w:rsidR="00FA21F6" w:rsidRPr="00FA4DC7" w:rsidRDefault="00FA21F6" w:rsidP="00C75F28">
            <w:pPr>
              <w:jc w:val="right"/>
              <w:rPr>
                <w:rFonts w:cs="Arial"/>
                <w:color w:val="000000"/>
                <w:sz w:val="22"/>
                <w:szCs w:val="22"/>
              </w:rPr>
            </w:pPr>
            <w:r w:rsidRPr="00FA21F6">
              <w:rPr>
                <w:rFonts w:cs="Arial"/>
                <w:color w:val="000000"/>
                <w:sz w:val="22"/>
                <w:szCs w:val="22"/>
              </w:rPr>
              <w:t>0-2%</w:t>
            </w:r>
          </w:p>
        </w:tc>
        <w:tc>
          <w:tcPr>
            <w:tcW w:w="771" w:type="pct"/>
            <w:vAlign w:val="center"/>
          </w:tcPr>
          <w:p w14:paraId="38DA1445" w14:textId="77777777" w:rsidR="00FA21F6" w:rsidRPr="00FA4DC7" w:rsidRDefault="00FA21F6" w:rsidP="00C75F28">
            <w:pPr>
              <w:jc w:val="right"/>
              <w:rPr>
                <w:rFonts w:cs="Arial"/>
                <w:color w:val="000000"/>
                <w:sz w:val="22"/>
                <w:szCs w:val="22"/>
              </w:rPr>
            </w:pPr>
            <w:r w:rsidRPr="00FA21F6">
              <w:rPr>
                <w:rFonts w:cs="Arial"/>
                <w:color w:val="000000"/>
                <w:sz w:val="22"/>
                <w:szCs w:val="22"/>
              </w:rPr>
              <w:t>0-5%</w:t>
            </w:r>
          </w:p>
        </w:tc>
        <w:tc>
          <w:tcPr>
            <w:tcW w:w="680" w:type="pct"/>
            <w:vAlign w:val="center"/>
          </w:tcPr>
          <w:p w14:paraId="21487043"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r>
      <w:tr w:rsidR="00FA21F6" w:rsidRPr="00FA4DC7" w14:paraId="1672DDC2" w14:textId="77777777" w:rsidTr="00C75F28">
        <w:tc>
          <w:tcPr>
            <w:tcW w:w="2083" w:type="pct"/>
            <w:shd w:val="clear" w:color="auto" w:fill="auto"/>
            <w:noWrap/>
            <w:vAlign w:val="center"/>
          </w:tcPr>
          <w:p w14:paraId="0211F9D0" w14:textId="77777777" w:rsidR="00FA21F6" w:rsidRPr="00FA4DC7" w:rsidRDefault="00FA21F6" w:rsidP="007F5D13">
            <w:pPr>
              <w:rPr>
                <w:rFonts w:cs="Arial"/>
                <w:color w:val="000000"/>
                <w:sz w:val="22"/>
                <w:szCs w:val="22"/>
              </w:rPr>
            </w:pPr>
            <w:r>
              <w:rPr>
                <w:rFonts w:cs="Arial"/>
                <w:color w:val="000000"/>
                <w:sz w:val="22"/>
                <w:szCs w:val="22"/>
              </w:rPr>
              <w:t>2-</w:t>
            </w:r>
            <w:r w:rsidRPr="00FA4DC7">
              <w:rPr>
                <w:rFonts w:cs="Arial"/>
                <w:color w:val="000000"/>
                <w:sz w:val="22"/>
                <w:szCs w:val="22"/>
              </w:rPr>
              <w:t>bedroom house</w:t>
            </w:r>
          </w:p>
        </w:tc>
        <w:tc>
          <w:tcPr>
            <w:tcW w:w="693" w:type="pct"/>
            <w:vAlign w:val="center"/>
          </w:tcPr>
          <w:p w14:paraId="06A957A3"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c>
          <w:tcPr>
            <w:tcW w:w="772" w:type="pct"/>
            <w:vAlign w:val="center"/>
          </w:tcPr>
          <w:p w14:paraId="2993CF1A" w14:textId="77777777" w:rsidR="00FA21F6" w:rsidRPr="00FA4DC7" w:rsidRDefault="00FA21F6" w:rsidP="00C75F28">
            <w:pPr>
              <w:jc w:val="right"/>
              <w:rPr>
                <w:rFonts w:cs="Arial"/>
                <w:color w:val="000000"/>
                <w:sz w:val="22"/>
                <w:szCs w:val="22"/>
              </w:rPr>
            </w:pPr>
            <w:r w:rsidRPr="00FA21F6">
              <w:rPr>
                <w:rFonts w:cs="Arial"/>
                <w:color w:val="000000"/>
                <w:sz w:val="22"/>
                <w:szCs w:val="22"/>
              </w:rPr>
              <w:t>5-10%</w:t>
            </w:r>
          </w:p>
        </w:tc>
        <w:tc>
          <w:tcPr>
            <w:tcW w:w="771" w:type="pct"/>
            <w:vAlign w:val="center"/>
          </w:tcPr>
          <w:p w14:paraId="267CDC79"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c>
          <w:tcPr>
            <w:tcW w:w="680" w:type="pct"/>
            <w:vAlign w:val="center"/>
          </w:tcPr>
          <w:p w14:paraId="1F22D5DA"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r>
      <w:tr w:rsidR="00FA21F6" w:rsidRPr="00FA4DC7" w14:paraId="07D10650" w14:textId="77777777" w:rsidTr="00C75F28">
        <w:tc>
          <w:tcPr>
            <w:tcW w:w="2083" w:type="pct"/>
            <w:shd w:val="clear" w:color="auto" w:fill="auto"/>
            <w:noWrap/>
            <w:vAlign w:val="center"/>
            <w:hideMark/>
          </w:tcPr>
          <w:p w14:paraId="4FB2173B" w14:textId="77777777" w:rsidR="00FA21F6" w:rsidRPr="00FA4DC7" w:rsidRDefault="00FA21F6" w:rsidP="007F5D13">
            <w:pPr>
              <w:rPr>
                <w:rFonts w:cs="Arial"/>
                <w:color w:val="000000"/>
                <w:sz w:val="22"/>
                <w:szCs w:val="22"/>
              </w:rPr>
            </w:pPr>
            <w:r w:rsidRPr="00FA4DC7">
              <w:rPr>
                <w:rFonts w:cs="Arial"/>
                <w:color w:val="000000"/>
                <w:sz w:val="22"/>
                <w:szCs w:val="22"/>
              </w:rPr>
              <w:t>3-bedroom house</w:t>
            </w:r>
          </w:p>
        </w:tc>
        <w:tc>
          <w:tcPr>
            <w:tcW w:w="693" w:type="pct"/>
            <w:vAlign w:val="center"/>
          </w:tcPr>
          <w:p w14:paraId="7E321A05" w14:textId="77777777" w:rsidR="00FA21F6" w:rsidRPr="00FA4DC7" w:rsidRDefault="00FA21F6" w:rsidP="00C75F28">
            <w:pPr>
              <w:jc w:val="right"/>
              <w:rPr>
                <w:rFonts w:cs="Arial"/>
                <w:color w:val="000000"/>
                <w:sz w:val="22"/>
                <w:szCs w:val="22"/>
              </w:rPr>
            </w:pPr>
            <w:r w:rsidRPr="00FA21F6">
              <w:rPr>
                <w:rFonts w:cs="Arial"/>
                <w:color w:val="000000"/>
                <w:sz w:val="22"/>
                <w:szCs w:val="22"/>
              </w:rPr>
              <w:t>35-40%</w:t>
            </w:r>
          </w:p>
        </w:tc>
        <w:tc>
          <w:tcPr>
            <w:tcW w:w="772" w:type="pct"/>
            <w:vAlign w:val="center"/>
          </w:tcPr>
          <w:p w14:paraId="631D2368"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c>
          <w:tcPr>
            <w:tcW w:w="771" w:type="pct"/>
            <w:vAlign w:val="center"/>
          </w:tcPr>
          <w:p w14:paraId="6FE434B4" w14:textId="77777777" w:rsidR="00FA21F6" w:rsidRPr="00FA4DC7" w:rsidRDefault="00FA21F6" w:rsidP="00C75F28">
            <w:pPr>
              <w:jc w:val="right"/>
              <w:rPr>
                <w:rFonts w:cs="Arial"/>
                <w:color w:val="000000"/>
                <w:sz w:val="22"/>
                <w:szCs w:val="22"/>
              </w:rPr>
            </w:pPr>
            <w:r w:rsidRPr="00FA21F6">
              <w:rPr>
                <w:rFonts w:cs="Arial"/>
                <w:color w:val="000000"/>
                <w:sz w:val="22"/>
                <w:szCs w:val="22"/>
              </w:rPr>
              <w:t>35-40%</w:t>
            </w:r>
          </w:p>
        </w:tc>
        <w:tc>
          <w:tcPr>
            <w:tcW w:w="680" w:type="pct"/>
            <w:vAlign w:val="center"/>
          </w:tcPr>
          <w:p w14:paraId="20C6DB1F" w14:textId="77777777" w:rsidR="00FA21F6" w:rsidRPr="00FA4DC7" w:rsidRDefault="00FA21F6" w:rsidP="00C75F28">
            <w:pPr>
              <w:jc w:val="right"/>
              <w:rPr>
                <w:rFonts w:cs="Arial"/>
                <w:color w:val="000000"/>
                <w:sz w:val="22"/>
                <w:szCs w:val="22"/>
              </w:rPr>
            </w:pPr>
            <w:r w:rsidRPr="00FA21F6">
              <w:rPr>
                <w:rFonts w:cs="Arial"/>
                <w:color w:val="000000"/>
                <w:sz w:val="22"/>
                <w:szCs w:val="22"/>
              </w:rPr>
              <w:t>30-35%</w:t>
            </w:r>
          </w:p>
        </w:tc>
      </w:tr>
      <w:tr w:rsidR="00FA21F6" w:rsidRPr="00FA4DC7" w14:paraId="5912C8EC" w14:textId="77777777" w:rsidTr="00C75F28">
        <w:tc>
          <w:tcPr>
            <w:tcW w:w="2083" w:type="pct"/>
            <w:shd w:val="clear" w:color="auto" w:fill="auto"/>
            <w:noWrap/>
            <w:vAlign w:val="center"/>
            <w:hideMark/>
          </w:tcPr>
          <w:p w14:paraId="78EBDA90" w14:textId="77777777" w:rsidR="00FA21F6" w:rsidRPr="00FA4DC7" w:rsidRDefault="00FA21F6" w:rsidP="007F5D13">
            <w:pPr>
              <w:rPr>
                <w:rFonts w:cs="Arial"/>
                <w:color w:val="000000"/>
                <w:sz w:val="22"/>
                <w:szCs w:val="22"/>
              </w:rPr>
            </w:pPr>
            <w:r w:rsidRPr="00FA4DC7">
              <w:rPr>
                <w:rFonts w:cs="Arial"/>
                <w:color w:val="000000"/>
                <w:sz w:val="22"/>
                <w:szCs w:val="22"/>
              </w:rPr>
              <w:t>4 or more-bedroom house</w:t>
            </w:r>
          </w:p>
        </w:tc>
        <w:tc>
          <w:tcPr>
            <w:tcW w:w="693" w:type="pct"/>
            <w:vAlign w:val="center"/>
          </w:tcPr>
          <w:p w14:paraId="0B2CCCAA"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c>
          <w:tcPr>
            <w:tcW w:w="772" w:type="pct"/>
            <w:vAlign w:val="center"/>
          </w:tcPr>
          <w:p w14:paraId="50B43D18"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c>
          <w:tcPr>
            <w:tcW w:w="771" w:type="pct"/>
            <w:vAlign w:val="center"/>
          </w:tcPr>
          <w:p w14:paraId="2D98A96C" w14:textId="77777777" w:rsidR="00FA21F6" w:rsidRPr="00FA4DC7" w:rsidRDefault="00FA21F6" w:rsidP="00C75F28">
            <w:pPr>
              <w:jc w:val="right"/>
              <w:rPr>
                <w:rFonts w:cs="Arial"/>
                <w:color w:val="000000"/>
                <w:sz w:val="22"/>
                <w:szCs w:val="22"/>
              </w:rPr>
            </w:pPr>
            <w:r w:rsidRPr="00FA21F6">
              <w:rPr>
                <w:rFonts w:cs="Arial"/>
                <w:color w:val="000000"/>
                <w:sz w:val="22"/>
                <w:szCs w:val="22"/>
              </w:rPr>
              <w:t>10-15%</w:t>
            </w:r>
          </w:p>
        </w:tc>
        <w:tc>
          <w:tcPr>
            <w:tcW w:w="680" w:type="pct"/>
            <w:vAlign w:val="center"/>
          </w:tcPr>
          <w:p w14:paraId="54A856B2" w14:textId="77777777" w:rsidR="00FA21F6" w:rsidRPr="00FA4DC7" w:rsidRDefault="00FA21F6" w:rsidP="00C75F28">
            <w:pPr>
              <w:jc w:val="right"/>
              <w:rPr>
                <w:rFonts w:cs="Arial"/>
                <w:color w:val="000000"/>
                <w:sz w:val="22"/>
                <w:szCs w:val="22"/>
              </w:rPr>
            </w:pPr>
            <w:r w:rsidRPr="00FA21F6">
              <w:rPr>
                <w:rFonts w:cs="Arial"/>
                <w:color w:val="000000"/>
                <w:sz w:val="22"/>
                <w:szCs w:val="22"/>
              </w:rPr>
              <w:t>10-15%</w:t>
            </w:r>
          </w:p>
        </w:tc>
      </w:tr>
      <w:tr w:rsidR="00FA21F6" w:rsidRPr="00FA4DC7" w14:paraId="5F1E68F5" w14:textId="77777777" w:rsidTr="00C75F28">
        <w:tc>
          <w:tcPr>
            <w:tcW w:w="2083" w:type="pct"/>
            <w:shd w:val="clear" w:color="auto" w:fill="auto"/>
            <w:noWrap/>
            <w:vAlign w:val="center"/>
            <w:hideMark/>
          </w:tcPr>
          <w:p w14:paraId="40B2F2E8" w14:textId="77777777" w:rsidR="00FA21F6" w:rsidRPr="00FA4DC7" w:rsidRDefault="00FA21F6" w:rsidP="007F5D13">
            <w:pPr>
              <w:rPr>
                <w:rFonts w:cs="Arial"/>
                <w:color w:val="000000"/>
                <w:sz w:val="22"/>
                <w:szCs w:val="22"/>
              </w:rPr>
            </w:pPr>
            <w:r w:rsidRPr="00FA4DC7">
              <w:rPr>
                <w:rFonts w:cs="Arial"/>
                <w:color w:val="000000"/>
                <w:sz w:val="22"/>
                <w:szCs w:val="22"/>
              </w:rPr>
              <w:t>1-bedroom flat</w:t>
            </w:r>
          </w:p>
        </w:tc>
        <w:tc>
          <w:tcPr>
            <w:tcW w:w="693" w:type="pct"/>
            <w:vAlign w:val="center"/>
          </w:tcPr>
          <w:p w14:paraId="2C1D7AB6" w14:textId="77777777" w:rsidR="00FA21F6" w:rsidRPr="00FA4DC7" w:rsidRDefault="00FA21F6" w:rsidP="00C75F28">
            <w:pPr>
              <w:jc w:val="right"/>
              <w:rPr>
                <w:rFonts w:cs="Arial"/>
                <w:color w:val="000000"/>
                <w:sz w:val="22"/>
                <w:szCs w:val="22"/>
              </w:rPr>
            </w:pPr>
            <w:r w:rsidRPr="00FA21F6">
              <w:rPr>
                <w:rFonts w:cs="Arial"/>
                <w:color w:val="000000"/>
                <w:sz w:val="22"/>
                <w:szCs w:val="22"/>
              </w:rPr>
              <w:t>5-10%</w:t>
            </w:r>
          </w:p>
        </w:tc>
        <w:tc>
          <w:tcPr>
            <w:tcW w:w="772" w:type="pct"/>
            <w:vAlign w:val="center"/>
          </w:tcPr>
          <w:p w14:paraId="01F95616" w14:textId="77777777" w:rsidR="00FA21F6" w:rsidRPr="00FA4DC7" w:rsidRDefault="00FA21F6" w:rsidP="00C75F28">
            <w:pPr>
              <w:jc w:val="right"/>
              <w:rPr>
                <w:rFonts w:cs="Arial"/>
                <w:color w:val="000000"/>
                <w:sz w:val="22"/>
                <w:szCs w:val="22"/>
              </w:rPr>
            </w:pPr>
            <w:r w:rsidRPr="00FA21F6">
              <w:rPr>
                <w:rFonts w:cs="Arial"/>
                <w:color w:val="000000"/>
                <w:sz w:val="22"/>
                <w:szCs w:val="22"/>
              </w:rPr>
              <w:t>30-35%</w:t>
            </w:r>
          </w:p>
        </w:tc>
        <w:tc>
          <w:tcPr>
            <w:tcW w:w="771" w:type="pct"/>
            <w:vAlign w:val="center"/>
          </w:tcPr>
          <w:p w14:paraId="556845C9" w14:textId="77777777" w:rsidR="00FA21F6" w:rsidRPr="00FA4DC7" w:rsidRDefault="00FA21F6" w:rsidP="00C75F28">
            <w:pPr>
              <w:jc w:val="right"/>
              <w:rPr>
                <w:rFonts w:cs="Arial"/>
                <w:color w:val="000000"/>
                <w:sz w:val="22"/>
                <w:szCs w:val="22"/>
              </w:rPr>
            </w:pPr>
            <w:r w:rsidRPr="00FA21F6">
              <w:rPr>
                <w:rFonts w:cs="Arial"/>
                <w:color w:val="000000"/>
                <w:sz w:val="22"/>
                <w:szCs w:val="22"/>
              </w:rPr>
              <w:t>0-2%</w:t>
            </w:r>
          </w:p>
        </w:tc>
        <w:tc>
          <w:tcPr>
            <w:tcW w:w="680" w:type="pct"/>
            <w:vAlign w:val="center"/>
          </w:tcPr>
          <w:p w14:paraId="1C4A07EA"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r>
      <w:tr w:rsidR="00FA21F6" w:rsidRPr="00FA4DC7" w14:paraId="2958BFDF" w14:textId="77777777" w:rsidTr="00C75F28">
        <w:tc>
          <w:tcPr>
            <w:tcW w:w="2083" w:type="pct"/>
            <w:shd w:val="clear" w:color="auto" w:fill="auto"/>
            <w:noWrap/>
            <w:vAlign w:val="center"/>
            <w:hideMark/>
          </w:tcPr>
          <w:p w14:paraId="2CAD6DC0" w14:textId="77777777" w:rsidR="00FA21F6" w:rsidRPr="00FA4DC7" w:rsidRDefault="00FA21F6" w:rsidP="007F5D13">
            <w:pPr>
              <w:rPr>
                <w:rFonts w:cs="Arial"/>
                <w:color w:val="000000"/>
                <w:sz w:val="22"/>
                <w:szCs w:val="22"/>
              </w:rPr>
            </w:pPr>
            <w:r w:rsidRPr="00FA4DC7">
              <w:rPr>
                <w:rFonts w:cs="Arial"/>
                <w:color w:val="000000"/>
                <w:sz w:val="22"/>
                <w:szCs w:val="22"/>
              </w:rPr>
              <w:t>2 or more -bedroom flat</w:t>
            </w:r>
          </w:p>
        </w:tc>
        <w:tc>
          <w:tcPr>
            <w:tcW w:w="693" w:type="pct"/>
            <w:vAlign w:val="center"/>
          </w:tcPr>
          <w:p w14:paraId="14582410" w14:textId="77777777" w:rsidR="00FA21F6" w:rsidRPr="00FA4DC7" w:rsidRDefault="00FA21F6" w:rsidP="00C75F28">
            <w:pPr>
              <w:jc w:val="right"/>
              <w:rPr>
                <w:rFonts w:cs="Arial"/>
                <w:color w:val="000000"/>
                <w:sz w:val="22"/>
                <w:szCs w:val="22"/>
              </w:rPr>
            </w:pPr>
            <w:r w:rsidRPr="00FA21F6">
              <w:rPr>
                <w:rFonts w:cs="Arial"/>
                <w:color w:val="000000"/>
                <w:sz w:val="22"/>
                <w:szCs w:val="22"/>
              </w:rPr>
              <w:t>5-10%</w:t>
            </w:r>
          </w:p>
        </w:tc>
        <w:tc>
          <w:tcPr>
            <w:tcW w:w="772" w:type="pct"/>
            <w:vAlign w:val="center"/>
          </w:tcPr>
          <w:p w14:paraId="146C2DF7" w14:textId="77777777" w:rsidR="00FA21F6" w:rsidRPr="00FA4DC7" w:rsidRDefault="00FA21F6" w:rsidP="00C75F28">
            <w:pPr>
              <w:jc w:val="right"/>
              <w:rPr>
                <w:rFonts w:cs="Arial"/>
                <w:color w:val="000000"/>
                <w:sz w:val="22"/>
                <w:szCs w:val="22"/>
              </w:rPr>
            </w:pPr>
            <w:r w:rsidRPr="00FA21F6">
              <w:rPr>
                <w:rFonts w:cs="Arial"/>
                <w:color w:val="000000"/>
                <w:sz w:val="22"/>
                <w:szCs w:val="22"/>
              </w:rPr>
              <w:t>35-40%</w:t>
            </w:r>
          </w:p>
        </w:tc>
        <w:tc>
          <w:tcPr>
            <w:tcW w:w="771" w:type="pct"/>
            <w:vAlign w:val="center"/>
          </w:tcPr>
          <w:p w14:paraId="152C2065"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c>
          <w:tcPr>
            <w:tcW w:w="680" w:type="pct"/>
            <w:vAlign w:val="center"/>
          </w:tcPr>
          <w:p w14:paraId="58E376FD"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r>
      <w:tr w:rsidR="00FA21F6" w:rsidRPr="00FA4DC7" w14:paraId="083C9217" w14:textId="77777777" w:rsidTr="00C75F28">
        <w:tc>
          <w:tcPr>
            <w:tcW w:w="2083" w:type="pct"/>
            <w:shd w:val="clear" w:color="auto" w:fill="auto"/>
            <w:noWrap/>
            <w:vAlign w:val="center"/>
            <w:hideMark/>
          </w:tcPr>
          <w:p w14:paraId="4CC5A06F" w14:textId="77777777" w:rsidR="00FA21F6" w:rsidRPr="00FA4DC7" w:rsidRDefault="00FA21F6" w:rsidP="007F5D13">
            <w:pPr>
              <w:rPr>
                <w:rFonts w:cs="Arial"/>
                <w:color w:val="000000"/>
                <w:sz w:val="22"/>
                <w:szCs w:val="22"/>
              </w:rPr>
            </w:pPr>
            <w:r w:rsidRPr="00FA4DC7">
              <w:rPr>
                <w:rFonts w:cs="Arial"/>
                <w:color w:val="000000"/>
                <w:sz w:val="22"/>
                <w:szCs w:val="22"/>
              </w:rPr>
              <w:t>1-bedroom bungalow/level-access</w:t>
            </w:r>
          </w:p>
        </w:tc>
        <w:tc>
          <w:tcPr>
            <w:tcW w:w="693" w:type="pct"/>
            <w:vAlign w:val="center"/>
          </w:tcPr>
          <w:p w14:paraId="54A894AB" w14:textId="77777777" w:rsidR="00FA21F6" w:rsidRPr="00FA4DC7" w:rsidRDefault="00FA21F6" w:rsidP="00C75F28">
            <w:pPr>
              <w:jc w:val="right"/>
              <w:rPr>
                <w:rFonts w:cs="Arial"/>
                <w:color w:val="000000"/>
                <w:sz w:val="22"/>
                <w:szCs w:val="22"/>
              </w:rPr>
            </w:pPr>
            <w:r w:rsidRPr="00FA21F6">
              <w:rPr>
                <w:rFonts w:cs="Arial"/>
                <w:color w:val="000000"/>
                <w:sz w:val="22"/>
                <w:szCs w:val="22"/>
              </w:rPr>
              <w:t>1-3%</w:t>
            </w:r>
          </w:p>
        </w:tc>
        <w:tc>
          <w:tcPr>
            <w:tcW w:w="772" w:type="pct"/>
            <w:vAlign w:val="center"/>
          </w:tcPr>
          <w:p w14:paraId="625C55DC" w14:textId="77777777" w:rsidR="00FA21F6" w:rsidRPr="00FA4DC7" w:rsidRDefault="00FA21F6" w:rsidP="00C75F28">
            <w:pPr>
              <w:jc w:val="right"/>
              <w:rPr>
                <w:rFonts w:cs="Arial"/>
                <w:color w:val="000000"/>
                <w:sz w:val="22"/>
                <w:szCs w:val="22"/>
              </w:rPr>
            </w:pPr>
            <w:r w:rsidRPr="00FA21F6">
              <w:rPr>
                <w:rFonts w:cs="Arial"/>
                <w:color w:val="000000"/>
                <w:sz w:val="22"/>
                <w:szCs w:val="22"/>
              </w:rPr>
              <w:t>1-3%</w:t>
            </w:r>
          </w:p>
        </w:tc>
        <w:tc>
          <w:tcPr>
            <w:tcW w:w="771" w:type="pct"/>
            <w:vAlign w:val="center"/>
          </w:tcPr>
          <w:p w14:paraId="0B56CECA" w14:textId="77777777" w:rsidR="00FA21F6" w:rsidRPr="00FA4DC7" w:rsidRDefault="00FA21F6" w:rsidP="00C75F28">
            <w:pPr>
              <w:jc w:val="right"/>
              <w:rPr>
                <w:rFonts w:cs="Arial"/>
                <w:color w:val="000000"/>
                <w:sz w:val="22"/>
                <w:szCs w:val="22"/>
              </w:rPr>
            </w:pPr>
            <w:r w:rsidRPr="00FA21F6">
              <w:rPr>
                <w:rFonts w:cs="Arial"/>
                <w:color w:val="000000"/>
                <w:sz w:val="22"/>
                <w:szCs w:val="22"/>
              </w:rPr>
              <w:t>4-6%</w:t>
            </w:r>
          </w:p>
        </w:tc>
        <w:tc>
          <w:tcPr>
            <w:tcW w:w="680" w:type="pct"/>
            <w:vAlign w:val="center"/>
          </w:tcPr>
          <w:p w14:paraId="1C47C425"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r>
      <w:tr w:rsidR="00FA21F6" w:rsidRPr="00FA4DC7" w14:paraId="10E87174" w14:textId="77777777" w:rsidTr="00C75F28">
        <w:tc>
          <w:tcPr>
            <w:tcW w:w="2083" w:type="pct"/>
            <w:shd w:val="clear" w:color="auto" w:fill="auto"/>
            <w:noWrap/>
            <w:vAlign w:val="center"/>
            <w:hideMark/>
          </w:tcPr>
          <w:p w14:paraId="16BD3D3F" w14:textId="77777777" w:rsidR="00FA21F6" w:rsidRPr="00FA4DC7" w:rsidRDefault="00FA21F6" w:rsidP="007F5D13">
            <w:pPr>
              <w:rPr>
                <w:rFonts w:cs="Arial"/>
                <w:color w:val="000000"/>
                <w:sz w:val="22"/>
                <w:szCs w:val="22"/>
              </w:rPr>
            </w:pPr>
            <w:r w:rsidRPr="00FA4DC7">
              <w:rPr>
                <w:rFonts w:cs="Arial"/>
                <w:color w:val="000000"/>
                <w:sz w:val="22"/>
                <w:szCs w:val="22"/>
              </w:rPr>
              <w:t>2-bedroom bungalow/level-access</w:t>
            </w:r>
          </w:p>
        </w:tc>
        <w:tc>
          <w:tcPr>
            <w:tcW w:w="693" w:type="pct"/>
            <w:vAlign w:val="center"/>
          </w:tcPr>
          <w:p w14:paraId="74E358E6"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c>
          <w:tcPr>
            <w:tcW w:w="772" w:type="pct"/>
            <w:vAlign w:val="center"/>
          </w:tcPr>
          <w:p w14:paraId="50D6668A" w14:textId="77777777" w:rsidR="00FA21F6" w:rsidRPr="00FA4DC7" w:rsidRDefault="00FA21F6" w:rsidP="00C75F28">
            <w:pPr>
              <w:jc w:val="right"/>
              <w:rPr>
                <w:rFonts w:cs="Arial"/>
                <w:color w:val="000000"/>
                <w:sz w:val="22"/>
                <w:szCs w:val="22"/>
              </w:rPr>
            </w:pPr>
            <w:r w:rsidRPr="00FA21F6">
              <w:rPr>
                <w:rFonts w:cs="Arial"/>
                <w:color w:val="000000"/>
                <w:sz w:val="22"/>
                <w:szCs w:val="22"/>
              </w:rPr>
              <w:t>1-3%</w:t>
            </w:r>
          </w:p>
        </w:tc>
        <w:tc>
          <w:tcPr>
            <w:tcW w:w="771" w:type="pct"/>
            <w:vAlign w:val="center"/>
          </w:tcPr>
          <w:p w14:paraId="4C28A70E" w14:textId="77777777" w:rsidR="00FA21F6" w:rsidRPr="00FA4DC7" w:rsidRDefault="00FA21F6" w:rsidP="00C75F28">
            <w:pPr>
              <w:jc w:val="right"/>
              <w:rPr>
                <w:rFonts w:cs="Arial"/>
                <w:color w:val="000000"/>
                <w:sz w:val="22"/>
                <w:szCs w:val="22"/>
              </w:rPr>
            </w:pPr>
            <w:r w:rsidRPr="00FA21F6">
              <w:rPr>
                <w:rFonts w:cs="Arial"/>
                <w:color w:val="000000"/>
                <w:sz w:val="22"/>
                <w:szCs w:val="22"/>
              </w:rPr>
              <w:t>4-6%</w:t>
            </w:r>
          </w:p>
        </w:tc>
        <w:tc>
          <w:tcPr>
            <w:tcW w:w="680" w:type="pct"/>
            <w:vAlign w:val="center"/>
          </w:tcPr>
          <w:p w14:paraId="4E9DA5A4"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r>
      <w:tr w:rsidR="00FA21F6" w:rsidRPr="00FA4DC7" w14:paraId="0F68D7EE" w14:textId="77777777" w:rsidTr="00C75F28">
        <w:tc>
          <w:tcPr>
            <w:tcW w:w="2083" w:type="pct"/>
            <w:shd w:val="clear" w:color="auto" w:fill="auto"/>
            <w:noWrap/>
            <w:vAlign w:val="center"/>
            <w:hideMark/>
          </w:tcPr>
          <w:p w14:paraId="40551FB2" w14:textId="77777777" w:rsidR="00FA21F6" w:rsidRPr="00FA4DC7" w:rsidRDefault="00FA21F6" w:rsidP="007F5D13">
            <w:pPr>
              <w:rPr>
                <w:rFonts w:cs="Arial"/>
                <w:color w:val="000000"/>
                <w:sz w:val="22"/>
                <w:szCs w:val="22"/>
              </w:rPr>
            </w:pPr>
            <w:r w:rsidRPr="00FA4DC7">
              <w:rPr>
                <w:rFonts w:cs="Arial"/>
                <w:color w:val="000000"/>
                <w:sz w:val="22"/>
                <w:szCs w:val="22"/>
              </w:rPr>
              <w:t>3 or more-bedroom bungalow/level-access</w:t>
            </w:r>
          </w:p>
        </w:tc>
        <w:tc>
          <w:tcPr>
            <w:tcW w:w="693" w:type="pct"/>
            <w:vAlign w:val="center"/>
          </w:tcPr>
          <w:p w14:paraId="1CADBE1E"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c>
          <w:tcPr>
            <w:tcW w:w="772" w:type="pct"/>
            <w:vAlign w:val="center"/>
          </w:tcPr>
          <w:p w14:paraId="50633F31" w14:textId="77777777" w:rsidR="00FA21F6" w:rsidRPr="00FA4DC7" w:rsidRDefault="00FA21F6" w:rsidP="00C75F28">
            <w:pPr>
              <w:jc w:val="right"/>
              <w:rPr>
                <w:rFonts w:cs="Arial"/>
                <w:color w:val="000000"/>
                <w:sz w:val="22"/>
                <w:szCs w:val="22"/>
              </w:rPr>
            </w:pPr>
            <w:r w:rsidRPr="00FA21F6">
              <w:rPr>
                <w:rFonts w:cs="Arial"/>
                <w:color w:val="000000"/>
                <w:sz w:val="22"/>
                <w:szCs w:val="22"/>
              </w:rPr>
              <w:t>1-3%</w:t>
            </w:r>
          </w:p>
        </w:tc>
        <w:tc>
          <w:tcPr>
            <w:tcW w:w="771" w:type="pct"/>
            <w:vAlign w:val="center"/>
          </w:tcPr>
          <w:p w14:paraId="0A7C20C8" w14:textId="77777777" w:rsidR="00FA21F6" w:rsidRPr="00FA4DC7" w:rsidRDefault="00FA21F6" w:rsidP="00C75F28">
            <w:pPr>
              <w:jc w:val="right"/>
              <w:rPr>
                <w:rFonts w:cs="Arial"/>
                <w:color w:val="000000"/>
                <w:sz w:val="22"/>
                <w:szCs w:val="22"/>
              </w:rPr>
            </w:pPr>
            <w:r w:rsidRPr="00FA21F6">
              <w:rPr>
                <w:rFonts w:cs="Arial"/>
                <w:color w:val="000000"/>
                <w:sz w:val="22"/>
                <w:szCs w:val="22"/>
              </w:rPr>
              <w:t>0-2%</w:t>
            </w:r>
          </w:p>
        </w:tc>
        <w:tc>
          <w:tcPr>
            <w:tcW w:w="680" w:type="pct"/>
            <w:vAlign w:val="center"/>
          </w:tcPr>
          <w:p w14:paraId="5702544C" w14:textId="77777777" w:rsidR="00FA21F6" w:rsidRPr="00FA4DC7" w:rsidRDefault="00FA21F6" w:rsidP="00C75F28">
            <w:pPr>
              <w:jc w:val="right"/>
              <w:rPr>
                <w:rFonts w:cs="Arial"/>
                <w:color w:val="000000"/>
                <w:sz w:val="22"/>
                <w:szCs w:val="22"/>
              </w:rPr>
            </w:pPr>
            <w:r w:rsidRPr="00FA21F6">
              <w:rPr>
                <w:rFonts w:cs="Arial"/>
                <w:color w:val="000000"/>
                <w:sz w:val="22"/>
                <w:szCs w:val="22"/>
              </w:rPr>
              <w:t>2-4%</w:t>
            </w:r>
          </w:p>
        </w:tc>
      </w:tr>
      <w:tr w:rsidR="00FA21F6" w:rsidRPr="00FA4DC7" w14:paraId="2B4B8AD1" w14:textId="77777777" w:rsidTr="00C75F28">
        <w:trPr>
          <w:trHeight w:val="245"/>
        </w:trPr>
        <w:tc>
          <w:tcPr>
            <w:tcW w:w="2083" w:type="pct"/>
            <w:shd w:val="clear" w:color="auto" w:fill="006666"/>
            <w:noWrap/>
            <w:vAlign w:val="bottom"/>
            <w:hideMark/>
          </w:tcPr>
          <w:p w14:paraId="443083A7" w14:textId="77777777" w:rsidR="00FA21F6" w:rsidRPr="00FA4DC7" w:rsidRDefault="00FA21F6" w:rsidP="007F5D13">
            <w:pPr>
              <w:rPr>
                <w:rFonts w:cs="Arial"/>
                <w:b/>
                <w:bCs/>
                <w:color w:val="FFFFFF"/>
                <w:sz w:val="22"/>
                <w:szCs w:val="22"/>
              </w:rPr>
            </w:pPr>
            <w:r w:rsidRPr="00FA4DC7">
              <w:rPr>
                <w:rFonts w:cs="Arial"/>
                <w:b/>
                <w:bCs/>
                <w:color w:val="FFFFFF"/>
                <w:sz w:val="22"/>
                <w:szCs w:val="22"/>
              </w:rPr>
              <w:t>Dwelling type</w:t>
            </w:r>
          </w:p>
        </w:tc>
        <w:tc>
          <w:tcPr>
            <w:tcW w:w="693" w:type="pct"/>
            <w:shd w:val="clear" w:color="auto" w:fill="006666"/>
            <w:vAlign w:val="bottom"/>
          </w:tcPr>
          <w:p w14:paraId="14376E5E"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Market</w:t>
            </w:r>
          </w:p>
        </w:tc>
        <w:tc>
          <w:tcPr>
            <w:tcW w:w="772" w:type="pct"/>
            <w:shd w:val="clear" w:color="auto" w:fill="006666"/>
            <w:vAlign w:val="bottom"/>
          </w:tcPr>
          <w:p w14:paraId="2D91D7AD"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Affordable Rented</w:t>
            </w:r>
          </w:p>
        </w:tc>
        <w:tc>
          <w:tcPr>
            <w:tcW w:w="771" w:type="pct"/>
            <w:shd w:val="clear" w:color="auto" w:fill="006666"/>
            <w:vAlign w:val="bottom"/>
          </w:tcPr>
          <w:p w14:paraId="4F0BE548"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Affordable home ownership</w:t>
            </w:r>
          </w:p>
        </w:tc>
        <w:tc>
          <w:tcPr>
            <w:tcW w:w="680" w:type="pct"/>
            <w:shd w:val="clear" w:color="auto" w:fill="006666"/>
            <w:vAlign w:val="bottom"/>
          </w:tcPr>
          <w:p w14:paraId="1667E868"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Overall range</w:t>
            </w:r>
          </w:p>
        </w:tc>
      </w:tr>
      <w:tr w:rsidR="00FA21F6" w:rsidRPr="00FA4DC7" w14:paraId="028E2A48" w14:textId="77777777" w:rsidTr="00C75F28">
        <w:tc>
          <w:tcPr>
            <w:tcW w:w="2083" w:type="pct"/>
            <w:shd w:val="clear" w:color="auto" w:fill="auto"/>
            <w:noWrap/>
            <w:vAlign w:val="center"/>
            <w:hideMark/>
          </w:tcPr>
          <w:p w14:paraId="0C192DC6" w14:textId="77777777" w:rsidR="00FA21F6" w:rsidRPr="00FA4DC7" w:rsidRDefault="00FA21F6" w:rsidP="007F5D13">
            <w:pPr>
              <w:rPr>
                <w:rFonts w:cs="Arial"/>
                <w:color w:val="000000"/>
                <w:sz w:val="22"/>
                <w:szCs w:val="22"/>
              </w:rPr>
            </w:pPr>
            <w:r w:rsidRPr="00FA4DC7">
              <w:rPr>
                <w:rFonts w:cs="Arial"/>
                <w:color w:val="000000"/>
                <w:sz w:val="22"/>
                <w:szCs w:val="22"/>
              </w:rPr>
              <w:t>House</w:t>
            </w:r>
          </w:p>
        </w:tc>
        <w:tc>
          <w:tcPr>
            <w:tcW w:w="693" w:type="pct"/>
            <w:vAlign w:val="center"/>
          </w:tcPr>
          <w:p w14:paraId="3CFDC119" w14:textId="77777777" w:rsidR="00FA21F6" w:rsidRPr="00FA4DC7" w:rsidRDefault="00FA21F6" w:rsidP="00C75F28">
            <w:pPr>
              <w:jc w:val="right"/>
              <w:rPr>
                <w:rFonts w:cs="Arial"/>
                <w:color w:val="000000"/>
                <w:sz w:val="22"/>
                <w:szCs w:val="22"/>
              </w:rPr>
            </w:pPr>
            <w:r w:rsidRPr="00FA21F6">
              <w:rPr>
                <w:rFonts w:cs="Arial"/>
                <w:color w:val="000000"/>
                <w:sz w:val="22"/>
                <w:szCs w:val="22"/>
              </w:rPr>
              <w:t>75-80%</w:t>
            </w:r>
          </w:p>
        </w:tc>
        <w:tc>
          <w:tcPr>
            <w:tcW w:w="772" w:type="pct"/>
            <w:vAlign w:val="center"/>
          </w:tcPr>
          <w:p w14:paraId="6DE5B073" w14:textId="77777777" w:rsidR="00FA21F6" w:rsidRPr="00FA4DC7" w:rsidRDefault="00FA21F6" w:rsidP="00C75F28">
            <w:pPr>
              <w:jc w:val="right"/>
              <w:rPr>
                <w:rFonts w:cs="Arial"/>
                <w:color w:val="000000"/>
                <w:sz w:val="22"/>
                <w:szCs w:val="22"/>
              </w:rPr>
            </w:pPr>
            <w:r w:rsidRPr="00FA21F6">
              <w:rPr>
                <w:rFonts w:cs="Arial"/>
                <w:color w:val="000000"/>
                <w:sz w:val="22"/>
                <w:szCs w:val="22"/>
              </w:rPr>
              <w:t>25-30%</w:t>
            </w:r>
          </w:p>
        </w:tc>
        <w:tc>
          <w:tcPr>
            <w:tcW w:w="771" w:type="pct"/>
            <w:vAlign w:val="center"/>
          </w:tcPr>
          <w:p w14:paraId="1FAF19D9"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c>
          <w:tcPr>
            <w:tcW w:w="680" w:type="pct"/>
            <w:vAlign w:val="center"/>
          </w:tcPr>
          <w:p w14:paraId="1B7F6D3B" w14:textId="77777777" w:rsidR="00FA21F6" w:rsidRPr="00FA4DC7" w:rsidRDefault="00FA21F6" w:rsidP="00C75F28">
            <w:pPr>
              <w:jc w:val="right"/>
              <w:rPr>
                <w:rFonts w:cs="Arial"/>
                <w:color w:val="000000"/>
                <w:sz w:val="22"/>
                <w:szCs w:val="22"/>
              </w:rPr>
            </w:pPr>
            <w:r w:rsidRPr="00FA21F6">
              <w:rPr>
                <w:rFonts w:cs="Arial"/>
                <w:color w:val="000000"/>
                <w:sz w:val="22"/>
                <w:szCs w:val="22"/>
              </w:rPr>
              <w:t>60-65%</w:t>
            </w:r>
          </w:p>
        </w:tc>
      </w:tr>
      <w:tr w:rsidR="00FA21F6" w:rsidRPr="00FA4DC7" w14:paraId="0F56D562" w14:textId="77777777" w:rsidTr="00C75F28">
        <w:tc>
          <w:tcPr>
            <w:tcW w:w="2083" w:type="pct"/>
            <w:shd w:val="clear" w:color="auto" w:fill="auto"/>
            <w:noWrap/>
            <w:vAlign w:val="center"/>
            <w:hideMark/>
          </w:tcPr>
          <w:p w14:paraId="22F8C853" w14:textId="77777777" w:rsidR="00FA21F6" w:rsidRPr="00FA4DC7" w:rsidRDefault="00FA21F6" w:rsidP="007F5D13">
            <w:pPr>
              <w:rPr>
                <w:rFonts w:cs="Arial"/>
                <w:color w:val="000000"/>
                <w:sz w:val="22"/>
                <w:szCs w:val="22"/>
              </w:rPr>
            </w:pPr>
            <w:r w:rsidRPr="00FA4DC7">
              <w:rPr>
                <w:rFonts w:cs="Arial"/>
                <w:color w:val="000000"/>
                <w:sz w:val="22"/>
                <w:szCs w:val="22"/>
              </w:rPr>
              <w:t>Flat</w:t>
            </w:r>
          </w:p>
        </w:tc>
        <w:tc>
          <w:tcPr>
            <w:tcW w:w="693" w:type="pct"/>
            <w:vAlign w:val="center"/>
          </w:tcPr>
          <w:p w14:paraId="3D29EC86" w14:textId="77777777" w:rsidR="00FA21F6" w:rsidRPr="00FA4DC7" w:rsidRDefault="00FA21F6" w:rsidP="00C75F28">
            <w:pPr>
              <w:jc w:val="right"/>
              <w:rPr>
                <w:rFonts w:cs="Arial"/>
                <w:color w:val="000000"/>
                <w:sz w:val="22"/>
                <w:szCs w:val="22"/>
              </w:rPr>
            </w:pPr>
            <w:r w:rsidRPr="00FA21F6">
              <w:rPr>
                <w:rFonts w:cs="Arial"/>
                <w:color w:val="000000"/>
                <w:sz w:val="22"/>
                <w:szCs w:val="22"/>
              </w:rPr>
              <w:t>10-15%</w:t>
            </w:r>
          </w:p>
        </w:tc>
        <w:tc>
          <w:tcPr>
            <w:tcW w:w="772" w:type="pct"/>
            <w:vAlign w:val="center"/>
          </w:tcPr>
          <w:p w14:paraId="0C63AF64" w14:textId="77777777" w:rsidR="00FA21F6" w:rsidRPr="00FA4DC7" w:rsidRDefault="00FA21F6" w:rsidP="00C75F28">
            <w:pPr>
              <w:jc w:val="right"/>
              <w:rPr>
                <w:rFonts w:cs="Arial"/>
                <w:color w:val="000000"/>
                <w:sz w:val="22"/>
                <w:szCs w:val="22"/>
              </w:rPr>
            </w:pPr>
            <w:r w:rsidRPr="00FA21F6">
              <w:rPr>
                <w:rFonts w:cs="Arial"/>
                <w:color w:val="000000"/>
                <w:sz w:val="22"/>
                <w:szCs w:val="22"/>
              </w:rPr>
              <w:t>70-75%</w:t>
            </w:r>
          </w:p>
        </w:tc>
        <w:tc>
          <w:tcPr>
            <w:tcW w:w="771" w:type="pct"/>
            <w:vAlign w:val="center"/>
          </w:tcPr>
          <w:p w14:paraId="674C5994" w14:textId="77777777" w:rsidR="00FA21F6" w:rsidRPr="00FA4DC7" w:rsidRDefault="00FA21F6" w:rsidP="00C75F28">
            <w:pPr>
              <w:jc w:val="right"/>
              <w:rPr>
                <w:rFonts w:cs="Arial"/>
                <w:color w:val="000000"/>
                <w:sz w:val="22"/>
                <w:szCs w:val="22"/>
              </w:rPr>
            </w:pPr>
            <w:r w:rsidRPr="00FA21F6">
              <w:rPr>
                <w:rFonts w:cs="Arial"/>
                <w:color w:val="000000"/>
                <w:sz w:val="22"/>
                <w:szCs w:val="22"/>
              </w:rPr>
              <w:t>75-80%</w:t>
            </w:r>
          </w:p>
        </w:tc>
        <w:tc>
          <w:tcPr>
            <w:tcW w:w="680" w:type="pct"/>
            <w:vAlign w:val="center"/>
          </w:tcPr>
          <w:p w14:paraId="77158331" w14:textId="77777777" w:rsidR="00FA21F6" w:rsidRPr="00FA4DC7" w:rsidRDefault="00FA21F6" w:rsidP="00C75F28">
            <w:pPr>
              <w:jc w:val="right"/>
              <w:rPr>
                <w:rFonts w:cs="Arial"/>
                <w:color w:val="000000"/>
                <w:sz w:val="22"/>
                <w:szCs w:val="22"/>
              </w:rPr>
            </w:pPr>
            <w:r w:rsidRPr="00FA21F6">
              <w:rPr>
                <w:rFonts w:cs="Arial"/>
                <w:color w:val="000000"/>
                <w:sz w:val="22"/>
                <w:szCs w:val="22"/>
              </w:rPr>
              <w:t>30-35%</w:t>
            </w:r>
          </w:p>
        </w:tc>
      </w:tr>
      <w:tr w:rsidR="00FA21F6" w:rsidRPr="00FA4DC7" w14:paraId="1FB3BD6D" w14:textId="77777777" w:rsidTr="00C75F28">
        <w:tc>
          <w:tcPr>
            <w:tcW w:w="2083" w:type="pct"/>
            <w:shd w:val="clear" w:color="auto" w:fill="auto"/>
            <w:noWrap/>
            <w:vAlign w:val="center"/>
            <w:hideMark/>
          </w:tcPr>
          <w:p w14:paraId="1144B758" w14:textId="77777777" w:rsidR="00FA21F6" w:rsidRPr="00FA4DC7" w:rsidRDefault="00FA21F6" w:rsidP="007F5D13">
            <w:pPr>
              <w:rPr>
                <w:rFonts w:cs="Arial"/>
                <w:color w:val="000000"/>
                <w:sz w:val="22"/>
                <w:szCs w:val="22"/>
              </w:rPr>
            </w:pPr>
            <w:r w:rsidRPr="00FA4DC7">
              <w:rPr>
                <w:rFonts w:cs="Arial"/>
                <w:color w:val="000000"/>
                <w:sz w:val="22"/>
                <w:szCs w:val="22"/>
              </w:rPr>
              <w:t>Bungalow/level-access</w:t>
            </w:r>
          </w:p>
        </w:tc>
        <w:tc>
          <w:tcPr>
            <w:tcW w:w="693" w:type="pct"/>
            <w:vAlign w:val="center"/>
          </w:tcPr>
          <w:p w14:paraId="143A5AED" w14:textId="77777777" w:rsidR="00FA21F6" w:rsidRPr="00FA4DC7" w:rsidRDefault="00FA21F6" w:rsidP="00C75F28">
            <w:pPr>
              <w:jc w:val="right"/>
              <w:rPr>
                <w:rFonts w:cs="Arial"/>
                <w:color w:val="000000"/>
                <w:sz w:val="22"/>
                <w:szCs w:val="22"/>
              </w:rPr>
            </w:pPr>
            <w:r w:rsidRPr="00FA21F6">
              <w:rPr>
                <w:rFonts w:cs="Arial"/>
                <w:color w:val="000000"/>
                <w:sz w:val="22"/>
                <w:szCs w:val="22"/>
              </w:rPr>
              <w:t>5-10%</w:t>
            </w:r>
          </w:p>
        </w:tc>
        <w:tc>
          <w:tcPr>
            <w:tcW w:w="772" w:type="pct"/>
            <w:vAlign w:val="center"/>
          </w:tcPr>
          <w:p w14:paraId="1DBEF32B" w14:textId="77777777" w:rsidR="00FA21F6" w:rsidRPr="00FA4DC7" w:rsidRDefault="00FA21F6" w:rsidP="00C75F28">
            <w:pPr>
              <w:jc w:val="right"/>
              <w:rPr>
                <w:rFonts w:cs="Arial"/>
                <w:color w:val="000000"/>
                <w:sz w:val="22"/>
                <w:szCs w:val="22"/>
              </w:rPr>
            </w:pPr>
            <w:r w:rsidRPr="00FA21F6">
              <w:rPr>
                <w:rFonts w:cs="Arial"/>
                <w:color w:val="000000"/>
                <w:sz w:val="22"/>
                <w:szCs w:val="22"/>
              </w:rPr>
              <w:t>1-3%</w:t>
            </w:r>
          </w:p>
        </w:tc>
        <w:tc>
          <w:tcPr>
            <w:tcW w:w="771" w:type="pct"/>
            <w:vAlign w:val="center"/>
          </w:tcPr>
          <w:p w14:paraId="41836D85" w14:textId="77777777" w:rsidR="00FA21F6" w:rsidRPr="00FA4DC7" w:rsidRDefault="00FA21F6" w:rsidP="00C75F28">
            <w:pPr>
              <w:jc w:val="right"/>
              <w:rPr>
                <w:rFonts w:cs="Arial"/>
                <w:color w:val="000000"/>
                <w:sz w:val="22"/>
                <w:szCs w:val="22"/>
              </w:rPr>
            </w:pPr>
            <w:r w:rsidRPr="00FA21F6">
              <w:rPr>
                <w:rFonts w:cs="Arial"/>
                <w:color w:val="000000"/>
                <w:sz w:val="22"/>
                <w:szCs w:val="22"/>
              </w:rPr>
              <w:t>1-5%</w:t>
            </w:r>
          </w:p>
        </w:tc>
        <w:tc>
          <w:tcPr>
            <w:tcW w:w="680" w:type="pct"/>
            <w:vAlign w:val="center"/>
          </w:tcPr>
          <w:p w14:paraId="6A0D6A4B" w14:textId="77777777" w:rsidR="00FA21F6" w:rsidRPr="00FA4DC7" w:rsidRDefault="00FA21F6" w:rsidP="00C75F28">
            <w:pPr>
              <w:jc w:val="right"/>
              <w:rPr>
                <w:rFonts w:cs="Arial"/>
                <w:color w:val="000000"/>
                <w:sz w:val="22"/>
                <w:szCs w:val="22"/>
              </w:rPr>
            </w:pPr>
            <w:r w:rsidRPr="00FA21F6">
              <w:rPr>
                <w:rFonts w:cs="Arial"/>
                <w:color w:val="000000"/>
                <w:sz w:val="22"/>
                <w:szCs w:val="22"/>
              </w:rPr>
              <w:t>5-50%</w:t>
            </w:r>
          </w:p>
        </w:tc>
      </w:tr>
      <w:tr w:rsidR="00FA21F6" w:rsidRPr="00FA4DC7" w14:paraId="6F7CE64E" w14:textId="77777777" w:rsidTr="00C75F28">
        <w:tc>
          <w:tcPr>
            <w:tcW w:w="2083" w:type="pct"/>
            <w:shd w:val="clear" w:color="auto" w:fill="006666"/>
            <w:noWrap/>
            <w:vAlign w:val="bottom"/>
            <w:hideMark/>
          </w:tcPr>
          <w:p w14:paraId="4D76D3F1" w14:textId="77777777" w:rsidR="00FA21F6" w:rsidRPr="00FA4DC7" w:rsidRDefault="00FA21F6" w:rsidP="007F5D13">
            <w:pPr>
              <w:rPr>
                <w:rFonts w:cs="Arial"/>
                <w:b/>
                <w:bCs/>
                <w:color w:val="FFFFFF"/>
                <w:sz w:val="22"/>
                <w:szCs w:val="22"/>
              </w:rPr>
            </w:pPr>
            <w:r w:rsidRPr="00FA4DC7">
              <w:rPr>
                <w:rFonts w:cs="Arial"/>
                <w:b/>
                <w:bCs/>
                <w:color w:val="FFFFFF"/>
                <w:sz w:val="22"/>
                <w:szCs w:val="22"/>
              </w:rPr>
              <w:t>Number of bedrooms</w:t>
            </w:r>
          </w:p>
        </w:tc>
        <w:tc>
          <w:tcPr>
            <w:tcW w:w="693" w:type="pct"/>
            <w:shd w:val="clear" w:color="auto" w:fill="006666"/>
            <w:vAlign w:val="bottom"/>
          </w:tcPr>
          <w:p w14:paraId="62AD9A1E"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Market</w:t>
            </w:r>
          </w:p>
        </w:tc>
        <w:tc>
          <w:tcPr>
            <w:tcW w:w="772" w:type="pct"/>
            <w:shd w:val="clear" w:color="auto" w:fill="006666"/>
            <w:vAlign w:val="bottom"/>
          </w:tcPr>
          <w:p w14:paraId="38FE5B5F"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Affordable Rented</w:t>
            </w:r>
          </w:p>
        </w:tc>
        <w:tc>
          <w:tcPr>
            <w:tcW w:w="771" w:type="pct"/>
            <w:shd w:val="clear" w:color="auto" w:fill="006666"/>
            <w:vAlign w:val="bottom"/>
          </w:tcPr>
          <w:p w14:paraId="110429A0"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Affordable home ownership</w:t>
            </w:r>
          </w:p>
        </w:tc>
        <w:tc>
          <w:tcPr>
            <w:tcW w:w="680" w:type="pct"/>
            <w:shd w:val="clear" w:color="auto" w:fill="006666"/>
            <w:vAlign w:val="bottom"/>
          </w:tcPr>
          <w:p w14:paraId="67BD97FE" w14:textId="77777777" w:rsidR="00FA21F6" w:rsidRPr="00FA4DC7" w:rsidRDefault="00FA21F6" w:rsidP="00C75F28">
            <w:pPr>
              <w:jc w:val="center"/>
              <w:rPr>
                <w:rFonts w:cs="Arial"/>
                <w:b/>
                <w:bCs/>
                <w:color w:val="FFFFFF"/>
                <w:sz w:val="22"/>
                <w:szCs w:val="22"/>
              </w:rPr>
            </w:pPr>
            <w:r w:rsidRPr="00FA4DC7">
              <w:rPr>
                <w:rFonts w:cs="Arial"/>
                <w:b/>
                <w:bCs/>
                <w:color w:val="FFFFFF"/>
                <w:sz w:val="22"/>
                <w:szCs w:val="22"/>
              </w:rPr>
              <w:t>Overall range</w:t>
            </w:r>
          </w:p>
        </w:tc>
      </w:tr>
      <w:tr w:rsidR="00FA21F6" w:rsidRPr="00FA4DC7" w14:paraId="76C433DE" w14:textId="77777777" w:rsidTr="00C75F28">
        <w:tc>
          <w:tcPr>
            <w:tcW w:w="2083" w:type="pct"/>
            <w:shd w:val="clear" w:color="auto" w:fill="auto"/>
            <w:noWrap/>
            <w:vAlign w:val="center"/>
            <w:hideMark/>
          </w:tcPr>
          <w:p w14:paraId="259C21EB" w14:textId="77777777" w:rsidR="00FA21F6" w:rsidRPr="00FA4DC7" w:rsidRDefault="00FA21F6" w:rsidP="00C75F28">
            <w:pPr>
              <w:jc w:val="center"/>
              <w:rPr>
                <w:rFonts w:cs="Arial"/>
                <w:color w:val="000000"/>
                <w:sz w:val="22"/>
                <w:szCs w:val="22"/>
              </w:rPr>
            </w:pPr>
            <w:r w:rsidRPr="00FA4DC7">
              <w:rPr>
                <w:rFonts w:cs="Arial"/>
                <w:color w:val="000000"/>
                <w:sz w:val="22"/>
                <w:szCs w:val="22"/>
              </w:rPr>
              <w:t>1</w:t>
            </w:r>
          </w:p>
        </w:tc>
        <w:tc>
          <w:tcPr>
            <w:tcW w:w="693" w:type="pct"/>
            <w:vAlign w:val="center"/>
          </w:tcPr>
          <w:p w14:paraId="71CDF748" w14:textId="77777777" w:rsidR="00FA21F6" w:rsidRPr="00FA4DC7" w:rsidRDefault="00FA21F6" w:rsidP="00C75F28">
            <w:pPr>
              <w:jc w:val="right"/>
              <w:rPr>
                <w:rFonts w:cs="Arial"/>
                <w:color w:val="000000"/>
                <w:sz w:val="22"/>
                <w:szCs w:val="22"/>
              </w:rPr>
            </w:pPr>
            <w:r w:rsidRPr="00FA21F6">
              <w:rPr>
                <w:rFonts w:cs="Arial"/>
                <w:color w:val="000000"/>
                <w:sz w:val="22"/>
                <w:szCs w:val="22"/>
              </w:rPr>
              <w:t>5-10%</w:t>
            </w:r>
          </w:p>
        </w:tc>
        <w:tc>
          <w:tcPr>
            <w:tcW w:w="772" w:type="pct"/>
            <w:vAlign w:val="center"/>
          </w:tcPr>
          <w:p w14:paraId="059466DE"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c>
          <w:tcPr>
            <w:tcW w:w="771" w:type="pct"/>
            <w:vAlign w:val="center"/>
          </w:tcPr>
          <w:p w14:paraId="293B00BB"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c>
          <w:tcPr>
            <w:tcW w:w="680" w:type="pct"/>
            <w:vAlign w:val="center"/>
          </w:tcPr>
          <w:p w14:paraId="5797D49B"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r>
      <w:tr w:rsidR="00FA21F6" w:rsidRPr="00FA4DC7" w14:paraId="2CE0D0E3" w14:textId="77777777" w:rsidTr="00C75F28">
        <w:tc>
          <w:tcPr>
            <w:tcW w:w="2083" w:type="pct"/>
            <w:shd w:val="clear" w:color="auto" w:fill="auto"/>
            <w:noWrap/>
            <w:vAlign w:val="center"/>
            <w:hideMark/>
          </w:tcPr>
          <w:p w14:paraId="6006CBA0" w14:textId="77777777" w:rsidR="00FA21F6" w:rsidRPr="00FA4DC7" w:rsidRDefault="00FA21F6" w:rsidP="00C75F28">
            <w:pPr>
              <w:jc w:val="center"/>
              <w:rPr>
                <w:rFonts w:cs="Arial"/>
                <w:color w:val="000000"/>
                <w:sz w:val="22"/>
                <w:szCs w:val="22"/>
              </w:rPr>
            </w:pPr>
            <w:r w:rsidRPr="00FA4DC7">
              <w:rPr>
                <w:rFonts w:cs="Arial"/>
                <w:color w:val="000000"/>
                <w:sz w:val="22"/>
                <w:szCs w:val="22"/>
              </w:rPr>
              <w:t>2</w:t>
            </w:r>
          </w:p>
        </w:tc>
        <w:tc>
          <w:tcPr>
            <w:tcW w:w="693" w:type="pct"/>
            <w:vAlign w:val="center"/>
          </w:tcPr>
          <w:p w14:paraId="7FBE9C40" w14:textId="77777777" w:rsidR="00FA21F6" w:rsidRPr="00FA4DC7" w:rsidRDefault="00FA21F6" w:rsidP="00C75F28">
            <w:pPr>
              <w:jc w:val="right"/>
              <w:rPr>
                <w:rFonts w:cs="Arial"/>
                <w:color w:val="000000"/>
                <w:sz w:val="22"/>
                <w:szCs w:val="22"/>
              </w:rPr>
            </w:pPr>
            <w:r w:rsidRPr="00FA21F6">
              <w:rPr>
                <w:rFonts w:cs="Arial"/>
                <w:color w:val="000000"/>
                <w:sz w:val="22"/>
                <w:szCs w:val="22"/>
              </w:rPr>
              <w:t>30-35%</w:t>
            </w:r>
          </w:p>
        </w:tc>
        <w:tc>
          <w:tcPr>
            <w:tcW w:w="772" w:type="pct"/>
            <w:vAlign w:val="center"/>
          </w:tcPr>
          <w:p w14:paraId="4E7D4F5E" w14:textId="77777777" w:rsidR="00FA21F6" w:rsidRPr="00FA4DC7" w:rsidRDefault="00FA21F6" w:rsidP="00C75F28">
            <w:pPr>
              <w:jc w:val="right"/>
              <w:rPr>
                <w:rFonts w:cs="Arial"/>
                <w:color w:val="000000"/>
                <w:sz w:val="22"/>
                <w:szCs w:val="22"/>
              </w:rPr>
            </w:pPr>
            <w:r w:rsidRPr="00FA21F6">
              <w:rPr>
                <w:rFonts w:cs="Arial"/>
                <w:color w:val="000000"/>
                <w:sz w:val="22"/>
                <w:szCs w:val="22"/>
              </w:rPr>
              <w:t>30-35%</w:t>
            </w:r>
          </w:p>
        </w:tc>
        <w:tc>
          <w:tcPr>
            <w:tcW w:w="771" w:type="pct"/>
            <w:vAlign w:val="center"/>
          </w:tcPr>
          <w:p w14:paraId="385A9666" w14:textId="77777777" w:rsidR="00FA21F6" w:rsidRPr="00FA4DC7" w:rsidRDefault="00FA21F6" w:rsidP="00C75F28">
            <w:pPr>
              <w:jc w:val="right"/>
              <w:rPr>
                <w:rFonts w:cs="Arial"/>
                <w:color w:val="000000"/>
                <w:sz w:val="22"/>
                <w:szCs w:val="22"/>
              </w:rPr>
            </w:pPr>
            <w:r w:rsidRPr="00FA21F6">
              <w:rPr>
                <w:rFonts w:cs="Arial"/>
                <w:color w:val="000000"/>
                <w:sz w:val="22"/>
                <w:szCs w:val="22"/>
              </w:rPr>
              <w:t>70-75%</w:t>
            </w:r>
          </w:p>
        </w:tc>
        <w:tc>
          <w:tcPr>
            <w:tcW w:w="680" w:type="pct"/>
            <w:vAlign w:val="center"/>
          </w:tcPr>
          <w:p w14:paraId="0648AB50" w14:textId="77777777" w:rsidR="00FA21F6" w:rsidRPr="00FA4DC7" w:rsidRDefault="00FA21F6" w:rsidP="00C75F28">
            <w:pPr>
              <w:jc w:val="right"/>
              <w:rPr>
                <w:rFonts w:cs="Arial"/>
                <w:color w:val="000000"/>
                <w:sz w:val="22"/>
                <w:szCs w:val="22"/>
              </w:rPr>
            </w:pPr>
            <w:r w:rsidRPr="00FA21F6">
              <w:rPr>
                <w:rFonts w:cs="Arial"/>
                <w:color w:val="000000"/>
                <w:sz w:val="22"/>
                <w:szCs w:val="22"/>
              </w:rPr>
              <w:t>40-45%</w:t>
            </w:r>
          </w:p>
        </w:tc>
      </w:tr>
      <w:tr w:rsidR="00FA21F6" w:rsidRPr="00FA4DC7" w14:paraId="288EEF81" w14:textId="77777777" w:rsidTr="00C75F28">
        <w:tc>
          <w:tcPr>
            <w:tcW w:w="2083" w:type="pct"/>
            <w:shd w:val="clear" w:color="auto" w:fill="auto"/>
            <w:noWrap/>
            <w:vAlign w:val="center"/>
            <w:hideMark/>
          </w:tcPr>
          <w:p w14:paraId="47BA707A" w14:textId="77777777" w:rsidR="00FA21F6" w:rsidRPr="00FA4DC7" w:rsidRDefault="00FA21F6" w:rsidP="00C75F28">
            <w:pPr>
              <w:jc w:val="center"/>
              <w:rPr>
                <w:rFonts w:cs="Arial"/>
                <w:color w:val="000000"/>
                <w:sz w:val="22"/>
                <w:szCs w:val="22"/>
              </w:rPr>
            </w:pPr>
            <w:r w:rsidRPr="00FA4DC7">
              <w:rPr>
                <w:rFonts w:cs="Arial"/>
                <w:color w:val="000000"/>
                <w:sz w:val="22"/>
                <w:szCs w:val="22"/>
              </w:rPr>
              <w:t>3</w:t>
            </w:r>
          </w:p>
        </w:tc>
        <w:tc>
          <w:tcPr>
            <w:tcW w:w="693" w:type="pct"/>
            <w:vAlign w:val="center"/>
          </w:tcPr>
          <w:p w14:paraId="5679D442" w14:textId="77777777" w:rsidR="00FA21F6" w:rsidRPr="00FA4DC7" w:rsidRDefault="00FA21F6" w:rsidP="00C75F28">
            <w:pPr>
              <w:jc w:val="right"/>
              <w:rPr>
                <w:rFonts w:cs="Arial"/>
                <w:color w:val="000000"/>
                <w:sz w:val="22"/>
                <w:szCs w:val="22"/>
              </w:rPr>
            </w:pPr>
            <w:r w:rsidRPr="00FA21F6">
              <w:rPr>
                <w:rFonts w:cs="Arial"/>
                <w:color w:val="000000"/>
                <w:sz w:val="22"/>
                <w:szCs w:val="22"/>
              </w:rPr>
              <w:t>40-45%</w:t>
            </w:r>
          </w:p>
        </w:tc>
        <w:tc>
          <w:tcPr>
            <w:tcW w:w="772" w:type="pct"/>
            <w:vAlign w:val="center"/>
          </w:tcPr>
          <w:p w14:paraId="1AD0BCF3" w14:textId="77777777" w:rsidR="00FA21F6" w:rsidRPr="00FA4DC7" w:rsidRDefault="00FA21F6" w:rsidP="00C75F28">
            <w:pPr>
              <w:jc w:val="right"/>
              <w:rPr>
                <w:rFonts w:cs="Arial"/>
                <w:color w:val="000000"/>
                <w:sz w:val="22"/>
                <w:szCs w:val="22"/>
              </w:rPr>
            </w:pPr>
            <w:r w:rsidRPr="00FA21F6">
              <w:rPr>
                <w:rFonts w:cs="Arial"/>
                <w:color w:val="000000"/>
                <w:sz w:val="22"/>
                <w:szCs w:val="22"/>
              </w:rPr>
              <w:t>25-30%</w:t>
            </w:r>
          </w:p>
        </w:tc>
        <w:tc>
          <w:tcPr>
            <w:tcW w:w="771" w:type="pct"/>
            <w:vAlign w:val="center"/>
          </w:tcPr>
          <w:p w14:paraId="54ED6901" w14:textId="77777777" w:rsidR="00FA21F6" w:rsidRPr="00FA4DC7" w:rsidRDefault="00FA21F6" w:rsidP="00C75F28">
            <w:pPr>
              <w:jc w:val="right"/>
              <w:rPr>
                <w:rFonts w:cs="Arial"/>
                <w:color w:val="000000"/>
                <w:sz w:val="22"/>
                <w:szCs w:val="22"/>
              </w:rPr>
            </w:pPr>
            <w:r w:rsidRPr="00FA21F6">
              <w:rPr>
                <w:rFonts w:cs="Arial"/>
                <w:color w:val="000000"/>
                <w:sz w:val="22"/>
                <w:szCs w:val="22"/>
              </w:rPr>
              <w:t>5-10%</w:t>
            </w:r>
          </w:p>
        </w:tc>
        <w:tc>
          <w:tcPr>
            <w:tcW w:w="680" w:type="pct"/>
            <w:vAlign w:val="center"/>
          </w:tcPr>
          <w:p w14:paraId="32E22414" w14:textId="77777777" w:rsidR="00FA21F6" w:rsidRPr="00FA4DC7" w:rsidRDefault="00FA21F6" w:rsidP="00C75F28">
            <w:pPr>
              <w:jc w:val="right"/>
              <w:rPr>
                <w:rFonts w:cs="Arial"/>
                <w:color w:val="000000"/>
                <w:sz w:val="22"/>
                <w:szCs w:val="22"/>
              </w:rPr>
            </w:pPr>
            <w:r w:rsidRPr="00FA21F6">
              <w:rPr>
                <w:rFonts w:cs="Arial"/>
                <w:color w:val="000000"/>
                <w:sz w:val="22"/>
                <w:szCs w:val="22"/>
              </w:rPr>
              <w:t>25-30%</w:t>
            </w:r>
          </w:p>
        </w:tc>
      </w:tr>
      <w:tr w:rsidR="00FA21F6" w:rsidRPr="00FA4DC7" w14:paraId="580D24D3" w14:textId="77777777" w:rsidTr="00C75F28">
        <w:tc>
          <w:tcPr>
            <w:tcW w:w="2083" w:type="pct"/>
            <w:shd w:val="clear" w:color="auto" w:fill="auto"/>
            <w:noWrap/>
            <w:vAlign w:val="center"/>
            <w:hideMark/>
          </w:tcPr>
          <w:p w14:paraId="0E86F258" w14:textId="77777777" w:rsidR="00FA21F6" w:rsidRPr="00FA4DC7" w:rsidRDefault="00FA21F6" w:rsidP="00C75F28">
            <w:pPr>
              <w:jc w:val="center"/>
              <w:rPr>
                <w:rFonts w:cs="Arial"/>
                <w:color w:val="000000"/>
                <w:sz w:val="22"/>
                <w:szCs w:val="22"/>
              </w:rPr>
            </w:pPr>
            <w:r w:rsidRPr="00FA4DC7">
              <w:rPr>
                <w:rFonts w:cs="Arial"/>
                <w:color w:val="000000"/>
                <w:sz w:val="22"/>
                <w:szCs w:val="22"/>
              </w:rPr>
              <w:t>4</w:t>
            </w:r>
          </w:p>
        </w:tc>
        <w:tc>
          <w:tcPr>
            <w:tcW w:w="693" w:type="pct"/>
            <w:vAlign w:val="center"/>
          </w:tcPr>
          <w:p w14:paraId="6A0BE292"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c>
          <w:tcPr>
            <w:tcW w:w="772" w:type="pct"/>
            <w:vAlign w:val="center"/>
          </w:tcPr>
          <w:p w14:paraId="64FFFB9D" w14:textId="77777777" w:rsidR="00FA21F6" w:rsidRPr="00FA4DC7" w:rsidRDefault="00FA21F6" w:rsidP="00C75F28">
            <w:pPr>
              <w:jc w:val="right"/>
              <w:rPr>
                <w:rFonts w:cs="Arial"/>
                <w:color w:val="000000"/>
                <w:sz w:val="22"/>
                <w:szCs w:val="22"/>
              </w:rPr>
            </w:pPr>
            <w:r w:rsidRPr="00FA21F6">
              <w:rPr>
                <w:rFonts w:cs="Arial"/>
                <w:color w:val="000000"/>
                <w:sz w:val="22"/>
                <w:szCs w:val="22"/>
              </w:rPr>
              <w:t>20-25%</w:t>
            </w:r>
          </w:p>
        </w:tc>
        <w:tc>
          <w:tcPr>
            <w:tcW w:w="771" w:type="pct"/>
            <w:vAlign w:val="center"/>
          </w:tcPr>
          <w:p w14:paraId="4B64AA8C" w14:textId="77777777" w:rsidR="00FA21F6" w:rsidRPr="00FA4DC7" w:rsidRDefault="00FA21F6" w:rsidP="00C75F28">
            <w:pPr>
              <w:jc w:val="right"/>
              <w:rPr>
                <w:rFonts w:cs="Arial"/>
                <w:color w:val="000000"/>
                <w:sz w:val="22"/>
                <w:szCs w:val="22"/>
              </w:rPr>
            </w:pPr>
            <w:r w:rsidRPr="00FA21F6">
              <w:rPr>
                <w:rFonts w:cs="Arial"/>
                <w:color w:val="000000"/>
                <w:sz w:val="22"/>
                <w:szCs w:val="22"/>
              </w:rPr>
              <w:t>1-5%</w:t>
            </w:r>
          </w:p>
        </w:tc>
        <w:tc>
          <w:tcPr>
            <w:tcW w:w="680" w:type="pct"/>
            <w:vAlign w:val="center"/>
          </w:tcPr>
          <w:p w14:paraId="6FEFA801" w14:textId="77777777" w:rsidR="00FA21F6" w:rsidRPr="00FA4DC7" w:rsidRDefault="00FA21F6" w:rsidP="00C75F28">
            <w:pPr>
              <w:jc w:val="right"/>
              <w:rPr>
                <w:rFonts w:cs="Arial"/>
                <w:color w:val="000000"/>
                <w:sz w:val="22"/>
                <w:szCs w:val="22"/>
              </w:rPr>
            </w:pPr>
            <w:r w:rsidRPr="00FA21F6">
              <w:rPr>
                <w:rFonts w:cs="Arial"/>
                <w:color w:val="000000"/>
                <w:sz w:val="22"/>
                <w:szCs w:val="22"/>
              </w:rPr>
              <w:t>15-20%</w:t>
            </w:r>
          </w:p>
        </w:tc>
      </w:tr>
    </w:tbl>
    <w:p w14:paraId="69BA6F8D" w14:textId="77777777" w:rsidR="00C75F28" w:rsidRDefault="00C75F28" w:rsidP="00C75F28">
      <w:bookmarkStart w:id="45" w:name="_Toc56186759"/>
      <w:bookmarkStart w:id="46" w:name="_Toc56517415"/>
      <w:bookmarkStart w:id="47" w:name="_Toc81317313"/>
    </w:p>
    <w:p w14:paraId="7E5E9B0B" w14:textId="77777777" w:rsidR="00C75F28" w:rsidRDefault="00C75F28">
      <w:pPr>
        <w:rPr>
          <w:rFonts w:cs="Arial"/>
          <w:bCs/>
          <w:iCs/>
          <w:color w:val="006666"/>
          <w:sz w:val="32"/>
          <w:szCs w:val="28"/>
          <w:lang w:eastAsia="en-US"/>
        </w:rPr>
      </w:pPr>
      <w:r>
        <w:rPr>
          <w:rFonts w:cs="Arial"/>
        </w:rPr>
        <w:br w:type="page"/>
      </w:r>
    </w:p>
    <w:p w14:paraId="7578526B" w14:textId="30566B49" w:rsidR="00CE1BDB" w:rsidRPr="00FA4DC7" w:rsidRDefault="00CE1BDB" w:rsidP="00CE1BDB">
      <w:pPr>
        <w:pStyle w:val="Heading2"/>
        <w:ind w:left="0" w:firstLine="0"/>
        <w:rPr>
          <w:rFonts w:cs="Arial"/>
          <w:lang w:val="en-US"/>
        </w:rPr>
      </w:pPr>
      <w:bookmarkStart w:id="48" w:name="_Toc83035629"/>
      <w:r w:rsidRPr="00FA4DC7">
        <w:rPr>
          <w:rFonts w:cs="Arial"/>
        </w:rPr>
        <w:lastRenderedPageBreak/>
        <w:t>The</w:t>
      </w:r>
      <w:r w:rsidRPr="00FA4DC7">
        <w:rPr>
          <w:rFonts w:cs="Arial"/>
          <w:lang w:val="en-US"/>
        </w:rPr>
        <w:t xml:space="preserve"> needs of other groups</w:t>
      </w:r>
      <w:bookmarkEnd w:id="45"/>
      <w:bookmarkEnd w:id="46"/>
      <w:bookmarkEnd w:id="47"/>
      <w:bookmarkEnd w:id="48"/>
    </w:p>
    <w:p w14:paraId="23FEBDA5" w14:textId="77777777" w:rsidR="00CE1BDB" w:rsidRPr="00FA4DC7" w:rsidRDefault="00CE1BDB" w:rsidP="00CE1BDB">
      <w:pPr>
        <w:tabs>
          <w:tab w:val="left" w:pos="709"/>
          <w:tab w:val="left" w:pos="1418"/>
        </w:tabs>
        <w:spacing w:before="120" w:after="120"/>
        <w:rPr>
          <w:rFonts w:cs="Arial"/>
        </w:rPr>
      </w:pPr>
      <w:r w:rsidRPr="00FA4DC7">
        <w:rPr>
          <w:rFonts w:cs="Arial"/>
        </w:rPr>
        <w:t>Particular needs which have been identified in the LHNA are:</w:t>
      </w:r>
    </w:p>
    <w:p w14:paraId="7EBE36A2" w14:textId="77777777" w:rsidR="00CE1BDB" w:rsidRPr="00FA4DC7" w:rsidRDefault="00CE1BDB" w:rsidP="00CE1BDB">
      <w:pPr>
        <w:pStyle w:val="bullet"/>
        <w:ind w:left="360"/>
        <w:rPr>
          <w:rFonts w:cs="Arial"/>
        </w:rPr>
      </w:pPr>
      <w:r w:rsidRPr="00FA4DC7">
        <w:rPr>
          <w:rFonts w:cs="Arial"/>
        </w:rPr>
        <w:t xml:space="preserve">Increasing and diversifying the supply of specialist housing for older people. There is a need for 1,189 more units of accommodation for older people by 2037 including sheltered/retirement, Extra Care </w:t>
      </w:r>
      <w:proofErr w:type="gramStart"/>
      <w:r w:rsidRPr="00FA4DC7">
        <w:rPr>
          <w:rFonts w:cs="Arial"/>
        </w:rPr>
        <w:t>and  co</w:t>
      </w:r>
      <w:proofErr w:type="gramEnd"/>
      <w:r w:rsidRPr="00FA4DC7">
        <w:rPr>
          <w:rFonts w:cs="Arial"/>
        </w:rPr>
        <w:t>-housing (753 or 47 each year) and 436 units of residential care accommodation (27 each year).</w:t>
      </w:r>
    </w:p>
    <w:p w14:paraId="6242E0EE" w14:textId="77777777" w:rsidR="00CE1BDB" w:rsidRPr="00FA4DC7" w:rsidRDefault="00CE1BDB" w:rsidP="00CE1BDB">
      <w:pPr>
        <w:pStyle w:val="bullet"/>
        <w:ind w:left="360"/>
        <w:rPr>
          <w:rFonts w:cs="Arial"/>
        </w:rPr>
      </w:pPr>
      <w:r w:rsidRPr="00FA4DC7">
        <w:rPr>
          <w:rFonts w:cs="Arial"/>
        </w:rPr>
        <w:t xml:space="preserve">Based on an assessment of additional needs and longer-term demographics, 5% of new dwellings (79 each year) should be built to M4(3) wheelchair accessible standard; and all other new dwellings </w:t>
      </w:r>
      <w:r w:rsidRPr="00FA4DC7">
        <w:rPr>
          <w:rFonts w:cs="Arial"/>
          <w:shd w:val="clear" w:color="auto" w:fill="FFFFFF"/>
        </w:rPr>
        <w:t>should be built to M4(2) accessible and adaptable standard.</w:t>
      </w:r>
    </w:p>
    <w:p w14:paraId="3ABC02DF" w14:textId="77777777" w:rsidR="00CE1BDB" w:rsidRPr="00FA4DC7" w:rsidRDefault="00CE1BDB" w:rsidP="00CE1BDB">
      <w:pPr>
        <w:pStyle w:val="bullet"/>
        <w:ind w:left="360"/>
        <w:rPr>
          <w:rFonts w:cs="Arial"/>
        </w:rPr>
      </w:pPr>
      <w:bookmarkStart w:id="49" w:name="_Toc430084547"/>
      <w:bookmarkStart w:id="50" w:name="_Toc430782002"/>
      <w:bookmarkStart w:id="51" w:name="_Toc529651960"/>
      <w:bookmarkStart w:id="52" w:name="_Toc768325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FA4DC7">
        <w:rPr>
          <w:rFonts w:cs="Arial"/>
        </w:rPr>
        <w:t xml:space="preserve">The Medway 2016/17 Medway Market Position Statement (MPS) sets out a series of priorities for accommodation and support for older people and those with additional needs. These include: </w:t>
      </w:r>
    </w:p>
    <w:p w14:paraId="59C6FAE1" w14:textId="77777777" w:rsidR="00CE1BDB" w:rsidRPr="00FA4DC7" w:rsidRDefault="00CE1BDB" w:rsidP="00C75F28">
      <w:pPr>
        <w:pStyle w:val="bulletlevel2"/>
        <w:ind w:left="720"/>
      </w:pPr>
      <w:r w:rsidRPr="00FA4DC7">
        <w:t xml:space="preserve">a spectrum of housing and support of older people and specialist provision for those with </w:t>
      </w:r>
      <w:proofErr w:type="gramStart"/>
      <w:r w:rsidRPr="00FA4DC7">
        <w:t>dementia;</w:t>
      </w:r>
      <w:proofErr w:type="gramEnd"/>
    </w:p>
    <w:p w14:paraId="419369B9" w14:textId="77777777" w:rsidR="00CE1BDB" w:rsidRPr="00FA4DC7" w:rsidRDefault="00CE1BDB" w:rsidP="00C75F28">
      <w:pPr>
        <w:pStyle w:val="bulletlevel2"/>
        <w:ind w:left="720"/>
      </w:pPr>
      <w:r w:rsidRPr="00FA4DC7">
        <w:t>nursing care for those with complex needs, short-term stays for people leaving hospital, reablement and end of life care.</w:t>
      </w:r>
    </w:p>
    <w:p w14:paraId="250BEB1D" w14:textId="77777777" w:rsidR="00CE1BDB" w:rsidRPr="00FA4DC7" w:rsidRDefault="00CE1BDB" w:rsidP="00CE1BDB">
      <w:pPr>
        <w:pStyle w:val="Reporttext"/>
        <w:numPr>
          <w:ilvl w:val="0"/>
          <w:numId w:val="0"/>
        </w:numPr>
        <w:tabs>
          <w:tab w:val="left" w:pos="0"/>
          <w:tab w:val="left" w:pos="1418"/>
        </w:tabs>
        <w:rPr>
          <w:rFonts w:cs="Arial"/>
          <w:highlight w:val="yellow"/>
        </w:rPr>
      </w:pPr>
      <w:r w:rsidRPr="00FA4DC7">
        <w:rPr>
          <w:rFonts w:cs="Arial"/>
          <w:color w:val="000000" w:themeColor="text1"/>
        </w:rPr>
        <w:t>Note that there is overlap between affordable, specialist older person and M4(3) need, so for instance the development of an older person’s level access, wheelchair accessible affordable dwelling would help address three aspects of housing need.</w:t>
      </w:r>
    </w:p>
    <w:p w14:paraId="55477E1E" w14:textId="77777777" w:rsidR="00CE1BDB" w:rsidRPr="00FA4DC7" w:rsidRDefault="00CE1BDB" w:rsidP="00CE1BDB">
      <w:pPr>
        <w:tabs>
          <w:tab w:val="left" w:pos="0"/>
          <w:tab w:val="left" w:pos="709"/>
          <w:tab w:val="left" w:pos="1418"/>
        </w:tabs>
        <w:rPr>
          <w:rFonts w:cs="Arial"/>
          <w:highlight w:val="yellow"/>
          <w:shd w:val="clear" w:color="auto" w:fill="FFFFFF"/>
        </w:rPr>
      </w:pPr>
    </w:p>
    <w:p w14:paraId="32BE22C9" w14:textId="77777777" w:rsidR="00CE1BDB" w:rsidRPr="00FA4DC7" w:rsidRDefault="00CE1BDB" w:rsidP="00CE1BDB">
      <w:pPr>
        <w:tabs>
          <w:tab w:val="left" w:pos="0"/>
          <w:tab w:val="left" w:pos="709"/>
          <w:tab w:val="left" w:pos="1418"/>
        </w:tabs>
        <w:rPr>
          <w:rFonts w:cs="Arial"/>
          <w:bCs/>
          <w:color w:val="009999"/>
          <w:kern w:val="32"/>
          <w:sz w:val="40"/>
          <w:szCs w:val="28"/>
          <w:highlight w:val="yellow"/>
        </w:rPr>
      </w:pPr>
      <w:r w:rsidRPr="00FA4DC7">
        <w:rPr>
          <w:rFonts w:cs="Arial"/>
          <w:highlight w:val="yellow"/>
        </w:rPr>
        <w:br w:type="page"/>
      </w:r>
    </w:p>
    <w:p w14:paraId="43494359" w14:textId="77777777" w:rsidR="00CE1BDB" w:rsidRPr="00FA4DC7" w:rsidRDefault="00CE1BDB" w:rsidP="00CE1BDB">
      <w:pPr>
        <w:pStyle w:val="Heading1"/>
        <w:tabs>
          <w:tab w:val="left" w:pos="0"/>
          <w:tab w:val="left" w:pos="709"/>
          <w:tab w:val="left" w:pos="1418"/>
        </w:tabs>
        <w:rPr>
          <w:rFonts w:cs="Arial"/>
        </w:rPr>
      </w:pPr>
      <w:bookmarkStart w:id="53" w:name="_Toc83035630"/>
      <w:r w:rsidRPr="00FA4DC7">
        <w:rPr>
          <w:rFonts w:cs="Arial"/>
        </w:rPr>
        <w:lastRenderedPageBreak/>
        <w:t>Introduction</w:t>
      </w:r>
      <w:bookmarkEnd w:id="49"/>
      <w:bookmarkEnd w:id="50"/>
      <w:bookmarkEnd w:id="51"/>
      <w:bookmarkEnd w:id="52"/>
      <w:bookmarkEnd w:id="53"/>
    </w:p>
    <w:p w14:paraId="6CA98E5D" w14:textId="77777777" w:rsidR="00CE1BDB" w:rsidRPr="00FA4DC7" w:rsidRDefault="00CE1BDB" w:rsidP="00CE1BDB">
      <w:pPr>
        <w:pStyle w:val="Heading2"/>
        <w:tabs>
          <w:tab w:val="left" w:pos="0"/>
          <w:tab w:val="left" w:pos="709"/>
          <w:tab w:val="left" w:pos="1418"/>
        </w:tabs>
        <w:rPr>
          <w:rFonts w:cs="Arial"/>
        </w:rPr>
      </w:pPr>
      <w:bookmarkStart w:id="54" w:name="_Toc529651961"/>
      <w:bookmarkStart w:id="55" w:name="_Toc7683255"/>
      <w:bookmarkStart w:id="56" w:name="_Toc83035631"/>
      <w:bookmarkStart w:id="57" w:name="_Toc225941488"/>
      <w:bookmarkStart w:id="58" w:name="_Toc399864320"/>
      <w:bookmarkStart w:id="59" w:name="_Toc430084548"/>
      <w:bookmarkStart w:id="60" w:name="_Toc430782003"/>
      <w:r w:rsidRPr="00FA4DC7">
        <w:rPr>
          <w:rFonts w:cs="Arial"/>
        </w:rPr>
        <w:t>Background</w:t>
      </w:r>
      <w:r w:rsidRPr="00FA4DC7">
        <w:rPr>
          <w:rFonts w:cs="Arial"/>
          <w:lang w:val="en-US"/>
        </w:rPr>
        <w:t>, aims and objectives</w:t>
      </w:r>
      <w:bookmarkEnd w:id="54"/>
      <w:bookmarkEnd w:id="55"/>
      <w:bookmarkEnd w:id="56"/>
      <w:r w:rsidRPr="00FA4DC7">
        <w:rPr>
          <w:rFonts w:cs="Arial"/>
        </w:rPr>
        <w:t xml:space="preserve"> </w:t>
      </w:r>
      <w:bookmarkEnd w:id="57"/>
      <w:bookmarkEnd w:id="58"/>
      <w:bookmarkEnd w:id="59"/>
      <w:bookmarkEnd w:id="60"/>
    </w:p>
    <w:p w14:paraId="3FC7683E"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 Medway Local Housing Needs Assessment (LHNA) 2021 provides up to date evidence to inform the strategies, policies and decisions of the council and its partners. </w:t>
      </w:r>
    </w:p>
    <w:p w14:paraId="5FF6E013"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 overarching aim of the study is to inform the production and review of the Local Plan and housing strategies by providing robust evidence of housing needs of Medway. The evidence may also be used as a measurement on which five-year housing land supply and Housing Delivery Test calculations are based. </w:t>
      </w:r>
    </w:p>
    <w:p w14:paraId="1CFF12AB" w14:textId="77777777" w:rsidR="00CE1BDB" w:rsidRPr="00FA4DC7" w:rsidRDefault="00CE1BDB" w:rsidP="00CE1BDB">
      <w:pPr>
        <w:pStyle w:val="Reporttext"/>
        <w:tabs>
          <w:tab w:val="left" w:pos="0"/>
          <w:tab w:val="left" w:pos="709"/>
          <w:tab w:val="left" w:pos="1418"/>
        </w:tabs>
        <w:rPr>
          <w:rFonts w:cs="Arial"/>
        </w:rPr>
      </w:pPr>
      <w:r w:rsidRPr="00FA4DC7">
        <w:rPr>
          <w:rFonts w:cs="Arial"/>
        </w:rPr>
        <w:t>The assessment considers future housing need across all sections of the community over the period 2021 to 2040.</w:t>
      </w:r>
    </w:p>
    <w:p w14:paraId="007BF4D4" w14:textId="77777777" w:rsidR="00CE1BDB" w:rsidRPr="00FA4DC7" w:rsidRDefault="00CE1BDB" w:rsidP="00CE1BDB">
      <w:pPr>
        <w:tabs>
          <w:tab w:val="left" w:pos="0"/>
          <w:tab w:val="left" w:pos="709"/>
          <w:tab w:val="left" w:pos="1418"/>
        </w:tabs>
        <w:rPr>
          <w:rFonts w:cs="Arial"/>
          <w:highlight w:val="yellow"/>
        </w:rPr>
      </w:pPr>
    </w:p>
    <w:p w14:paraId="051AB91D" w14:textId="77777777" w:rsidR="00CE1BDB" w:rsidRPr="00FA4DC7" w:rsidRDefault="00CE1BDB" w:rsidP="00CE1BDB">
      <w:pPr>
        <w:pStyle w:val="Heading2"/>
        <w:rPr>
          <w:rFonts w:cs="Arial"/>
        </w:rPr>
      </w:pPr>
      <w:bookmarkStart w:id="61" w:name="_Toc46497054"/>
      <w:bookmarkStart w:id="62" w:name="_Toc83035632"/>
      <w:bookmarkStart w:id="63" w:name="_Toc426455390"/>
      <w:bookmarkStart w:id="64" w:name="_Toc311318523"/>
      <w:bookmarkStart w:id="65" w:name="_Toc315343300"/>
      <w:bookmarkStart w:id="66" w:name="_Toc435447732"/>
      <w:bookmarkStart w:id="67" w:name="_Toc490775577"/>
      <w:r w:rsidRPr="00FA4DC7">
        <w:rPr>
          <w:rFonts w:cs="Arial"/>
        </w:rPr>
        <w:t>National Planning Policy Framework</w:t>
      </w:r>
      <w:bookmarkEnd w:id="61"/>
      <w:bookmarkEnd w:id="62"/>
    </w:p>
    <w:p w14:paraId="6D3C41F2" w14:textId="77777777" w:rsidR="00CE1BDB" w:rsidRPr="00FA4DC7" w:rsidRDefault="00CE1BDB" w:rsidP="00CE1BDB">
      <w:pPr>
        <w:pStyle w:val="Reporttext"/>
        <w:tabs>
          <w:tab w:val="clear" w:pos="2128"/>
          <w:tab w:val="left" w:pos="0"/>
          <w:tab w:val="left" w:pos="709"/>
          <w:tab w:val="left" w:pos="1418"/>
          <w:tab w:val="num" w:pos="2129"/>
        </w:tabs>
        <w:rPr>
          <w:rFonts w:cs="Arial"/>
        </w:rPr>
      </w:pPr>
      <w:r w:rsidRPr="00FA4DC7">
        <w:rPr>
          <w:rFonts w:cs="Arial"/>
        </w:rPr>
        <w:t xml:space="preserve">The evidence base needs to take account of the requirements of the National Planning Policy Framework (NPPF). The latest version was published in July 2021 and supported by Planning Practice Guidance (PPG). The NPPF 2021 sets out the government’s planning policies for England and how these are expected to be applied. Paragraph 11 of the NPPF states that plans, and decisions should apply a </w:t>
      </w:r>
      <w:r w:rsidRPr="00FA4DC7">
        <w:rPr>
          <w:rFonts w:cs="Arial"/>
          <w:i/>
          <w:iCs/>
        </w:rPr>
        <w:t>‘presumption in favour of sustainable development’</w:t>
      </w:r>
      <w:r w:rsidRPr="00FA4DC7">
        <w:rPr>
          <w:rFonts w:cs="Arial"/>
        </w:rPr>
        <w:t xml:space="preserve">. As part of this, in relation to plan-making, it sets out that this means </w:t>
      </w:r>
      <w:r w:rsidRPr="00FA4DC7">
        <w:rPr>
          <w:rFonts w:cs="Arial"/>
          <w:i/>
          <w:iCs/>
        </w:rPr>
        <w:t>that ‘strategic policies should, as a minimum, provide for objectively assessed needs for housing…’</w:t>
      </w:r>
      <w:r w:rsidRPr="00FA4DC7">
        <w:rPr>
          <w:rFonts w:cs="Arial"/>
        </w:rPr>
        <w:t>.</w:t>
      </w:r>
    </w:p>
    <w:p w14:paraId="3BBAD025" w14:textId="77777777" w:rsidR="00CE1BDB" w:rsidRPr="00FA4DC7" w:rsidRDefault="00CE1BDB" w:rsidP="00CE1BDB">
      <w:pPr>
        <w:pStyle w:val="Reporttext"/>
        <w:tabs>
          <w:tab w:val="clear" w:pos="2128"/>
          <w:tab w:val="left" w:pos="0"/>
          <w:tab w:val="left" w:pos="709"/>
          <w:tab w:val="left" w:pos="1418"/>
          <w:tab w:val="num" w:pos="2129"/>
        </w:tabs>
        <w:rPr>
          <w:rFonts w:cs="Arial"/>
        </w:rPr>
      </w:pPr>
      <w:r w:rsidRPr="00FA4DC7">
        <w:rPr>
          <w:rFonts w:cs="Arial"/>
        </w:rPr>
        <w:t xml:space="preserve">Paragraph 60 provides an important context to the policy for housing delivery, as follows: </w:t>
      </w:r>
    </w:p>
    <w:p w14:paraId="08CFFAFB" w14:textId="77777777" w:rsidR="00CE1BDB" w:rsidRPr="00FA4DC7" w:rsidRDefault="00CE1BDB" w:rsidP="00CE1BDB">
      <w:pPr>
        <w:ind w:left="709"/>
        <w:rPr>
          <w:rFonts w:cs="Arial"/>
          <w:b/>
          <w:bCs/>
        </w:rPr>
      </w:pPr>
      <w:r w:rsidRPr="00FA4DC7">
        <w:rPr>
          <w:rFonts w:cs="Arial"/>
          <w:b/>
          <w:bCs/>
        </w:rPr>
        <w:t>‘To support the Government’s objective of significantly boosting the supply of homes, it is important that a sufficient amount and variety of land can come forward where it is needed, that the needs of groups with specific housing requirements are addressed and that land with permission is developed without unnecessary delay’</w:t>
      </w:r>
    </w:p>
    <w:p w14:paraId="2DDC1300" w14:textId="77777777" w:rsidR="00CE1BDB" w:rsidRPr="00FA4DC7" w:rsidRDefault="00CE1BDB" w:rsidP="00CE1BDB">
      <w:pPr>
        <w:pStyle w:val="Reporttext"/>
        <w:tabs>
          <w:tab w:val="clear" w:pos="2128"/>
          <w:tab w:val="left" w:pos="0"/>
          <w:tab w:val="left" w:pos="709"/>
          <w:tab w:val="left" w:pos="1418"/>
          <w:tab w:val="num" w:pos="2129"/>
        </w:tabs>
        <w:rPr>
          <w:rFonts w:cs="Arial"/>
          <w:i/>
          <w:iCs/>
        </w:rPr>
      </w:pPr>
      <w:r w:rsidRPr="00FA4DC7">
        <w:rPr>
          <w:rFonts w:cs="Arial"/>
        </w:rPr>
        <w:t xml:space="preserve">Paragraphs 61 </w:t>
      </w:r>
      <w:proofErr w:type="gramStart"/>
      <w:r w:rsidRPr="00FA4DC7">
        <w:rPr>
          <w:rFonts w:cs="Arial"/>
        </w:rPr>
        <w:t>to  63</w:t>
      </w:r>
      <w:proofErr w:type="gramEnd"/>
      <w:r w:rsidRPr="00FA4DC7">
        <w:rPr>
          <w:rFonts w:cs="Arial"/>
        </w:rPr>
        <w:t xml:space="preserve"> relate to the evidence base requirements which underpin this study:</w:t>
      </w:r>
    </w:p>
    <w:p w14:paraId="6ED1BA18" w14:textId="4D48E5FC" w:rsidR="00CE1BDB" w:rsidRPr="00FA4DC7" w:rsidRDefault="00CE1BDB" w:rsidP="00C75F28">
      <w:pPr>
        <w:pStyle w:val="Reporttext"/>
        <w:numPr>
          <w:ilvl w:val="0"/>
          <w:numId w:val="0"/>
        </w:numPr>
        <w:tabs>
          <w:tab w:val="left" w:pos="0"/>
          <w:tab w:val="left" w:pos="709"/>
          <w:tab w:val="left" w:pos="1418"/>
        </w:tabs>
        <w:ind w:left="709"/>
        <w:rPr>
          <w:rFonts w:cs="Arial"/>
        </w:rPr>
      </w:pPr>
      <w:r w:rsidRPr="00FA4DC7">
        <w:rPr>
          <w:rFonts w:cs="Arial"/>
        </w:rPr>
        <w:t xml:space="preserve">Paragraph 61: </w:t>
      </w:r>
      <w:r w:rsidRPr="00FA4DC7">
        <w:rPr>
          <w:rFonts w:cs="Arial"/>
          <w:b/>
          <w:bCs/>
        </w:rPr>
        <w:t xml:space="preserve">’To determine the minimum number of homes needed, strategic policies should be informed by a local housing need assessment, conducted using the standard method in national planning guidance – unless exceptional circumstances justify an alternative approach which also reflects current and future demographic trends and market signals. In addition to the local housing need figure, any needs that cannot be met within neighbouring areas should also be </w:t>
      </w:r>
      <w:proofErr w:type="gramStart"/>
      <w:r w:rsidRPr="00FA4DC7">
        <w:rPr>
          <w:rFonts w:cs="Arial"/>
          <w:b/>
          <w:bCs/>
        </w:rPr>
        <w:t>taken into account</w:t>
      </w:r>
      <w:proofErr w:type="gramEnd"/>
      <w:r w:rsidRPr="00FA4DC7">
        <w:rPr>
          <w:rFonts w:cs="Arial"/>
          <w:b/>
          <w:bCs/>
        </w:rPr>
        <w:t xml:space="preserve"> in establishing the amount of housing to be planned for.’</w:t>
      </w:r>
    </w:p>
    <w:p w14:paraId="7EDD156A" w14:textId="597B7322" w:rsidR="00CE1BDB" w:rsidRPr="00FA4DC7" w:rsidRDefault="00CE1BDB" w:rsidP="00C75F28">
      <w:pPr>
        <w:pStyle w:val="Reporttext"/>
        <w:numPr>
          <w:ilvl w:val="0"/>
          <w:numId w:val="0"/>
        </w:numPr>
        <w:tabs>
          <w:tab w:val="left" w:pos="0"/>
          <w:tab w:val="left" w:pos="1418"/>
        </w:tabs>
        <w:ind w:left="709"/>
        <w:rPr>
          <w:rFonts w:cs="Arial"/>
        </w:rPr>
      </w:pPr>
      <w:r w:rsidRPr="00FA4DC7">
        <w:rPr>
          <w:rFonts w:cs="Arial"/>
        </w:rPr>
        <w:t xml:space="preserve">Paragraph 62: </w:t>
      </w:r>
      <w:r w:rsidRPr="00FA4DC7">
        <w:rPr>
          <w:rFonts w:cs="Arial"/>
          <w:b/>
          <w:bCs/>
        </w:rPr>
        <w:t xml:space="preserve">‘Within this context, the size, type and tenure of housing need for different groups in the community, should be assessed and reflected in planning policies including but not limited to: those who require affordable housing; families with children; older </w:t>
      </w:r>
      <w:proofErr w:type="gramStart"/>
      <w:r w:rsidRPr="00FA4DC7">
        <w:rPr>
          <w:rFonts w:cs="Arial"/>
          <w:b/>
          <w:bCs/>
        </w:rPr>
        <w:t xml:space="preserve">people;  </w:t>
      </w:r>
      <w:r w:rsidRPr="00FA4DC7">
        <w:rPr>
          <w:rFonts w:cs="Arial"/>
          <w:b/>
          <w:bCs/>
        </w:rPr>
        <w:lastRenderedPageBreak/>
        <w:t>students</w:t>
      </w:r>
      <w:proofErr w:type="gramEnd"/>
      <w:r w:rsidRPr="00FA4DC7">
        <w:rPr>
          <w:rFonts w:cs="Arial"/>
          <w:b/>
          <w:bCs/>
        </w:rPr>
        <w:t>; people with disabilities; service families; travellers; people who rent their homes; and people wishing to commission or build their own homes.’</w:t>
      </w:r>
    </w:p>
    <w:p w14:paraId="028B7687" w14:textId="51C8D6DA" w:rsidR="00CE1BDB" w:rsidRPr="00FA4DC7" w:rsidRDefault="00CE1BDB" w:rsidP="00C75F28">
      <w:pPr>
        <w:pStyle w:val="Reporttext"/>
        <w:numPr>
          <w:ilvl w:val="0"/>
          <w:numId w:val="0"/>
        </w:numPr>
        <w:tabs>
          <w:tab w:val="left" w:pos="0"/>
          <w:tab w:val="left" w:pos="1418"/>
        </w:tabs>
        <w:ind w:left="709"/>
        <w:rPr>
          <w:rFonts w:cs="Arial"/>
          <w:b/>
          <w:bCs/>
        </w:rPr>
      </w:pPr>
      <w:r w:rsidRPr="00FA4DC7">
        <w:rPr>
          <w:rFonts w:cs="Arial"/>
        </w:rPr>
        <w:t xml:space="preserve">Paragraph 63: </w:t>
      </w:r>
      <w:r w:rsidRPr="00FA4DC7">
        <w:rPr>
          <w:rFonts w:cs="Arial"/>
          <w:b/>
          <w:bCs/>
        </w:rPr>
        <w:t>‘where a need for affordable housing is identified, planning policies should specify the type of affordable housing required’.</w:t>
      </w:r>
    </w:p>
    <w:p w14:paraId="3B4EC5A0" w14:textId="77777777" w:rsidR="00CE1BDB" w:rsidRPr="00FA4DC7" w:rsidRDefault="00CE1BDB" w:rsidP="00CE1BDB">
      <w:pPr>
        <w:pStyle w:val="Reporttext"/>
        <w:tabs>
          <w:tab w:val="left" w:pos="0"/>
          <w:tab w:val="left" w:pos="709"/>
          <w:tab w:val="left" w:pos="1418"/>
        </w:tabs>
        <w:rPr>
          <w:rFonts w:cs="Arial"/>
          <w:b/>
          <w:bCs/>
        </w:rPr>
      </w:pPr>
      <w:r w:rsidRPr="00FA4DC7">
        <w:rPr>
          <w:rFonts w:cs="Arial"/>
        </w:rPr>
        <w:t>Paragraph 65 requires that:</w:t>
      </w:r>
      <w:r w:rsidRPr="00FA4DC7">
        <w:rPr>
          <w:rFonts w:cs="Arial"/>
          <w:i/>
          <w:iCs/>
        </w:rPr>
        <w:t xml:space="preserve"> </w:t>
      </w:r>
      <w:r w:rsidRPr="00FA4DC7">
        <w:rPr>
          <w:rFonts w:cs="Arial"/>
          <w:b/>
          <w:bCs/>
        </w:rPr>
        <w:t>‘strategic policy-making authorities should establish a housing requirement figure for their whole area, which shows the extent to which their identified housing need (and any needs that cannot be met within neighbouring areas) can be met over the plan period. Within this overall requirement, strategic policies should set out a housing requirement for designated neighbourhood areas which reflects the overall strategy for the pattern and scale of development and any relevant allocations.’</w:t>
      </w:r>
    </w:p>
    <w:p w14:paraId="580067E3" w14:textId="77777777" w:rsidR="00CE1BDB" w:rsidRPr="00FA4DC7" w:rsidRDefault="00CE1BDB" w:rsidP="00CE1BDB">
      <w:pPr>
        <w:pStyle w:val="Reporttext"/>
        <w:tabs>
          <w:tab w:val="clear" w:pos="2128"/>
          <w:tab w:val="left" w:pos="0"/>
          <w:tab w:val="left" w:pos="709"/>
          <w:tab w:val="left" w:pos="1418"/>
          <w:tab w:val="num" w:pos="2129"/>
        </w:tabs>
        <w:rPr>
          <w:rFonts w:cs="Arial"/>
        </w:rPr>
      </w:pPr>
      <w:r w:rsidRPr="00FA4DC7">
        <w:rPr>
          <w:rFonts w:cs="Arial"/>
        </w:rPr>
        <w:t xml:space="preserve">The Localism Act 2010 introduced the ‘Duty to Co-operate’ as a replacement for Regional Spatial Strategy and this requirement is also established in National Planning Policy (NPPF 2019, Paragraphs 24-27). Section 110 requires local authorities and other bodies, including Local Enterprise Partnerships to co-operate in maximising the effectiveness of strategic matters within development plan documents. The provision of housing development is a strategic </w:t>
      </w:r>
      <w:proofErr w:type="gramStart"/>
      <w:r w:rsidRPr="00FA4DC7">
        <w:rPr>
          <w:rFonts w:cs="Arial"/>
        </w:rPr>
        <w:t>priority</w:t>
      </w:r>
      <w:proofErr w:type="gramEnd"/>
      <w:r w:rsidRPr="00FA4DC7">
        <w:rPr>
          <w:rFonts w:cs="Arial"/>
        </w:rPr>
        <w:t xml:space="preserve"> and the council will have to ensure that it is legally compliant with the Localism Act at Local Plan examination. </w:t>
      </w:r>
    </w:p>
    <w:p w14:paraId="229E5B5D" w14:textId="77777777" w:rsidR="00CE1BDB" w:rsidRPr="00FA4DC7" w:rsidRDefault="00CE1BDB" w:rsidP="00CE1BDB">
      <w:pPr>
        <w:pStyle w:val="Reporttext"/>
        <w:tabs>
          <w:tab w:val="clear" w:pos="2128"/>
          <w:tab w:val="left" w:pos="0"/>
          <w:tab w:val="left" w:pos="709"/>
          <w:tab w:val="left" w:pos="1418"/>
          <w:tab w:val="num" w:pos="2129"/>
        </w:tabs>
        <w:rPr>
          <w:rFonts w:cs="Arial"/>
        </w:rPr>
      </w:pPr>
      <w:r w:rsidRPr="00FA4DC7">
        <w:rPr>
          <w:rFonts w:cs="Arial"/>
        </w:rPr>
        <w:t xml:space="preserve">The NPPF 2021 sets out affordable housing definitions which are presented at Technical Appendix A. </w:t>
      </w:r>
      <w:bookmarkEnd w:id="63"/>
      <w:bookmarkEnd w:id="64"/>
      <w:bookmarkEnd w:id="65"/>
      <w:bookmarkEnd w:id="66"/>
      <w:bookmarkEnd w:id="67"/>
    </w:p>
    <w:p w14:paraId="3023C7D7" w14:textId="77777777" w:rsidR="00CE1BDB" w:rsidRPr="00FA4DC7" w:rsidRDefault="00CE1BDB" w:rsidP="00CE1BDB">
      <w:pPr>
        <w:rPr>
          <w:rFonts w:cs="Arial"/>
        </w:rPr>
      </w:pPr>
    </w:p>
    <w:p w14:paraId="67B660C4" w14:textId="77777777" w:rsidR="00CE1BDB" w:rsidRPr="00FA4DC7" w:rsidRDefault="00CE1BDB" w:rsidP="00CE1BDB">
      <w:pPr>
        <w:pStyle w:val="Heading2"/>
        <w:tabs>
          <w:tab w:val="left" w:pos="0"/>
          <w:tab w:val="left" w:pos="709"/>
          <w:tab w:val="left" w:pos="1418"/>
        </w:tabs>
        <w:rPr>
          <w:rFonts w:cs="Arial"/>
        </w:rPr>
      </w:pPr>
      <w:bookmarkStart w:id="68" w:name="_Toc83035633"/>
      <w:r w:rsidRPr="00FA4DC7">
        <w:rPr>
          <w:rFonts w:cs="Arial"/>
        </w:rPr>
        <w:t>Local context</w:t>
      </w:r>
      <w:bookmarkEnd w:id="68"/>
    </w:p>
    <w:p w14:paraId="5AAB1AFD" w14:textId="77777777" w:rsidR="00CE1BDB" w:rsidRPr="00FA4DC7" w:rsidRDefault="00CE1BDB" w:rsidP="00CE1BDB">
      <w:pPr>
        <w:pStyle w:val="Reporttext"/>
        <w:tabs>
          <w:tab w:val="left" w:pos="0"/>
          <w:tab w:val="left" w:pos="709"/>
          <w:tab w:val="left" w:pos="1418"/>
        </w:tabs>
        <w:rPr>
          <w:rFonts w:cs="Arial"/>
          <w:shd w:val="clear" w:color="auto" w:fill="FFFFFF"/>
        </w:rPr>
      </w:pPr>
      <w:r w:rsidRPr="00FA4DC7">
        <w:rPr>
          <w:rFonts w:cs="Arial"/>
        </w:rPr>
        <w:t>Gravesham Borough Council and Medway Council (the Councils) have a history of joint working and commissioning of evidence to support respective Local Plans.</w:t>
      </w:r>
    </w:p>
    <w:p w14:paraId="7137494E" w14:textId="77777777" w:rsidR="00CE1BDB" w:rsidRPr="00FA4DC7" w:rsidRDefault="00CE1BDB" w:rsidP="00CE1BDB">
      <w:pPr>
        <w:pStyle w:val="Reporttext"/>
        <w:tabs>
          <w:tab w:val="left" w:pos="709"/>
          <w:tab w:val="left" w:pos="1418"/>
        </w:tabs>
        <w:rPr>
          <w:rFonts w:cs="Arial"/>
          <w:shd w:val="clear" w:color="auto" w:fill="FFFFFF"/>
        </w:rPr>
      </w:pPr>
      <w:r w:rsidRPr="00FA4DC7">
        <w:rPr>
          <w:rFonts w:cs="Arial"/>
          <w:color w:val="242424"/>
        </w:rPr>
        <w:t>Medway Council is currently working on a new Local Plan for publication in 2021</w:t>
      </w:r>
      <w:proofErr w:type="gramStart"/>
      <w:r w:rsidRPr="00FA4DC7">
        <w:rPr>
          <w:rFonts w:cs="Arial"/>
          <w:color w:val="242424"/>
        </w:rPr>
        <w:t>, ,</w:t>
      </w:r>
      <w:proofErr w:type="gramEnd"/>
      <w:r w:rsidRPr="00FA4DC7">
        <w:rPr>
          <w:rFonts w:cs="Arial"/>
          <w:color w:val="242424"/>
        </w:rPr>
        <w:t xml:space="preserve"> which will replace the 2003 Medway Local Plan. The plan will cover the period up to 2037 providing for the number of homes and jobs and supporting infrastructure such as transport, health facilities and parks that the area and its growing population need over time. Subject to outcomes of an independent examination by a planning inspector, Medway's Local Plan should be adopted in 2022.</w:t>
      </w:r>
    </w:p>
    <w:p w14:paraId="710416AA" w14:textId="77777777" w:rsidR="00CE1BDB" w:rsidRPr="00FA4DC7" w:rsidRDefault="00CE1BDB" w:rsidP="00CE1BDB">
      <w:pPr>
        <w:pStyle w:val="Reporttext"/>
        <w:tabs>
          <w:tab w:val="left" w:pos="709"/>
          <w:tab w:val="left" w:pos="1418"/>
        </w:tabs>
        <w:rPr>
          <w:rFonts w:cs="Arial"/>
          <w:shd w:val="clear" w:color="auto" w:fill="FFFFFF"/>
        </w:rPr>
      </w:pPr>
      <w:r w:rsidRPr="00FA4DC7">
        <w:rPr>
          <w:rFonts w:cs="Arial"/>
          <w:color w:val="242424"/>
        </w:rPr>
        <w:t>As part of the plan making process at ‘Regulation 18’ the council prepared a Development Strategy formal consultation document in 2018.  The document set out the ambitions for the plan, options for how Medway could grow and draft policies for managing development, building on work carried out at previous stages of consultation on Medway’s emerging Local Plan.</w:t>
      </w:r>
    </w:p>
    <w:p w14:paraId="44E67629" w14:textId="77777777" w:rsidR="00CE1BDB" w:rsidRPr="00FA4DC7" w:rsidRDefault="00CE1BDB" w:rsidP="00CE1BDB">
      <w:pPr>
        <w:pStyle w:val="Reporttext"/>
        <w:tabs>
          <w:tab w:val="left" w:pos="709"/>
          <w:tab w:val="left" w:pos="1418"/>
        </w:tabs>
        <w:rPr>
          <w:rFonts w:cs="Arial"/>
          <w:shd w:val="clear" w:color="auto" w:fill="FFFFFF"/>
        </w:rPr>
      </w:pPr>
      <w:r w:rsidRPr="00FA4DC7">
        <w:rPr>
          <w:rFonts w:cs="Arial"/>
          <w:color w:val="242424"/>
        </w:rPr>
        <w:t>The proposals set out in the Development Strategy consultation document included:</w:t>
      </w:r>
    </w:p>
    <w:p w14:paraId="584FED37" w14:textId="77777777" w:rsidR="00CE1BDB" w:rsidRPr="00FA4DC7" w:rsidRDefault="00CE1BDB" w:rsidP="00C75F28">
      <w:pPr>
        <w:pStyle w:val="bullet"/>
      </w:pPr>
      <w:r w:rsidRPr="00FA4DC7">
        <w:t xml:space="preserve">promoting the regeneration of urban waterfront and town centre sites as the core </w:t>
      </w:r>
      <w:proofErr w:type="gramStart"/>
      <w:r w:rsidRPr="00FA4DC7">
        <w:t>of  growth</w:t>
      </w:r>
      <w:proofErr w:type="gramEnd"/>
      <w:r w:rsidRPr="00FA4DC7">
        <w:t xml:space="preserve"> plans</w:t>
      </w:r>
    </w:p>
    <w:p w14:paraId="0D4C4D85" w14:textId="77777777" w:rsidR="00CE1BDB" w:rsidRPr="00FA4DC7" w:rsidRDefault="00CE1BDB" w:rsidP="00C75F28">
      <w:pPr>
        <w:pStyle w:val="bullet"/>
      </w:pPr>
      <w:r w:rsidRPr="00FA4DC7">
        <w:lastRenderedPageBreak/>
        <w:t xml:space="preserve">a rural town on the </w:t>
      </w:r>
      <w:proofErr w:type="spellStart"/>
      <w:r w:rsidRPr="00FA4DC7">
        <w:t>Hoo</w:t>
      </w:r>
      <w:proofErr w:type="spellEnd"/>
      <w:r w:rsidRPr="00FA4DC7">
        <w:t xml:space="preserve"> Peninsula, focused around </w:t>
      </w:r>
      <w:proofErr w:type="spellStart"/>
      <w:r w:rsidRPr="00FA4DC7">
        <w:t>Hoo</w:t>
      </w:r>
      <w:proofErr w:type="spellEnd"/>
      <w:r w:rsidRPr="00FA4DC7">
        <w:t xml:space="preserve"> St </w:t>
      </w:r>
      <w:proofErr w:type="spellStart"/>
      <w:r w:rsidRPr="00FA4DC7">
        <w:t>Werburgh</w:t>
      </w:r>
      <w:proofErr w:type="spellEnd"/>
      <w:r w:rsidRPr="00FA4DC7">
        <w:t xml:space="preserve">, supported by new services and infrastructure, including transport, schools, healthcare, parks, </w:t>
      </w:r>
      <w:proofErr w:type="gramStart"/>
      <w:r w:rsidRPr="00FA4DC7">
        <w:t>jobs</w:t>
      </w:r>
      <w:proofErr w:type="gramEnd"/>
      <w:r w:rsidRPr="00FA4DC7">
        <w:t xml:space="preserve"> and shops; and</w:t>
      </w:r>
    </w:p>
    <w:p w14:paraId="4346A86E" w14:textId="77777777" w:rsidR="00CE1BDB" w:rsidRPr="00FA4DC7" w:rsidRDefault="00CE1BDB" w:rsidP="00C75F28">
      <w:pPr>
        <w:pStyle w:val="bullet"/>
      </w:pPr>
      <w:r w:rsidRPr="00FA4DC7">
        <w:t>mix of smaller sites in suburban and other rural areas.</w:t>
      </w:r>
    </w:p>
    <w:p w14:paraId="08B857E2" w14:textId="77777777" w:rsidR="00CE1BDB" w:rsidRPr="00FA4DC7" w:rsidRDefault="00CE1BDB" w:rsidP="00CE1BDB">
      <w:pPr>
        <w:pStyle w:val="Reporttext"/>
        <w:tabs>
          <w:tab w:val="left" w:pos="709"/>
          <w:tab w:val="left" w:pos="1418"/>
        </w:tabs>
        <w:rPr>
          <w:rFonts w:cs="Arial"/>
        </w:rPr>
      </w:pPr>
      <w:r w:rsidRPr="00FA4DC7">
        <w:rPr>
          <w:rFonts w:cs="Arial"/>
          <w:color w:val="242424"/>
        </w:rPr>
        <w:t>In</w:t>
      </w:r>
      <w:r w:rsidRPr="00FA4DC7">
        <w:rPr>
          <w:rFonts w:cs="Arial"/>
        </w:rPr>
        <w:t xml:space="preserve"> preparing the new Local Plan for Medway, the council commissioned a Strategic Housing and Economic Needs Assessment (2015) to provide evidence on the housing, employment and retail development needed in Medway over the plan period. The technical assessment concluded that the Local Plan needed to provide for 29,463 new homes over the plan period, which was then 2012-35. Since this assessment was carried out the government has confirmed details of its standard method for calculating local housing need which significantly increased housing needs figure. The council has also reviewed the plan period, based on updated government policy and guidance. It recognised the need to review its evidence base on development needs, including compliance with updated government guidance, before publishing the draft Local Plan. This report represents the updated evidence base on local housing needs. </w:t>
      </w:r>
    </w:p>
    <w:p w14:paraId="23103D5D" w14:textId="77777777" w:rsidR="00CE1BDB" w:rsidRPr="00FA4DC7" w:rsidRDefault="00CE1BDB" w:rsidP="00CE1BDB">
      <w:pPr>
        <w:pStyle w:val="Reporttext"/>
        <w:tabs>
          <w:tab w:val="left" w:pos="709"/>
          <w:tab w:val="left" w:pos="1418"/>
        </w:tabs>
        <w:rPr>
          <w:rFonts w:cs="Arial"/>
        </w:rPr>
      </w:pPr>
      <w:r w:rsidRPr="00FA4DC7">
        <w:rPr>
          <w:rFonts w:cs="Arial"/>
        </w:rPr>
        <w:t>The Medway Strategic Housing Market Assessment (2015) considered the range, type and mix housing needed in Medway.  This included the need for ‘affordable housing’, the size and mix of homes, and those with particular needs, such as older people, people with disabilities, younger person households, minority ethnic groups, and rural households. Overall, the Strategic Housing Market Assessment indicates the need for more housing of all types, but particularly flats and houses with two bedrooms.</w:t>
      </w:r>
    </w:p>
    <w:p w14:paraId="410EDE78" w14:textId="77777777" w:rsidR="00CE1BDB" w:rsidRPr="00FA4DC7" w:rsidRDefault="00CE1BDB" w:rsidP="00CE1BDB">
      <w:pPr>
        <w:pStyle w:val="Reporttext"/>
        <w:tabs>
          <w:tab w:val="left" w:pos="709"/>
          <w:tab w:val="left" w:pos="1418"/>
        </w:tabs>
        <w:rPr>
          <w:rFonts w:cs="Arial"/>
        </w:rPr>
      </w:pPr>
      <w:r w:rsidRPr="00FA4DC7">
        <w:rPr>
          <w:rFonts w:cs="Arial"/>
        </w:rPr>
        <w:t>The assessment identified a high level of demand for affordable housing at 17,112 over the plan period and the council consulted on applying a requirement of 30% affordable housing in rural locations and 25% in urban locations in the Development Strategy document.</w:t>
      </w:r>
    </w:p>
    <w:p w14:paraId="72797895" w14:textId="77777777" w:rsidR="00CE1BDB" w:rsidRPr="00FA4DC7" w:rsidRDefault="00CE1BDB" w:rsidP="00CE1BDB">
      <w:pPr>
        <w:pStyle w:val="Reporttext"/>
        <w:tabs>
          <w:tab w:val="left" w:pos="0"/>
          <w:tab w:val="left" w:pos="709"/>
          <w:tab w:val="left" w:pos="1418"/>
        </w:tabs>
        <w:rPr>
          <w:rFonts w:cs="Arial"/>
        </w:rPr>
      </w:pPr>
      <w:r w:rsidRPr="00FA4DC7">
        <w:rPr>
          <w:rFonts w:cs="Arial"/>
        </w:rPr>
        <w:t>The council seeks to ensure that a sufficient range of sustainable housing options are provided to adequately meet the needs of a growing and changing population. Residential development will be permitted to encourage a sustainable mix of market housing to include an appropriate range of house types and size to address local requirements.</w:t>
      </w:r>
    </w:p>
    <w:p w14:paraId="3913E7E9" w14:textId="77777777" w:rsidR="00CE1BDB" w:rsidRPr="00FA4DC7" w:rsidRDefault="00CE1BDB" w:rsidP="00CE1BDB">
      <w:pPr>
        <w:pStyle w:val="Reporttext"/>
        <w:tabs>
          <w:tab w:val="left" w:pos="709"/>
          <w:tab w:val="left" w:pos="1418"/>
        </w:tabs>
        <w:rPr>
          <w:rFonts w:cs="Arial"/>
        </w:rPr>
      </w:pPr>
      <w:r w:rsidRPr="00FA4DC7">
        <w:rPr>
          <w:rFonts w:cs="Arial"/>
        </w:rPr>
        <w:t>arc4 national evidence confirms that the majority of older people wish to remain living in their own home but that there will be a need for specialist accommodation for older people. The Medway Extra Care Housing Needs Analysis 2011-32 concluded that ‘there is clear scope to widen the range of housing and support options available to older people across tenures with the need for specialist housing services to enable the growing number of older people to live independently’. The Strategic Housing Needs assessment indicated ‘a need for good quality, smaller units to encourage downsizing’, while the housing needs survey underpinning this suggested that few residents stated a specific ‘need of supported or Extra Care housing, although this may be a more hidden need’.</w:t>
      </w:r>
    </w:p>
    <w:p w14:paraId="4BB4B22E"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Findings of the Housing Needs Survey under the Strategic Housing Market Assessment 2015 showed that: </w:t>
      </w:r>
    </w:p>
    <w:p w14:paraId="6E24750F" w14:textId="77777777" w:rsidR="00CE1BDB" w:rsidRPr="00FA4DC7" w:rsidRDefault="00CE1BDB" w:rsidP="00C75F28">
      <w:pPr>
        <w:pStyle w:val="bullet"/>
      </w:pPr>
      <w:r w:rsidRPr="00FA4DC7">
        <w:lastRenderedPageBreak/>
        <w:t xml:space="preserve">Around 20% of respondents were in a household where a family member had a limiting physical disability, of which 93% percent had no special adaptations made to their property, indicating a potential unmet need. </w:t>
      </w:r>
    </w:p>
    <w:p w14:paraId="07ABC54D" w14:textId="77777777" w:rsidR="00CE1BDB" w:rsidRPr="00FA4DC7" w:rsidRDefault="00CE1BDB" w:rsidP="00C75F28">
      <w:pPr>
        <w:pStyle w:val="bullet"/>
      </w:pPr>
      <w:r w:rsidRPr="00FA4DC7">
        <w:t xml:space="preserve">Varying levels of care requirement were reported, however the need for help with physical tasks was the most reported issue. </w:t>
      </w:r>
    </w:p>
    <w:p w14:paraId="63BCD065" w14:textId="77777777" w:rsidR="00CE1BDB" w:rsidRPr="00FA4DC7" w:rsidRDefault="00CE1BDB" w:rsidP="00C75F28">
      <w:pPr>
        <w:pStyle w:val="bullet"/>
      </w:pPr>
      <w:r w:rsidRPr="00FA4DC7">
        <w:t xml:space="preserve">The proportion of households containing one or more members affected by disability suggests implications for housing needs, particularly in relation to adaptations and improvements / facilitating in-home care. </w:t>
      </w:r>
    </w:p>
    <w:p w14:paraId="5D93A016" w14:textId="77777777" w:rsidR="00CE1BDB" w:rsidRPr="00FA4DC7" w:rsidRDefault="00CE1BDB" w:rsidP="00CE1BDB">
      <w:pPr>
        <w:pStyle w:val="Reporttext"/>
        <w:tabs>
          <w:tab w:val="left" w:pos="0"/>
          <w:tab w:val="left" w:pos="709"/>
          <w:tab w:val="left" w:pos="1418"/>
        </w:tabs>
        <w:rPr>
          <w:rFonts w:cs="Arial"/>
        </w:rPr>
      </w:pPr>
      <w:r w:rsidRPr="00FA4DC7">
        <w:rPr>
          <w:rFonts w:cs="Arial"/>
        </w:rPr>
        <w:t>Specialist housing should be designed flexibly so that it can be adapted to meet alternative housing needs in response to changes in the future. This type of housing should be provided across Medway, rather than concentrated in a particular area. This will help broaden choice and allow people to retain links with their local area and maintain balanced communities.</w:t>
      </w:r>
    </w:p>
    <w:p w14:paraId="03714D54"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In 2014 there were estimated to be around 1,200 bed spaces in institutional accommodation in Medway between University of Greenwich, Canterbury Christchurch, University of </w:t>
      </w:r>
      <w:proofErr w:type="gramStart"/>
      <w:r w:rsidRPr="00FA4DC7">
        <w:rPr>
          <w:rFonts w:cs="Arial"/>
        </w:rPr>
        <w:t>Kent</w:t>
      </w:r>
      <w:proofErr w:type="gramEnd"/>
      <w:r w:rsidRPr="00FA4DC7">
        <w:rPr>
          <w:rFonts w:cs="Arial"/>
        </w:rPr>
        <w:t xml:space="preserve"> and the University of Creative Arts. Since then, a further 530 student rooms have been provided at Liberty Quays, with plans for further student accommodation provision in the pipeline. In developing policy for student housing, the council seeks to ensure a sufficient supply of accommodation to meet needs and support the success of the universities and colleges in Medway.</w:t>
      </w:r>
    </w:p>
    <w:p w14:paraId="2CB0411F"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 current Housing Strategy reflects that the population of Medway is growing and getting older. It also recognises the changing needs of residents and aims to ensure that all new affordable housing developments include units which are accessible for people who use wheelchairs or have other mobility issues. </w:t>
      </w:r>
    </w:p>
    <w:p w14:paraId="00BEFF2F"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It reflects the challenges of affordability for local people and the small scale of the social housing sector with increasing demand. It is recognised that demand for this type of housing will always be greater than the supply to meet it. </w:t>
      </w:r>
    </w:p>
    <w:p w14:paraId="3A50550A" w14:textId="77777777" w:rsidR="00CE1BDB" w:rsidRPr="00FA4DC7" w:rsidRDefault="00CE1BDB" w:rsidP="00CE1BDB">
      <w:pPr>
        <w:pStyle w:val="Reporttext"/>
        <w:tabs>
          <w:tab w:val="left" w:pos="0"/>
          <w:tab w:val="left" w:pos="709"/>
          <w:tab w:val="left" w:pos="1418"/>
        </w:tabs>
        <w:rPr>
          <w:rFonts w:cs="Arial"/>
        </w:rPr>
      </w:pPr>
      <w:r w:rsidRPr="00FA4DC7">
        <w:rPr>
          <w:rFonts w:cs="Arial"/>
        </w:rPr>
        <w:t>The priorities of the strategy are to:</w:t>
      </w:r>
    </w:p>
    <w:p w14:paraId="36DB257E" w14:textId="77777777" w:rsidR="00CE1BDB" w:rsidRPr="00FA4DC7" w:rsidRDefault="00CE1BDB" w:rsidP="00C75F28">
      <w:pPr>
        <w:pStyle w:val="bullet"/>
      </w:pPr>
      <w:r w:rsidRPr="00FA4DC7">
        <w:t>Deliver homes that meet the identified needs of Medway’s residents.</w:t>
      </w:r>
    </w:p>
    <w:p w14:paraId="103A354F" w14:textId="77777777" w:rsidR="00CE1BDB" w:rsidRPr="00FA4DC7" w:rsidRDefault="00CE1BDB" w:rsidP="00C75F28">
      <w:pPr>
        <w:pStyle w:val="bullet"/>
      </w:pPr>
      <w:r w:rsidRPr="00FA4DC7">
        <w:t>Improve the quality of homes and people’s lives.</w:t>
      </w:r>
    </w:p>
    <w:p w14:paraId="241BC5B5" w14:textId="77777777" w:rsidR="00CE1BDB" w:rsidRPr="00FA4DC7" w:rsidRDefault="00CE1BDB" w:rsidP="00C75F28">
      <w:pPr>
        <w:pStyle w:val="bullet"/>
      </w:pPr>
      <w:r w:rsidRPr="00FA4DC7">
        <w:t>People can access housing and services to keep them independent.</w:t>
      </w:r>
    </w:p>
    <w:p w14:paraId="587C7876" w14:textId="77777777" w:rsidR="00CE1BDB" w:rsidRPr="00FA4DC7" w:rsidRDefault="00CE1BDB" w:rsidP="00CE1BDB">
      <w:pPr>
        <w:pStyle w:val="Reporttext"/>
        <w:numPr>
          <w:ilvl w:val="0"/>
          <w:numId w:val="0"/>
        </w:numPr>
        <w:tabs>
          <w:tab w:val="left" w:pos="709"/>
        </w:tabs>
        <w:spacing w:before="0"/>
        <w:rPr>
          <w:rFonts w:cs="Arial"/>
        </w:rPr>
      </w:pPr>
    </w:p>
    <w:p w14:paraId="3A261A30" w14:textId="77777777" w:rsidR="00CE1BDB" w:rsidRPr="00FA4DC7" w:rsidRDefault="00CE1BDB" w:rsidP="00CE1BDB">
      <w:pPr>
        <w:pStyle w:val="Heading2"/>
        <w:tabs>
          <w:tab w:val="left" w:pos="0"/>
          <w:tab w:val="left" w:pos="709"/>
          <w:tab w:val="left" w:pos="1418"/>
        </w:tabs>
        <w:rPr>
          <w:rFonts w:cs="Arial"/>
        </w:rPr>
      </w:pPr>
      <w:bookmarkStart w:id="69" w:name="_Toc225941493"/>
      <w:bookmarkStart w:id="70" w:name="_Toc399864323"/>
      <w:bookmarkStart w:id="71" w:name="_Toc428528459"/>
      <w:bookmarkStart w:id="72" w:name="_Toc430084551"/>
      <w:bookmarkStart w:id="73" w:name="_Toc430782006"/>
      <w:bookmarkStart w:id="74" w:name="_Toc529651964"/>
      <w:bookmarkStart w:id="75" w:name="_Toc7683258"/>
      <w:bookmarkStart w:id="76" w:name="_Toc83035634"/>
      <w:bookmarkStart w:id="77" w:name="_Toc180919689"/>
      <w:bookmarkStart w:id="78" w:name="_Toc180982867"/>
      <w:bookmarkStart w:id="79" w:name="_Toc184198245"/>
      <w:r w:rsidRPr="00FA4DC7">
        <w:rPr>
          <w:rFonts w:cs="Arial"/>
        </w:rPr>
        <w:t>Geography</w:t>
      </w:r>
      <w:bookmarkEnd w:id="69"/>
      <w:bookmarkEnd w:id="70"/>
      <w:bookmarkEnd w:id="71"/>
      <w:bookmarkEnd w:id="72"/>
      <w:bookmarkEnd w:id="73"/>
      <w:bookmarkEnd w:id="74"/>
      <w:bookmarkEnd w:id="75"/>
      <w:bookmarkEnd w:id="76"/>
    </w:p>
    <w:p w14:paraId="62C77CAD" w14:textId="77777777" w:rsidR="00CE1BDB" w:rsidRPr="00FA4DC7" w:rsidRDefault="00CE1BDB" w:rsidP="00CE1BDB">
      <w:pPr>
        <w:pStyle w:val="Reporttext"/>
        <w:tabs>
          <w:tab w:val="left" w:pos="0"/>
          <w:tab w:val="left" w:pos="709"/>
          <w:tab w:val="left" w:pos="1418"/>
        </w:tabs>
        <w:rPr>
          <w:rFonts w:cs="Arial"/>
        </w:rPr>
      </w:pPr>
      <w:bookmarkStart w:id="80" w:name="_Toc428528380"/>
      <w:bookmarkEnd w:id="77"/>
      <w:bookmarkEnd w:id="78"/>
      <w:bookmarkEnd w:id="79"/>
      <w:r w:rsidRPr="00FA4DC7">
        <w:rPr>
          <w:rFonts w:cs="Arial"/>
        </w:rPr>
        <w:t xml:space="preserve">Medway is a Unitary Authority and located on the Thames estuary in north Kent in the </w:t>
      </w:r>
      <w:proofErr w:type="gramStart"/>
      <w:r w:rsidRPr="00FA4DC7">
        <w:rPr>
          <w:rFonts w:cs="Arial"/>
        </w:rPr>
        <w:t>South East</w:t>
      </w:r>
      <w:proofErr w:type="gramEnd"/>
      <w:r w:rsidRPr="00FA4DC7">
        <w:rPr>
          <w:rFonts w:cs="Arial"/>
        </w:rPr>
        <w:t xml:space="preserve"> of England. It is bounded by Gravesham to the west, Tonbridge and </w:t>
      </w:r>
      <w:proofErr w:type="spellStart"/>
      <w:r w:rsidRPr="00FA4DC7">
        <w:rPr>
          <w:rFonts w:cs="Arial"/>
        </w:rPr>
        <w:t>Malling</w:t>
      </w:r>
      <w:proofErr w:type="spellEnd"/>
      <w:r w:rsidRPr="00FA4DC7">
        <w:rPr>
          <w:rFonts w:cs="Arial"/>
        </w:rPr>
        <w:t xml:space="preserve"> and Maidstone to the south and Swale to the east. The borough is well connected with surrounding areas, with good rail links into central London and the A2 running through the authority. </w:t>
      </w:r>
    </w:p>
    <w:p w14:paraId="1A06DF81"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 resident population of Medway was estimated to be </w:t>
      </w:r>
      <w:r w:rsidRPr="00FA4DC7">
        <w:rPr>
          <w:rFonts w:cs="Arial"/>
          <w:b/>
        </w:rPr>
        <w:t xml:space="preserve">280,040 </w:t>
      </w:r>
      <w:r w:rsidRPr="00FA4DC7">
        <w:rPr>
          <w:rFonts w:cs="Arial"/>
          <w:bCs/>
        </w:rPr>
        <w:t>(source:</w:t>
      </w:r>
      <w:r w:rsidRPr="00FA4DC7">
        <w:rPr>
          <w:rFonts w:cs="Arial"/>
          <w:lang w:val="en-US"/>
        </w:rPr>
        <w:t xml:space="preserve"> ONS 2018 based population projections for 2020)</w:t>
      </w:r>
      <w:r w:rsidRPr="00FA4DC7">
        <w:rPr>
          <w:rFonts w:cs="Arial"/>
          <w:b/>
        </w:rPr>
        <w:t xml:space="preserve"> </w:t>
      </w:r>
      <w:r w:rsidRPr="00FA4DC7">
        <w:rPr>
          <w:rFonts w:cs="Arial"/>
        </w:rPr>
        <w:t xml:space="preserve">in 2021. </w:t>
      </w:r>
    </w:p>
    <w:p w14:paraId="14B9057F" w14:textId="77777777" w:rsidR="00CE1BDB" w:rsidRPr="00FA4DC7" w:rsidRDefault="00CE1BDB" w:rsidP="00CE1BDB">
      <w:pPr>
        <w:pStyle w:val="Reporttext"/>
        <w:tabs>
          <w:tab w:val="left" w:pos="709"/>
          <w:tab w:val="left" w:pos="1418"/>
        </w:tabs>
        <w:rPr>
          <w:rFonts w:cs="Arial"/>
        </w:rPr>
      </w:pPr>
      <w:r w:rsidRPr="00FA4DC7">
        <w:rPr>
          <w:rFonts w:cs="Arial"/>
        </w:rPr>
        <w:t>For the purposes of the LHNA, the borough is split into the following geographical areas:</w:t>
      </w:r>
    </w:p>
    <w:p w14:paraId="1914A45E" w14:textId="77777777" w:rsidR="00CE1BDB" w:rsidRPr="00FA4DC7" w:rsidRDefault="00CE1BDB" w:rsidP="00CE1BDB">
      <w:pPr>
        <w:pStyle w:val="bullet"/>
        <w:rPr>
          <w:rFonts w:cs="Arial"/>
        </w:rPr>
      </w:pPr>
      <w:proofErr w:type="gramStart"/>
      <w:r w:rsidRPr="00FA4DC7">
        <w:rPr>
          <w:rFonts w:cs="Arial"/>
        </w:rPr>
        <w:lastRenderedPageBreak/>
        <w:t>Wards;</w:t>
      </w:r>
      <w:proofErr w:type="gramEnd"/>
      <w:r w:rsidRPr="00FA4DC7">
        <w:rPr>
          <w:rFonts w:cs="Arial"/>
        </w:rPr>
        <w:t xml:space="preserve"> </w:t>
      </w:r>
    </w:p>
    <w:p w14:paraId="47F26BB6" w14:textId="77777777" w:rsidR="00CE1BDB" w:rsidRPr="00FA4DC7" w:rsidRDefault="00CE1BDB" w:rsidP="00CE1BDB">
      <w:pPr>
        <w:pStyle w:val="bullet"/>
        <w:rPr>
          <w:rFonts w:cs="Arial"/>
        </w:rPr>
      </w:pPr>
      <w:r w:rsidRPr="00FA4DC7">
        <w:rPr>
          <w:rFonts w:cs="Arial"/>
        </w:rPr>
        <w:t>5 Key Development Locations; and</w:t>
      </w:r>
    </w:p>
    <w:p w14:paraId="3A1AFC7C" w14:textId="77777777" w:rsidR="00CE1BDB" w:rsidRPr="00FA4DC7" w:rsidRDefault="00CE1BDB" w:rsidP="00CE1BDB">
      <w:pPr>
        <w:pStyle w:val="bullet"/>
        <w:rPr>
          <w:rFonts w:cs="Arial"/>
        </w:rPr>
      </w:pPr>
      <w:r w:rsidRPr="00FA4DC7">
        <w:rPr>
          <w:rFonts w:cs="Arial"/>
        </w:rPr>
        <w:t xml:space="preserve">5 Neighbourhood Planning Areas (NPA) </w:t>
      </w:r>
    </w:p>
    <w:p w14:paraId="295D05B8" w14:textId="4D7E3331" w:rsidR="001A51F7" w:rsidRDefault="00CE1BDB" w:rsidP="00CE1BDB">
      <w:pPr>
        <w:pStyle w:val="Reporttext"/>
        <w:tabs>
          <w:tab w:val="left" w:pos="0"/>
          <w:tab w:val="left" w:pos="709"/>
          <w:tab w:val="left" w:pos="1418"/>
        </w:tabs>
        <w:rPr>
          <w:rFonts w:cs="Arial"/>
        </w:rPr>
      </w:pPr>
      <w:r w:rsidRPr="00FA4DC7">
        <w:rPr>
          <w:rFonts w:cs="Arial"/>
        </w:rPr>
        <w:t xml:space="preserve">These have formed the basis of outputs for </w:t>
      </w:r>
      <w:proofErr w:type="gramStart"/>
      <w:r w:rsidRPr="00FA4DC7">
        <w:rPr>
          <w:rFonts w:cs="Arial"/>
        </w:rPr>
        <w:t>the  LHNA</w:t>
      </w:r>
      <w:proofErr w:type="gramEnd"/>
      <w:r w:rsidRPr="00FA4DC7">
        <w:rPr>
          <w:rFonts w:cs="Arial"/>
        </w:rPr>
        <w:t xml:space="preserve"> (Map 1.1), </w:t>
      </w:r>
      <w:r w:rsidR="001A51F7">
        <w:rPr>
          <w:rFonts w:cs="Arial"/>
        </w:rPr>
        <w:t xml:space="preserve">The key development locations represent areas that form key parts of the proposed spatial strategy the new Medway Local Plan, including urban regeneration and development on the </w:t>
      </w:r>
      <w:proofErr w:type="spellStart"/>
      <w:r w:rsidR="001A51F7">
        <w:rPr>
          <w:rFonts w:cs="Arial"/>
        </w:rPr>
        <w:t>Hoo</w:t>
      </w:r>
      <w:proofErr w:type="spellEnd"/>
      <w:r w:rsidR="001A51F7">
        <w:rPr>
          <w:rFonts w:cs="Arial"/>
        </w:rPr>
        <w:t xml:space="preserve"> Peninsula. There are four designated Neighbourhood Planning Areas in Medway – Cliffe and Cliffe Woods, High </w:t>
      </w:r>
      <w:proofErr w:type="spellStart"/>
      <w:r w:rsidR="001A51F7">
        <w:rPr>
          <w:rFonts w:cs="Arial"/>
        </w:rPr>
        <w:t>Halstow</w:t>
      </w:r>
      <w:proofErr w:type="spellEnd"/>
      <w:r w:rsidR="001A51F7">
        <w:rPr>
          <w:rFonts w:cs="Arial"/>
        </w:rPr>
        <w:t xml:space="preserve">, </w:t>
      </w:r>
      <w:proofErr w:type="spellStart"/>
      <w:r w:rsidR="001A51F7">
        <w:rPr>
          <w:rFonts w:cs="Arial"/>
        </w:rPr>
        <w:t>Hoo</w:t>
      </w:r>
      <w:proofErr w:type="spellEnd"/>
      <w:r w:rsidR="001A51F7">
        <w:rPr>
          <w:rFonts w:cs="Arial"/>
        </w:rPr>
        <w:t xml:space="preserve"> St. </w:t>
      </w:r>
      <w:proofErr w:type="spellStart"/>
      <w:r w:rsidR="001A51F7">
        <w:rPr>
          <w:rFonts w:cs="Arial"/>
        </w:rPr>
        <w:t>Werburgh</w:t>
      </w:r>
      <w:proofErr w:type="spellEnd"/>
      <w:r w:rsidR="001A51F7">
        <w:rPr>
          <w:rFonts w:cs="Arial"/>
        </w:rPr>
        <w:t xml:space="preserve"> and </w:t>
      </w:r>
      <w:proofErr w:type="spellStart"/>
      <w:r w:rsidR="001A51F7">
        <w:rPr>
          <w:rFonts w:cs="Arial"/>
        </w:rPr>
        <w:t>Chattenden</w:t>
      </w:r>
      <w:proofErr w:type="spellEnd"/>
      <w:r w:rsidR="001A51F7">
        <w:rPr>
          <w:rFonts w:cs="Arial"/>
        </w:rPr>
        <w:t xml:space="preserve"> and Arches (Chatham).  </w:t>
      </w:r>
      <w:proofErr w:type="spellStart"/>
      <w:r w:rsidR="001A51F7">
        <w:rPr>
          <w:rFonts w:cs="Arial"/>
        </w:rPr>
        <w:t>Frindsbury</w:t>
      </w:r>
      <w:proofErr w:type="spellEnd"/>
      <w:r w:rsidR="001A51F7">
        <w:rPr>
          <w:rFonts w:cs="Arial"/>
        </w:rPr>
        <w:t xml:space="preserve"> Extra Parish Council has indicated that it also intends to prepare a Neighbourhood Plan.</w:t>
      </w:r>
    </w:p>
    <w:p w14:paraId="3854F2F2" w14:textId="07357884" w:rsidR="00CE1BDB" w:rsidRPr="00FA4DC7" w:rsidRDefault="00CE1BDB" w:rsidP="00CE1BDB">
      <w:pPr>
        <w:pStyle w:val="Reporttext"/>
        <w:tabs>
          <w:tab w:val="left" w:pos="0"/>
          <w:tab w:val="left" w:pos="709"/>
          <w:tab w:val="left" w:pos="1418"/>
        </w:tabs>
        <w:rPr>
          <w:rFonts w:cs="Arial"/>
        </w:rPr>
      </w:pPr>
      <w:r w:rsidRPr="00FA4DC7">
        <w:rPr>
          <w:rFonts w:cs="Arial"/>
        </w:rPr>
        <w:t xml:space="preserve">The LHNA also presents </w:t>
      </w:r>
      <w:bookmarkStart w:id="81" w:name="_Toc517356572"/>
      <w:bookmarkStart w:id="82" w:name="_Toc7534282"/>
      <w:r w:rsidRPr="00FA4DC7">
        <w:rPr>
          <w:rFonts w:cs="Arial"/>
        </w:rPr>
        <w:t xml:space="preserve">some data at Lower Super Output Area (LSOA) to provide a fine-grained analysis of selected household and housing market data. </w:t>
      </w:r>
    </w:p>
    <w:p w14:paraId="2DF8F5D9" w14:textId="77777777" w:rsidR="00CE1BDB" w:rsidRPr="00FA4DC7" w:rsidRDefault="00CE1BDB" w:rsidP="00CE1BDB">
      <w:pPr>
        <w:pStyle w:val="Reporttext"/>
        <w:numPr>
          <w:ilvl w:val="0"/>
          <w:numId w:val="0"/>
        </w:numPr>
        <w:tabs>
          <w:tab w:val="left" w:pos="0"/>
          <w:tab w:val="left" w:pos="1418"/>
        </w:tabs>
        <w:ind w:left="709"/>
        <w:rPr>
          <w:rFonts w:cs="Arial"/>
          <w:highlight w:val="yellow"/>
        </w:rPr>
      </w:pPr>
    </w:p>
    <w:p w14:paraId="42FC47B2" w14:textId="77777777" w:rsidR="00CE1BDB" w:rsidRPr="00FA4DC7" w:rsidRDefault="00CE1BDB" w:rsidP="00CE1BDB">
      <w:pPr>
        <w:pStyle w:val="Mapheading0"/>
        <w:rPr>
          <w:highlight w:val="yellow"/>
        </w:rPr>
        <w:sectPr w:rsidR="00CE1BDB" w:rsidRPr="00FA4DC7" w:rsidSect="00EF49A7">
          <w:headerReference w:type="default" r:id="rId16"/>
          <w:footerReference w:type="default" r:id="rId17"/>
          <w:pgSz w:w="11906" w:h="16838"/>
          <w:pgMar w:top="1440" w:right="1276" w:bottom="1134" w:left="1440" w:header="708" w:footer="708" w:gutter="0"/>
          <w:cols w:space="708"/>
          <w:docGrid w:linePitch="360"/>
        </w:sectPr>
      </w:pPr>
    </w:p>
    <w:p w14:paraId="6357448A" w14:textId="77777777" w:rsidR="00CE1BDB" w:rsidRPr="00FA4DC7" w:rsidRDefault="00CE1BDB" w:rsidP="00C75F28">
      <w:pPr>
        <w:pStyle w:val="Mapheading0"/>
        <w:spacing w:after="240"/>
        <w:rPr>
          <w:highlight w:val="yellow"/>
        </w:rPr>
      </w:pPr>
      <w:bookmarkStart w:id="83" w:name="_Toc83035731"/>
      <w:r w:rsidRPr="00FA4DC7">
        <w:lastRenderedPageBreak/>
        <w:t>Map 1.1</w:t>
      </w:r>
      <w:r w:rsidRPr="00FA4DC7">
        <w:tab/>
        <w:t>Medway Wards</w:t>
      </w:r>
      <w:bookmarkEnd w:id="81"/>
      <w:bookmarkEnd w:id="82"/>
      <w:r w:rsidRPr="00FA4DC7">
        <w:t>, Medway Key Development Locations and Neighbourhood Planning Areas</w:t>
      </w:r>
      <w:bookmarkEnd w:id="83"/>
    </w:p>
    <w:p w14:paraId="25ED49E9" w14:textId="4A5C3A2F" w:rsidR="00CE1BDB" w:rsidRPr="00FA4DC7" w:rsidRDefault="00FF2F01" w:rsidP="00CE1BDB">
      <w:pPr>
        <w:rPr>
          <w:rFonts w:cs="Arial"/>
          <w:highlight w:val="yellow"/>
        </w:rPr>
      </w:pPr>
      <w:r>
        <w:rPr>
          <w:rFonts w:cs="Arial"/>
          <w:noProof/>
        </w:rPr>
        <w:drawing>
          <wp:inline distT="0" distB="0" distL="0" distR="0" wp14:anchorId="4F310620" wp14:editId="7B382E44">
            <wp:extent cx="7527471" cy="5319297"/>
            <wp:effectExtent l="0" t="0" r="3810" b="2540"/>
            <wp:docPr id="3" name="Picture 3" descr="Map of Medway Wards, Medway key development locations and neighbourhood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Medway Wards, Medway key development locations and neighbourhood planning areas"/>
                    <pic:cNvPicPr/>
                  </pic:nvPicPr>
                  <pic:blipFill>
                    <a:blip r:embed="rId18">
                      <a:extLst>
                        <a:ext uri="{28A0092B-C50C-407E-A947-70E740481C1C}">
                          <a14:useLocalDpi xmlns:a14="http://schemas.microsoft.com/office/drawing/2010/main" val="0"/>
                        </a:ext>
                      </a:extLst>
                    </a:blip>
                    <a:stretch>
                      <a:fillRect/>
                    </a:stretch>
                  </pic:blipFill>
                  <pic:spPr>
                    <a:xfrm>
                      <a:off x="0" y="0"/>
                      <a:ext cx="7531899" cy="5322426"/>
                    </a:xfrm>
                    <a:prstGeom prst="rect">
                      <a:avLst/>
                    </a:prstGeom>
                  </pic:spPr>
                </pic:pic>
              </a:graphicData>
            </a:graphic>
          </wp:inline>
        </w:drawing>
      </w:r>
    </w:p>
    <w:p w14:paraId="1B393914" w14:textId="77777777" w:rsidR="00CE1BDB" w:rsidRPr="00FA4DC7" w:rsidRDefault="00CE1BDB" w:rsidP="00CE1BDB">
      <w:pPr>
        <w:pStyle w:val="Heading2"/>
        <w:rPr>
          <w:rFonts w:cs="Arial"/>
          <w:highlight w:val="yellow"/>
        </w:rPr>
        <w:sectPr w:rsidR="00CE1BDB" w:rsidRPr="00FA4DC7" w:rsidSect="00EF49A7">
          <w:pgSz w:w="16838" w:h="11906" w:orient="landscape"/>
          <w:pgMar w:top="1276" w:right="1134" w:bottom="1440" w:left="1440" w:header="708" w:footer="708" w:gutter="0"/>
          <w:cols w:space="708"/>
          <w:docGrid w:linePitch="360"/>
        </w:sectPr>
      </w:pPr>
      <w:bookmarkStart w:id="84" w:name="_Toc428528460"/>
      <w:bookmarkStart w:id="85" w:name="_Toc399864324"/>
      <w:bookmarkStart w:id="86" w:name="_Toc430084552"/>
      <w:bookmarkStart w:id="87" w:name="_Toc430782007"/>
      <w:bookmarkStart w:id="88" w:name="_Toc529651965"/>
      <w:bookmarkStart w:id="89" w:name="_Toc7683259"/>
      <w:bookmarkStart w:id="90" w:name="_Toc13567492"/>
      <w:bookmarkStart w:id="91" w:name="_Toc399864325"/>
      <w:bookmarkStart w:id="92" w:name="_Toc428528461"/>
      <w:bookmarkStart w:id="93" w:name="_Toc430084553"/>
      <w:bookmarkStart w:id="94" w:name="_Toc430782008"/>
      <w:bookmarkStart w:id="95" w:name="_Toc529651966"/>
      <w:bookmarkStart w:id="96" w:name="_Toc7683260"/>
      <w:bookmarkEnd w:id="80"/>
    </w:p>
    <w:p w14:paraId="6A57352D" w14:textId="77777777" w:rsidR="00CE1BDB" w:rsidRPr="00FA4DC7" w:rsidRDefault="00CE1BDB" w:rsidP="00CE1BDB">
      <w:pPr>
        <w:pStyle w:val="Heading2"/>
        <w:rPr>
          <w:rFonts w:cs="Arial"/>
        </w:rPr>
      </w:pPr>
      <w:bookmarkStart w:id="97" w:name="_Toc83035635"/>
      <w:r w:rsidRPr="00FA4DC7">
        <w:rPr>
          <w:rFonts w:cs="Arial"/>
        </w:rPr>
        <w:lastRenderedPageBreak/>
        <w:t>Research methodology</w:t>
      </w:r>
      <w:bookmarkEnd w:id="84"/>
      <w:bookmarkEnd w:id="85"/>
      <w:bookmarkEnd w:id="86"/>
      <w:bookmarkEnd w:id="87"/>
      <w:bookmarkEnd w:id="88"/>
      <w:bookmarkEnd w:id="89"/>
      <w:bookmarkEnd w:id="90"/>
      <w:bookmarkEnd w:id="97"/>
    </w:p>
    <w:p w14:paraId="2E9FEEC4" w14:textId="77777777" w:rsidR="00CE1BDB" w:rsidRPr="00FA4DC7" w:rsidRDefault="00CE1BDB" w:rsidP="00CE1BDB">
      <w:pPr>
        <w:pStyle w:val="Reporttext"/>
        <w:rPr>
          <w:rFonts w:cs="Arial"/>
        </w:rPr>
      </w:pPr>
      <w:r w:rsidRPr="00FA4DC7">
        <w:rPr>
          <w:rFonts w:cs="Arial"/>
        </w:rPr>
        <w:t>A multi-method approach has been used to prepare the 2021 LHNA comprising:</w:t>
      </w:r>
    </w:p>
    <w:p w14:paraId="4897B2DD" w14:textId="77777777" w:rsidR="00CE1BDB" w:rsidRPr="00FA4DC7" w:rsidRDefault="00CE1BDB" w:rsidP="00CE1BDB">
      <w:pPr>
        <w:pStyle w:val="bullet"/>
        <w:tabs>
          <w:tab w:val="left" w:pos="0"/>
          <w:tab w:val="left" w:pos="709"/>
          <w:tab w:val="left" w:pos="1418"/>
        </w:tabs>
        <w:rPr>
          <w:rFonts w:cs="Arial"/>
        </w:rPr>
      </w:pPr>
      <w:r w:rsidRPr="00FA4DC7">
        <w:rPr>
          <w:rFonts w:cs="Arial"/>
        </w:rPr>
        <w:t xml:space="preserve">An online survey of stakeholders which included 12 representatives from strategic and local </w:t>
      </w:r>
      <w:proofErr w:type="gramStart"/>
      <w:r w:rsidRPr="00FA4DC7">
        <w:rPr>
          <w:rFonts w:cs="Arial"/>
        </w:rPr>
        <w:t>organisations;</w:t>
      </w:r>
      <w:proofErr w:type="gramEnd"/>
    </w:p>
    <w:p w14:paraId="7EB5A412" w14:textId="77777777" w:rsidR="00CE1BDB" w:rsidRPr="00FA4DC7" w:rsidRDefault="00CE1BDB" w:rsidP="00CE1BDB">
      <w:pPr>
        <w:pStyle w:val="bullet"/>
        <w:tabs>
          <w:tab w:val="left" w:pos="0"/>
          <w:tab w:val="left" w:pos="709"/>
          <w:tab w:val="left" w:pos="1418"/>
        </w:tabs>
        <w:rPr>
          <w:rFonts w:cs="Arial"/>
        </w:rPr>
      </w:pPr>
      <w:r w:rsidRPr="00FA4DC7">
        <w:rPr>
          <w:rFonts w:cs="Arial"/>
        </w:rPr>
        <w:t xml:space="preserve">Interviews with estate and letting agents operating within </w:t>
      </w:r>
      <w:proofErr w:type="gramStart"/>
      <w:r w:rsidRPr="00FA4DC7">
        <w:rPr>
          <w:rFonts w:cs="Arial"/>
        </w:rPr>
        <w:t>Medway;</w:t>
      </w:r>
      <w:proofErr w:type="gramEnd"/>
      <w:r w:rsidRPr="00FA4DC7">
        <w:rPr>
          <w:rFonts w:cs="Arial"/>
        </w:rPr>
        <w:t xml:space="preserve"> </w:t>
      </w:r>
    </w:p>
    <w:p w14:paraId="196433F0" w14:textId="77777777" w:rsidR="00CE1BDB" w:rsidRPr="00FA4DC7" w:rsidRDefault="00CE1BDB" w:rsidP="00CE1BDB">
      <w:pPr>
        <w:pStyle w:val="bullet"/>
        <w:tabs>
          <w:tab w:val="left" w:pos="0"/>
          <w:tab w:val="left" w:pos="709"/>
          <w:tab w:val="left" w:pos="1418"/>
        </w:tabs>
        <w:rPr>
          <w:rFonts w:cs="Arial"/>
        </w:rPr>
      </w:pPr>
      <w:r w:rsidRPr="00FA4DC7">
        <w:rPr>
          <w:rFonts w:cs="Arial"/>
        </w:rPr>
        <w:t xml:space="preserve">A review of relevant secondary data including the 2011 Census, house price trends, ONS sub-national population projections and MHCLG/ONS household projections, CORE lettings data and MHCLG </w:t>
      </w:r>
      <w:proofErr w:type="gramStart"/>
      <w:r w:rsidRPr="00FA4DC7">
        <w:rPr>
          <w:rFonts w:cs="Arial"/>
        </w:rPr>
        <w:t>statistics;</w:t>
      </w:r>
      <w:proofErr w:type="gramEnd"/>
    </w:p>
    <w:p w14:paraId="34293928" w14:textId="77777777" w:rsidR="00CE1BDB" w:rsidRPr="00FA4DC7" w:rsidRDefault="00CE1BDB" w:rsidP="00CE1BDB">
      <w:pPr>
        <w:pStyle w:val="bullet"/>
        <w:tabs>
          <w:tab w:val="left" w:pos="0"/>
          <w:tab w:val="left" w:pos="709"/>
          <w:tab w:val="left" w:pos="1418"/>
        </w:tabs>
        <w:rPr>
          <w:rFonts w:cs="Arial"/>
        </w:rPr>
      </w:pPr>
      <w:r w:rsidRPr="00FA4DC7">
        <w:rPr>
          <w:rFonts w:cs="Arial"/>
        </w:rPr>
        <w:t>Modelling of data; and</w:t>
      </w:r>
    </w:p>
    <w:p w14:paraId="2C828B80" w14:textId="77777777" w:rsidR="00CE1BDB" w:rsidRPr="00FA4DC7" w:rsidRDefault="00CE1BDB" w:rsidP="00CE1BDB">
      <w:pPr>
        <w:pStyle w:val="bullet"/>
        <w:tabs>
          <w:tab w:val="left" w:pos="0"/>
          <w:tab w:val="left" w:pos="709"/>
          <w:tab w:val="left" w:pos="1418"/>
        </w:tabs>
        <w:spacing w:before="0"/>
        <w:rPr>
          <w:rFonts w:cs="Arial"/>
        </w:rPr>
      </w:pPr>
      <w:r w:rsidRPr="00FA4DC7">
        <w:rPr>
          <w:rFonts w:cs="Arial"/>
        </w:rPr>
        <w:t>A review of particular client groups relevant to NPPF Paragraph 61, including hard to reach and vulnerable groups.</w:t>
      </w:r>
    </w:p>
    <w:p w14:paraId="272E6A6B" w14:textId="77777777" w:rsidR="00CE1BDB" w:rsidRPr="00FA4DC7" w:rsidRDefault="00CE1BDB" w:rsidP="00CE1BDB">
      <w:pPr>
        <w:pStyle w:val="Reporttext"/>
        <w:rPr>
          <w:rFonts w:cs="Arial"/>
          <w:caps/>
        </w:rPr>
      </w:pPr>
      <w:r w:rsidRPr="00FA4DC7">
        <w:rPr>
          <w:rFonts w:cs="Arial"/>
        </w:rPr>
        <w:t>Further information on the research methodology is presented in Technical Appendix A</w:t>
      </w:r>
      <w:r w:rsidRPr="00FA4DC7">
        <w:rPr>
          <w:rFonts w:cs="Arial"/>
          <w:caps/>
        </w:rPr>
        <w:t>.</w:t>
      </w:r>
    </w:p>
    <w:p w14:paraId="3AB55833" w14:textId="77777777" w:rsidR="00CE1BDB" w:rsidRPr="00FA4DC7" w:rsidRDefault="00CE1BDB" w:rsidP="00CE1BDB">
      <w:pPr>
        <w:rPr>
          <w:rFonts w:cs="Arial"/>
          <w:highlight w:val="yellow"/>
        </w:rPr>
      </w:pPr>
    </w:p>
    <w:p w14:paraId="5A056163" w14:textId="77777777" w:rsidR="00CE1BDB" w:rsidRPr="00FA4DC7" w:rsidRDefault="00CE1BDB" w:rsidP="00CE1BDB">
      <w:pPr>
        <w:pStyle w:val="Heading2"/>
        <w:tabs>
          <w:tab w:val="left" w:pos="0"/>
          <w:tab w:val="left" w:pos="709"/>
          <w:tab w:val="left" w:pos="1418"/>
        </w:tabs>
        <w:rPr>
          <w:rFonts w:cs="Arial"/>
        </w:rPr>
      </w:pPr>
      <w:bookmarkStart w:id="98" w:name="_Toc83035636"/>
      <w:r w:rsidRPr="00FA4DC7">
        <w:rPr>
          <w:rFonts w:cs="Arial"/>
        </w:rPr>
        <w:t>Presentation of data</w:t>
      </w:r>
      <w:bookmarkEnd w:id="91"/>
      <w:bookmarkEnd w:id="92"/>
      <w:bookmarkEnd w:id="93"/>
      <w:bookmarkEnd w:id="94"/>
      <w:bookmarkEnd w:id="95"/>
      <w:bookmarkEnd w:id="96"/>
      <w:bookmarkEnd w:id="98"/>
    </w:p>
    <w:p w14:paraId="1B75EA09" w14:textId="77777777" w:rsidR="00CE1BDB" w:rsidRPr="00FA4DC7" w:rsidRDefault="00CE1BDB" w:rsidP="00CE1BDB">
      <w:pPr>
        <w:pStyle w:val="Reporttext"/>
        <w:rPr>
          <w:rFonts w:cs="Arial"/>
        </w:rPr>
      </w:pPr>
      <w:r w:rsidRPr="00FA4DC7">
        <w:rPr>
          <w:rFonts w:cs="Arial"/>
        </w:rPr>
        <w:t xml:space="preserve">Data are clearly sourced throughout the LHNA report. </w:t>
      </w:r>
      <w:r w:rsidRPr="00FA4DC7">
        <w:rPr>
          <w:rFonts w:cs="Arial"/>
          <w:lang w:val="en-US"/>
        </w:rPr>
        <w:t xml:space="preserve">Where possible, data are ‘triangulated’ which </w:t>
      </w:r>
      <w:r w:rsidRPr="00FA4DC7">
        <w:rPr>
          <w:rFonts w:cs="Arial"/>
        </w:rPr>
        <w:t>means</w:t>
      </w:r>
      <w:r w:rsidRPr="00FA4DC7">
        <w:rPr>
          <w:rFonts w:cs="Arial"/>
          <w:lang w:val="en-US"/>
        </w:rPr>
        <w:t xml:space="preserve"> several sources are drawn upon to establish a robust output.</w:t>
      </w:r>
    </w:p>
    <w:p w14:paraId="15A0114C" w14:textId="77777777" w:rsidR="00CE1BDB" w:rsidRPr="00FA4DC7" w:rsidRDefault="00CE1BDB" w:rsidP="00C75F28">
      <w:bookmarkStart w:id="99" w:name="_Toc68116402"/>
      <w:bookmarkStart w:id="100" w:name="_Toc225941496"/>
      <w:bookmarkStart w:id="101" w:name="_Toc399864326"/>
      <w:bookmarkStart w:id="102" w:name="_Toc428528462"/>
      <w:bookmarkStart w:id="103" w:name="_Toc430084554"/>
      <w:bookmarkStart w:id="104" w:name="_Toc430782009"/>
      <w:bookmarkStart w:id="105" w:name="_Toc529651967"/>
      <w:bookmarkStart w:id="106" w:name="_Toc7683261"/>
    </w:p>
    <w:p w14:paraId="38C442AA" w14:textId="77777777" w:rsidR="00CE1BDB" w:rsidRPr="00FA4DC7" w:rsidRDefault="00CE1BDB" w:rsidP="00CE1BDB">
      <w:pPr>
        <w:pStyle w:val="Heading2"/>
        <w:tabs>
          <w:tab w:val="left" w:pos="0"/>
          <w:tab w:val="left" w:pos="709"/>
          <w:tab w:val="left" w:pos="1418"/>
        </w:tabs>
        <w:rPr>
          <w:rFonts w:cs="Arial"/>
        </w:rPr>
      </w:pPr>
      <w:bookmarkStart w:id="107" w:name="_Toc83035637"/>
      <w:r w:rsidRPr="00FA4DC7">
        <w:rPr>
          <w:rFonts w:cs="Arial"/>
        </w:rPr>
        <w:t>COVID-19 impact</w:t>
      </w:r>
      <w:bookmarkEnd w:id="99"/>
      <w:bookmarkEnd w:id="107"/>
    </w:p>
    <w:p w14:paraId="5C3E341F" w14:textId="77777777" w:rsidR="00CE1BDB" w:rsidRPr="00FA4DC7" w:rsidRDefault="00CE1BDB" w:rsidP="00CE1BDB">
      <w:pPr>
        <w:pStyle w:val="Reporttext"/>
        <w:tabs>
          <w:tab w:val="clear" w:pos="2128"/>
          <w:tab w:val="left" w:pos="0"/>
          <w:tab w:val="left" w:pos="709"/>
          <w:tab w:val="left" w:pos="1418"/>
        </w:tabs>
        <w:rPr>
          <w:rFonts w:cs="Arial"/>
        </w:rPr>
      </w:pPr>
      <w:r w:rsidRPr="00FA4DC7">
        <w:rPr>
          <w:rFonts w:cs="Arial"/>
        </w:rPr>
        <w:t xml:space="preserve">Regarding the COVID-19 situation, it is too early to consider the longer-term implication of the pandemic on demography, </w:t>
      </w:r>
      <w:proofErr w:type="gramStart"/>
      <w:r w:rsidRPr="00FA4DC7">
        <w:rPr>
          <w:rFonts w:cs="Arial"/>
        </w:rPr>
        <w:t>economy</w:t>
      </w:r>
      <w:proofErr w:type="gramEnd"/>
      <w:r w:rsidRPr="00FA4DC7">
        <w:rPr>
          <w:rFonts w:cs="Arial"/>
        </w:rPr>
        <w:t xml:space="preserve"> and housing but there are several emerging trends. The pandemic has accelerated trends in home working, </w:t>
      </w:r>
      <w:proofErr w:type="gramStart"/>
      <w:r w:rsidRPr="00FA4DC7">
        <w:rPr>
          <w:rFonts w:cs="Arial"/>
        </w:rPr>
        <w:t>retail</w:t>
      </w:r>
      <w:proofErr w:type="gramEnd"/>
      <w:r w:rsidRPr="00FA4DC7">
        <w:rPr>
          <w:rFonts w:cs="Arial"/>
        </w:rPr>
        <w:t xml:space="preserve"> and office use. There are implications for the housing offer, with a ‘race for space’ </w:t>
      </w:r>
      <w:r w:rsidRPr="00FA4DC7">
        <w:rPr>
          <w:rFonts w:cs="Arial"/>
          <w:i/>
          <w:iCs/>
        </w:rPr>
        <w:t>within</w:t>
      </w:r>
      <w:r w:rsidRPr="00FA4DC7">
        <w:rPr>
          <w:rFonts w:cs="Arial"/>
        </w:rPr>
        <w:t xml:space="preserve"> dwellings, the need for larger gardens/outdoor space and better access to public space which may alter the demand/need for larger homes in less dense settings. A redistribution of demand between urban and more rural locations has also been suggested. Repurposing town centres and commercial buildings provides opportunities for new forms of residential occupancy, for instance micro-homes and co-living. </w:t>
      </w:r>
    </w:p>
    <w:p w14:paraId="2EABCC2E" w14:textId="77777777" w:rsidR="00CE1BDB" w:rsidRPr="00FA4DC7" w:rsidRDefault="00CE1BDB" w:rsidP="00CE1BDB">
      <w:pPr>
        <w:rPr>
          <w:rFonts w:cs="Arial"/>
          <w:highlight w:val="yellow"/>
        </w:rPr>
      </w:pPr>
    </w:p>
    <w:p w14:paraId="0FC4C2A7" w14:textId="77777777" w:rsidR="00CE1BDB" w:rsidRPr="00FA4DC7" w:rsidRDefault="00CE1BDB" w:rsidP="00CE1BDB">
      <w:pPr>
        <w:pStyle w:val="Heading2"/>
        <w:tabs>
          <w:tab w:val="left" w:pos="0"/>
          <w:tab w:val="left" w:pos="709"/>
          <w:tab w:val="left" w:pos="1418"/>
        </w:tabs>
        <w:rPr>
          <w:rFonts w:cs="Arial"/>
        </w:rPr>
      </w:pPr>
      <w:bookmarkStart w:id="108" w:name="_Toc83035638"/>
      <w:r w:rsidRPr="00FA4DC7">
        <w:rPr>
          <w:rFonts w:cs="Arial"/>
        </w:rPr>
        <w:t>Report structure</w:t>
      </w:r>
      <w:bookmarkEnd w:id="100"/>
      <w:bookmarkEnd w:id="101"/>
      <w:bookmarkEnd w:id="102"/>
      <w:bookmarkEnd w:id="103"/>
      <w:bookmarkEnd w:id="104"/>
      <w:bookmarkEnd w:id="105"/>
      <w:bookmarkEnd w:id="106"/>
      <w:bookmarkEnd w:id="108"/>
    </w:p>
    <w:p w14:paraId="0A6C2E27" w14:textId="77777777" w:rsidR="00CE1BDB" w:rsidRPr="00FA4DC7" w:rsidRDefault="00CE1BDB" w:rsidP="00CE1BDB">
      <w:pPr>
        <w:pStyle w:val="Reporttext"/>
        <w:rPr>
          <w:rFonts w:cs="Arial"/>
        </w:rPr>
      </w:pPr>
      <w:r w:rsidRPr="00FA4DC7">
        <w:rPr>
          <w:rFonts w:cs="Arial"/>
        </w:rPr>
        <w:t xml:space="preserve">The Medway LHNA 2021 </w:t>
      </w:r>
      <w:proofErr w:type="gramStart"/>
      <w:r w:rsidRPr="00FA4DC7">
        <w:rPr>
          <w:rFonts w:cs="Arial"/>
        </w:rPr>
        <w:t>report  is</w:t>
      </w:r>
      <w:proofErr w:type="gramEnd"/>
      <w:r w:rsidRPr="00FA4DC7">
        <w:rPr>
          <w:rFonts w:cs="Arial"/>
        </w:rPr>
        <w:t xml:space="preserve"> structured as follows:</w:t>
      </w:r>
    </w:p>
    <w:p w14:paraId="73334B75" w14:textId="77777777" w:rsidR="00CE1BDB" w:rsidRPr="00FA4DC7" w:rsidRDefault="00CE1BDB" w:rsidP="00CE1BDB">
      <w:pPr>
        <w:pStyle w:val="bullet"/>
        <w:rPr>
          <w:rFonts w:cs="Arial"/>
        </w:rPr>
      </w:pPr>
      <w:r w:rsidRPr="00FA4DC7">
        <w:rPr>
          <w:rFonts w:cs="Arial"/>
        </w:rPr>
        <w:t xml:space="preserve">Chapter 2 considers the housing market key drivers focusing on dwelling stock, demographic drivers, household characteristics including income, economic drivers, migration and travel to work </w:t>
      </w:r>
      <w:proofErr w:type="gramStart"/>
      <w:r w:rsidRPr="00FA4DC7">
        <w:rPr>
          <w:rFonts w:cs="Arial"/>
        </w:rPr>
        <w:t>trends;</w:t>
      </w:r>
      <w:proofErr w:type="gramEnd"/>
    </w:p>
    <w:p w14:paraId="11E2B7AD" w14:textId="77777777" w:rsidR="00CE1BDB" w:rsidRPr="00FA4DC7" w:rsidRDefault="00CE1BDB" w:rsidP="00CE1BDB">
      <w:pPr>
        <w:pStyle w:val="bullet"/>
        <w:rPr>
          <w:rFonts w:cs="Arial"/>
        </w:rPr>
      </w:pPr>
      <w:r w:rsidRPr="00FA4DC7">
        <w:rPr>
          <w:rFonts w:cs="Arial"/>
        </w:rPr>
        <w:t xml:space="preserve">Chapter 3 provides analysis of prices, rents and </w:t>
      </w:r>
      <w:proofErr w:type="gramStart"/>
      <w:r w:rsidRPr="00FA4DC7">
        <w:rPr>
          <w:rFonts w:cs="Arial"/>
        </w:rPr>
        <w:t>affordability;</w:t>
      </w:r>
      <w:proofErr w:type="gramEnd"/>
    </w:p>
    <w:p w14:paraId="41AD182D" w14:textId="77777777" w:rsidR="00CE1BDB" w:rsidRPr="00FA4DC7" w:rsidRDefault="00CE1BDB" w:rsidP="00CE1BDB">
      <w:pPr>
        <w:pStyle w:val="bullet"/>
        <w:rPr>
          <w:rFonts w:cs="Arial"/>
        </w:rPr>
      </w:pPr>
      <w:r w:rsidRPr="00FA4DC7">
        <w:rPr>
          <w:rFonts w:cs="Arial"/>
        </w:rPr>
        <w:t xml:space="preserve">Chapter 4 considers the needs of different groups as referenced in NPPF and includes analysis of the need for property </w:t>
      </w:r>
      <w:proofErr w:type="gramStart"/>
      <w:r w:rsidRPr="00FA4DC7">
        <w:rPr>
          <w:rFonts w:cs="Arial"/>
        </w:rPr>
        <w:t>adaptations;</w:t>
      </w:r>
      <w:proofErr w:type="gramEnd"/>
    </w:p>
    <w:p w14:paraId="28855642" w14:textId="77777777" w:rsidR="00CE1BDB" w:rsidRPr="00FA4DC7" w:rsidRDefault="00CE1BDB" w:rsidP="00CE1BDB">
      <w:pPr>
        <w:pStyle w:val="bullet"/>
        <w:rPr>
          <w:rFonts w:cs="Arial"/>
        </w:rPr>
      </w:pPr>
      <w:r w:rsidRPr="00FA4DC7">
        <w:rPr>
          <w:rFonts w:cs="Arial"/>
        </w:rPr>
        <w:lastRenderedPageBreak/>
        <w:t xml:space="preserve">Chapter 5 focuses on overall housing need, affordable </w:t>
      </w:r>
      <w:proofErr w:type="gramStart"/>
      <w:r w:rsidRPr="00FA4DC7">
        <w:rPr>
          <w:rFonts w:cs="Arial"/>
        </w:rPr>
        <w:t>need</w:t>
      </w:r>
      <w:proofErr w:type="gramEnd"/>
      <w:r w:rsidRPr="00FA4DC7">
        <w:rPr>
          <w:rFonts w:cs="Arial"/>
        </w:rPr>
        <w:t xml:space="preserve"> and dwelling mix; and</w:t>
      </w:r>
    </w:p>
    <w:p w14:paraId="1E4AE8A3" w14:textId="77777777" w:rsidR="00CE1BDB" w:rsidRPr="00FA4DC7" w:rsidRDefault="00CE1BDB" w:rsidP="00CE1BDB">
      <w:pPr>
        <w:pStyle w:val="bullet"/>
        <w:rPr>
          <w:rFonts w:cs="Arial"/>
        </w:rPr>
      </w:pPr>
      <w:r w:rsidRPr="00FA4DC7">
        <w:rPr>
          <w:rFonts w:cs="Arial"/>
        </w:rPr>
        <w:t xml:space="preserve">Chapter 6 concludes the report with a summary of key findings and a consideration of strategic and policy issues. </w:t>
      </w:r>
      <w:bookmarkStart w:id="109" w:name="_Toc225847840"/>
      <w:bookmarkStart w:id="110" w:name="_Toc225941497"/>
      <w:bookmarkStart w:id="111" w:name="_Toc225847841"/>
      <w:bookmarkStart w:id="112" w:name="_Toc225941498"/>
      <w:bookmarkStart w:id="113" w:name="_Toc225847851"/>
      <w:bookmarkStart w:id="114" w:name="_Toc225941508"/>
      <w:bookmarkStart w:id="115" w:name="_Toc225941509"/>
      <w:bookmarkEnd w:id="109"/>
      <w:bookmarkEnd w:id="110"/>
      <w:bookmarkEnd w:id="111"/>
      <w:bookmarkEnd w:id="112"/>
      <w:bookmarkEnd w:id="113"/>
      <w:bookmarkEnd w:id="114"/>
    </w:p>
    <w:p w14:paraId="3ACB73B5" w14:textId="77777777" w:rsidR="00CE1BDB" w:rsidRPr="00FA4DC7" w:rsidRDefault="00CE1BDB" w:rsidP="00CE1BDB">
      <w:pPr>
        <w:pStyle w:val="Reporttext"/>
        <w:rPr>
          <w:rFonts w:cs="Arial"/>
        </w:rPr>
      </w:pPr>
      <w:r w:rsidRPr="00FA4DC7">
        <w:rPr>
          <w:rFonts w:cs="Arial"/>
        </w:rPr>
        <w:t>The main report is accompanied by a separate technical appendix which provides detailed material that underpins the core outputs of the LHNA. The technical appendix material includes:</w:t>
      </w:r>
    </w:p>
    <w:p w14:paraId="2A22ACF7" w14:textId="77777777" w:rsidR="00CE1BDB" w:rsidRPr="00FA4DC7" w:rsidRDefault="00CE1BDB" w:rsidP="00CE1BDB">
      <w:pPr>
        <w:pStyle w:val="bullet"/>
        <w:ind w:left="1080"/>
        <w:rPr>
          <w:rFonts w:cs="Arial"/>
        </w:rPr>
      </w:pPr>
      <w:r w:rsidRPr="00FA4DC7">
        <w:rPr>
          <w:rFonts w:cs="Arial"/>
        </w:rPr>
        <w:t>Affordable housing tenure definitions (Appendix A</w:t>
      </w:r>
      <w:proofErr w:type="gramStart"/>
      <w:r w:rsidRPr="00FA4DC7">
        <w:rPr>
          <w:rFonts w:cs="Arial"/>
        </w:rPr>
        <w:t>);</w:t>
      </w:r>
      <w:proofErr w:type="gramEnd"/>
    </w:p>
    <w:p w14:paraId="0F523AC7" w14:textId="77777777" w:rsidR="00CE1BDB" w:rsidRPr="00FA4DC7" w:rsidRDefault="00CE1BDB" w:rsidP="00CE1BDB">
      <w:pPr>
        <w:pStyle w:val="bullet"/>
        <w:ind w:left="1080"/>
        <w:rPr>
          <w:rFonts w:cs="Arial"/>
        </w:rPr>
      </w:pPr>
      <w:r w:rsidRPr="00FA4DC7">
        <w:rPr>
          <w:rFonts w:cs="Arial"/>
        </w:rPr>
        <w:t>Research methodology (Appendix B</w:t>
      </w:r>
      <w:proofErr w:type="gramStart"/>
      <w:r w:rsidRPr="00FA4DC7">
        <w:rPr>
          <w:rFonts w:cs="Arial"/>
        </w:rPr>
        <w:t>);</w:t>
      </w:r>
      <w:proofErr w:type="gramEnd"/>
    </w:p>
    <w:p w14:paraId="60A59CDD" w14:textId="77777777" w:rsidR="00CE1BDB" w:rsidRPr="00FA4DC7" w:rsidRDefault="00CE1BDB" w:rsidP="00CE1BDB">
      <w:pPr>
        <w:pStyle w:val="bullet"/>
        <w:ind w:left="1080"/>
        <w:rPr>
          <w:rFonts w:cs="Arial"/>
        </w:rPr>
      </w:pPr>
      <w:r w:rsidRPr="00FA4DC7">
        <w:rPr>
          <w:rFonts w:cs="Arial"/>
        </w:rPr>
        <w:t>Affordable housing need calculations (Appendix C</w:t>
      </w:r>
      <w:proofErr w:type="gramStart"/>
      <w:r w:rsidRPr="00FA4DC7">
        <w:rPr>
          <w:rFonts w:cs="Arial"/>
        </w:rPr>
        <w:t>);</w:t>
      </w:r>
      <w:proofErr w:type="gramEnd"/>
    </w:p>
    <w:p w14:paraId="4C7FA972" w14:textId="77777777" w:rsidR="00CE1BDB" w:rsidRPr="00FA4DC7" w:rsidRDefault="00CE1BDB" w:rsidP="00CE1BDB">
      <w:pPr>
        <w:pStyle w:val="bullet"/>
        <w:ind w:left="1080"/>
        <w:rPr>
          <w:rFonts w:cs="Arial"/>
        </w:rPr>
      </w:pPr>
      <w:r w:rsidRPr="00FA4DC7">
        <w:rPr>
          <w:rFonts w:cs="Arial"/>
        </w:rPr>
        <w:t>Dwelling mix analysis (Appendix D</w:t>
      </w:r>
      <w:proofErr w:type="gramStart"/>
      <w:r w:rsidRPr="00FA4DC7">
        <w:rPr>
          <w:rFonts w:cs="Arial"/>
        </w:rPr>
        <w:t>);</w:t>
      </w:r>
      <w:proofErr w:type="gramEnd"/>
    </w:p>
    <w:p w14:paraId="5894481D" w14:textId="77777777" w:rsidR="00CE1BDB" w:rsidRPr="00FA4DC7" w:rsidRDefault="00CE1BDB" w:rsidP="00CE1BDB">
      <w:pPr>
        <w:pStyle w:val="bullet"/>
        <w:ind w:left="1080"/>
        <w:rPr>
          <w:rFonts w:cs="Arial"/>
        </w:rPr>
      </w:pPr>
      <w:r w:rsidRPr="00FA4DC7">
        <w:rPr>
          <w:rFonts w:cs="Arial"/>
        </w:rPr>
        <w:t>Stakeholder consultation and agent review (Appendix E); and</w:t>
      </w:r>
    </w:p>
    <w:p w14:paraId="4B9F683C" w14:textId="77777777" w:rsidR="00CE1BDB" w:rsidRPr="00FA4DC7" w:rsidRDefault="00CE1BDB" w:rsidP="00CE1BDB">
      <w:pPr>
        <w:pStyle w:val="bullet"/>
        <w:ind w:left="1080"/>
        <w:rPr>
          <w:rFonts w:cs="Arial"/>
        </w:rPr>
      </w:pPr>
      <w:r w:rsidRPr="00FA4DC7">
        <w:rPr>
          <w:rFonts w:cs="Arial"/>
        </w:rPr>
        <w:t>Additional data tables (Appendix F).</w:t>
      </w:r>
    </w:p>
    <w:p w14:paraId="3D6EAE9F" w14:textId="77777777" w:rsidR="00CE1BDB" w:rsidRPr="00FA4DC7" w:rsidRDefault="00CE1BDB" w:rsidP="00CE1BDB">
      <w:pPr>
        <w:tabs>
          <w:tab w:val="left" w:pos="0"/>
          <w:tab w:val="left" w:pos="709"/>
          <w:tab w:val="left" w:pos="1418"/>
        </w:tabs>
        <w:rPr>
          <w:rFonts w:cs="Arial"/>
        </w:rPr>
      </w:pPr>
    </w:p>
    <w:p w14:paraId="5A2DE805" w14:textId="77777777" w:rsidR="00CE1BDB" w:rsidRPr="00FA4DC7" w:rsidRDefault="00CE1BDB" w:rsidP="00CE1BDB">
      <w:pPr>
        <w:pStyle w:val="Heading1"/>
        <w:numPr>
          <w:ilvl w:val="0"/>
          <w:numId w:val="0"/>
        </w:numPr>
        <w:shd w:val="clear" w:color="auto" w:fill="FFFFFF" w:themeFill="background1"/>
        <w:tabs>
          <w:tab w:val="left" w:pos="0"/>
          <w:tab w:val="left" w:pos="709"/>
          <w:tab w:val="left" w:pos="1418"/>
        </w:tabs>
        <w:rPr>
          <w:rFonts w:cs="Arial"/>
          <w:highlight w:val="yellow"/>
        </w:rPr>
      </w:pPr>
      <w:r w:rsidRPr="00FA4DC7">
        <w:rPr>
          <w:rFonts w:cs="Arial"/>
          <w:highlight w:val="yellow"/>
        </w:rPr>
        <w:br w:type="page"/>
      </w:r>
      <w:bookmarkStart w:id="116" w:name="_Toc177981221"/>
      <w:bookmarkStart w:id="117" w:name="_Toc179707418"/>
      <w:bookmarkStart w:id="118" w:name="_Toc179866243"/>
      <w:bookmarkStart w:id="119" w:name="_Toc179889247"/>
      <w:bookmarkStart w:id="120" w:name="_Toc179898441"/>
      <w:bookmarkStart w:id="121" w:name="_Toc180919692"/>
      <w:bookmarkStart w:id="122" w:name="_Toc180982870"/>
      <w:bookmarkStart w:id="123" w:name="_Toc184198248"/>
      <w:bookmarkStart w:id="124" w:name="_Toc211168718"/>
      <w:bookmarkStart w:id="125" w:name="_Toc212639306"/>
      <w:bookmarkStart w:id="126" w:name="_Toc214433409"/>
      <w:bookmarkStart w:id="127" w:name="_Toc122427224"/>
      <w:bookmarkStart w:id="128" w:name="_Toc171741150"/>
      <w:bookmarkStart w:id="129" w:name="_Toc171741220"/>
      <w:bookmarkEnd w:id="115"/>
    </w:p>
    <w:p w14:paraId="2E2AF4FD" w14:textId="77777777" w:rsidR="00CE1BDB" w:rsidRPr="00FA4DC7" w:rsidRDefault="00CE1BDB" w:rsidP="00CE1BDB">
      <w:pPr>
        <w:pStyle w:val="Heading1"/>
        <w:tabs>
          <w:tab w:val="left" w:pos="0"/>
          <w:tab w:val="left" w:pos="709"/>
          <w:tab w:val="left" w:pos="1418"/>
        </w:tabs>
        <w:rPr>
          <w:rFonts w:cs="Arial"/>
        </w:rPr>
      </w:pPr>
      <w:bookmarkStart w:id="130" w:name="_Toc83035639"/>
      <w:bookmarkStart w:id="131" w:name="_Toc225941524"/>
      <w:bookmarkEnd w:id="116"/>
      <w:bookmarkEnd w:id="117"/>
      <w:bookmarkEnd w:id="118"/>
      <w:bookmarkEnd w:id="119"/>
      <w:bookmarkEnd w:id="120"/>
      <w:bookmarkEnd w:id="121"/>
      <w:bookmarkEnd w:id="122"/>
      <w:bookmarkEnd w:id="123"/>
      <w:bookmarkEnd w:id="124"/>
      <w:bookmarkEnd w:id="125"/>
      <w:bookmarkEnd w:id="126"/>
      <w:r w:rsidRPr="00FA4DC7">
        <w:rPr>
          <w:rFonts w:cs="Arial"/>
        </w:rPr>
        <w:lastRenderedPageBreak/>
        <w:t>Housing market and key drivers</w:t>
      </w:r>
      <w:bookmarkEnd w:id="130"/>
    </w:p>
    <w:p w14:paraId="41055A56" w14:textId="77777777" w:rsidR="00CE1BDB" w:rsidRPr="00FA4DC7" w:rsidRDefault="00CE1BDB" w:rsidP="00CE1BDB">
      <w:pPr>
        <w:pStyle w:val="Heading2"/>
        <w:rPr>
          <w:rFonts w:cs="Arial"/>
        </w:rPr>
      </w:pPr>
      <w:bookmarkStart w:id="132" w:name="_Toc83035640"/>
      <w:r w:rsidRPr="00FA4DC7">
        <w:rPr>
          <w:rFonts w:cs="Arial"/>
        </w:rPr>
        <w:t>Introduction</w:t>
      </w:r>
      <w:bookmarkEnd w:id="132"/>
    </w:p>
    <w:p w14:paraId="05677993" w14:textId="77777777" w:rsidR="00CE1BDB" w:rsidRPr="00FA4DC7" w:rsidRDefault="00CE1BDB" w:rsidP="00CE1BDB">
      <w:pPr>
        <w:pStyle w:val="Reporttext"/>
        <w:rPr>
          <w:rFonts w:cs="Arial"/>
        </w:rPr>
      </w:pPr>
      <w:r w:rsidRPr="00FA4DC7">
        <w:rPr>
          <w:rFonts w:cs="Arial"/>
        </w:rPr>
        <w:t xml:space="preserve">This chapter provides a detailed background to dwelling stock and tenure and the underlying economic, demographic and household drivers across Medway. </w:t>
      </w:r>
    </w:p>
    <w:p w14:paraId="6DAFB831" w14:textId="77777777" w:rsidR="00CE1BDB" w:rsidRPr="00FA4DC7" w:rsidRDefault="00CE1BDB" w:rsidP="00CE1BDB">
      <w:pPr>
        <w:pStyle w:val="Reporttext"/>
        <w:numPr>
          <w:ilvl w:val="0"/>
          <w:numId w:val="0"/>
        </w:numPr>
        <w:ind w:left="709"/>
        <w:rPr>
          <w:rFonts w:cs="Arial"/>
          <w:highlight w:val="yellow"/>
        </w:rPr>
      </w:pPr>
    </w:p>
    <w:p w14:paraId="093A2E0F" w14:textId="77777777" w:rsidR="00CE1BDB" w:rsidRPr="00FA4DC7" w:rsidRDefault="00CE1BDB" w:rsidP="00CE1BDB">
      <w:pPr>
        <w:pStyle w:val="Heading2"/>
        <w:rPr>
          <w:rFonts w:cs="Arial"/>
        </w:rPr>
      </w:pPr>
      <w:bookmarkStart w:id="133" w:name="_Toc46497061"/>
      <w:bookmarkStart w:id="134" w:name="_Toc83035641"/>
      <w:r w:rsidRPr="00FA4DC7">
        <w:rPr>
          <w:rFonts w:cs="Arial"/>
        </w:rPr>
        <w:t>Dwelling stock, vacant stock and household estimates</w:t>
      </w:r>
      <w:bookmarkEnd w:id="133"/>
      <w:bookmarkEnd w:id="134"/>
    </w:p>
    <w:p w14:paraId="1805AB7A" w14:textId="77777777" w:rsidR="00CE1BDB" w:rsidRPr="00FA4DC7" w:rsidRDefault="00CE1BDB" w:rsidP="00CE1BDB">
      <w:pPr>
        <w:pStyle w:val="Reporttext"/>
        <w:tabs>
          <w:tab w:val="clear" w:pos="2128"/>
          <w:tab w:val="num" w:pos="2129"/>
        </w:tabs>
        <w:rPr>
          <w:rFonts w:cs="Arial"/>
        </w:rPr>
      </w:pPr>
      <w:r w:rsidRPr="00FA4DC7">
        <w:rPr>
          <w:rFonts w:cs="Arial"/>
        </w:rPr>
        <w:t xml:space="preserve">Current estimates of dwelling stock, vacant stock and households from multiple sources are presented in Table 2.1. For the purposes of the 2021 LHNA, the total dwelling stock base is assumed to be </w:t>
      </w:r>
      <w:proofErr w:type="gramStart"/>
      <w:r w:rsidRPr="00FA4DC7">
        <w:rPr>
          <w:rFonts w:cs="Arial"/>
          <w:b/>
          <w:bCs/>
        </w:rPr>
        <w:t xml:space="preserve">115,153 </w:t>
      </w:r>
      <w:r w:rsidRPr="00FA4DC7">
        <w:rPr>
          <w:rFonts w:cs="Arial"/>
        </w:rPr>
        <w:t xml:space="preserve"> and</w:t>
      </w:r>
      <w:proofErr w:type="gramEnd"/>
      <w:r w:rsidRPr="00FA4DC7">
        <w:rPr>
          <w:rFonts w:cs="Arial"/>
        </w:rPr>
        <w:t xml:space="preserve"> the number of households as </w:t>
      </w:r>
      <w:r w:rsidRPr="00FA4DC7">
        <w:rPr>
          <w:rFonts w:cs="Arial"/>
          <w:b/>
          <w:bCs/>
        </w:rPr>
        <w:t xml:space="preserve">112,443.  </w:t>
      </w:r>
      <w:r w:rsidRPr="00FA4DC7">
        <w:rPr>
          <w:rFonts w:cs="Arial"/>
        </w:rPr>
        <w:t xml:space="preserve">Around 3.1% of dwellings are vacant compared with the national rate of 2.7% based in MHCLG data. Table 2.2 shows the number of dwellings and household estimates for smaller geographies. </w:t>
      </w:r>
    </w:p>
    <w:p w14:paraId="2C901960" w14:textId="77777777" w:rsidR="00CE1BDB" w:rsidRPr="00FA4DC7" w:rsidRDefault="00CE1BDB" w:rsidP="00CE1BDB">
      <w:pPr>
        <w:rPr>
          <w:rFonts w:cs="Arial"/>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098"/>
        <w:gridCol w:w="1482"/>
        <w:gridCol w:w="2600"/>
      </w:tblGrid>
      <w:tr w:rsidR="00CE1BDB" w:rsidRPr="00FA4DC7" w14:paraId="01BC5721" w14:textId="77777777" w:rsidTr="00EF49A7">
        <w:trPr>
          <w:jc w:val="center"/>
        </w:trPr>
        <w:tc>
          <w:tcPr>
            <w:tcW w:w="5000" w:type="pct"/>
            <w:gridSpan w:val="3"/>
            <w:shd w:val="clear" w:color="auto" w:fill="006666"/>
            <w:vAlign w:val="bottom"/>
          </w:tcPr>
          <w:p w14:paraId="2F2A383D" w14:textId="77777777" w:rsidR="00CE1BDB" w:rsidRPr="00FA4DC7" w:rsidRDefault="00CE1BDB" w:rsidP="00EF49A7">
            <w:pPr>
              <w:pStyle w:val="Tableheading1"/>
              <w:rPr>
                <w:rFonts w:cs="Arial"/>
                <w:color w:val="FFFFFF"/>
                <w:lang w:val="en-US"/>
              </w:rPr>
            </w:pPr>
            <w:bookmarkStart w:id="135" w:name="_Toc46778428"/>
            <w:bookmarkStart w:id="136" w:name="_Toc83036052"/>
            <w:r w:rsidRPr="00FA4DC7">
              <w:rPr>
                <w:rFonts w:cs="Arial"/>
              </w:rPr>
              <w:t>Table 2.1</w:t>
            </w:r>
            <w:r w:rsidRPr="00FA4DC7">
              <w:rPr>
                <w:rFonts w:cs="Arial"/>
              </w:rPr>
              <w:tab/>
            </w:r>
            <w:r w:rsidRPr="00FA4DC7">
              <w:rPr>
                <w:rFonts w:cs="Arial"/>
                <w:lang w:val="en-US"/>
              </w:rPr>
              <w:t xml:space="preserve">Dwelling </w:t>
            </w:r>
            <w:r w:rsidRPr="00FA4DC7">
              <w:rPr>
                <w:rFonts w:cs="Arial"/>
              </w:rPr>
              <w:t>stock</w:t>
            </w:r>
            <w:r w:rsidRPr="00FA4DC7">
              <w:rPr>
                <w:rFonts w:cs="Arial"/>
                <w:lang w:val="en-US"/>
              </w:rPr>
              <w:t xml:space="preserve"> and household </w:t>
            </w:r>
            <w:r w:rsidRPr="00FA4DC7">
              <w:rPr>
                <w:rFonts w:cs="Arial"/>
              </w:rPr>
              <w:t>estimates</w:t>
            </w:r>
            <w:bookmarkEnd w:id="135"/>
            <w:bookmarkEnd w:id="136"/>
          </w:p>
        </w:tc>
      </w:tr>
      <w:tr w:rsidR="00CE1BDB" w:rsidRPr="00FA4DC7" w14:paraId="788F9B87" w14:textId="77777777" w:rsidTr="00EF49A7">
        <w:trPr>
          <w:jc w:val="center"/>
        </w:trPr>
        <w:tc>
          <w:tcPr>
            <w:tcW w:w="2777" w:type="pct"/>
            <w:shd w:val="clear" w:color="auto" w:fill="006666"/>
            <w:noWrap/>
            <w:vAlign w:val="bottom"/>
            <w:hideMark/>
          </w:tcPr>
          <w:p w14:paraId="31672DBC" w14:textId="77777777" w:rsidR="00CE1BDB" w:rsidRPr="00FA4DC7" w:rsidRDefault="00CE1BDB" w:rsidP="00EF49A7">
            <w:pPr>
              <w:tabs>
                <w:tab w:val="left" w:pos="0"/>
                <w:tab w:val="left" w:pos="709"/>
                <w:tab w:val="left" w:pos="1418"/>
              </w:tabs>
              <w:rPr>
                <w:rFonts w:cs="Arial"/>
                <w:b/>
                <w:bCs/>
                <w:color w:val="FFFFFF"/>
                <w:sz w:val="22"/>
                <w:szCs w:val="22"/>
              </w:rPr>
            </w:pPr>
            <w:r w:rsidRPr="00FA4DC7">
              <w:rPr>
                <w:rFonts w:cs="Arial"/>
                <w:b/>
                <w:bCs/>
                <w:color w:val="FFFFFF"/>
                <w:sz w:val="22"/>
                <w:szCs w:val="22"/>
              </w:rPr>
              <w:t>Dwelling stock</w:t>
            </w:r>
          </w:p>
        </w:tc>
        <w:tc>
          <w:tcPr>
            <w:tcW w:w="807" w:type="pct"/>
            <w:shd w:val="clear" w:color="auto" w:fill="006666"/>
            <w:noWrap/>
            <w:tcMar>
              <w:left w:w="0" w:type="dxa"/>
              <w:right w:w="0" w:type="dxa"/>
            </w:tcMar>
            <w:vAlign w:val="bottom"/>
            <w:hideMark/>
          </w:tcPr>
          <w:p w14:paraId="5E52473C" w14:textId="77777777" w:rsidR="00CE1BDB" w:rsidRPr="00FA4DC7" w:rsidRDefault="00CE1BDB" w:rsidP="00EF49A7">
            <w:pPr>
              <w:tabs>
                <w:tab w:val="left" w:pos="0"/>
                <w:tab w:val="left" w:pos="709"/>
                <w:tab w:val="left" w:pos="1418"/>
              </w:tabs>
              <w:jc w:val="center"/>
              <w:rPr>
                <w:rFonts w:cs="Arial"/>
                <w:b/>
                <w:color w:val="FFFFFF"/>
                <w:sz w:val="22"/>
                <w:szCs w:val="22"/>
              </w:rPr>
            </w:pPr>
            <w:r w:rsidRPr="00FA4DC7">
              <w:rPr>
                <w:rFonts w:cs="Arial"/>
                <w:b/>
                <w:color w:val="FFFFFF" w:themeColor="background1"/>
                <w:sz w:val="22"/>
                <w:szCs w:val="22"/>
              </w:rPr>
              <w:t>Dwellings</w:t>
            </w:r>
          </w:p>
        </w:tc>
        <w:tc>
          <w:tcPr>
            <w:tcW w:w="1416" w:type="pct"/>
            <w:shd w:val="clear" w:color="auto" w:fill="006666"/>
            <w:noWrap/>
            <w:tcMar>
              <w:left w:w="0" w:type="dxa"/>
              <w:right w:w="0" w:type="dxa"/>
            </w:tcMar>
            <w:vAlign w:val="bottom"/>
          </w:tcPr>
          <w:p w14:paraId="1583B3A6"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Source</w:t>
            </w:r>
          </w:p>
        </w:tc>
      </w:tr>
      <w:tr w:rsidR="00CE1BDB" w:rsidRPr="00FA4DC7" w14:paraId="14208DAC" w14:textId="77777777" w:rsidTr="00EF49A7">
        <w:trPr>
          <w:jc w:val="center"/>
        </w:trPr>
        <w:tc>
          <w:tcPr>
            <w:tcW w:w="2777" w:type="pct"/>
            <w:shd w:val="clear" w:color="auto" w:fill="auto"/>
            <w:noWrap/>
            <w:vAlign w:val="center"/>
          </w:tcPr>
          <w:p w14:paraId="384E7B09"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2020 Valuation Office Agency (all dwellings)</w:t>
            </w:r>
          </w:p>
        </w:tc>
        <w:tc>
          <w:tcPr>
            <w:tcW w:w="807" w:type="pct"/>
            <w:shd w:val="clear" w:color="auto" w:fill="auto"/>
            <w:noWrap/>
            <w:vAlign w:val="center"/>
          </w:tcPr>
          <w:p w14:paraId="35D2DED0" w14:textId="77777777" w:rsidR="00CE1BDB" w:rsidRPr="00FA4DC7" w:rsidRDefault="00CE1BDB" w:rsidP="00C75F28">
            <w:pPr>
              <w:tabs>
                <w:tab w:val="left" w:pos="0"/>
                <w:tab w:val="left" w:pos="709"/>
                <w:tab w:val="left" w:pos="1418"/>
              </w:tabs>
              <w:jc w:val="center"/>
              <w:rPr>
                <w:rFonts w:cs="Arial"/>
                <w:color w:val="000000"/>
                <w:sz w:val="22"/>
                <w:szCs w:val="22"/>
              </w:rPr>
            </w:pPr>
            <w:r w:rsidRPr="00FA4DC7">
              <w:rPr>
                <w:rFonts w:cs="Arial"/>
                <w:color w:val="000000"/>
                <w:sz w:val="22"/>
                <w:szCs w:val="22"/>
              </w:rPr>
              <w:t>113,530</w:t>
            </w:r>
          </w:p>
        </w:tc>
        <w:tc>
          <w:tcPr>
            <w:tcW w:w="1416" w:type="pct"/>
            <w:shd w:val="clear" w:color="000000" w:fill="FFFFFF"/>
            <w:noWrap/>
            <w:vAlign w:val="center"/>
          </w:tcPr>
          <w:p w14:paraId="75BAA388"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VOA Table CTSOP3.0</w:t>
            </w:r>
          </w:p>
        </w:tc>
      </w:tr>
      <w:tr w:rsidR="00CE1BDB" w:rsidRPr="00FA4DC7" w14:paraId="69692662" w14:textId="77777777" w:rsidTr="00EF49A7">
        <w:trPr>
          <w:jc w:val="center"/>
        </w:trPr>
        <w:tc>
          <w:tcPr>
            <w:tcW w:w="2777" w:type="pct"/>
            <w:shd w:val="clear" w:color="auto" w:fill="auto"/>
            <w:noWrap/>
            <w:vAlign w:val="center"/>
          </w:tcPr>
          <w:p w14:paraId="3FE7BD4D"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2020 Valuation Office Agency (excluding annex and unknown)</w:t>
            </w:r>
          </w:p>
        </w:tc>
        <w:tc>
          <w:tcPr>
            <w:tcW w:w="807" w:type="pct"/>
            <w:shd w:val="clear" w:color="auto" w:fill="auto"/>
            <w:noWrap/>
            <w:vAlign w:val="center"/>
          </w:tcPr>
          <w:p w14:paraId="38560731" w14:textId="77777777" w:rsidR="00CE1BDB" w:rsidRPr="00FA4DC7" w:rsidRDefault="00CE1BDB" w:rsidP="00C75F28">
            <w:pPr>
              <w:tabs>
                <w:tab w:val="left" w:pos="0"/>
                <w:tab w:val="left" w:pos="709"/>
                <w:tab w:val="left" w:pos="1418"/>
              </w:tabs>
              <w:jc w:val="center"/>
              <w:rPr>
                <w:rFonts w:cs="Arial"/>
                <w:b/>
                <w:bCs/>
                <w:color w:val="000000"/>
                <w:sz w:val="22"/>
                <w:szCs w:val="22"/>
              </w:rPr>
            </w:pPr>
            <w:r w:rsidRPr="00FA4DC7">
              <w:rPr>
                <w:rFonts w:cs="Arial"/>
                <w:color w:val="000000"/>
                <w:sz w:val="22"/>
                <w:szCs w:val="22"/>
              </w:rPr>
              <w:t>112,450</w:t>
            </w:r>
          </w:p>
        </w:tc>
        <w:tc>
          <w:tcPr>
            <w:tcW w:w="1416" w:type="pct"/>
            <w:shd w:val="clear" w:color="000000" w:fill="FFFFFF"/>
            <w:noWrap/>
            <w:vAlign w:val="center"/>
          </w:tcPr>
          <w:p w14:paraId="575EC2EF"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VOA Table CTSOP3.0</w:t>
            </w:r>
          </w:p>
        </w:tc>
      </w:tr>
      <w:tr w:rsidR="00CE1BDB" w:rsidRPr="00FA4DC7" w14:paraId="6F9F13F9" w14:textId="77777777" w:rsidTr="00EF49A7">
        <w:trPr>
          <w:jc w:val="center"/>
        </w:trPr>
        <w:tc>
          <w:tcPr>
            <w:tcW w:w="2777" w:type="pct"/>
            <w:shd w:val="clear" w:color="auto" w:fill="auto"/>
            <w:noWrap/>
            <w:vAlign w:val="center"/>
          </w:tcPr>
          <w:p w14:paraId="01F27C76"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2020 MHCLG Dwelling Stock Estimates</w:t>
            </w:r>
          </w:p>
        </w:tc>
        <w:tc>
          <w:tcPr>
            <w:tcW w:w="807" w:type="pct"/>
            <w:shd w:val="clear" w:color="auto" w:fill="auto"/>
            <w:noWrap/>
            <w:vAlign w:val="center"/>
          </w:tcPr>
          <w:p w14:paraId="4E9D5BD6" w14:textId="77777777" w:rsidR="00CE1BDB" w:rsidRPr="00FA4DC7" w:rsidRDefault="00CE1BDB" w:rsidP="00C75F28">
            <w:pPr>
              <w:tabs>
                <w:tab w:val="left" w:pos="0"/>
                <w:tab w:val="left" w:pos="709"/>
                <w:tab w:val="left" w:pos="1418"/>
              </w:tabs>
              <w:jc w:val="center"/>
              <w:rPr>
                <w:rFonts w:cs="Arial"/>
                <w:color w:val="000000"/>
                <w:sz w:val="22"/>
                <w:szCs w:val="22"/>
              </w:rPr>
            </w:pPr>
            <w:r w:rsidRPr="00FA4DC7">
              <w:rPr>
                <w:rFonts w:cs="Arial"/>
                <w:color w:val="000000"/>
                <w:sz w:val="22"/>
                <w:szCs w:val="22"/>
              </w:rPr>
              <w:t>116,287</w:t>
            </w:r>
          </w:p>
        </w:tc>
        <w:tc>
          <w:tcPr>
            <w:tcW w:w="1416" w:type="pct"/>
            <w:shd w:val="clear" w:color="000000" w:fill="FFFFFF"/>
            <w:noWrap/>
            <w:vAlign w:val="center"/>
          </w:tcPr>
          <w:p w14:paraId="05D8F797"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 xml:space="preserve">MHCLG Live Tables </w:t>
            </w:r>
          </w:p>
        </w:tc>
      </w:tr>
      <w:tr w:rsidR="00CE1BDB" w:rsidRPr="00FA4DC7" w14:paraId="686F2EF8" w14:textId="77777777" w:rsidTr="00EF49A7">
        <w:trPr>
          <w:jc w:val="center"/>
        </w:trPr>
        <w:tc>
          <w:tcPr>
            <w:tcW w:w="2777" w:type="pct"/>
            <w:shd w:val="clear" w:color="auto" w:fill="006666"/>
            <w:noWrap/>
            <w:vAlign w:val="center"/>
          </w:tcPr>
          <w:p w14:paraId="44CE3988"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b/>
                <w:bCs/>
                <w:color w:val="FFFFFF"/>
                <w:sz w:val="22"/>
                <w:szCs w:val="22"/>
              </w:rPr>
              <w:t>Vacant stock</w:t>
            </w:r>
          </w:p>
        </w:tc>
        <w:tc>
          <w:tcPr>
            <w:tcW w:w="807" w:type="pct"/>
            <w:shd w:val="clear" w:color="auto" w:fill="006666"/>
            <w:noWrap/>
            <w:vAlign w:val="center"/>
          </w:tcPr>
          <w:p w14:paraId="3681FCD6" w14:textId="77777777" w:rsidR="00CE1BDB" w:rsidRPr="00FA4DC7" w:rsidRDefault="00CE1BDB" w:rsidP="00EF49A7">
            <w:pPr>
              <w:tabs>
                <w:tab w:val="left" w:pos="0"/>
                <w:tab w:val="left" w:pos="709"/>
                <w:tab w:val="left" w:pos="1418"/>
              </w:tabs>
              <w:jc w:val="center"/>
              <w:rPr>
                <w:rFonts w:cs="Arial"/>
                <w:bCs/>
                <w:color w:val="000000"/>
                <w:sz w:val="22"/>
                <w:szCs w:val="22"/>
              </w:rPr>
            </w:pPr>
            <w:r w:rsidRPr="00FA4DC7">
              <w:rPr>
                <w:rFonts w:cs="Arial"/>
                <w:b/>
                <w:bCs/>
                <w:color w:val="FFFFFF"/>
                <w:sz w:val="22"/>
                <w:szCs w:val="22"/>
              </w:rPr>
              <w:t>Dwellings</w:t>
            </w:r>
          </w:p>
        </w:tc>
        <w:tc>
          <w:tcPr>
            <w:tcW w:w="1416" w:type="pct"/>
            <w:shd w:val="clear" w:color="auto" w:fill="006666"/>
            <w:noWrap/>
            <w:vAlign w:val="center"/>
          </w:tcPr>
          <w:p w14:paraId="33CD5CD5" w14:textId="77777777" w:rsidR="00CE1BDB" w:rsidRPr="00FA4DC7" w:rsidRDefault="00CE1BDB" w:rsidP="00EF49A7">
            <w:pPr>
              <w:tabs>
                <w:tab w:val="left" w:pos="0"/>
                <w:tab w:val="left" w:pos="709"/>
                <w:tab w:val="left" w:pos="1418"/>
              </w:tabs>
              <w:jc w:val="center"/>
              <w:rPr>
                <w:rFonts w:cs="Arial"/>
                <w:color w:val="000000"/>
                <w:sz w:val="22"/>
                <w:szCs w:val="22"/>
              </w:rPr>
            </w:pPr>
            <w:r w:rsidRPr="00FA4DC7">
              <w:rPr>
                <w:rFonts w:cs="Arial"/>
                <w:b/>
                <w:bCs/>
                <w:color w:val="FFFFFF"/>
                <w:sz w:val="22"/>
                <w:szCs w:val="22"/>
              </w:rPr>
              <w:t>Source</w:t>
            </w:r>
          </w:p>
        </w:tc>
      </w:tr>
      <w:tr w:rsidR="00CE1BDB" w:rsidRPr="00FA4DC7" w14:paraId="5C0FC858" w14:textId="77777777" w:rsidTr="00EF49A7">
        <w:trPr>
          <w:jc w:val="center"/>
        </w:trPr>
        <w:tc>
          <w:tcPr>
            <w:tcW w:w="2777" w:type="pct"/>
            <w:shd w:val="clear" w:color="auto" w:fill="auto"/>
            <w:noWrap/>
            <w:vAlign w:val="center"/>
          </w:tcPr>
          <w:p w14:paraId="0C69C6E6"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2020 MHCLG Vacancy estimate (all dwellings)</w:t>
            </w:r>
          </w:p>
        </w:tc>
        <w:tc>
          <w:tcPr>
            <w:tcW w:w="807" w:type="pct"/>
            <w:shd w:val="clear" w:color="auto" w:fill="auto"/>
            <w:noWrap/>
            <w:vAlign w:val="center"/>
          </w:tcPr>
          <w:p w14:paraId="5100211F" w14:textId="77777777" w:rsidR="00CE1BDB" w:rsidRPr="00FA4DC7" w:rsidRDefault="00CE1BDB" w:rsidP="00C75F28">
            <w:pPr>
              <w:tabs>
                <w:tab w:val="left" w:pos="0"/>
                <w:tab w:val="left" w:pos="709"/>
                <w:tab w:val="left" w:pos="1418"/>
              </w:tabs>
              <w:jc w:val="center"/>
              <w:rPr>
                <w:rFonts w:cs="Arial"/>
                <w:bCs/>
                <w:color w:val="000000"/>
                <w:sz w:val="22"/>
                <w:szCs w:val="22"/>
              </w:rPr>
            </w:pPr>
            <w:r w:rsidRPr="00FA4DC7">
              <w:rPr>
                <w:rFonts w:cs="Arial"/>
                <w:color w:val="000000"/>
                <w:sz w:val="22"/>
                <w:szCs w:val="22"/>
              </w:rPr>
              <w:t>3,639 (3.1%)</w:t>
            </w:r>
          </w:p>
        </w:tc>
        <w:tc>
          <w:tcPr>
            <w:tcW w:w="1416" w:type="pct"/>
            <w:shd w:val="clear" w:color="000000" w:fill="FFFFFF"/>
            <w:noWrap/>
            <w:vAlign w:val="center"/>
          </w:tcPr>
          <w:p w14:paraId="0D038B9D" w14:textId="77777777" w:rsidR="00CE1BDB" w:rsidRPr="00FA4DC7" w:rsidRDefault="00CE1BDB" w:rsidP="00EF49A7">
            <w:pPr>
              <w:rPr>
                <w:rFonts w:cs="Arial"/>
                <w:color w:val="000000"/>
                <w:sz w:val="22"/>
              </w:rPr>
            </w:pPr>
            <w:r w:rsidRPr="00FA4DC7">
              <w:rPr>
                <w:rFonts w:cs="Arial"/>
                <w:color w:val="000000"/>
                <w:sz w:val="22"/>
                <w:szCs w:val="22"/>
              </w:rPr>
              <w:t>MHCLG Table LT_615</w:t>
            </w:r>
          </w:p>
        </w:tc>
      </w:tr>
      <w:tr w:rsidR="00CE1BDB" w:rsidRPr="00FA4DC7" w14:paraId="77150ADB" w14:textId="77777777" w:rsidTr="00EF49A7">
        <w:trPr>
          <w:jc w:val="center"/>
        </w:trPr>
        <w:tc>
          <w:tcPr>
            <w:tcW w:w="2777" w:type="pct"/>
            <w:shd w:val="clear" w:color="auto" w:fill="auto"/>
            <w:noWrap/>
            <w:vAlign w:val="center"/>
          </w:tcPr>
          <w:p w14:paraId="6485CEA7"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2019 MHCLG Long-term vacancy estimate (all dwellings)</w:t>
            </w:r>
          </w:p>
        </w:tc>
        <w:tc>
          <w:tcPr>
            <w:tcW w:w="807" w:type="pct"/>
            <w:shd w:val="clear" w:color="auto" w:fill="auto"/>
            <w:noWrap/>
            <w:vAlign w:val="center"/>
          </w:tcPr>
          <w:p w14:paraId="7C55D214" w14:textId="77777777" w:rsidR="00CE1BDB" w:rsidRPr="00FA4DC7" w:rsidRDefault="00CE1BDB" w:rsidP="00C75F28">
            <w:pPr>
              <w:tabs>
                <w:tab w:val="left" w:pos="0"/>
                <w:tab w:val="left" w:pos="709"/>
                <w:tab w:val="left" w:pos="1418"/>
              </w:tabs>
              <w:jc w:val="center"/>
              <w:rPr>
                <w:rFonts w:cs="Arial"/>
                <w:bCs/>
                <w:color w:val="000000"/>
                <w:sz w:val="22"/>
                <w:szCs w:val="22"/>
              </w:rPr>
            </w:pPr>
            <w:r w:rsidRPr="00FA4DC7">
              <w:rPr>
                <w:rFonts w:cs="Arial"/>
                <w:color w:val="000000"/>
                <w:sz w:val="22"/>
                <w:szCs w:val="22"/>
              </w:rPr>
              <w:t>1,573 (1.4%)</w:t>
            </w:r>
          </w:p>
        </w:tc>
        <w:tc>
          <w:tcPr>
            <w:tcW w:w="1416" w:type="pct"/>
            <w:shd w:val="clear" w:color="000000" w:fill="FFFFFF"/>
            <w:noWrap/>
            <w:vAlign w:val="center"/>
          </w:tcPr>
          <w:p w14:paraId="03693B4F"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MHCLG Table LT_615</w:t>
            </w:r>
          </w:p>
        </w:tc>
      </w:tr>
      <w:tr w:rsidR="00CE1BDB" w:rsidRPr="00FA4DC7" w14:paraId="35AB162C" w14:textId="77777777" w:rsidTr="00EF49A7">
        <w:trPr>
          <w:jc w:val="center"/>
        </w:trPr>
        <w:tc>
          <w:tcPr>
            <w:tcW w:w="2777" w:type="pct"/>
            <w:shd w:val="clear" w:color="auto" w:fill="006666"/>
            <w:noWrap/>
            <w:vAlign w:val="center"/>
          </w:tcPr>
          <w:p w14:paraId="7D4E667F"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b/>
                <w:bCs/>
                <w:color w:val="FFFFFF"/>
                <w:sz w:val="22"/>
                <w:szCs w:val="22"/>
              </w:rPr>
              <w:t>Households</w:t>
            </w:r>
          </w:p>
        </w:tc>
        <w:tc>
          <w:tcPr>
            <w:tcW w:w="807" w:type="pct"/>
            <w:shd w:val="clear" w:color="auto" w:fill="006666"/>
            <w:noWrap/>
            <w:vAlign w:val="center"/>
          </w:tcPr>
          <w:p w14:paraId="43BF088D" w14:textId="77777777" w:rsidR="00CE1BDB" w:rsidRPr="00FA4DC7" w:rsidRDefault="00CE1BDB" w:rsidP="00EF49A7">
            <w:pPr>
              <w:tabs>
                <w:tab w:val="left" w:pos="0"/>
                <w:tab w:val="left" w:pos="709"/>
                <w:tab w:val="left" w:pos="1418"/>
              </w:tabs>
              <w:jc w:val="center"/>
              <w:rPr>
                <w:rFonts w:cs="Arial"/>
                <w:color w:val="000000"/>
                <w:sz w:val="22"/>
                <w:szCs w:val="22"/>
              </w:rPr>
            </w:pPr>
            <w:r w:rsidRPr="00FA4DC7">
              <w:rPr>
                <w:rFonts w:cs="Arial"/>
                <w:b/>
                <w:bCs/>
                <w:color w:val="FFFFFF"/>
                <w:sz w:val="22"/>
                <w:szCs w:val="22"/>
              </w:rPr>
              <w:t>Households</w:t>
            </w:r>
          </w:p>
        </w:tc>
        <w:tc>
          <w:tcPr>
            <w:tcW w:w="1416" w:type="pct"/>
            <w:shd w:val="clear" w:color="auto" w:fill="006666"/>
            <w:noWrap/>
            <w:vAlign w:val="center"/>
          </w:tcPr>
          <w:p w14:paraId="12B7F127" w14:textId="77777777" w:rsidR="00CE1BDB" w:rsidRPr="00FA4DC7" w:rsidRDefault="00CE1BDB" w:rsidP="00EF49A7">
            <w:pPr>
              <w:tabs>
                <w:tab w:val="left" w:pos="0"/>
                <w:tab w:val="left" w:pos="709"/>
                <w:tab w:val="left" w:pos="1418"/>
              </w:tabs>
              <w:jc w:val="center"/>
              <w:rPr>
                <w:rFonts w:cs="Arial"/>
                <w:color w:val="000000"/>
                <w:sz w:val="22"/>
                <w:szCs w:val="22"/>
              </w:rPr>
            </w:pPr>
            <w:r w:rsidRPr="00FA4DC7">
              <w:rPr>
                <w:rFonts w:cs="Arial"/>
                <w:b/>
                <w:bCs/>
                <w:color w:val="FFFFFF"/>
                <w:sz w:val="22"/>
                <w:szCs w:val="22"/>
              </w:rPr>
              <w:t>Source</w:t>
            </w:r>
          </w:p>
        </w:tc>
      </w:tr>
      <w:tr w:rsidR="00CE1BDB" w:rsidRPr="00FA4DC7" w14:paraId="4C520D3A" w14:textId="77777777" w:rsidTr="00EF49A7">
        <w:trPr>
          <w:jc w:val="center"/>
        </w:trPr>
        <w:tc>
          <w:tcPr>
            <w:tcW w:w="2777" w:type="pct"/>
            <w:shd w:val="clear" w:color="auto" w:fill="auto"/>
            <w:noWrap/>
            <w:vAlign w:val="center"/>
          </w:tcPr>
          <w:p w14:paraId="7F7E67E1"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2014-based DCLG Household Projections 2020 figure</w:t>
            </w:r>
          </w:p>
        </w:tc>
        <w:tc>
          <w:tcPr>
            <w:tcW w:w="807" w:type="pct"/>
            <w:shd w:val="clear" w:color="auto" w:fill="auto"/>
            <w:noWrap/>
            <w:vAlign w:val="center"/>
          </w:tcPr>
          <w:p w14:paraId="2F641109" w14:textId="77777777" w:rsidR="00CE1BDB" w:rsidRPr="00FA4DC7" w:rsidRDefault="00CE1BDB" w:rsidP="00C75F28">
            <w:pPr>
              <w:tabs>
                <w:tab w:val="left" w:pos="0"/>
                <w:tab w:val="left" w:pos="709"/>
                <w:tab w:val="left" w:pos="1418"/>
              </w:tabs>
              <w:jc w:val="center"/>
              <w:rPr>
                <w:rFonts w:cs="Arial"/>
                <w:color w:val="000000"/>
                <w:sz w:val="22"/>
                <w:szCs w:val="22"/>
              </w:rPr>
            </w:pPr>
            <w:r w:rsidRPr="00FA4DC7">
              <w:rPr>
                <w:rFonts w:cs="Arial"/>
                <w:color w:val="000000"/>
                <w:sz w:val="22"/>
                <w:szCs w:val="22"/>
              </w:rPr>
              <w:t>119,739</w:t>
            </w:r>
          </w:p>
        </w:tc>
        <w:tc>
          <w:tcPr>
            <w:tcW w:w="1416" w:type="pct"/>
            <w:shd w:val="clear" w:color="000000" w:fill="FFFFFF"/>
            <w:noWrap/>
            <w:vAlign w:val="center"/>
          </w:tcPr>
          <w:p w14:paraId="2CEE4822"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DCLG (now MHCLG)</w:t>
            </w:r>
          </w:p>
        </w:tc>
      </w:tr>
      <w:tr w:rsidR="00CE1BDB" w:rsidRPr="00FA4DC7" w14:paraId="73D3F3DE" w14:textId="77777777" w:rsidTr="00EF49A7">
        <w:trPr>
          <w:jc w:val="center"/>
        </w:trPr>
        <w:tc>
          <w:tcPr>
            <w:tcW w:w="2777" w:type="pct"/>
            <w:shd w:val="clear" w:color="auto" w:fill="auto"/>
            <w:noWrap/>
            <w:vAlign w:val="center"/>
          </w:tcPr>
          <w:p w14:paraId="02D251DA"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2016-based ONS Household Projections 2020 figure</w:t>
            </w:r>
          </w:p>
        </w:tc>
        <w:tc>
          <w:tcPr>
            <w:tcW w:w="807" w:type="pct"/>
            <w:shd w:val="clear" w:color="auto" w:fill="auto"/>
            <w:noWrap/>
            <w:vAlign w:val="center"/>
          </w:tcPr>
          <w:p w14:paraId="599ABB43" w14:textId="77777777" w:rsidR="00CE1BDB" w:rsidRPr="00FA4DC7" w:rsidRDefault="00CE1BDB" w:rsidP="00C75F28">
            <w:pPr>
              <w:tabs>
                <w:tab w:val="left" w:pos="0"/>
                <w:tab w:val="left" w:pos="709"/>
                <w:tab w:val="left" w:pos="1418"/>
              </w:tabs>
              <w:jc w:val="center"/>
              <w:rPr>
                <w:rFonts w:cs="Arial"/>
                <w:bCs/>
                <w:color w:val="000000"/>
                <w:sz w:val="22"/>
                <w:szCs w:val="22"/>
              </w:rPr>
            </w:pPr>
            <w:r w:rsidRPr="00FA4DC7">
              <w:rPr>
                <w:rFonts w:cs="Arial"/>
                <w:color w:val="000000"/>
                <w:sz w:val="22"/>
                <w:szCs w:val="22"/>
              </w:rPr>
              <w:t>115,039</w:t>
            </w:r>
          </w:p>
        </w:tc>
        <w:tc>
          <w:tcPr>
            <w:tcW w:w="1416" w:type="pct"/>
            <w:shd w:val="clear" w:color="000000" w:fill="FFFFFF"/>
            <w:noWrap/>
            <w:vAlign w:val="center"/>
          </w:tcPr>
          <w:p w14:paraId="200ED37C"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ONS</w:t>
            </w:r>
          </w:p>
        </w:tc>
      </w:tr>
      <w:tr w:rsidR="00CE1BDB" w:rsidRPr="00FA4DC7" w14:paraId="39EA9080" w14:textId="77777777" w:rsidTr="00EF49A7">
        <w:trPr>
          <w:jc w:val="center"/>
        </w:trPr>
        <w:tc>
          <w:tcPr>
            <w:tcW w:w="2777" w:type="pct"/>
            <w:shd w:val="clear" w:color="auto" w:fill="auto"/>
            <w:noWrap/>
            <w:vAlign w:val="center"/>
          </w:tcPr>
          <w:p w14:paraId="253F71DA"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2018-based ONS Household Projections 2020 figure</w:t>
            </w:r>
          </w:p>
        </w:tc>
        <w:tc>
          <w:tcPr>
            <w:tcW w:w="807" w:type="pct"/>
            <w:shd w:val="clear" w:color="auto" w:fill="auto"/>
            <w:noWrap/>
            <w:vAlign w:val="center"/>
          </w:tcPr>
          <w:p w14:paraId="0DFF88BF" w14:textId="77777777" w:rsidR="00CE1BDB" w:rsidRPr="00FA4DC7" w:rsidRDefault="00CE1BDB" w:rsidP="00C75F28">
            <w:pPr>
              <w:tabs>
                <w:tab w:val="left" w:pos="0"/>
                <w:tab w:val="left" w:pos="709"/>
                <w:tab w:val="left" w:pos="1418"/>
              </w:tabs>
              <w:jc w:val="center"/>
              <w:rPr>
                <w:rFonts w:cs="Arial"/>
                <w:b/>
                <w:color w:val="000000"/>
                <w:sz w:val="22"/>
                <w:szCs w:val="22"/>
              </w:rPr>
            </w:pPr>
            <w:r w:rsidRPr="00FA4DC7">
              <w:rPr>
                <w:rFonts w:cs="Arial"/>
                <w:color w:val="000000"/>
                <w:sz w:val="22"/>
                <w:szCs w:val="22"/>
              </w:rPr>
              <w:t>112,443</w:t>
            </w:r>
          </w:p>
        </w:tc>
        <w:tc>
          <w:tcPr>
            <w:tcW w:w="1416" w:type="pct"/>
            <w:shd w:val="clear" w:color="000000" w:fill="FFFFFF"/>
            <w:noWrap/>
            <w:vAlign w:val="center"/>
          </w:tcPr>
          <w:p w14:paraId="1F2DC4FB"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ONS</w:t>
            </w:r>
          </w:p>
        </w:tc>
      </w:tr>
    </w:tbl>
    <w:p w14:paraId="76B644A1" w14:textId="77777777" w:rsidR="00CE1BDB" w:rsidRPr="00FA4DC7" w:rsidRDefault="00CE1BDB" w:rsidP="00CE1BDB">
      <w:pPr>
        <w:pStyle w:val="Reporttext"/>
        <w:numPr>
          <w:ilvl w:val="0"/>
          <w:numId w:val="0"/>
        </w:numPr>
        <w:rPr>
          <w:rFonts w:cs="Arial"/>
          <w:highlight w:val="yellow"/>
        </w:rPr>
      </w:pPr>
    </w:p>
    <w:p w14:paraId="4973D54A" w14:textId="1677A8D5" w:rsidR="00C75F28" w:rsidRDefault="00C75F28">
      <w:pPr>
        <w:rPr>
          <w:rFonts w:cs="Arial"/>
          <w:highlight w:val="yellow"/>
          <w:lang w:eastAsia="en-US"/>
        </w:rPr>
      </w:pPr>
      <w:r>
        <w:rPr>
          <w:rFonts w:cs="Arial"/>
          <w:highlight w:val="yellow"/>
        </w:rPr>
        <w:br w:type="page"/>
      </w:r>
    </w:p>
    <w:tbl>
      <w:tblPr>
        <w:tblW w:w="0" w:type="auto"/>
        <w:tblInd w:w="5" w:type="dxa"/>
        <w:tblLook w:val="04A0" w:firstRow="1" w:lastRow="0" w:firstColumn="1" w:lastColumn="0" w:noHBand="0" w:noVBand="1"/>
      </w:tblPr>
      <w:tblGrid>
        <w:gridCol w:w="7058"/>
        <w:gridCol w:w="1579"/>
      </w:tblGrid>
      <w:tr w:rsidR="00CE1BDB" w:rsidRPr="00FA4DC7" w14:paraId="662696B8" w14:textId="77777777" w:rsidTr="00C75F28">
        <w:trPr>
          <w:trHeight w:val="320"/>
        </w:trPr>
        <w:tc>
          <w:tcPr>
            <w:tcW w:w="8637" w:type="dxa"/>
            <w:gridSpan w:val="2"/>
            <w:tcBorders>
              <w:top w:val="single" w:sz="4" w:space="0" w:color="auto"/>
              <w:left w:val="single" w:sz="4" w:space="0" w:color="auto"/>
              <w:bottom w:val="single" w:sz="4" w:space="0" w:color="auto"/>
              <w:right w:val="single" w:sz="4" w:space="0" w:color="auto"/>
            </w:tcBorders>
            <w:shd w:val="clear" w:color="auto" w:fill="006666"/>
            <w:noWrap/>
            <w:vAlign w:val="center"/>
          </w:tcPr>
          <w:p w14:paraId="1D1267D8" w14:textId="28D987C9" w:rsidR="00CE1BDB" w:rsidRPr="00FA4DC7" w:rsidRDefault="00CE1BDB" w:rsidP="00C75F28">
            <w:pPr>
              <w:pStyle w:val="Tableheading1"/>
              <w:rPr>
                <w:color w:val="FFFFFF"/>
              </w:rPr>
            </w:pPr>
            <w:bookmarkStart w:id="137" w:name="_Toc83036053"/>
            <w:r w:rsidRPr="00FA4DC7">
              <w:lastRenderedPageBreak/>
              <w:t>Table 2.2</w:t>
            </w:r>
            <w:r w:rsidR="00C75F28">
              <w:tab/>
            </w:r>
            <w:r w:rsidRPr="00FA4DC7">
              <w:t xml:space="preserve">Dwelling stock </w:t>
            </w:r>
            <w:r w:rsidRPr="00C75F28">
              <w:t>by</w:t>
            </w:r>
            <w:r w:rsidRPr="00FA4DC7">
              <w:t xml:space="preserve"> ward, Key Development Locations and Neighbourhood Planning Areas</w:t>
            </w:r>
            <w:bookmarkEnd w:id="137"/>
          </w:p>
        </w:tc>
      </w:tr>
      <w:tr w:rsidR="00CE1BDB" w:rsidRPr="00FA4DC7" w14:paraId="288C8228" w14:textId="77777777" w:rsidTr="00C75F28">
        <w:trPr>
          <w:trHeight w:val="320"/>
        </w:trPr>
        <w:tc>
          <w:tcPr>
            <w:tcW w:w="7058" w:type="dxa"/>
            <w:tcBorders>
              <w:top w:val="single" w:sz="4" w:space="0" w:color="auto"/>
              <w:left w:val="single" w:sz="4" w:space="0" w:color="auto"/>
              <w:bottom w:val="single" w:sz="4" w:space="0" w:color="auto"/>
              <w:right w:val="single" w:sz="4" w:space="0" w:color="auto"/>
            </w:tcBorders>
            <w:shd w:val="clear" w:color="auto" w:fill="006666"/>
            <w:noWrap/>
            <w:vAlign w:val="center"/>
            <w:hideMark/>
          </w:tcPr>
          <w:p w14:paraId="7170F518" w14:textId="77777777" w:rsidR="00CE1BDB" w:rsidRPr="00FA4DC7" w:rsidRDefault="00CE1BDB" w:rsidP="00C75F28">
            <w:pPr>
              <w:rPr>
                <w:rFonts w:cs="Arial"/>
                <w:b/>
                <w:bCs/>
                <w:color w:val="FFFFFF"/>
                <w:sz w:val="22"/>
                <w:szCs w:val="22"/>
              </w:rPr>
            </w:pPr>
            <w:r w:rsidRPr="00FA4DC7">
              <w:rPr>
                <w:rFonts w:cs="Arial"/>
                <w:b/>
                <w:bCs/>
                <w:color w:val="FFFFFF"/>
                <w:sz w:val="22"/>
                <w:szCs w:val="22"/>
              </w:rPr>
              <w:t>Ward</w:t>
            </w:r>
          </w:p>
        </w:tc>
        <w:tc>
          <w:tcPr>
            <w:tcW w:w="1579" w:type="dxa"/>
            <w:tcBorders>
              <w:top w:val="single" w:sz="4" w:space="0" w:color="auto"/>
              <w:left w:val="nil"/>
              <w:bottom w:val="single" w:sz="4" w:space="0" w:color="auto"/>
              <w:right w:val="single" w:sz="4" w:space="0" w:color="auto"/>
            </w:tcBorders>
            <w:shd w:val="clear" w:color="auto" w:fill="006666"/>
            <w:noWrap/>
            <w:vAlign w:val="center"/>
            <w:hideMark/>
          </w:tcPr>
          <w:p w14:paraId="15779B46"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Dwellings</w:t>
            </w:r>
          </w:p>
        </w:tc>
      </w:tr>
      <w:tr w:rsidR="00CE1BDB" w:rsidRPr="00FA4DC7" w14:paraId="14026138"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3169F513" w14:textId="77777777" w:rsidR="00CE1BDB" w:rsidRPr="00FA4DC7" w:rsidRDefault="00CE1BDB" w:rsidP="00EF49A7">
            <w:pPr>
              <w:jc w:val="both"/>
              <w:rPr>
                <w:rFonts w:cs="Arial"/>
                <w:color w:val="000000"/>
                <w:sz w:val="22"/>
                <w:szCs w:val="22"/>
              </w:rPr>
            </w:pPr>
            <w:r w:rsidRPr="00FA4DC7">
              <w:rPr>
                <w:rFonts w:cs="Arial"/>
                <w:color w:val="000000"/>
                <w:sz w:val="22"/>
                <w:szCs w:val="22"/>
              </w:rPr>
              <w:t>Chatham Central</w:t>
            </w:r>
          </w:p>
        </w:tc>
        <w:tc>
          <w:tcPr>
            <w:tcW w:w="1579" w:type="dxa"/>
            <w:tcBorders>
              <w:top w:val="nil"/>
              <w:left w:val="nil"/>
              <w:bottom w:val="single" w:sz="4" w:space="0" w:color="auto"/>
              <w:right w:val="single" w:sz="4" w:space="0" w:color="auto"/>
            </w:tcBorders>
            <w:shd w:val="clear" w:color="auto" w:fill="auto"/>
            <w:noWrap/>
            <w:vAlign w:val="bottom"/>
            <w:hideMark/>
          </w:tcPr>
          <w:p w14:paraId="48EBAAC0" w14:textId="77777777" w:rsidR="00CE1BDB" w:rsidRPr="00FA4DC7" w:rsidRDefault="00CE1BDB" w:rsidP="00C75F28">
            <w:pPr>
              <w:jc w:val="right"/>
              <w:rPr>
                <w:rFonts w:cs="Arial"/>
                <w:color w:val="000000"/>
                <w:sz w:val="22"/>
                <w:szCs w:val="22"/>
              </w:rPr>
            </w:pPr>
            <w:r w:rsidRPr="00FA4DC7">
              <w:rPr>
                <w:rFonts w:cs="Arial"/>
                <w:color w:val="000000"/>
                <w:sz w:val="22"/>
                <w:szCs w:val="22"/>
              </w:rPr>
              <w:t>6,760</w:t>
            </w:r>
          </w:p>
        </w:tc>
      </w:tr>
      <w:tr w:rsidR="00CE1BDB" w:rsidRPr="00FA4DC7" w14:paraId="096E8A8A" w14:textId="77777777" w:rsidTr="00C75F28">
        <w:trPr>
          <w:trHeight w:val="265"/>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3A58502D" w14:textId="77777777" w:rsidR="00CE1BDB" w:rsidRPr="00FA4DC7" w:rsidRDefault="00CE1BDB" w:rsidP="00EF49A7">
            <w:pPr>
              <w:jc w:val="both"/>
              <w:rPr>
                <w:rFonts w:cs="Arial"/>
                <w:color w:val="000000"/>
                <w:sz w:val="22"/>
                <w:szCs w:val="22"/>
              </w:rPr>
            </w:pPr>
            <w:proofErr w:type="spellStart"/>
            <w:r w:rsidRPr="00FA4DC7">
              <w:rPr>
                <w:rFonts w:cs="Arial"/>
                <w:color w:val="000000"/>
                <w:sz w:val="22"/>
                <w:szCs w:val="22"/>
              </w:rPr>
              <w:t>Cuxton</w:t>
            </w:r>
            <w:proofErr w:type="spellEnd"/>
            <w:r w:rsidRPr="00FA4DC7">
              <w:rPr>
                <w:rFonts w:cs="Arial"/>
                <w:color w:val="000000"/>
                <w:sz w:val="22"/>
                <w:szCs w:val="22"/>
              </w:rPr>
              <w:t xml:space="preserve"> and </w:t>
            </w:r>
            <w:proofErr w:type="spellStart"/>
            <w:r w:rsidRPr="00FA4DC7">
              <w:rPr>
                <w:rFonts w:cs="Arial"/>
                <w:color w:val="000000"/>
                <w:sz w:val="22"/>
                <w:szCs w:val="22"/>
              </w:rPr>
              <w:t>Halling</w:t>
            </w:r>
            <w:proofErr w:type="spellEnd"/>
          </w:p>
        </w:tc>
        <w:tc>
          <w:tcPr>
            <w:tcW w:w="1579" w:type="dxa"/>
            <w:tcBorders>
              <w:top w:val="nil"/>
              <w:left w:val="nil"/>
              <w:bottom w:val="single" w:sz="4" w:space="0" w:color="auto"/>
              <w:right w:val="single" w:sz="4" w:space="0" w:color="auto"/>
            </w:tcBorders>
            <w:shd w:val="clear" w:color="auto" w:fill="auto"/>
            <w:noWrap/>
            <w:vAlign w:val="bottom"/>
            <w:hideMark/>
          </w:tcPr>
          <w:p w14:paraId="690895FA" w14:textId="77777777" w:rsidR="00CE1BDB" w:rsidRPr="00FA4DC7" w:rsidRDefault="00CE1BDB" w:rsidP="00C75F28">
            <w:pPr>
              <w:jc w:val="right"/>
              <w:rPr>
                <w:rFonts w:cs="Arial"/>
                <w:color w:val="000000"/>
                <w:sz w:val="22"/>
                <w:szCs w:val="22"/>
              </w:rPr>
            </w:pPr>
            <w:r w:rsidRPr="00FA4DC7">
              <w:rPr>
                <w:rFonts w:cs="Arial"/>
                <w:color w:val="000000"/>
                <w:sz w:val="22"/>
                <w:szCs w:val="22"/>
              </w:rPr>
              <w:t>2,630</w:t>
            </w:r>
          </w:p>
        </w:tc>
      </w:tr>
      <w:tr w:rsidR="00CE1BDB" w:rsidRPr="00FA4DC7" w14:paraId="2F647F4C"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70C58721" w14:textId="77777777" w:rsidR="00CE1BDB" w:rsidRPr="00FA4DC7" w:rsidRDefault="00CE1BDB" w:rsidP="00EF49A7">
            <w:pPr>
              <w:jc w:val="both"/>
              <w:rPr>
                <w:rFonts w:cs="Arial"/>
                <w:color w:val="000000"/>
                <w:sz w:val="22"/>
                <w:szCs w:val="22"/>
              </w:rPr>
            </w:pPr>
            <w:r w:rsidRPr="00FA4DC7">
              <w:rPr>
                <w:rFonts w:cs="Arial"/>
                <w:color w:val="000000"/>
                <w:sz w:val="22"/>
                <w:szCs w:val="22"/>
              </w:rPr>
              <w:t>Gillingham North</w:t>
            </w:r>
          </w:p>
        </w:tc>
        <w:tc>
          <w:tcPr>
            <w:tcW w:w="1579" w:type="dxa"/>
            <w:tcBorders>
              <w:top w:val="nil"/>
              <w:left w:val="nil"/>
              <w:bottom w:val="single" w:sz="4" w:space="0" w:color="auto"/>
              <w:right w:val="single" w:sz="4" w:space="0" w:color="auto"/>
            </w:tcBorders>
            <w:shd w:val="clear" w:color="auto" w:fill="auto"/>
            <w:noWrap/>
            <w:vAlign w:val="bottom"/>
            <w:hideMark/>
          </w:tcPr>
          <w:p w14:paraId="64DDE343" w14:textId="77777777" w:rsidR="00CE1BDB" w:rsidRPr="00FA4DC7" w:rsidRDefault="00CE1BDB" w:rsidP="00C75F28">
            <w:pPr>
              <w:jc w:val="right"/>
              <w:rPr>
                <w:rFonts w:cs="Arial"/>
                <w:color w:val="000000"/>
                <w:sz w:val="22"/>
                <w:szCs w:val="22"/>
              </w:rPr>
            </w:pPr>
            <w:r w:rsidRPr="00FA4DC7">
              <w:rPr>
                <w:rFonts w:cs="Arial"/>
                <w:color w:val="000000"/>
                <w:sz w:val="22"/>
                <w:szCs w:val="22"/>
              </w:rPr>
              <w:t>8,190</w:t>
            </w:r>
          </w:p>
        </w:tc>
      </w:tr>
      <w:tr w:rsidR="00CE1BDB" w:rsidRPr="00FA4DC7" w14:paraId="2EF7F53C"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3D74470C" w14:textId="77777777" w:rsidR="00CE1BDB" w:rsidRPr="00FA4DC7" w:rsidRDefault="00CE1BDB" w:rsidP="00EF49A7">
            <w:pPr>
              <w:jc w:val="both"/>
              <w:rPr>
                <w:rFonts w:cs="Arial"/>
                <w:color w:val="000000"/>
                <w:sz w:val="22"/>
                <w:szCs w:val="22"/>
              </w:rPr>
            </w:pPr>
            <w:r w:rsidRPr="00FA4DC7">
              <w:rPr>
                <w:rFonts w:cs="Arial"/>
                <w:color w:val="000000"/>
                <w:sz w:val="22"/>
                <w:szCs w:val="22"/>
              </w:rPr>
              <w:t>Gillingham South</w:t>
            </w:r>
          </w:p>
        </w:tc>
        <w:tc>
          <w:tcPr>
            <w:tcW w:w="1579" w:type="dxa"/>
            <w:tcBorders>
              <w:top w:val="nil"/>
              <w:left w:val="nil"/>
              <w:bottom w:val="single" w:sz="4" w:space="0" w:color="auto"/>
              <w:right w:val="single" w:sz="4" w:space="0" w:color="auto"/>
            </w:tcBorders>
            <w:shd w:val="clear" w:color="auto" w:fill="auto"/>
            <w:noWrap/>
            <w:vAlign w:val="bottom"/>
            <w:hideMark/>
          </w:tcPr>
          <w:p w14:paraId="30D6794B" w14:textId="77777777" w:rsidR="00CE1BDB" w:rsidRPr="00FA4DC7" w:rsidRDefault="00CE1BDB" w:rsidP="00C75F28">
            <w:pPr>
              <w:jc w:val="right"/>
              <w:rPr>
                <w:rFonts w:cs="Arial"/>
                <w:color w:val="000000"/>
                <w:sz w:val="22"/>
                <w:szCs w:val="22"/>
              </w:rPr>
            </w:pPr>
            <w:r w:rsidRPr="00FA4DC7">
              <w:rPr>
                <w:rFonts w:cs="Arial"/>
                <w:color w:val="000000"/>
                <w:sz w:val="22"/>
                <w:szCs w:val="22"/>
              </w:rPr>
              <w:t>7,000</w:t>
            </w:r>
          </w:p>
        </w:tc>
      </w:tr>
      <w:tr w:rsidR="00CE1BDB" w:rsidRPr="00FA4DC7" w14:paraId="1AAD1A30"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7987C11B" w14:textId="77777777" w:rsidR="00CE1BDB" w:rsidRPr="00FA4DC7" w:rsidRDefault="00CE1BDB" w:rsidP="00EF49A7">
            <w:pPr>
              <w:jc w:val="both"/>
              <w:rPr>
                <w:rFonts w:cs="Arial"/>
                <w:color w:val="000000"/>
                <w:sz w:val="22"/>
                <w:szCs w:val="22"/>
              </w:rPr>
            </w:pPr>
            <w:r w:rsidRPr="00FA4DC7">
              <w:rPr>
                <w:rFonts w:cs="Arial"/>
                <w:color w:val="000000"/>
                <w:sz w:val="22"/>
                <w:szCs w:val="22"/>
              </w:rPr>
              <w:t xml:space="preserve">Hempstead and </w:t>
            </w:r>
            <w:proofErr w:type="spellStart"/>
            <w:r w:rsidRPr="00FA4DC7">
              <w:rPr>
                <w:rFonts w:cs="Arial"/>
                <w:color w:val="000000"/>
                <w:sz w:val="22"/>
                <w:szCs w:val="22"/>
              </w:rPr>
              <w:t>Wigmore</w:t>
            </w:r>
            <w:proofErr w:type="spellEnd"/>
          </w:p>
        </w:tc>
        <w:tc>
          <w:tcPr>
            <w:tcW w:w="1579" w:type="dxa"/>
            <w:tcBorders>
              <w:top w:val="nil"/>
              <w:left w:val="nil"/>
              <w:bottom w:val="single" w:sz="4" w:space="0" w:color="auto"/>
              <w:right w:val="single" w:sz="4" w:space="0" w:color="auto"/>
            </w:tcBorders>
            <w:shd w:val="clear" w:color="auto" w:fill="auto"/>
            <w:noWrap/>
            <w:vAlign w:val="bottom"/>
            <w:hideMark/>
          </w:tcPr>
          <w:p w14:paraId="68081F7E" w14:textId="77777777" w:rsidR="00CE1BDB" w:rsidRPr="00FA4DC7" w:rsidRDefault="00CE1BDB" w:rsidP="00C75F28">
            <w:pPr>
              <w:jc w:val="right"/>
              <w:rPr>
                <w:rFonts w:cs="Arial"/>
                <w:color w:val="000000"/>
                <w:sz w:val="22"/>
                <w:szCs w:val="22"/>
              </w:rPr>
            </w:pPr>
            <w:r w:rsidRPr="00FA4DC7">
              <w:rPr>
                <w:rFonts w:cs="Arial"/>
                <w:color w:val="000000"/>
                <w:sz w:val="22"/>
                <w:szCs w:val="22"/>
              </w:rPr>
              <w:t>3,170</w:t>
            </w:r>
          </w:p>
        </w:tc>
      </w:tr>
      <w:tr w:rsidR="00CE1BDB" w:rsidRPr="00FA4DC7" w14:paraId="7793275B"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7DD26F1D" w14:textId="77777777" w:rsidR="00CE1BDB" w:rsidRPr="00FA4DC7" w:rsidRDefault="00CE1BDB" w:rsidP="00EF49A7">
            <w:pPr>
              <w:jc w:val="both"/>
              <w:rPr>
                <w:rFonts w:cs="Arial"/>
                <w:color w:val="000000"/>
                <w:sz w:val="22"/>
                <w:szCs w:val="22"/>
              </w:rPr>
            </w:pPr>
            <w:proofErr w:type="spellStart"/>
            <w:r w:rsidRPr="00FA4DC7">
              <w:rPr>
                <w:rFonts w:cs="Arial"/>
                <w:color w:val="000000"/>
                <w:sz w:val="22"/>
                <w:szCs w:val="22"/>
              </w:rPr>
              <w:t>Lordswood</w:t>
            </w:r>
            <w:proofErr w:type="spellEnd"/>
            <w:r w:rsidRPr="00FA4DC7">
              <w:rPr>
                <w:rFonts w:cs="Arial"/>
                <w:color w:val="000000"/>
                <w:sz w:val="22"/>
                <w:szCs w:val="22"/>
              </w:rPr>
              <w:t xml:space="preserve"> and Capstone</w:t>
            </w:r>
          </w:p>
        </w:tc>
        <w:tc>
          <w:tcPr>
            <w:tcW w:w="1579" w:type="dxa"/>
            <w:tcBorders>
              <w:top w:val="nil"/>
              <w:left w:val="nil"/>
              <w:bottom w:val="single" w:sz="4" w:space="0" w:color="auto"/>
              <w:right w:val="single" w:sz="4" w:space="0" w:color="auto"/>
            </w:tcBorders>
            <w:shd w:val="clear" w:color="auto" w:fill="auto"/>
            <w:noWrap/>
            <w:vAlign w:val="bottom"/>
            <w:hideMark/>
          </w:tcPr>
          <w:p w14:paraId="0CFD96E9" w14:textId="77777777" w:rsidR="00CE1BDB" w:rsidRPr="00FA4DC7" w:rsidRDefault="00CE1BDB" w:rsidP="00C75F28">
            <w:pPr>
              <w:jc w:val="right"/>
              <w:rPr>
                <w:rFonts w:cs="Arial"/>
                <w:color w:val="000000"/>
                <w:sz w:val="22"/>
                <w:szCs w:val="22"/>
              </w:rPr>
            </w:pPr>
            <w:r w:rsidRPr="00FA4DC7">
              <w:rPr>
                <w:rFonts w:cs="Arial"/>
                <w:color w:val="000000"/>
                <w:sz w:val="22"/>
                <w:szCs w:val="22"/>
              </w:rPr>
              <w:t>3,650</w:t>
            </w:r>
          </w:p>
        </w:tc>
      </w:tr>
      <w:tr w:rsidR="00CE1BDB" w:rsidRPr="00FA4DC7" w14:paraId="2A48FE9F"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6359CF88" w14:textId="77777777" w:rsidR="00CE1BDB" w:rsidRPr="00FA4DC7" w:rsidRDefault="00CE1BDB" w:rsidP="00EF49A7">
            <w:pPr>
              <w:jc w:val="both"/>
              <w:rPr>
                <w:rFonts w:cs="Arial"/>
                <w:color w:val="000000"/>
                <w:sz w:val="22"/>
                <w:szCs w:val="22"/>
              </w:rPr>
            </w:pPr>
            <w:r w:rsidRPr="00FA4DC7">
              <w:rPr>
                <w:rFonts w:cs="Arial"/>
                <w:color w:val="000000"/>
                <w:sz w:val="22"/>
                <w:szCs w:val="22"/>
              </w:rPr>
              <w:t xml:space="preserve">Luton and </w:t>
            </w:r>
            <w:proofErr w:type="spellStart"/>
            <w:r w:rsidRPr="00FA4DC7">
              <w:rPr>
                <w:rFonts w:cs="Arial"/>
                <w:color w:val="000000"/>
                <w:sz w:val="22"/>
                <w:szCs w:val="22"/>
              </w:rPr>
              <w:t>Wayfield</w:t>
            </w:r>
            <w:proofErr w:type="spellEnd"/>
          </w:p>
        </w:tc>
        <w:tc>
          <w:tcPr>
            <w:tcW w:w="1579" w:type="dxa"/>
            <w:tcBorders>
              <w:top w:val="nil"/>
              <w:left w:val="nil"/>
              <w:bottom w:val="single" w:sz="4" w:space="0" w:color="auto"/>
              <w:right w:val="single" w:sz="4" w:space="0" w:color="auto"/>
            </w:tcBorders>
            <w:shd w:val="clear" w:color="auto" w:fill="auto"/>
            <w:noWrap/>
            <w:vAlign w:val="bottom"/>
            <w:hideMark/>
          </w:tcPr>
          <w:p w14:paraId="077B8FD1" w14:textId="77777777" w:rsidR="00CE1BDB" w:rsidRPr="00FA4DC7" w:rsidRDefault="00CE1BDB" w:rsidP="00C75F28">
            <w:pPr>
              <w:jc w:val="right"/>
              <w:rPr>
                <w:rFonts w:cs="Arial"/>
                <w:color w:val="000000"/>
                <w:sz w:val="22"/>
                <w:szCs w:val="22"/>
              </w:rPr>
            </w:pPr>
            <w:r w:rsidRPr="00FA4DC7">
              <w:rPr>
                <w:rFonts w:cs="Arial"/>
                <w:color w:val="000000"/>
                <w:sz w:val="22"/>
                <w:szCs w:val="22"/>
              </w:rPr>
              <w:t>6,220</w:t>
            </w:r>
          </w:p>
        </w:tc>
      </w:tr>
      <w:tr w:rsidR="00CE1BDB" w:rsidRPr="00FA4DC7" w14:paraId="4E4D8E71"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4D5CEE5B" w14:textId="77777777" w:rsidR="00CE1BDB" w:rsidRPr="00FA4DC7" w:rsidRDefault="00CE1BDB" w:rsidP="00EF49A7">
            <w:pPr>
              <w:jc w:val="both"/>
              <w:rPr>
                <w:rFonts w:cs="Arial"/>
                <w:color w:val="000000"/>
                <w:sz w:val="22"/>
                <w:szCs w:val="22"/>
              </w:rPr>
            </w:pPr>
            <w:r w:rsidRPr="00FA4DC7">
              <w:rPr>
                <w:rFonts w:cs="Arial"/>
                <w:color w:val="000000"/>
                <w:sz w:val="22"/>
                <w:szCs w:val="22"/>
              </w:rPr>
              <w:t>Peninsula</w:t>
            </w:r>
          </w:p>
        </w:tc>
        <w:tc>
          <w:tcPr>
            <w:tcW w:w="1579" w:type="dxa"/>
            <w:tcBorders>
              <w:top w:val="nil"/>
              <w:left w:val="nil"/>
              <w:bottom w:val="single" w:sz="4" w:space="0" w:color="auto"/>
              <w:right w:val="single" w:sz="4" w:space="0" w:color="auto"/>
            </w:tcBorders>
            <w:shd w:val="clear" w:color="auto" w:fill="auto"/>
            <w:noWrap/>
            <w:vAlign w:val="bottom"/>
            <w:hideMark/>
          </w:tcPr>
          <w:p w14:paraId="0130F5AD" w14:textId="77777777" w:rsidR="00CE1BDB" w:rsidRPr="00FA4DC7" w:rsidRDefault="00CE1BDB" w:rsidP="00C75F28">
            <w:pPr>
              <w:jc w:val="right"/>
              <w:rPr>
                <w:rFonts w:cs="Arial"/>
                <w:color w:val="000000"/>
                <w:sz w:val="22"/>
                <w:szCs w:val="22"/>
              </w:rPr>
            </w:pPr>
            <w:r w:rsidRPr="00FA4DC7">
              <w:rPr>
                <w:rFonts w:cs="Arial"/>
                <w:color w:val="000000"/>
                <w:sz w:val="22"/>
                <w:szCs w:val="22"/>
              </w:rPr>
              <w:t>5,540</w:t>
            </w:r>
          </w:p>
        </w:tc>
      </w:tr>
      <w:tr w:rsidR="00CE1BDB" w:rsidRPr="00FA4DC7" w14:paraId="21BC1357"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05E5F6B" w14:textId="77777777" w:rsidR="00CE1BDB" w:rsidRPr="00FA4DC7" w:rsidRDefault="00CE1BDB" w:rsidP="00EF49A7">
            <w:pPr>
              <w:jc w:val="both"/>
              <w:rPr>
                <w:rFonts w:cs="Arial"/>
                <w:color w:val="000000"/>
                <w:sz w:val="22"/>
                <w:szCs w:val="22"/>
              </w:rPr>
            </w:pPr>
            <w:r w:rsidRPr="00FA4DC7">
              <w:rPr>
                <w:rFonts w:cs="Arial"/>
                <w:color w:val="000000"/>
                <w:sz w:val="22"/>
                <w:szCs w:val="22"/>
              </w:rPr>
              <w:t>Princes Park</w:t>
            </w:r>
          </w:p>
        </w:tc>
        <w:tc>
          <w:tcPr>
            <w:tcW w:w="1579" w:type="dxa"/>
            <w:tcBorders>
              <w:top w:val="nil"/>
              <w:left w:val="nil"/>
              <w:bottom w:val="single" w:sz="4" w:space="0" w:color="auto"/>
              <w:right w:val="single" w:sz="4" w:space="0" w:color="auto"/>
            </w:tcBorders>
            <w:shd w:val="clear" w:color="auto" w:fill="auto"/>
            <w:noWrap/>
            <w:vAlign w:val="bottom"/>
            <w:hideMark/>
          </w:tcPr>
          <w:p w14:paraId="0F7F4D10" w14:textId="77777777" w:rsidR="00CE1BDB" w:rsidRPr="00FA4DC7" w:rsidRDefault="00CE1BDB" w:rsidP="00C75F28">
            <w:pPr>
              <w:jc w:val="right"/>
              <w:rPr>
                <w:rFonts w:cs="Arial"/>
                <w:color w:val="000000"/>
                <w:sz w:val="22"/>
                <w:szCs w:val="22"/>
              </w:rPr>
            </w:pPr>
            <w:r w:rsidRPr="00FA4DC7">
              <w:rPr>
                <w:rFonts w:cs="Arial"/>
                <w:color w:val="000000"/>
                <w:sz w:val="22"/>
                <w:szCs w:val="22"/>
              </w:rPr>
              <w:t>4,010</w:t>
            </w:r>
          </w:p>
        </w:tc>
      </w:tr>
      <w:tr w:rsidR="00CE1BDB" w:rsidRPr="00FA4DC7" w14:paraId="264DC9E3"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473EB0BE" w14:textId="77777777" w:rsidR="00CE1BDB" w:rsidRPr="00FA4DC7" w:rsidRDefault="00CE1BDB" w:rsidP="00EF49A7">
            <w:pPr>
              <w:jc w:val="both"/>
              <w:rPr>
                <w:rFonts w:cs="Arial"/>
                <w:color w:val="000000"/>
                <w:sz w:val="22"/>
                <w:szCs w:val="22"/>
              </w:rPr>
            </w:pPr>
            <w:r w:rsidRPr="00FA4DC7">
              <w:rPr>
                <w:rFonts w:cs="Arial"/>
                <w:color w:val="000000"/>
                <w:sz w:val="22"/>
                <w:szCs w:val="22"/>
              </w:rPr>
              <w:t>Rainham Central</w:t>
            </w:r>
          </w:p>
        </w:tc>
        <w:tc>
          <w:tcPr>
            <w:tcW w:w="1579" w:type="dxa"/>
            <w:tcBorders>
              <w:top w:val="nil"/>
              <w:left w:val="nil"/>
              <w:bottom w:val="single" w:sz="4" w:space="0" w:color="auto"/>
              <w:right w:val="single" w:sz="4" w:space="0" w:color="auto"/>
            </w:tcBorders>
            <w:shd w:val="clear" w:color="auto" w:fill="auto"/>
            <w:noWrap/>
            <w:vAlign w:val="bottom"/>
            <w:hideMark/>
          </w:tcPr>
          <w:p w14:paraId="4B0F5572" w14:textId="77777777" w:rsidR="00CE1BDB" w:rsidRPr="00FA4DC7" w:rsidRDefault="00CE1BDB" w:rsidP="00C75F28">
            <w:pPr>
              <w:jc w:val="right"/>
              <w:rPr>
                <w:rFonts w:cs="Arial"/>
                <w:color w:val="000000"/>
                <w:sz w:val="22"/>
                <w:szCs w:val="22"/>
              </w:rPr>
            </w:pPr>
            <w:r w:rsidRPr="00FA4DC7">
              <w:rPr>
                <w:rFonts w:cs="Arial"/>
                <w:color w:val="000000"/>
                <w:sz w:val="22"/>
                <w:szCs w:val="22"/>
              </w:rPr>
              <w:t>4,990</w:t>
            </w:r>
          </w:p>
        </w:tc>
      </w:tr>
      <w:tr w:rsidR="00CE1BDB" w:rsidRPr="00FA4DC7" w14:paraId="79A173A2"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146CA48" w14:textId="77777777" w:rsidR="00CE1BDB" w:rsidRPr="00FA4DC7" w:rsidRDefault="00CE1BDB" w:rsidP="00EF49A7">
            <w:pPr>
              <w:jc w:val="both"/>
              <w:rPr>
                <w:rFonts w:cs="Arial"/>
                <w:color w:val="000000"/>
                <w:sz w:val="22"/>
                <w:szCs w:val="22"/>
              </w:rPr>
            </w:pPr>
            <w:r w:rsidRPr="00FA4DC7">
              <w:rPr>
                <w:rFonts w:cs="Arial"/>
                <w:color w:val="000000"/>
                <w:sz w:val="22"/>
                <w:szCs w:val="22"/>
              </w:rPr>
              <w:t>Rainham North</w:t>
            </w:r>
          </w:p>
        </w:tc>
        <w:tc>
          <w:tcPr>
            <w:tcW w:w="1579" w:type="dxa"/>
            <w:tcBorders>
              <w:top w:val="nil"/>
              <w:left w:val="nil"/>
              <w:bottom w:val="single" w:sz="4" w:space="0" w:color="auto"/>
              <w:right w:val="single" w:sz="4" w:space="0" w:color="auto"/>
            </w:tcBorders>
            <w:shd w:val="clear" w:color="auto" w:fill="auto"/>
            <w:noWrap/>
            <w:vAlign w:val="bottom"/>
            <w:hideMark/>
          </w:tcPr>
          <w:p w14:paraId="63CAE433" w14:textId="77777777" w:rsidR="00CE1BDB" w:rsidRPr="00FA4DC7" w:rsidRDefault="00CE1BDB" w:rsidP="00C75F28">
            <w:pPr>
              <w:jc w:val="right"/>
              <w:rPr>
                <w:rFonts w:cs="Arial"/>
                <w:color w:val="000000"/>
                <w:sz w:val="22"/>
                <w:szCs w:val="22"/>
              </w:rPr>
            </w:pPr>
            <w:r w:rsidRPr="00FA4DC7">
              <w:rPr>
                <w:rFonts w:cs="Arial"/>
                <w:color w:val="000000"/>
                <w:sz w:val="22"/>
                <w:szCs w:val="22"/>
              </w:rPr>
              <w:t>3,900</w:t>
            </w:r>
          </w:p>
        </w:tc>
      </w:tr>
      <w:tr w:rsidR="00CE1BDB" w:rsidRPr="00FA4DC7" w14:paraId="42882135"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41DDF866" w14:textId="77777777" w:rsidR="00CE1BDB" w:rsidRPr="00FA4DC7" w:rsidRDefault="00CE1BDB" w:rsidP="00EF49A7">
            <w:pPr>
              <w:jc w:val="both"/>
              <w:rPr>
                <w:rFonts w:cs="Arial"/>
                <w:color w:val="000000"/>
                <w:sz w:val="22"/>
                <w:szCs w:val="22"/>
              </w:rPr>
            </w:pPr>
            <w:r w:rsidRPr="00FA4DC7">
              <w:rPr>
                <w:rFonts w:cs="Arial"/>
                <w:color w:val="000000"/>
                <w:sz w:val="22"/>
                <w:szCs w:val="22"/>
              </w:rPr>
              <w:t>Rainham South</w:t>
            </w:r>
          </w:p>
        </w:tc>
        <w:tc>
          <w:tcPr>
            <w:tcW w:w="1579" w:type="dxa"/>
            <w:tcBorders>
              <w:top w:val="nil"/>
              <w:left w:val="nil"/>
              <w:bottom w:val="single" w:sz="4" w:space="0" w:color="auto"/>
              <w:right w:val="single" w:sz="4" w:space="0" w:color="auto"/>
            </w:tcBorders>
            <w:shd w:val="clear" w:color="auto" w:fill="auto"/>
            <w:noWrap/>
            <w:vAlign w:val="bottom"/>
            <w:hideMark/>
          </w:tcPr>
          <w:p w14:paraId="7B8F4648" w14:textId="77777777" w:rsidR="00CE1BDB" w:rsidRPr="00FA4DC7" w:rsidRDefault="00CE1BDB" w:rsidP="00C75F28">
            <w:pPr>
              <w:jc w:val="right"/>
              <w:rPr>
                <w:rFonts w:cs="Arial"/>
                <w:color w:val="000000"/>
                <w:sz w:val="22"/>
                <w:szCs w:val="22"/>
              </w:rPr>
            </w:pPr>
            <w:r w:rsidRPr="00FA4DC7">
              <w:rPr>
                <w:rFonts w:cs="Arial"/>
                <w:color w:val="000000"/>
                <w:sz w:val="22"/>
                <w:szCs w:val="22"/>
              </w:rPr>
              <w:t>5,440</w:t>
            </w:r>
          </w:p>
        </w:tc>
      </w:tr>
      <w:tr w:rsidR="00CE1BDB" w:rsidRPr="00FA4DC7" w14:paraId="34223AAD"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7B6EBB34" w14:textId="77777777" w:rsidR="00CE1BDB" w:rsidRPr="00FA4DC7" w:rsidRDefault="00CE1BDB" w:rsidP="00EF49A7">
            <w:pPr>
              <w:jc w:val="both"/>
              <w:rPr>
                <w:rFonts w:cs="Arial"/>
                <w:color w:val="000000"/>
                <w:sz w:val="22"/>
                <w:szCs w:val="22"/>
              </w:rPr>
            </w:pPr>
            <w:r w:rsidRPr="00FA4DC7">
              <w:rPr>
                <w:rFonts w:cs="Arial"/>
                <w:color w:val="000000"/>
                <w:sz w:val="22"/>
                <w:szCs w:val="22"/>
              </w:rPr>
              <w:t>River</w:t>
            </w:r>
          </w:p>
        </w:tc>
        <w:tc>
          <w:tcPr>
            <w:tcW w:w="1579" w:type="dxa"/>
            <w:tcBorders>
              <w:top w:val="nil"/>
              <w:left w:val="nil"/>
              <w:bottom w:val="single" w:sz="4" w:space="0" w:color="auto"/>
              <w:right w:val="single" w:sz="4" w:space="0" w:color="auto"/>
            </w:tcBorders>
            <w:shd w:val="clear" w:color="auto" w:fill="auto"/>
            <w:noWrap/>
            <w:vAlign w:val="bottom"/>
            <w:hideMark/>
          </w:tcPr>
          <w:p w14:paraId="6210A8A2" w14:textId="77777777" w:rsidR="00CE1BDB" w:rsidRPr="00FA4DC7" w:rsidRDefault="00CE1BDB" w:rsidP="00C75F28">
            <w:pPr>
              <w:jc w:val="right"/>
              <w:rPr>
                <w:rFonts w:cs="Arial"/>
                <w:color w:val="000000"/>
                <w:sz w:val="22"/>
                <w:szCs w:val="22"/>
              </w:rPr>
            </w:pPr>
            <w:r w:rsidRPr="00FA4DC7">
              <w:rPr>
                <w:rFonts w:cs="Arial"/>
                <w:color w:val="000000"/>
                <w:sz w:val="22"/>
                <w:szCs w:val="22"/>
              </w:rPr>
              <w:t>5,630</w:t>
            </w:r>
          </w:p>
        </w:tc>
      </w:tr>
      <w:tr w:rsidR="00CE1BDB" w:rsidRPr="00FA4DC7" w14:paraId="78107FB8"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2031C0F0" w14:textId="77777777" w:rsidR="00CE1BDB" w:rsidRPr="00FA4DC7" w:rsidRDefault="00CE1BDB" w:rsidP="00EF49A7">
            <w:pPr>
              <w:jc w:val="both"/>
              <w:rPr>
                <w:rFonts w:cs="Arial"/>
                <w:color w:val="000000"/>
                <w:sz w:val="22"/>
                <w:szCs w:val="22"/>
              </w:rPr>
            </w:pPr>
            <w:r w:rsidRPr="00FA4DC7">
              <w:rPr>
                <w:rFonts w:cs="Arial"/>
                <w:color w:val="000000"/>
                <w:sz w:val="22"/>
                <w:szCs w:val="22"/>
              </w:rPr>
              <w:t>Rochester East</w:t>
            </w:r>
          </w:p>
        </w:tc>
        <w:tc>
          <w:tcPr>
            <w:tcW w:w="1579" w:type="dxa"/>
            <w:tcBorders>
              <w:top w:val="nil"/>
              <w:left w:val="nil"/>
              <w:bottom w:val="single" w:sz="4" w:space="0" w:color="auto"/>
              <w:right w:val="single" w:sz="4" w:space="0" w:color="auto"/>
            </w:tcBorders>
            <w:shd w:val="clear" w:color="auto" w:fill="auto"/>
            <w:noWrap/>
            <w:vAlign w:val="bottom"/>
            <w:hideMark/>
          </w:tcPr>
          <w:p w14:paraId="2FC3729B" w14:textId="77777777" w:rsidR="00CE1BDB" w:rsidRPr="00FA4DC7" w:rsidRDefault="00CE1BDB" w:rsidP="00C75F28">
            <w:pPr>
              <w:jc w:val="right"/>
              <w:rPr>
                <w:rFonts w:cs="Arial"/>
                <w:color w:val="000000"/>
                <w:sz w:val="22"/>
                <w:szCs w:val="22"/>
              </w:rPr>
            </w:pPr>
            <w:r w:rsidRPr="00FA4DC7">
              <w:rPr>
                <w:rFonts w:cs="Arial"/>
                <w:color w:val="000000"/>
                <w:sz w:val="22"/>
                <w:szCs w:val="22"/>
              </w:rPr>
              <w:t>4,550</w:t>
            </w:r>
          </w:p>
        </w:tc>
      </w:tr>
      <w:tr w:rsidR="00CE1BDB" w:rsidRPr="00FA4DC7" w14:paraId="17A4D679"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2C00A6C3" w14:textId="77777777" w:rsidR="00CE1BDB" w:rsidRPr="00FA4DC7" w:rsidRDefault="00CE1BDB" w:rsidP="00EF49A7">
            <w:pPr>
              <w:jc w:val="both"/>
              <w:rPr>
                <w:rFonts w:cs="Arial"/>
                <w:color w:val="000000"/>
                <w:sz w:val="22"/>
                <w:szCs w:val="22"/>
              </w:rPr>
            </w:pPr>
            <w:r w:rsidRPr="00FA4DC7">
              <w:rPr>
                <w:rFonts w:cs="Arial"/>
                <w:color w:val="000000"/>
                <w:sz w:val="22"/>
                <w:szCs w:val="22"/>
              </w:rPr>
              <w:t xml:space="preserve">Rochester South and </w:t>
            </w:r>
            <w:proofErr w:type="spellStart"/>
            <w:r w:rsidRPr="00FA4DC7">
              <w:rPr>
                <w:rFonts w:cs="Arial"/>
                <w:color w:val="000000"/>
                <w:sz w:val="22"/>
                <w:szCs w:val="22"/>
              </w:rPr>
              <w:t>Horsted</w:t>
            </w:r>
            <w:proofErr w:type="spellEnd"/>
          </w:p>
        </w:tc>
        <w:tc>
          <w:tcPr>
            <w:tcW w:w="1579" w:type="dxa"/>
            <w:tcBorders>
              <w:top w:val="nil"/>
              <w:left w:val="nil"/>
              <w:bottom w:val="single" w:sz="4" w:space="0" w:color="auto"/>
              <w:right w:val="single" w:sz="4" w:space="0" w:color="auto"/>
            </w:tcBorders>
            <w:shd w:val="clear" w:color="auto" w:fill="auto"/>
            <w:noWrap/>
            <w:vAlign w:val="bottom"/>
            <w:hideMark/>
          </w:tcPr>
          <w:p w14:paraId="300A567D" w14:textId="77777777" w:rsidR="00CE1BDB" w:rsidRPr="00FA4DC7" w:rsidRDefault="00CE1BDB" w:rsidP="00C75F28">
            <w:pPr>
              <w:jc w:val="right"/>
              <w:rPr>
                <w:rFonts w:cs="Arial"/>
                <w:color w:val="000000"/>
                <w:sz w:val="22"/>
                <w:szCs w:val="22"/>
              </w:rPr>
            </w:pPr>
            <w:r w:rsidRPr="00FA4DC7">
              <w:rPr>
                <w:rFonts w:cs="Arial"/>
                <w:color w:val="000000"/>
                <w:sz w:val="22"/>
                <w:szCs w:val="22"/>
              </w:rPr>
              <w:t>5,250</w:t>
            </w:r>
          </w:p>
        </w:tc>
      </w:tr>
      <w:tr w:rsidR="00CE1BDB" w:rsidRPr="00FA4DC7" w14:paraId="3D00D492"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29C4AA5D" w14:textId="77777777" w:rsidR="00CE1BDB" w:rsidRPr="00FA4DC7" w:rsidRDefault="00CE1BDB" w:rsidP="00EF49A7">
            <w:pPr>
              <w:jc w:val="both"/>
              <w:rPr>
                <w:rFonts w:cs="Arial"/>
                <w:color w:val="000000"/>
                <w:sz w:val="22"/>
                <w:szCs w:val="22"/>
              </w:rPr>
            </w:pPr>
            <w:r w:rsidRPr="00FA4DC7">
              <w:rPr>
                <w:rFonts w:cs="Arial"/>
                <w:color w:val="000000"/>
                <w:sz w:val="22"/>
                <w:szCs w:val="22"/>
              </w:rPr>
              <w:t>Rochester West</w:t>
            </w:r>
          </w:p>
        </w:tc>
        <w:tc>
          <w:tcPr>
            <w:tcW w:w="1579" w:type="dxa"/>
            <w:tcBorders>
              <w:top w:val="nil"/>
              <w:left w:val="nil"/>
              <w:bottom w:val="single" w:sz="4" w:space="0" w:color="auto"/>
              <w:right w:val="single" w:sz="4" w:space="0" w:color="auto"/>
            </w:tcBorders>
            <w:shd w:val="clear" w:color="auto" w:fill="auto"/>
            <w:noWrap/>
            <w:vAlign w:val="bottom"/>
            <w:hideMark/>
          </w:tcPr>
          <w:p w14:paraId="78C8736B" w14:textId="77777777" w:rsidR="00CE1BDB" w:rsidRPr="00FA4DC7" w:rsidRDefault="00CE1BDB" w:rsidP="00C75F28">
            <w:pPr>
              <w:jc w:val="right"/>
              <w:rPr>
                <w:rFonts w:cs="Arial"/>
                <w:color w:val="000000"/>
                <w:sz w:val="22"/>
                <w:szCs w:val="22"/>
              </w:rPr>
            </w:pPr>
            <w:r w:rsidRPr="00FA4DC7">
              <w:rPr>
                <w:rFonts w:cs="Arial"/>
                <w:color w:val="000000"/>
                <w:sz w:val="22"/>
                <w:szCs w:val="22"/>
              </w:rPr>
              <w:t>4,650</w:t>
            </w:r>
          </w:p>
        </w:tc>
      </w:tr>
      <w:tr w:rsidR="00CE1BDB" w:rsidRPr="00FA4DC7" w14:paraId="41925A07"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63E7B2E3" w14:textId="77777777" w:rsidR="00CE1BDB" w:rsidRPr="00FA4DC7" w:rsidRDefault="00CE1BDB" w:rsidP="00EF49A7">
            <w:pPr>
              <w:jc w:val="both"/>
              <w:rPr>
                <w:rFonts w:cs="Arial"/>
                <w:color w:val="000000"/>
                <w:sz w:val="22"/>
                <w:szCs w:val="22"/>
              </w:rPr>
            </w:pPr>
            <w:r w:rsidRPr="00FA4DC7">
              <w:rPr>
                <w:rFonts w:cs="Arial"/>
                <w:color w:val="000000"/>
                <w:sz w:val="22"/>
                <w:szCs w:val="22"/>
              </w:rPr>
              <w:t>Strood North</w:t>
            </w:r>
          </w:p>
        </w:tc>
        <w:tc>
          <w:tcPr>
            <w:tcW w:w="1579" w:type="dxa"/>
            <w:tcBorders>
              <w:top w:val="nil"/>
              <w:left w:val="nil"/>
              <w:bottom w:val="single" w:sz="4" w:space="0" w:color="auto"/>
              <w:right w:val="single" w:sz="4" w:space="0" w:color="auto"/>
            </w:tcBorders>
            <w:shd w:val="clear" w:color="auto" w:fill="auto"/>
            <w:noWrap/>
            <w:vAlign w:val="bottom"/>
            <w:hideMark/>
          </w:tcPr>
          <w:p w14:paraId="4AC6A41A" w14:textId="77777777" w:rsidR="00CE1BDB" w:rsidRPr="00FA4DC7" w:rsidRDefault="00CE1BDB" w:rsidP="00C75F28">
            <w:pPr>
              <w:jc w:val="right"/>
              <w:rPr>
                <w:rFonts w:cs="Arial"/>
                <w:color w:val="000000"/>
                <w:sz w:val="22"/>
                <w:szCs w:val="22"/>
              </w:rPr>
            </w:pPr>
            <w:r w:rsidRPr="00FA4DC7">
              <w:rPr>
                <w:rFonts w:cs="Arial"/>
                <w:color w:val="000000"/>
                <w:sz w:val="22"/>
                <w:szCs w:val="22"/>
              </w:rPr>
              <w:t>5,650</w:t>
            </w:r>
          </w:p>
        </w:tc>
      </w:tr>
      <w:tr w:rsidR="00CE1BDB" w:rsidRPr="00FA4DC7" w14:paraId="29191647"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26949D8E" w14:textId="77777777" w:rsidR="00CE1BDB" w:rsidRPr="00FA4DC7" w:rsidRDefault="00CE1BDB" w:rsidP="00EF49A7">
            <w:pPr>
              <w:jc w:val="both"/>
              <w:rPr>
                <w:rFonts w:cs="Arial"/>
                <w:color w:val="000000"/>
                <w:sz w:val="22"/>
                <w:szCs w:val="22"/>
              </w:rPr>
            </w:pPr>
            <w:r w:rsidRPr="00FA4DC7">
              <w:rPr>
                <w:rFonts w:cs="Arial"/>
                <w:color w:val="000000"/>
                <w:sz w:val="22"/>
                <w:szCs w:val="22"/>
              </w:rPr>
              <w:t>Strood Rural</w:t>
            </w:r>
          </w:p>
        </w:tc>
        <w:tc>
          <w:tcPr>
            <w:tcW w:w="1579" w:type="dxa"/>
            <w:tcBorders>
              <w:top w:val="nil"/>
              <w:left w:val="nil"/>
              <w:bottom w:val="single" w:sz="4" w:space="0" w:color="auto"/>
              <w:right w:val="single" w:sz="4" w:space="0" w:color="auto"/>
            </w:tcBorders>
            <w:shd w:val="clear" w:color="auto" w:fill="auto"/>
            <w:noWrap/>
            <w:vAlign w:val="bottom"/>
            <w:hideMark/>
          </w:tcPr>
          <w:p w14:paraId="2E6D105A" w14:textId="77777777" w:rsidR="00CE1BDB" w:rsidRPr="00FA4DC7" w:rsidRDefault="00CE1BDB" w:rsidP="00C75F28">
            <w:pPr>
              <w:jc w:val="right"/>
              <w:rPr>
                <w:rFonts w:cs="Arial"/>
                <w:color w:val="000000"/>
                <w:sz w:val="22"/>
                <w:szCs w:val="22"/>
              </w:rPr>
            </w:pPr>
            <w:r w:rsidRPr="00FA4DC7">
              <w:rPr>
                <w:rFonts w:cs="Arial"/>
                <w:color w:val="000000"/>
                <w:sz w:val="22"/>
                <w:szCs w:val="22"/>
              </w:rPr>
              <w:t>5,940</w:t>
            </w:r>
          </w:p>
        </w:tc>
      </w:tr>
      <w:tr w:rsidR="00CE1BDB" w:rsidRPr="00FA4DC7" w14:paraId="2D010847"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42786381" w14:textId="77777777" w:rsidR="00CE1BDB" w:rsidRPr="00FA4DC7" w:rsidRDefault="00CE1BDB" w:rsidP="00EF49A7">
            <w:pPr>
              <w:jc w:val="both"/>
              <w:rPr>
                <w:rFonts w:cs="Arial"/>
                <w:color w:val="000000"/>
                <w:sz w:val="22"/>
                <w:szCs w:val="22"/>
              </w:rPr>
            </w:pPr>
            <w:r w:rsidRPr="00FA4DC7">
              <w:rPr>
                <w:rFonts w:cs="Arial"/>
                <w:color w:val="000000"/>
                <w:sz w:val="22"/>
                <w:szCs w:val="22"/>
              </w:rPr>
              <w:t>Strood South</w:t>
            </w:r>
          </w:p>
        </w:tc>
        <w:tc>
          <w:tcPr>
            <w:tcW w:w="1579" w:type="dxa"/>
            <w:tcBorders>
              <w:top w:val="nil"/>
              <w:left w:val="nil"/>
              <w:bottom w:val="single" w:sz="4" w:space="0" w:color="auto"/>
              <w:right w:val="single" w:sz="4" w:space="0" w:color="auto"/>
            </w:tcBorders>
            <w:shd w:val="clear" w:color="auto" w:fill="auto"/>
            <w:noWrap/>
            <w:vAlign w:val="bottom"/>
            <w:hideMark/>
          </w:tcPr>
          <w:p w14:paraId="1F8E312B" w14:textId="77777777" w:rsidR="00CE1BDB" w:rsidRPr="00FA4DC7" w:rsidRDefault="00CE1BDB" w:rsidP="00C75F28">
            <w:pPr>
              <w:jc w:val="right"/>
              <w:rPr>
                <w:rFonts w:cs="Arial"/>
                <w:color w:val="000000"/>
                <w:sz w:val="22"/>
                <w:szCs w:val="22"/>
              </w:rPr>
            </w:pPr>
            <w:r w:rsidRPr="00FA4DC7">
              <w:rPr>
                <w:rFonts w:cs="Arial"/>
                <w:color w:val="000000"/>
                <w:sz w:val="22"/>
                <w:szCs w:val="22"/>
              </w:rPr>
              <w:t>6,470</w:t>
            </w:r>
          </w:p>
        </w:tc>
      </w:tr>
      <w:tr w:rsidR="00CE1BDB" w:rsidRPr="00FA4DC7" w14:paraId="7B2D3A1B"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BA7547A" w14:textId="77777777" w:rsidR="00CE1BDB" w:rsidRPr="00FA4DC7" w:rsidRDefault="00CE1BDB" w:rsidP="00EF49A7">
            <w:pPr>
              <w:jc w:val="both"/>
              <w:rPr>
                <w:rFonts w:cs="Arial"/>
                <w:color w:val="000000"/>
                <w:sz w:val="22"/>
                <w:szCs w:val="22"/>
              </w:rPr>
            </w:pPr>
            <w:proofErr w:type="spellStart"/>
            <w:r w:rsidRPr="00FA4DC7">
              <w:rPr>
                <w:rFonts w:cs="Arial"/>
                <w:color w:val="000000"/>
                <w:sz w:val="22"/>
                <w:szCs w:val="22"/>
              </w:rPr>
              <w:t>Twydall</w:t>
            </w:r>
            <w:proofErr w:type="spellEnd"/>
          </w:p>
        </w:tc>
        <w:tc>
          <w:tcPr>
            <w:tcW w:w="1579" w:type="dxa"/>
            <w:tcBorders>
              <w:top w:val="nil"/>
              <w:left w:val="nil"/>
              <w:bottom w:val="single" w:sz="4" w:space="0" w:color="auto"/>
              <w:right w:val="single" w:sz="4" w:space="0" w:color="auto"/>
            </w:tcBorders>
            <w:shd w:val="clear" w:color="auto" w:fill="auto"/>
            <w:noWrap/>
            <w:vAlign w:val="bottom"/>
            <w:hideMark/>
          </w:tcPr>
          <w:p w14:paraId="7D608723" w14:textId="77777777" w:rsidR="00CE1BDB" w:rsidRPr="00FA4DC7" w:rsidRDefault="00CE1BDB" w:rsidP="00C75F28">
            <w:pPr>
              <w:jc w:val="right"/>
              <w:rPr>
                <w:rFonts w:cs="Arial"/>
                <w:color w:val="000000"/>
                <w:sz w:val="22"/>
                <w:szCs w:val="22"/>
              </w:rPr>
            </w:pPr>
            <w:r w:rsidRPr="00FA4DC7">
              <w:rPr>
                <w:rFonts w:cs="Arial"/>
                <w:color w:val="000000"/>
                <w:sz w:val="22"/>
                <w:szCs w:val="22"/>
              </w:rPr>
              <w:t>5,450</w:t>
            </w:r>
          </w:p>
        </w:tc>
      </w:tr>
      <w:tr w:rsidR="00CE1BDB" w:rsidRPr="00FA4DC7" w14:paraId="589D0A47"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11B0955" w14:textId="77777777" w:rsidR="00CE1BDB" w:rsidRPr="00FA4DC7" w:rsidRDefault="00CE1BDB" w:rsidP="00EF49A7">
            <w:pPr>
              <w:jc w:val="both"/>
              <w:rPr>
                <w:rFonts w:cs="Arial"/>
                <w:color w:val="000000"/>
                <w:sz w:val="22"/>
                <w:szCs w:val="22"/>
              </w:rPr>
            </w:pPr>
            <w:r w:rsidRPr="00FA4DC7">
              <w:rPr>
                <w:rFonts w:cs="Arial"/>
                <w:color w:val="000000"/>
                <w:sz w:val="22"/>
                <w:szCs w:val="22"/>
              </w:rPr>
              <w:t>Walderslade</w:t>
            </w:r>
          </w:p>
        </w:tc>
        <w:tc>
          <w:tcPr>
            <w:tcW w:w="1579" w:type="dxa"/>
            <w:tcBorders>
              <w:top w:val="nil"/>
              <w:left w:val="nil"/>
              <w:bottom w:val="single" w:sz="4" w:space="0" w:color="auto"/>
              <w:right w:val="single" w:sz="4" w:space="0" w:color="auto"/>
            </w:tcBorders>
            <w:shd w:val="clear" w:color="auto" w:fill="auto"/>
            <w:noWrap/>
            <w:vAlign w:val="bottom"/>
            <w:hideMark/>
          </w:tcPr>
          <w:p w14:paraId="5541CE88" w14:textId="77777777" w:rsidR="00CE1BDB" w:rsidRPr="00FA4DC7" w:rsidRDefault="00CE1BDB" w:rsidP="00C75F28">
            <w:pPr>
              <w:jc w:val="right"/>
              <w:rPr>
                <w:rFonts w:cs="Arial"/>
                <w:color w:val="000000"/>
                <w:sz w:val="22"/>
                <w:szCs w:val="22"/>
              </w:rPr>
            </w:pPr>
            <w:r w:rsidRPr="00FA4DC7">
              <w:rPr>
                <w:rFonts w:cs="Arial"/>
                <w:color w:val="000000"/>
                <w:sz w:val="22"/>
                <w:szCs w:val="22"/>
              </w:rPr>
              <w:t>3,860</w:t>
            </w:r>
          </w:p>
        </w:tc>
      </w:tr>
      <w:tr w:rsidR="00CE1BDB" w:rsidRPr="00FA4DC7" w14:paraId="3EEBA6F9"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BA01B97" w14:textId="77777777" w:rsidR="00CE1BDB" w:rsidRPr="00FA4DC7" w:rsidRDefault="00CE1BDB" w:rsidP="00EF49A7">
            <w:pPr>
              <w:jc w:val="both"/>
              <w:rPr>
                <w:rFonts w:cs="Arial"/>
                <w:color w:val="000000"/>
                <w:sz w:val="22"/>
                <w:szCs w:val="22"/>
              </w:rPr>
            </w:pPr>
            <w:r w:rsidRPr="00FA4DC7">
              <w:rPr>
                <w:rFonts w:cs="Arial"/>
                <w:color w:val="000000"/>
                <w:sz w:val="22"/>
                <w:szCs w:val="22"/>
              </w:rPr>
              <w:t>Watling</w:t>
            </w:r>
          </w:p>
        </w:tc>
        <w:tc>
          <w:tcPr>
            <w:tcW w:w="1579" w:type="dxa"/>
            <w:tcBorders>
              <w:top w:val="nil"/>
              <w:left w:val="nil"/>
              <w:bottom w:val="single" w:sz="4" w:space="0" w:color="auto"/>
              <w:right w:val="single" w:sz="4" w:space="0" w:color="auto"/>
            </w:tcBorders>
            <w:shd w:val="clear" w:color="auto" w:fill="auto"/>
            <w:noWrap/>
            <w:vAlign w:val="bottom"/>
            <w:hideMark/>
          </w:tcPr>
          <w:p w14:paraId="684F2281" w14:textId="77777777" w:rsidR="00CE1BDB" w:rsidRPr="00FA4DC7" w:rsidRDefault="00CE1BDB" w:rsidP="00C75F28">
            <w:pPr>
              <w:jc w:val="right"/>
              <w:rPr>
                <w:rFonts w:cs="Arial"/>
                <w:color w:val="000000"/>
                <w:sz w:val="22"/>
                <w:szCs w:val="22"/>
              </w:rPr>
            </w:pPr>
            <w:r w:rsidRPr="00FA4DC7">
              <w:rPr>
                <w:rFonts w:cs="Arial"/>
                <w:color w:val="000000"/>
                <w:sz w:val="22"/>
                <w:szCs w:val="22"/>
              </w:rPr>
              <w:t>3,500</w:t>
            </w:r>
          </w:p>
        </w:tc>
      </w:tr>
      <w:tr w:rsidR="00CE1BDB" w:rsidRPr="00FA4DC7" w14:paraId="645E191B"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71717ED0" w14:textId="77777777" w:rsidR="00CE1BDB" w:rsidRPr="00FA4DC7" w:rsidRDefault="00CE1BDB" w:rsidP="00EF49A7">
            <w:pPr>
              <w:jc w:val="both"/>
              <w:rPr>
                <w:rFonts w:cs="Arial"/>
                <w:b/>
                <w:bCs/>
                <w:color w:val="000000"/>
                <w:sz w:val="22"/>
                <w:szCs w:val="22"/>
              </w:rPr>
            </w:pPr>
            <w:r w:rsidRPr="00FA4DC7">
              <w:rPr>
                <w:rFonts w:cs="Arial"/>
                <w:b/>
                <w:bCs/>
                <w:color w:val="000000"/>
                <w:sz w:val="22"/>
                <w:szCs w:val="22"/>
              </w:rPr>
              <w:t>Medway</w:t>
            </w:r>
          </w:p>
        </w:tc>
        <w:tc>
          <w:tcPr>
            <w:tcW w:w="1579" w:type="dxa"/>
            <w:tcBorders>
              <w:top w:val="nil"/>
              <w:left w:val="nil"/>
              <w:bottom w:val="single" w:sz="4" w:space="0" w:color="auto"/>
              <w:right w:val="single" w:sz="4" w:space="0" w:color="auto"/>
            </w:tcBorders>
            <w:shd w:val="clear" w:color="auto" w:fill="auto"/>
            <w:noWrap/>
            <w:vAlign w:val="center"/>
            <w:hideMark/>
          </w:tcPr>
          <w:p w14:paraId="2A1AE208" w14:textId="77777777" w:rsidR="00CE1BDB" w:rsidRPr="00FA4DC7" w:rsidRDefault="00CE1BDB" w:rsidP="00C75F28">
            <w:pPr>
              <w:jc w:val="right"/>
              <w:rPr>
                <w:rFonts w:cs="Arial"/>
                <w:b/>
                <w:bCs/>
                <w:color w:val="000000"/>
                <w:sz w:val="22"/>
                <w:szCs w:val="22"/>
              </w:rPr>
            </w:pPr>
            <w:r w:rsidRPr="00FA4DC7">
              <w:rPr>
                <w:rFonts w:cs="Arial"/>
                <w:b/>
                <w:bCs/>
                <w:color w:val="000000"/>
                <w:sz w:val="22"/>
                <w:szCs w:val="22"/>
              </w:rPr>
              <w:t>112,450</w:t>
            </w:r>
          </w:p>
        </w:tc>
      </w:tr>
      <w:tr w:rsidR="00CE1BDB" w:rsidRPr="00FA4DC7" w14:paraId="6575306D" w14:textId="77777777" w:rsidTr="00C75F28">
        <w:trPr>
          <w:trHeight w:val="320"/>
        </w:trPr>
        <w:tc>
          <w:tcPr>
            <w:tcW w:w="7058" w:type="dxa"/>
            <w:tcBorders>
              <w:top w:val="single" w:sz="4" w:space="0" w:color="auto"/>
              <w:left w:val="single" w:sz="4" w:space="0" w:color="auto"/>
              <w:bottom w:val="single" w:sz="4" w:space="0" w:color="auto"/>
              <w:right w:val="single" w:sz="4" w:space="0" w:color="auto"/>
            </w:tcBorders>
            <w:shd w:val="clear" w:color="auto" w:fill="006666"/>
            <w:noWrap/>
            <w:vAlign w:val="center"/>
            <w:hideMark/>
          </w:tcPr>
          <w:p w14:paraId="08F61699" w14:textId="77777777" w:rsidR="00CE1BDB" w:rsidRPr="00FA4DC7" w:rsidRDefault="00CE1BDB" w:rsidP="00EF49A7">
            <w:pPr>
              <w:jc w:val="both"/>
              <w:rPr>
                <w:rFonts w:cs="Arial"/>
                <w:b/>
                <w:bCs/>
                <w:color w:val="FFFFFF" w:themeColor="background1"/>
                <w:sz w:val="22"/>
                <w:szCs w:val="22"/>
              </w:rPr>
            </w:pPr>
            <w:r w:rsidRPr="00FA4DC7">
              <w:rPr>
                <w:rFonts w:cs="Arial"/>
                <w:b/>
                <w:bCs/>
                <w:color w:val="FFFFFF" w:themeColor="background1"/>
                <w:sz w:val="22"/>
                <w:szCs w:val="22"/>
              </w:rPr>
              <w:t>Key Development Location</w:t>
            </w:r>
          </w:p>
        </w:tc>
        <w:tc>
          <w:tcPr>
            <w:tcW w:w="1579" w:type="dxa"/>
            <w:tcBorders>
              <w:top w:val="single" w:sz="4" w:space="0" w:color="auto"/>
              <w:left w:val="nil"/>
              <w:bottom w:val="single" w:sz="4" w:space="0" w:color="auto"/>
              <w:right w:val="single" w:sz="4" w:space="0" w:color="auto"/>
            </w:tcBorders>
            <w:shd w:val="clear" w:color="auto" w:fill="006666"/>
            <w:noWrap/>
            <w:vAlign w:val="center"/>
            <w:hideMark/>
          </w:tcPr>
          <w:p w14:paraId="63CDB3BC"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Dwellings</w:t>
            </w:r>
          </w:p>
        </w:tc>
      </w:tr>
      <w:tr w:rsidR="00CE1BDB" w:rsidRPr="00FA4DC7" w14:paraId="4CFA64C9"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5BCFAC79" w14:textId="77777777" w:rsidR="00CE1BDB" w:rsidRPr="00FA4DC7" w:rsidRDefault="00CE1BDB" w:rsidP="00EF49A7">
            <w:pPr>
              <w:jc w:val="both"/>
              <w:rPr>
                <w:rFonts w:cs="Arial"/>
                <w:color w:val="000000"/>
                <w:sz w:val="22"/>
                <w:szCs w:val="22"/>
              </w:rPr>
            </w:pPr>
            <w:r w:rsidRPr="00FA4DC7">
              <w:rPr>
                <w:rFonts w:cs="Arial"/>
                <w:color w:val="000000"/>
                <w:sz w:val="22"/>
                <w:szCs w:val="22"/>
              </w:rPr>
              <w:t>Chatham</w:t>
            </w:r>
          </w:p>
        </w:tc>
        <w:tc>
          <w:tcPr>
            <w:tcW w:w="1579" w:type="dxa"/>
            <w:tcBorders>
              <w:top w:val="nil"/>
              <w:left w:val="nil"/>
              <w:bottom w:val="single" w:sz="4" w:space="0" w:color="auto"/>
              <w:right w:val="single" w:sz="4" w:space="0" w:color="auto"/>
            </w:tcBorders>
            <w:shd w:val="clear" w:color="auto" w:fill="auto"/>
            <w:noWrap/>
            <w:vAlign w:val="center"/>
            <w:hideMark/>
          </w:tcPr>
          <w:p w14:paraId="491886DB" w14:textId="77777777" w:rsidR="00CE1BDB" w:rsidRPr="00FA4DC7" w:rsidRDefault="00CE1BDB" w:rsidP="00C75F28">
            <w:pPr>
              <w:jc w:val="right"/>
              <w:rPr>
                <w:rFonts w:cs="Arial"/>
                <w:color w:val="000000"/>
                <w:sz w:val="22"/>
                <w:szCs w:val="22"/>
              </w:rPr>
            </w:pPr>
            <w:r w:rsidRPr="00FA4DC7">
              <w:rPr>
                <w:rFonts w:cs="Arial"/>
                <w:color w:val="000000"/>
                <w:sz w:val="22"/>
                <w:szCs w:val="22"/>
              </w:rPr>
              <w:t>8,220</w:t>
            </w:r>
          </w:p>
        </w:tc>
      </w:tr>
      <w:tr w:rsidR="00CE1BDB" w:rsidRPr="00FA4DC7" w14:paraId="594A4969"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3CF95C12" w14:textId="77777777" w:rsidR="00CE1BDB" w:rsidRPr="00FA4DC7" w:rsidRDefault="00CE1BDB" w:rsidP="00EF49A7">
            <w:pPr>
              <w:jc w:val="both"/>
              <w:rPr>
                <w:rFonts w:cs="Arial"/>
                <w:color w:val="000000"/>
                <w:sz w:val="22"/>
                <w:szCs w:val="22"/>
              </w:rPr>
            </w:pPr>
            <w:r w:rsidRPr="00FA4DC7">
              <w:rPr>
                <w:rFonts w:cs="Arial"/>
                <w:color w:val="000000"/>
                <w:sz w:val="22"/>
                <w:szCs w:val="22"/>
              </w:rPr>
              <w:t>Chatham Maritime and Gillingham (</w:t>
            </w:r>
            <w:proofErr w:type="spellStart"/>
            <w:r w:rsidRPr="00FA4DC7">
              <w:rPr>
                <w:rFonts w:cs="Arial"/>
                <w:color w:val="000000"/>
                <w:sz w:val="22"/>
                <w:szCs w:val="22"/>
              </w:rPr>
              <w:t>inc</w:t>
            </w:r>
            <w:proofErr w:type="spellEnd"/>
            <w:r w:rsidRPr="00FA4DC7">
              <w:rPr>
                <w:rFonts w:cs="Arial"/>
                <w:color w:val="000000"/>
                <w:sz w:val="22"/>
                <w:szCs w:val="22"/>
              </w:rPr>
              <w:t xml:space="preserve"> St Mary’s Island &amp; Brompton) </w:t>
            </w:r>
          </w:p>
        </w:tc>
        <w:tc>
          <w:tcPr>
            <w:tcW w:w="1579" w:type="dxa"/>
            <w:tcBorders>
              <w:top w:val="nil"/>
              <w:left w:val="nil"/>
              <w:bottom w:val="single" w:sz="4" w:space="0" w:color="auto"/>
              <w:right w:val="single" w:sz="4" w:space="0" w:color="auto"/>
            </w:tcBorders>
            <w:shd w:val="clear" w:color="auto" w:fill="auto"/>
            <w:noWrap/>
            <w:vAlign w:val="center"/>
            <w:hideMark/>
          </w:tcPr>
          <w:p w14:paraId="454DEB57" w14:textId="77777777" w:rsidR="00CE1BDB" w:rsidRPr="00FA4DC7" w:rsidRDefault="00CE1BDB" w:rsidP="00C75F28">
            <w:pPr>
              <w:jc w:val="right"/>
              <w:rPr>
                <w:rFonts w:cs="Arial"/>
                <w:color w:val="000000"/>
                <w:sz w:val="22"/>
                <w:szCs w:val="22"/>
              </w:rPr>
            </w:pPr>
            <w:r w:rsidRPr="00FA4DC7">
              <w:rPr>
                <w:rFonts w:cs="Arial"/>
                <w:color w:val="000000"/>
                <w:sz w:val="22"/>
                <w:szCs w:val="22"/>
              </w:rPr>
              <w:t>21,260</w:t>
            </w:r>
          </w:p>
        </w:tc>
      </w:tr>
      <w:tr w:rsidR="00CE1BDB" w:rsidRPr="00FA4DC7" w14:paraId="6738BAAF"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1EF3510" w14:textId="77777777" w:rsidR="00CE1BDB" w:rsidRPr="00FA4DC7" w:rsidRDefault="00CE1BDB" w:rsidP="00EF49A7">
            <w:pPr>
              <w:jc w:val="both"/>
              <w:rPr>
                <w:rFonts w:cs="Arial"/>
                <w:color w:val="000000"/>
                <w:sz w:val="22"/>
                <w:szCs w:val="22"/>
              </w:rPr>
            </w:pPr>
            <w:r w:rsidRPr="00FA4DC7">
              <w:rPr>
                <w:rFonts w:cs="Arial"/>
                <w:color w:val="000000"/>
                <w:sz w:val="22"/>
                <w:szCs w:val="22"/>
              </w:rPr>
              <w:t>Rainham</w:t>
            </w:r>
          </w:p>
        </w:tc>
        <w:tc>
          <w:tcPr>
            <w:tcW w:w="1579" w:type="dxa"/>
            <w:tcBorders>
              <w:top w:val="nil"/>
              <w:left w:val="nil"/>
              <w:bottom w:val="single" w:sz="4" w:space="0" w:color="auto"/>
              <w:right w:val="single" w:sz="4" w:space="0" w:color="auto"/>
            </w:tcBorders>
            <w:shd w:val="clear" w:color="auto" w:fill="auto"/>
            <w:noWrap/>
            <w:vAlign w:val="center"/>
            <w:hideMark/>
          </w:tcPr>
          <w:p w14:paraId="20D35A37" w14:textId="77777777" w:rsidR="00CE1BDB" w:rsidRPr="00FA4DC7" w:rsidRDefault="00CE1BDB" w:rsidP="00C75F28">
            <w:pPr>
              <w:jc w:val="right"/>
              <w:rPr>
                <w:rFonts w:cs="Arial"/>
                <w:color w:val="000000"/>
                <w:sz w:val="22"/>
                <w:szCs w:val="22"/>
              </w:rPr>
            </w:pPr>
            <w:r w:rsidRPr="00FA4DC7">
              <w:rPr>
                <w:rFonts w:cs="Arial"/>
                <w:color w:val="000000"/>
                <w:sz w:val="22"/>
                <w:szCs w:val="22"/>
              </w:rPr>
              <w:t>12,410</w:t>
            </w:r>
          </w:p>
        </w:tc>
      </w:tr>
      <w:tr w:rsidR="00CE1BDB" w:rsidRPr="00FA4DC7" w14:paraId="4DD3F3BE"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065EA917" w14:textId="77777777" w:rsidR="00CE1BDB" w:rsidRPr="00FA4DC7" w:rsidRDefault="00CE1BDB" w:rsidP="00EF49A7">
            <w:pPr>
              <w:jc w:val="both"/>
              <w:rPr>
                <w:rFonts w:cs="Arial"/>
                <w:color w:val="000000"/>
                <w:sz w:val="22"/>
                <w:szCs w:val="22"/>
              </w:rPr>
            </w:pPr>
            <w:r w:rsidRPr="00FA4DC7">
              <w:rPr>
                <w:rFonts w:cs="Arial"/>
                <w:color w:val="000000"/>
                <w:sz w:val="22"/>
                <w:szCs w:val="22"/>
              </w:rPr>
              <w:t>Rochester</w:t>
            </w:r>
          </w:p>
        </w:tc>
        <w:tc>
          <w:tcPr>
            <w:tcW w:w="1579" w:type="dxa"/>
            <w:tcBorders>
              <w:top w:val="nil"/>
              <w:left w:val="nil"/>
              <w:bottom w:val="single" w:sz="4" w:space="0" w:color="auto"/>
              <w:right w:val="single" w:sz="4" w:space="0" w:color="auto"/>
            </w:tcBorders>
            <w:shd w:val="clear" w:color="auto" w:fill="auto"/>
            <w:noWrap/>
            <w:vAlign w:val="center"/>
            <w:hideMark/>
          </w:tcPr>
          <w:p w14:paraId="78897ED7" w14:textId="77777777" w:rsidR="00CE1BDB" w:rsidRPr="00FA4DC7" w:rsidRDefault="00CE1BDB" w:rsidP="00C75F28">
            <w:pPr>
              <w:jc w:val="right"/>
              <w:rPr>
                <w:rFonts w:cs="Arial"/>
                <w:color w:val="000000"/>
                <w:sz w:val="22"/>
                <w:szCs w:val="22"/>
              </w:rPr>
            </w:pPr>
            <w:r w:rsidRPr="00FA4DC7">
              <w:rPr>
                <w:rFonts w:cs="Arial"/>
                <w:color w:val="000000"/>
                <w:sz w:val="22"/>
                <w:szCs w:val="22"/>
              </w:rPr>
              <w:t>11,660</w:t>
            </w:r>
          </w:p>
        </w:tc>
      </w:tr>
      <w:tr w:rsidR="00CE1BDB" w:rsidRPr="00FA4DC7" w14:paraId="54A09255"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573AA0C1" w14:textId="77777777" w:rsidR="00CE1BDB" w:rsidRPr="00FA4DC7" w:rsidRDefault="00CE1BDB" w:rsidP="00EF49A7">
            <w:pPr>
              <w:jc w:val="both"/>
              <w:rPr>
                <w:rFonts w:cs="Arial"/>
                <w:color w:val="000000"/>
                <w:sz w:val="22"/>
                <w:szCs w:val="22"/>
              </w:rPr>
            </w:pPr>
            <w:r w:rsidRPr="00FA4DC7">
              <w:rPr>
                <w:rFonts w:cs="Arial"/>
                <w:color w:val="000000"/>
                <w:sz w:val="22"/>
                <w:szCs w:val="22"/>
              </w:rPr>
              <w:t>Strood</w:t>
            </w:r>
          </w:p>
        </w:tc>
        <w:tc>
          <w:tcPr>
            <w:tcW w:w="1579" w:type="dxa"/>
            <w:tcBorders>
              <w:top w:val="nil"/>
              <w:left w:val="nil"/>
              <w:bottom w:val="single" w:sz="4" w:space="0" w:color="auto"/>
              <w:right w:val="single" w:sz="4" w:space="0" w:color="auto"/>
            </w:tcBorders>
            <w:shd w:val="clear" w:color="auto" w:fill="auto"/>
            <w:noWrap/>
            <w:vAlign w:val="center"/>
            <w:hideMark/>
          </w:tcPr>
          <w:p w14:paraId="7F35F90E" w14:textId="77777777" w:rsidR="00CE1BDB" w:rsidRPr="00FA4DC7" w:rsidRDefault="00CE1BDB" w:rsidP="00C75F28">
            <w:pPr>
              <w:jc w:val="right"/>
              <w:rPr>
                <w:rFonts w:cs="Arial"/>
                <w:color w:val="000000"/>
                <w:sz w:val="22"/>
                <w:szCs w:val="22"/>
              </w:rPr>
            </w:pPr>
            <w:r w:rsidRPr="00FA4DC7">
              <w:rPr>
                <w:rFonts w:cs="Arial"/>
                <w:color w:val="000000"/>
                <w:sz w:val="22"/>
                <w:szCs w:val="22"/>
              </w:rPr>
              <w:t>12,120</w:t>
            </w:r>
          </w:p>
        </w:tc>
      </w:tr>
      <w:tr w:rsidR="00CE1BDB" w:rsidRPr="00FA4DC7" w14:paraId="4BD727E3" w14:textId="77777777" w:rsidTr="00C75F28">
        <w:trPr>
          <w:trHeight w:val="320"/>
        </w:trPr>
        <w:tc>
          <w:tcPr>
            <w:tcW w:w="7058" w:type="dxa"/>
            <w:tcBorders>
              <w:top w:val="single" w:sz="4" w:space="0" w:color="auto"/>
              <w:left w:val="single" w:sz="4" w:space="0" w:color="auto"/>
              <w:bottom w:val="single" w:sz="4" w:space="0" w:color="auto"/>
              <w:right w:val="single" w:sz="4" w:space="0" w:color="auto"/>
            </w:tcBorders>
            <w:shd w:val="clear" w:color="auto" w:fill="006666"/>
            <w:noWrap/>
            <w:vAlign w:val="center"/>
            <w:hideMark/>
          </w:tcPr>
          <w:p w14:paraId="2F1AB7A6" w14:textId="77777777" w:rsidR="00CE1BDB" w:rsidRPr="00FA4DC7" w:rsidRDefault="00CE1BDB" w:rsidP="00EF49A7">
            <w:pPr>
              <w:jc w:val="both"/>
              <w:rPr>
                <w:rFonts w:cs="Arial"/>
                <w:b/>
                <w:bCs/>
                <w:color w:val="FFFFFF" w:themeColor="background1"/>
                <w:sz w:val="22"/>
                <w:szCs w:val="22"/>
              </w:rPr>
            </w:pPr>
            <w:r w:rsidRPr="00FA4DC7">
              <w:rPr>
                <w:rFonts w:cs="Arial"/>
                <w:b/>
                <w:bCs/>
                <w:color w:val="FFFFFF" w:themeColor="background1"/>
                <w:sz w:val="22"/>
                <w:szCs w:val="22"/>
              </w:rPr>
              <w:t>Neighbourhood Planning Areas</w:t>
            </w:r>
          </w:p>
        </w:tc>
        <w:tc>
          <w:tcPr>
            <w:tcW w:w="1579" w:type="dxa"/>
            <w:tcBorders>
              <w:top w:val="single" w:sz="4" w:space="0" w:color="auto"/>
              <w:left w:val="nil"/>
              <w:bottom w:val="single" w:sz="4" w:space="0" w:color="auto"/>
              <w:right w:val="single" w:sz="4" w:space="0" w:color="auto"/>
            </w:tcBorders>
            <w:shd w:val="clear" w:color="auto" w:fill="006666"/>
            <w:noWrap/>
            <w:vAlign w:val="center"/>
            <w:hideMark/>
          </w:tcPr>
          <w:p w14:paraId="2F041CF1"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Dwellings</w:t>
            </w:r>
          </w:p>
        </w:tc>
      </w:tr>
      <w:tr w:rsidR="00CE1BDB" w:rsidRPr="00FA4DC7" w14:paraId="0655D8B9"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1821FD3E" w14:textId="77777777" w:rsidR="00CE1BDB" w:rsidRPr="00FA4DC7" w:rsidRDefault="00CE1BDB" w:rsidP="00EF49A7">
            <w:pPr>
              <w:jc w:val="both"/>
              <w:rPr>
                <w:rFonts w:cs="Arial"/>
                <w:color w:val="000000"/>
                <w:sz w:val="22"/>
                <w:szCs w:val="22"/>
              </w:rPr>
            </w:pPr>
            <w:r w:rsidRPr="00FA4DC7">
              <w:rPr>
                <w:rFonts w:cs="Arial"/>
                <w:color w:val="000000"/>
                <w:sz w:val="22"/>
                <w:szCs w:val="22"/>
              </w:rPr>
              <w:t>Cliffe and Cliffe Wood</w:t>
            </w:r>
          </w:p>
        </w:tc>
        <w:tc>
          <w:tcPr>
            <w:tcW w:w="1579" w:type="dxa"/>
            <w:tcBorders>
              <w:top w:val="nil"/>
              <w:left w:val="nil"/>
              <w:bottom w:val="single" w:sz="4" w:space="0" w:color="auto"/>
              <w:right w:val="single" w:sz="4" w:space="0" w:color="auto"/>
            </w:tcBorders>
            <w:shd w:val="clear" w:color="auto" w:fill="auto"/>
            <w:noWrap/>
            <w:vAlign w:val="center"/>
            <w:hideMark/>
          </w:tcPr>
          <w:p w14:paraId="6AFCFBD4" w14:textId="77777777" w:rsidR="00CE1BDB" w:rsidRPr="00FA4DC7" w:rsidRDefault="00CE1BDB" w:rsidP="00C75F28">
            <w:pPr>
              <w:jc w:val="right"/>
              <w:rPr>
                <w:rFonts w:cs="Arial"/>
                <w:color w:val="000000"/>
                <w:sz w:val="22"/>
                <w:szCs w:val="22"/>
              </w:rPr>
            </w:pPr>
            <w:r w:rsidRPr="00FA4DC7">
              <w:rPr>
                <w:rFonts w:cs="Arial"/>
                <w:color w:val="000000"/>
                <w:sz w:val="22"/>
                <w:szCs w:val="22"/>
              </w:rPr>
              <w:t>2,070</w:t>
            </w:r>
          </w:p>
        </w:tc>
      </w:tr>
      <w:tr w:rsidR="00CE1BDB" w:rsidRPr="00FA4DC7" w14:paraId="4C67C647"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2667E97B" w14:textId="77777777" w:rsidR="00CE1BDB" w:rsidRPr="00FA4DC7" w:rsidRDefault="00CE1BDB" w:rsidP="00EF49A7">
            <w:pPr>
              <w:jc w:val="both"/>
              <w:rPr>
                <w:rFonts w:cs="Arial"/>
                <w:color w:val="000000"/>
                <w:sz w:val="22"/>
                <w:szCs w:val="22"/>
              </w:rPr>
            </w:pPr>
            <w:proofErr w:type="spellStart"/>
            <w:r w:rsidRPr="00FA4DC7">
              <w:rPr>
                <w:rFonts w:cs="Arial"/>
                <w:color w:val="000000"/>
                <w:sz w:val="22"/>
                <w:szCs w:val="22"/>
              </w:rPr>
              <w:t>Frindsbury</w:t>
            </w:r>
            <w:proofErr w:type="spellEnd"/>
            <w:r w:rsidRPr="00FA4DC7">
              <w:rPr>
                <w:rFonts w:cs="Arial"/>
                <w:color w:val="000000"/>
                <w:sz w:val="22"/>
                <w:szCs w:val="22"/>
              </w:rPr>
              <w:t xml:space="preserve"> Extra</w:t>
            </w:r>
          </w:p>
        </w:tc>
        <w:tc>
          <w:tcPr>
            <w:tcW w:w="1579" w:type="dxa"/>
            <w:tcBorders>
              <w:top w:val="nil"/>
              <w:left w:val="nil"/>
              <w:bottom w:val="single" w:sz="4" w:space="0" w:color="auto"/>
              <w:right w:val="single" w:sz="4" w:space="0" w:color="auto"/>
            </w:tcBorders>
            <w:shd w:val="clear" w:color="auto" w:fill="auto"/>
            <w:noWrap/>
            <w:vAlign w:val="center"/>
            <w:hideMark/>
          </w:tcPr>
          <w:p w14:paraId="7B74D6F7" w14:textId="77777777" w:rsidR="00CE1BDB" w:rsidRPr="00FA4DC7" w:rsidRDefault="00CE1BDB" w:rsidP="00C75F28">
            <w:pPr>
              <w:jc w:val="right"/>
              <w:rPr>
                <w:rFonts w:cs="Arial"/>
                <w:color w:val="000000"/>
                <w:sz w:val="22"/>
                <w:szCs w:val="22"/>
              </w:rPr>
            </w:pPr>
            <w:r w:rsidRPr="00FA4DC7">
              <w:rPr>
                <w:rFonts w:cs="Arial"/>
                <w:color w:val="000000"/>
                <w:sz w:val="22"/>
                <w:szCs w:val="22"/>
              </w:rPr>
              <w:t>2,750</w:t>
            </w:r>
          </w:p>
        </w:tc>
      </w:tr>
      <w:tr w:rsidR="00CE1BDB" w:rsidRPr="00FA4DC7" w14:paraId="1D4452EC"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442E7812" w14:textId="77777777" w:rsidR="00CE1BDB" w:rsidRPr="00FA4DC7" w:rsidRDefault="00CE1BDB" w:rsidP="00EF49A7">
            <w:pPr>
              <w:jc w:val="both"/>
              <w:rPr>
                <w:rFonts w:cs="Arial"/>
                <w:color w:val="000000"/>
                <w:sz w:val="22"/>
                <w:szCs w:val="22"/>
              </w:rPr>
            </w:pPr>
            <w:r w:rsidRPr="00FA4DC7">
              <w:rPr>
                <w:rFonts w:cs="Arial"/>
                <w:color w:val="000000"/>
                <w:sz w:val="22"/>
                <w:szCs w:val="22"/>
              </w:rPr>
              <w:t xml:space="preserve">High </w:t>
            </w:r>
            <w:proofErr w:type="spellStart"/>
            <w:r w:rsidRPr="00FA4DC7">
              <w:rPr>
                <w:rFonts w:cs="Arial"/>
                <w:color w:val="000000"/>
                <w:sz w:val="22"/>
                <w:szCs w:val="22"/>
              </w:rPr>
              <w:t>Halstow</w:t>
            </w:r>
            <w:proofErr w:type="spellEnd"/>
          </w:p>
        </w:tc>
        <w:tc>
          <w:tcPr>
            <w:tcW w:w="1579" w:type="dxa"/>
            <w:tcBorders>
              <w:top w:val="nil"/>
              <w:left w:val="nil"/>
              <w:bottom w:val="single" w:sz="4" w:space="0" w:color="auto"/>
              <w:right w:val="single" w:sz="4" w:space="0" w:color="auto"/>
            </w:tcBorders>
            <w:shd w:val="clear" w:color="auto" w:fill="auto"/>
            <w:noWrap/>
            <w:vAlign w:val="center"/>
            <w:hideMark/>
          </w:tcPr>
          <w:p w14:paraId="45C1220E" w14:textId="77777777" w:rsidR="00CE1BDB" w:rsidRPr="00FA4DC7" w:rsidRDefault="00CE1BDB" w:rsidP="00C75F28">
            <w:pPr>
              <w:jc w:val="right"/>
              <w:rPr>
                <w:rFonts w:cs="Arial"/>
                <w:color w:val="000000"/>
                <w:sz w:val="22"/>
                <w:szCs w:val="22"/>
              </w:rPr>
            </w:pPr>
            <w:r w:rsidRPr="00FA4DC7">
              <w:rPr>
                <w:rFonts w:cs="Arial"/>
                <w:color w:val="000000"/>
                <w:sz w:val="22"/>
                <w:szCs w:val="22"/>
              </w:rPr>
              <w:t>760</w:t>
            </w:r>
          </w:p>
        </w:tc>
      </w:tr>
      <w:tr w:rsidR="00CE1BDB" w:rsidRPr="00FA4DC7" w14:paraId="4FCBF473"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612DE76C" w14:textId="77777777" w:rsidR="00CE1BDB" w:rsidRPr="00FA4DC7" w:rsidRDefault="00CE1BDB" w:rsidP="00EF49A7">
            <w:pPr>
              <w:jc w:val="both"/>
              <w:rPr>
                <w:rFonts w:cs="Arial"/>
                <w:color w:val="000000"/>
                <w:sz w:val="22"/>
                <w:szCs w:val="22"/>
              </w:rPr>
            </w:pPr>
            <w:proofErr w:type="spellStart"/>
            <w:r w:rsidRPr="00FA4DC7">
              <w:rPr>
                <w:rFonts w:cs="Arial"/>
                <w:color w:val="000000" w:themeColor="text1"/>
                <w:sz w:val="22"/>
                <w:szCs w:val="22"/>
              </w:rPr>
              <w:t>Hoo</w:t>
            </w:r>
            <w:proofErr w:type="spellEnd"/>
            <w:r w:rsidRPr="00FA4DC7">
              <w:rPr>
                <w:rFonts w:cs="Arial"/>
                <w:color w:val="000000" w:themeColor="text1"/>
                <w:sz w:val="22"/>
                <w:szCs w:val="22"/>
              </w:rPr>
              <w:t xml:space="preserve"> St </w:t>
            </w:r>
            <w:proofErr w:type="spellStart"/>
            <w:r w:rsidRPr="00FA4DC7">
              <w:rPr>
                <w:rFonts w:cs="Arial"/>
                <w:color w:val="000000" w:themeColor="text1"/>
                <w:sz w:val="22"/>
                <w:szCs w:val="22"/>
              </w:rPr>
              <w:t>Werburgh</w:t>
            </w:r>
            <w:proofErr w:type="spellEnd"/>
            <w:r w:rsidRPr="00FA4DC7">
              <w:rPr>
                <w:rFonts w:cs="Arial"/>
                <w:color w:val="000000" w:themeColor="text1"/>
                <w:sz w:val="22"/>
                <w:szCs w:val="22"/>
              </w:rPr>
              <w:t>/Rural Town</w:t>
            </w:r>
          </w:p>
        </w:tc>
        <w:tc>
          <w:tcPr>
            <w:tcW w:w="1579" w:type="dxa"/>
            <w:tcBorders>
              <w:top w:val="nil"/>
              <w:left w:val="nil"/>
              <w:bottom w:val="single" w:sz="4" w:space="0" w:color="auto"/>
              <w:right w:val="single" w:sz="4" w:space="0" w:color="auto"/>
            </w:tcBorders>
            <w:shd w:val="clear" w:color="auto" w:fill="auto"/>
            <w:noWrap/>
            <w:vAlign w:val="center"/>
            <w:hideMark/>
          </w:tcPr>
          <w:p w14:paraId="39140336" w14:textId="77777777" w:rsidR="00CE1BDB" w:rsidRPr="00FA4DC7" w:rsidRDefault="00CE1BDB" w:rsidP="00C75F28">
            <w:pPr>
              <w:jc w:val="right"/>
              <w:rPr>
                <w:rFonts w:cs="Arial"/>
                <w:color w:val="000000"/>
                <w:sz w:val="22"/>
                <w:szCs w:val="22"/>
              </w:rPr>
            </w:pPr>
            <w:r w:rsidRPr="00FA4DC7">
              <w:rPr>
                <w:rFonts w:cs="Arial"/>
                <w:color w:val="000000"/>
                <w:sz w:val="22"/>
                <w:szCs w:val="22"/>
              </w:rPr>
              <w:t>4,150</w:t>
            </w:r>
          </w:p>
        </w:tc>
      </w:tr>
      <w:tr w:rsidR="00CE1BDB" w:rsidRPr="00FA4DC7" w14:paraId="4F9C27BF" w14:textId="77777777" w:rsidTr="00C75F28">
        <w:trPr>
          <w:trHeight w:val="320"/>
        </w:trPr>
        <w:tc>
          <w:tcPr>
            <w:tcW w:w="7058" w:type="dxa"/>
            <w:tcBorders>
              <w:top w:val="nil"/>
              <w:left w:val="single" w:sz="4" w:space="0" w:color="auto"/>
              <w:bottom w:val="single" w:sz="4" w:space="0" w:color="auto"/>
              <w:right w:val="single" w:sz="4" w:space="0" w:color="auto"/>
            </w:tcBorders>
            <w:shd w:val="clear" w:color="auto" w:fill="auto"/>
            <w:noWrap/>
            <w:vAlign w:val="center"/>
            <w:hideMark/>
          </w:tcPr>
          <w:p w14:paraId="5E6DC4B4" w14:textId="77777777" w:rsidR="00CE1BDB" w:rsidRPr="00FA4DC7" w:rsidRDefault="00CE1BDB" w:rsidP="00EF49A7">
            <w:pPr>
              <w:rPr>
                <w:rFonts w:cs="Arial"/>
                <w:color w:val="000000"/>
                <w:sz w:val="22"/>
                <w:szCs w:val="22"/>
              </w:rPr>
            </w:pPr>
            <w:r w:rsidRPr="00FA4DC7">
              <w:rPr>
                <w:rFonts w:cs="Arial"/>
                <w:color w:val="000000"/>
                <w:sz w:val="22"/>
                <w:szCs w:val="22"/>
              </w:rPr>
              <w:t>Arches (Chatham)</w:t>
            </w:r>
          </w:p>
        </w:tc>
        <w:tc>
          <w:tcPr>
            <w:tcW w:w="1579" w:type="dxa"/>
            <w:tcBorders>
              <w:top w:val="nil"/>
              <w:left w:val="nil"/>
              <w:bottom w:val="single" w:sz="4" w:space="0" w:color="auto"/>
              <w:right w:val="single" w:sz="4" w:space="0" w:color="auto"/>
            </w:tcBorders>
            <w:shd w:val="clear" w:color="auto" w:fill="auto"/>
            <w:noWrap/>
            <w:vAlign w:val="center"/>
            <w:hideMark/>
          </w:tcPr>
          <w:p w14:paraId="342020EE" w14:textId="77777777" w:rsidR="00CE1BDB" w:rsidRPr="00FA4DC7" w:rsidRDefault="00CE1BDB" w:rsidP="00C75F28">
            <w:pPr>
              <w:jc w:val="right"/>
              <w:rPr>
                <w:rFonts w:cs="Arial"/>
                <w:color w:val="000000"/>
                <w:sz w:val="22"/>
                <w:szCs w:val="22"/>
              </w:rPr>
            </w:pPr>
            <w:r w:rsidRPr="00FA4DC7">
              <w:rPr>
                <w:rFonts w:cs="Arial"/>
                <w:color w:val="000000"/>
                <w:sz w:val="22"/>
                <w:szCs w:val="22"/>
              </w:rPr>
              <w:t>4,490</w:t>
            </w:r>
          </w:p>
        </w:tc>
      </w:tr>
    </w:tbl>
    <w:p w14:paraId="34ADA9B2" w14:textId="77777777" w:rsidR="00CE1BDB" w:rsidRPr="00FA4DC7" w:rsidRDefault="00CE1BDB" w:rsidP="00CE1BDB">
      <w:pPr>
        <w:rPr>
          <w:rFonts w:cs="Arial"/>
          <w:sz w:val="22"/>
          <w:szCs w:val="28"/>
        </w:rPr>
      </w:pPr>
      <w:r w:rsidRPr="00FA4DC7">
        <w:rPr>
          <w:rFonts w:cs="Arial"/>
          <w:sz w:val="22"/>
          <w:szCs w:val="28"/>
        </w:rPr>
        <w:t>Source: Dwellings 2020 Council Tax</w:t>
      </w:r>
      <w:bookmarkStart w:id="138" w:name="_Toc46497062"/>
      <w:bookmarkStart w:id="139" w:name="_Toc428528472"/>
      <w:bookmarkStart w:id="140" w:name="_Toc430084565"/>
      <w:bookmarkStart w:id="141" w:name="_Toc430782019"/>
      <w:bookmarkStart w:id="142" w:name="_Toc529651974"/>
      <w:bookmarkStart w:id="143" w:name="_Toc7683268"/>
    </w:p>
    <w:p w14:paraId="0553ED4E" w14:textId="77777777" w:rsidR="00CE1BDB" w:rsidRPr="00FA4DC7" w:rsidRDefault="00CE1BDB" w:rsidP="00CE1BDB">
      <w:pPr>
        <w:rPr>
          <w:rFonts w:cs="Arial"/>
          <w:highlight w:val="yellow"/>
        </w:rPr>
      </w:pPr>
    </w:p>
    <w:p w14:paraId="7FC3826D" w14:textId="77777777" w:rsidR="00CE1BDB" w:rsidRPr="00FA4DC7" w:rsidRDefault="00CE1BDB" w:rsidP="00CE1BDB">
      <w:pPr>
        <w:pStyle w:val="Heading2"/>
        <w:rPr>
          <w:rFonts w:cs="Arial"/>
        </w:rPr>
      </w:pPr>
      <w:bookmarkStart w:id="144" w:name="_Toc83035642"/>
      <w:r w:rsidRPr="00FA4DC7">
        <w:rPr>
          <w:rFonts w:cs="Arial"/>
        </w:rPr>
        <w:lastRenderedPageBreak/>
        <w:t>Dwelling type and size</w:t>
      </w:r>
      <w:bookmarkEnd w:id="138"/>
      <w:bookmarkEnd w:id="144"/>
    </w:p>
    <w:p w14:paraId="0A6F9F8A" w14:textId="77777777" w:rsidR="00CE1BDB" w:rsidRPr="00FA4DC7" w:rsidRDefault="00CE1BDB" w:rsidP="00CE1BDB">
      <w:pPr>
        <w:pStyle w:val="Reporttext"/>
        <w:tabs>
          <w:tab w:val="clear" w:pos="2128"/>
          <w:tab w:val="num" w:pos="2129"/>
        </w:tabs>
        <w:rPr>
          <w:rFonts w:cs="Arial"/>
        </w:rPr>
      </w:pPr>
      <w:r w:rsidRPr="00FA4DC7">
        <w:rPr>
          <w:rFonts w:cs="Arial"/>
        </w:rPr>
        <w:t xml:space="preserve">The 2020 Valuation Office Agency data provides details on overall dwelling stock by type, number of bedrooms and council tax band. Table 2.3 presents the overall dwelling stock profile of the borough compared with the </w:t>
      </w:r>
      <w:proofErr w:type="gramStart"/>
      <w:r w:rsidRPr="00FA4DC7">
        <w:rPr>
          <w:rFonts w:cs="Arial"/>
        </w:rPr>
        <w:t>South East</w:t>
      </w:r>
      <w:proofErr w:type="gramEnd"/>
      <w:r w:rsidRPr="00FA4DC7">
        <w:rPr>
          <w:rFonts w:cs="Arial"/>
        </w:rPr>
        <w:t xml:space="preserve"> and England and Table 2.4 summarises dwelling type and size data for Medway.</w:t>
      </w:r>
    </w:p>
    <w:p w14:paraId="7748220F" w14:textId="77777777" w:rsidR="00CE1BDB" w:rsidRPr="00FA4DC7" w:rsidRDefault="00CE1BDB" w:rsidP="00CE1BDB">
      <w:pPr>
        <w:pStyle w:val="Reporttext"/>
        <w:tabs>
          <w:tab w:val="clear" w:pos="2128"/>
          <w:tab w:val="num" w:pos="2129"/>
        </w:tabs>
        <w:rPr>
          <w:rFonts w:cs="Arial"/>
        </w:rPr>
      </w:pPr>
      <w:r w:rsidRPr="00FA4DC7">
        <w:rPr>
          <w:rFonts w:cs="Arial"/>
        </w:rPr>
        <w:t>In summary, Tables 2.3 to 2.4 show:</w:t>
      </w:r>
    </w:p>
    <w:p w14:paraId="254F8ABE" w14:textId="77777777" w:rsidR="00CE1BDB" w:rsidRPr="00FA4DC7" w:rsidRDefault="00CE1BDB" w:rsidP="00CE1BDB">
      <w:pPr>
        <w:pStyle w:val="bullet"/>
        <w:rPr>
          <w:rFonts w:cs="Arial"/>
        </w:rPr>
      </w:pPr>
      <w:r w:rsidRPr="00FA4DC7">
        <w:rPr>
          <w:rFonts w:cs="Arial"/>
        </w:rPr>
        <w:t xml:space="preserve">42.6% of dwellings in Medway are council tax band A or B properties and 57.4% are band C or </w:t>
      </w:r>
      <w:proofErr w:type="gramStart"/>
      <w:r w:rsidRPr="00FA4DC7">
        <w:rPr>
          <w:rFonts w:cs="Arial"/>
        </w:rPr>
        <w:t>above;</w:t>
      </w:r>
      <w:proofErr w:type="gramEnd"/>
    </w:p>
    <w:p w14:paraId="778A6713" w14:textId="77777777" w:rsidR="00CE1BDB" w:rsidRPr="00FA4DC7" w:rsidRDefault="00CE1BDB" w:rsidP="00CE1BDB">
      <w:pPr>
        <w:pStyle w:val="bullet"/>
        <w:rPr>
          <w:rFonts w:cs="Arial"/>
        </w:rPr>
      </w:pPr>
      <w:r w:rsidRPr="00FA4DC7">
        <w:rPr>
          <w:rFonts w:cs="Arial"/>
        </w:rPr>
        <w:t>75.8% of dwellings are houses (43.5% terraced, 23.1% semi-detached and 9.2% detached), 17.7% are flats and 6.5% are bungalows; and</w:t>
      </w:r>
    </w:p>
    <w:p w14:paraId="13A12BC2" w14:textId="77777777" w:rsidR="00CE1BDB" w:rsidRPr="00FA4DC7" w:rsidRDefault="00CE1BDB" w:rsidP="00CE1BDB">
      <w:pPr>
        <w:pStyle w:val="bullet"/>
        <w:rPr>
          <w:rFonts w:cs="Arial"/>
        </w:rPr>
      </w:pPr>
      <w:r w:rsidRPr="00FA4DC7">
        <w:rPr>
          <w:rFonts w:cs="Arial"/>
        </w:rPr>
        <w:t>11.2% of dwellings have one bedroom, 25.4% two bedrooms, 52.7% three bedrooms and 10.7% four or more bedrooms.</w:t>
      </w:r>
    </w:p>
    <w:p w14:paraId="29185BAA" w14:textId="77777777" w:rsidR="00CE1BDB" w:rsidRPr="00FA4DC7" w:rsidRDefault="00CE1BDB" w:rsidP="00CE1BDB">
      <w:pPr>
        <w:pStyle w:val="Reporttext"/>
        <w:tabs>
          <w:tab w:val="clear" w:pos="2128"/>
          <w:tab w:val="num" w:pos="2129"/>
        </w:tabs>
        <w:rPr>
          <w:rFonts w:cs="Arial"/>
        </w:rPr>
      </w:pPr>
      <w:r w:rsidRPr="00FA4DC7">
        <w:rPr>
          <w:rFonts w:cs="Arial"/>
        </w:rPr>
        <w:t>Table 2.5 presents a breakdown of broad dwelling type and number of bedrooms by smaller geographies.</w:t>
      </w:r>
    </w:p>
    <w:p w14:paraId="36BC7981" w14:textId="77777777" w:rsidR="00F5328D" w:rsidRDefault="00CE1BDB" w:rsidP="000468C8">
      <w:pPr>
        <w:pStyle w:val="Reporttext"/>
        <w:rPr>
          <w:rFonts w:cs="Arial"/>
        </w:rPr>
      </w:pPr>
      <w:r w:rsidRPr="00FA4DC7">
        <w:rPr>
          <w:rFonts w:cs="Arial"/>
        </w:rPr>
        <w:t>Map 2.1 illustrates the predominant dwelling type and size by LSOA based on 2020 Valuation Office Agency data.</w:t>
      </w:r>
    </w:p>
    <w:p w14:paraId="22F6C253" w14:textId="0EFB3211" w:rsidR="00F5328D" w:rsidRDefault="00F5328D">
      <w:pPr>
        <w:rPr>
          <w:rFonts w:cs="Arial"/>
          <w:lang w:eastAsia="en-US"/>
        </w:rPr>
      </w:pPr>
    </w:p>
    <w:p w14:paraId="55BC6C93" w14:textId="389E184C" w:rsidR="00F5328D" w:rsidRDefault="00F5328D">
      <w:pPr>
        <w:rPr>
          <w:rFonts w:cs="Arial"/>
          <w:lang w:eastAsia="en-US"/>
        </w:rPr>
      </w:pPr>
      <w:r>
        <w:rPr>
          <w:rFonts w:cs="Arial"/>
          <w:lang w:eastAsia="en-US"/>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681"/>
        <w:gridCol w:w="767"/>
        <w:gridCol w:w="791"/>
        <w:gridCol w:w="709"/>
        <w:gridCol w:w="709"/>
        <w:gridCol w:w="852"/>
        <w:gridCol w:w="854"/>
        <w:gridCol w:w="817"/>
      </w:tblGrid>
      <w:tr w:rsidR="00CE1BDB" w:rsidRPr="00FA4DC7" w14:paraId="5364327F" w14:textId="77777777" w:rsidTr="00F5328D">
        <w:tc>
          <w:tcPr>
            <w:tcW w:w="5000" w:type="pct"/>
            <w:gridSpan w:val="8"/>
            <w:shd w:val="clear" w:color="auto" w:fill="006666"/>
            <w:noWrap/>
            <w:vAlign w:val="bottom"/>
          </w:tcPr>
          <w:p w14:paraId="40749425" w14:textId="77777777" w:rsidR="00CE1BDB" w:rsidRPr="00FA4DC7" w:rsidRDefault="00CE1BDB" w:rsidP="00EF49A7">
            <w:pPr>
              <w:pStyle w:val="Tableheading1"/>
              <w:rPr>
                <w:rFonts w:cs="Arial"/>
                <w:szCs w:val="22"/>
              </w:rPr>
            </w:pPr>
            <w:bookmarkStart w:id="145" w:name="_Toc46778429"/>
            <w:bookmarkStart w:id="146" w:name="_Toc83036054"/>
            <w:r w:rsidRPr="00FA4DC7">
              <w:rPr>
                <w:rFonts w:cs="Arial"/>
                <w:szCs w:val="22"/>
              </w:rPr>
              <w:lastRenderedPageBreak/>
              <w:t>Table 2.3</w:t>
            </w:r>
            <w:r w:rsidRPr="00FA4DC7">
              <w:rPr>
                <w:rFonts w:cs="Arial"/>
                <w:szCs w:val="22"/>
              </w:rPr>
              <w:tab/>
            </w:r>
            <w:r w:rsidRPr="00FA4DC7">
              <w:rPr>
                <w:rFonts w:cs="Arial"/>
                <w:szCs w:val="22"/>
                <w:lang w:val="en-US"/>
              </w:rPr>
              <w:t xml:space="preserve">Dwelling </w:t>
            </w:r>
            <w:r w:rsidRPr="00FA4DC7">
              <w:rPr>
                <w:rFonts w:cs="Arial"/>
                <w:szCs w:val="22"/>
              </w:rPr>
              <w:t>type, number of bedrooms and council tax band</w:t>
            </w:r>
            <w:bookmarkEnd w:id="145"/>
            <w:bookmarkEnd w:id="146"/>
          </w:p>
        </w:tc>
      </w:tr>
      <w:tr w:rsidR="00CE1BDB" w:rsidRPr="00C75F28" w14:paraId="3364D2F3" w14:textId="77777777" w:rsidTr="00F5328D">
        <w:tc>
          <w:tcPr>
            <w:tcW w:w="2005" w:type="pct"/>
            <w:vMerge w:val="restart"/>
            <w:shd w:val="clear" w:color="auto" w:fill="006666"/>
            <w:noWrap/>
            <w:vAlign w:val="bottom"/>
            <w:hideMark/>
          </w:tcPr>
          <w:p w14:paraId="45F210EC" w14:textId="77777777" w:rsidR="00CE1BDB" w:rsidRPr="00C75F28" w:rsidRDefault="00CE1BDB" w:rsidP="00EF49A7">
            <w:pPr>
              <w:rPr>
                <w:rFonts w:cs="Arial"/>
                <w:b/>
                <w:bCs/>
                <w:color w:val="FFFFFF"/>
                <w:sz w:val="20"/>
                <w:szCs w:val="20"/>
              </w:rPr>
            </w:pPr>
            <w:r w:rsidRPr="00C75F28">
              <w:rPr>
                <w:rFonts w:cs="Arial"/>
                <w:b/>
                <w:bCs/>
                <w:color w:val="FFFFFF"/>
                <w:sz w:val="20"/>
                <w:szCs w:val="20"/>
              </w:rPr>
              <w:t>Dwelling type and number of bedrooms</w:t>
            </w:r>
            <w:r w:rsidRPr="00C75F28">
              <w:rPr>
                <w:rFonts w:cs="Arial"/>
                <w:color w:val="FFFFFF"/>
                <w:sz w:val="20"/>
                <w:szCs w:val="20"/>
              </w:rPr>
              <w:t> </w:t>
            </w:r>
          </w:p>
        </w:tc>
        <w:tc>
          <w:tcPr>
            <w:tcW w:w="2995" w:type="pct"/>
            <w:gridSpan w:val="7"/>
            <w:shd w:val="clear" w:color="auto" w:fill="006666"/>
            <w:vAlign w:val="bottom"/>
            <w:hideMark/>
          </w:tcPr>
          <w:p w14:paraId="727FFEF4" w14:textId="77777777" w:rsidR="00CE1BDB" w:rsidRPr="00C75F28" w:rsidRDefault="00CE1BDB" w:rsidP="00EF49A7">
            <w:pPr>
              <w:jc w:val="center"/>
              <w:rPr>
                <w:rFonts w:cs="Arial"/>
                <w:b/>
                <w:bCs/>
                <w:color w:val="FFFFFF"/>
                <w:sz w:val="20"/>
                <w:szCs w:val="20"/>
              </w:rPr>
            </w:pPr>
            <w:r w:rsidRPr="00C75F28">
              <w:rPr>
                <w:rFonts w:cs="Arial"/>
                <w:b/>
                <w:bCs/>
                <w:color w:val="FFFFFF"/>
                <w:sz w:val="20"/>
                <w:szCs w:val="20"/>
              </w:rPr>
              <w:t>Council Tax Band</w:t>
            </w:r>
          </w:p>
        </w:tc>
      </w:tr>
      <w:tr w:rsidR="00F5328D" w:rsidRPr="00C75F28" w14:paraId="6AEAD938" w14:textId="77777777" w:rsidTr="00F5328D">
        <w:tc>
          <w:tcPr>
            <w:tcW w:w="2005" w:type="pct"/>
            <w:vMerge/>
            <w:shd w:val="clear" w:color="auto" w:fill="006666"/>
            <w:noWrap/>
            <w:vAlign w:val="bottom"/>
            <w:hideMark/>
          </w:tcPr>
          <w:p w14:paraId="3DFD74F1" w14:textId="77777777" w:rsidR="00CE1BDB" w:rsidRPr="00C75F28" w:rsidRDefault="00CE1BDB" w:rsidP="00EF49A7">
            <w:pPr>
              <w:rPr>
                <w:rFonts w:cs="Arial"/>
                <w:color w:val="FFFFFF"/>
                <w:sz w:val="20"/>
                <w:szCs w:val="20"/>
              </w:rPr>
            </w:pPr>
          </w:p>
        </w:tc>
        <w:tc>
          <w:tcPr>
            <w:tcW w:w="418" w:type="pct"/>
            <w:shd w:val="clear" w:color="auto" w:fill="006666"/>
            <w:noWrap/>
            <w:tcMar>
              <w:left w:w="0" w:type="dxa"/>
              <w:right w:w="0" w:type="dxa"/>
            </w:tcMar>
            <w:vAlign w:val="bottom"/>
            <w:hideMark/>
          </w:tcPr>
          <w:p w14:paraId="3F7C1206" w14:textId="77777777" w:rsidR="00CE1BDB" w:rsidRPr="00C75F28" w:rsidRDefault="00CE1BDB" w:rsidP="00EF49A7">
            <w:pPr>
              <w:ind w:right="-19"/>
              <w:jc w:val="center"/>
              <w:rPr>
                <w:rFonts w:cs="Arial"/>
                <w:b/>
                <w:bCs/>
                <w:color w:val="FFFFFF"/>
                <w:sz w:val="20"/>
                <w:szCs w:val="20"/>
              </w:rPr>
            </w:pPr>
            <w:r w:rsidRPr="00C75F28">
              <w:rPr>
                <w:rFonts w:cs="Arial"/>
                <w:b/>
                <w:bCs/>
                <w:color w:val="FFFFFF"/>
                <w:sz w:val="20"/>
                <w:szCs w:val="20"/>
              </w:rPr>
              <w:t>A</w:t>
            </w:r>
          </w:p>
        </w:tc>
        <w:tc>
          <w:tcPr>
            <w:tcW w:w="431" w:type="pct"/>
            <w:shd w:val="clear" w:color="auto" w:fill="006666"/>
            <w:noWrap/>
            <w:tcMar>
              <w:left w:w="0" w:type="dxa"/>
              <w:right w:w="0" w:type="dxa"/>
            </w:tcMar>
            <w:vAlign w:val="bottom"/>
            <w:hideMark/>
          </w:tcPr>
          <w:p w14:paraId="15CC4D2B" w14:textId="77777777" w:rsidR="00CE1BDB" w:rsidRPr="00C75F28" w:rsidRDefault="00CE1BDB" w:rsidP="00EF49A7">
            <w:pPr>
              <w:jc w:val="center"/>
              <w:rPr>
                <w:rFonts w:cs="Arial"/>
                <w:b/>
                <w:bCs/>
                <w:color w:val="FFFFFF"/>
                <w:sz w:val="20"/>
                <w:szCs w:val="20"/>
              </w:rPr>
            </w:pPr>
            <w:r w:rsidRPr="00C75F28">
              <w:rPr>
                <w:rFonts w:cs="Arial"/>
                <w:b/>
                <w:bCs/>
                <w:color w:val="FFFFFF"/>
                <w:sz w:val="20"/>
                <w:szCs w:val="20"/>
              </w:rPr>
              <w:t>B</w:t>
            </w:r>
          </w:p>
        </w:tc>
        <w:tc>
          <w:tcPr>
            <w:tcW w:w="386" w:type="pct"/>
            <w:shd w:val="clear" w:color="auto" w:fill="006666"/>
            <w:noWrap/>
            <w:tcMar>
              <w:left w:w="0" w:type="dxa"/>
              <w:right w:w="0" w:type="dxa"/>
            </w:tcMar>
            <w:vAlign w:val="bottom"/>
            <w:hideMark/>
          </w:tcPr>
          <w:p w14:paraId="59B92E0E" w14:textId="77777777" w:rsidR="00CE1BDB" w:rsidRPr="00C75F28" w:rsidRDefault="00CE1BDB" w:rsidP="00EF49A7">
            <w:pPr>
              <w:jc w:val="center"/>
              <w:rPr>
                <w:rFonts w:cs="Arial"/>
                <w:b/>
                <w:bCs/>
                <w:color w:val="FFFFFF"/>
                <w:sz w:val="20"/>
                <w:szCs w:val="20"/>
              </w:rPr>
            </w:pPr>
            <w:r w:rsidRPr="00C75F28">
              <w:rPr>
                <w:rFonts w:cs="Arial"/>
                <w:b/>
                <w:bCs/>
                <w:color w:val="FFFFFF"/>
                <w:sz w:val="20"/>
                <w:szCs w:val="20"/>
              </w:rPr>
              <w:t>C-E</w:t>
            </w:r>
          </w:p>
        </w:tc>
        <w:tc>
          <w:tcPr>
            <w:tcW w:w="386" w:type="pct"/>
            <w:shd w:val="clear" w:color="auto" w:fill="006666"/>
            <w:noWrap/>
            <w:tcMar>
              <w:left w:w="0" w:type="dxa"/>
              <w:right w:w="0" w:type="dxa"/>
            </w:tcMar>
            <w:vAlign w:val="bottom"/>
            <w:hideMark/>
          </w:tcPr>
          <w:p w14:paraId="3028BB35" w14:textId="77777777" w:rsidR="00CE1BDB" w:rsidRPr="00C75F28" w:rsidRDefault="00CE1BDB" w:rsidP="00EF49A7">
            <w:pPr>
              <w:jc w:val="center"/>
              <w:rPr>
                <w:rFonts w:cs="Arial"/>
                <w:b/>
                <w:bCs/>
                <w:color w:val="FFFFFF"/>
                <w:sz w:val="20"/>
                <w:szCs w:val="20"/>
              </w:rPr>
            </w:pPr>
            <w:r w:rsidRPr="00C75F28">
              <w:rPr>
                <w:rFonts w:cs="Arial"/>
                <w:b/>
                <w:bCs/>
                <w:color w:val="FFFFFF"/>
                <w:sz w:val="20"/>
                <w:szCs w:val="20"/>
              </w:rPr>
              <w:t>F+</w:t>
            </w:r>
          </w:p>
        </w:tc>
        <w:tc>
          <w:tcPr>
            <w:tcW w:w="464" w:type="pct"/>
            <w:shd w:val="clear" w:color="auto" w:fill="006666"/>
            <w:noWrap/>
            <w:tcMar>
              <w:left w:w="0" w:type="dxa"/>
              <w:right w:w="0" w:type="dxa"/>
            </w:tcMar>
            <w:vAlign w:val="bottom"/>
            <w:hideMark/>
          </w:tcPr>
          <w:p w14:paraId="25A2BE37" w14:textId="77777777" w:rsidR="00CE1BDB" w:rsidRPr="00C75F28" w:rsidRDefault="00CE1BDB" w:rsidP="00EF49A7">
            <w:pPr>
              <w:jc w:val="center"/>
              <w:rPr>
                <w:rFonts w:cs="Arial"/>
                <w:b/>
                <w:bCs/>
                <w:color w:val="FFFFFF"/>
                <w:sz w:val="20"/>
                <w:szCs w:val="20"/>
              </w:rPr>
            </w:pPr>
            <w:r w:rsidRPr="00C75F28">
              <w:rPr>
                <w:rFonts w:cs="Arial"/>
                <w:b/>
                <w:bCs/>
                <w:color w:val="FFFFFF"/>
                <w:sz w:val="20"/>
                <w:szCs w:val="20"/>
              </w:rPr>
              <w:t>Medway Total</w:t>
            </w:r>
          </w:p>
        </w:tc>
        <w:tc>
          <w:tcPr>
            <w:tcW w:w="465" w:type="pct"/>
            <w:shd w:val="clear" w:color="auto" w:fill="006666"/>
            <w:tcMar>
              <w:left w:w="0" w:type="dxa"/>
              <w:right w:w="0" w:type="dxa"/>
            </w:tcMar>
            <w:vAlign w:val="bottom"/>
          </w:tcPr>
          <w:p w14:paraId="6F681546" w14:textId="77777777" w:rsidR="00CE1BDB" w:rsidRPr="00C75F28" w:rsidRDefault="00CE1BDB" w:rsidP="00EF49A7">
            <w:pPr>
              <w:jc w:val="center"/>
              <w:rPr>
                <w:rFonts w:cs="Arial"/>
                <w:b/>
                <w:bCs/>
                <w:color w:val="FFFFFF"/>
                <w:sz w:val="20"/>
                <w:szCs w:val="20"/>
              </w:rPr>
            </w:pPr>
            <w:proofErr w:type="gramStart"/>
            <w:r w:rsidRPr="00C75F28">
              <w:rPr>
                <w:rFonts w:cs="Arial"/>
                <w:b/>
                <w:bCs/>
                <w:color w:val="FFFFFF"/>
                <w:sz w:val="20"/>
                <w:szCs w:val="20"/>
              </w:rPr>
              <w:t>South East</w:t>
            </w:r>
            <w:proofErr w:type="gramEnd"/>
            <w:r w:rsidRPr="00C75F28">
              <w:rPr>
                <w:rFonts w:cs="Arial"/>
                <w:b/>
                <w:bCs/>
                <w:color w:val="FFFFFF"/>
                <w:sz w:val="20"/>
                <w:szCs w:val="20"/>
              </w:rPr>
              <w:t xml:space="preserve"> Total</w:t>
            </w:r>
          </w:p>
        </w:tc>
        <w:tc>
          <w:tcPr>
            <w:tcW w:w="445" w:type="pct"/>
            <w:shd w:val="clear" w:color="auto" w:fill="006666"/>
            <w:tcMar>
              <w:left w:w="0" w:type="dxa"/>
              <w:right w:w="0" w:type="dxa"/>
            </w:tcMar>
            <w:vAlign w:val="bottom"/>
          </w:tcPr>
          <w:p w14:paraId="070521B5" w14:textId="77777777" w:rsidR="00CE1BDB" w:rsidRPr="00C75F28" w:rsidRDefault="00CE1BDB" w:rsidP="00EF49A7">
            <w:pPr>
              <w:jc w:val="center"/>
              <w:rPr>
                <w:rFonts w:cs="Arial"/>
                <w:b/>
                <w:bCs/>
                <w:color w:val="FFFFFF"/>
                <w:sz w:val="20"/>
                <w:szCs w:val="20"/>
              </w:rPr>
            </w:pPr>
            <w:r w:rsidRPr="00C75F28">
              <w:rPr>
                <w:rFonts w:cs="Arial"/>
                <w:b/>
                <w:bCs/>
                <w:color w:val="FFFFFF"/>
                <w:sz w:val="20"/>
                <w:szCs w:val="20"/>
              </w:rPr>
              <w:t>England Total</w:t>
            </w:r>
          </w:p>
        </w:tc>
      </w:tr>
      <w:tr w:rsidR="00F5328D" w:rsidRPr="00C75F28" w14:paraId="75593C60" w14:textId="77777777" w:rsidTr="00F5328D">
        <w:tc>
          <w:tcPr>
            <w:tcW w:w="2005" w:type="pct"/>
            <w:shd w:val="clear" w:color="auto" w:fill="auto"/>
            <w:vAlign w:val="bottom"/>
            <w:hideMark/>
          </w:tcPr>
          <w:p w14:paraId="4E9C2996" w14:textId="77777777" w:rsidR="00CE1BDB" w:rsidRPr="00C75F28" w:rsidRDefault="00CE1BDB" w:rsidP="00EF49A7">
            <w:pPr>
              <w:rPr>
                <w:rFonts w:cs="Arial"/>
                <w:color w:val="000000"/>
                <w:sz w:val="20"/>
                <w:szCs w:val="20"/>
              </w:rPr>
            </w:pPr>
            <w:r w:rsidRPr="00C75F28">
              <w:rPr>
                <w:rFonts w:cs="Arial"/>
                <w:color w:val="000000"/>
                <w:sz w:val="20"/>
                <w:szCs w:val="20"/>
              </w:rPr>
              <w:t>Bungalow 1-bedroom</w:t>
            </w:r>
          </w:p>
        </w:tc>
        <w:tc>
          <w:tcPr>
            <w:tcW w:w="418" w:type="pct"/>
            <w:shd w:val="clear" w:color="auto" w:fill="auto"/>
            <w:noWrap/>
            <w:tcMar>
              <w:left w:w="0" w:type="dxa"/>
              <w:right w:w="108" w:type="dxa"/>
            </w:tcMar>
            <w:vAlign w:val="center"/>
          </w:tcPr>
          <w:p w14:paraId="57F43D3A" w14:textId="77777777" w:rsidR="00CE1BDB" w:rsidRPr="00C75F28" w:rsidRDefault="00CE1BDB" w:rsidP="00F5328D">
            <w:pPr>
              <w:ind w:right="-19"/>
              <w:jc w:val="right"/>
              <w:rPr>
                <w:rFonts w:cs="Arial"/>
                <w:sz w:val="20"/>
                <w:szCs w:val="20"/>
              </w:rPr>
            </w:pPr>
            <w:r w:rsidRPr="00C75F28">
              <w:rPr>
                <w:rFonts w:cs="Arial"/>
                <w:color w:val="000000"/>
                <w:sz w:val="20"/>
                <w:szCs w:val="20"/>
              </w:rPr>
              <w:t>0.1%</w:t>
            </w:r>
          </w:p>
        </w:tc>
        <w:tc>
          <w:tcPr>
            <w:tcW w:w="431" w:type="pct"/>
            <w:shd w:val="clear" w:color="auto" w:fill="auto"/>
            <w:noWrap/>
            <w:tcMar>
              <w:left w:w="0" w:type="dxa"/>
              <w:right w:w="108" w:type="dxa"/>
            </w:tcMar>
            <w:vAlign w:val="center"/>
          </w:tcPr>
          <w:p w14:paraId="4FDDBCD3" w14:textId="77777777" w:rsidR="00CE1BDB" w:rsidRPr="00C75F28" w:rsidRDefault="00CE1BDB" w:rsidP="00F5328D">
            <w:pPr>
              <w:jc w:val="right"/>
              <w:rPr>
                <w:rFonts w:cs="Arial"/>
                <w:sz w:val="20"/>
                <w:szCs w:val="20"/>
              </w:rPr>
            </w:pPr>
            <w:r w:rsidRPr="00C75F28">
              <w:rPr>
                <w:rFonts w:cs="Arial"/>
                <w:color w:val="000000"/>
                <w:sz w:val="20"/>
                <w:szCs w:val="20"/>
              </w:rPr>
              <w:t>0.8%</w:t>
            </w:r>
          </w:p>
        </w:tc>
        <w:tc>
          <w:tcPr>
            <w:tcW w:w="386" w:type="pct"/>
            <w:shd w:val="clear" w:color="auto" w:fill="auto"/>
            <w:noWrap/>
            <w:tcMar>
              <w:left w:w="0" w:type="dxa"/>
              <w:right w:w="108" w:type="dxa"/>
            </w:tcMar>
            <w:vAlign w:val="center"/>
          </w:tcPr>
          <w:p w14:paraId="08A1D3EE" w14:textId="77777777" w:rsidR="00CE1BDB" w:rsidRPr="00C75F28" w:rsidRDefault="00CE1BDB" w:rsidP="00F5328D">
            <w:pPr>
              <w:jc w:val="right"/>
              <w:rPr>
                <w:rFonts w:cs="Arial"/>
                <w:sz w:val="20"/>
                <w:szCs w:val="20"/>
              </w:rPr>
            </w:pPr>
            <w:r w:rsidRPr="00C75F28">
              <w:rPr>
                <w:rFonts w:cs="Arial"/>
                <w:color w:val="000000"/>
                <w:sz w:val="20"/>
                <w:szCs w:val="20"/>
              </w:rPr>
              <w:t>0.2%</w:t>
            </w:r>
          </w:p>
        </w:tc>
        <w:tc>
          <w:tcPr>
            <w:tcW w:w="386" w:type="pct"/>
            <w:shd w:val="clear" w:color="auto" w:fill="auto"/>
            <w:noWrap/>
            <w:tcMar>
              <w:left w:w="0" w:type="dxa"/>
              <w:right w:w="108" w:type="dxa"/>
            </w:tcMar>
            <w:vAlign w:val="center"/>
          </w:tcPr>
          <w:p w14:paraId="434C0CCE"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57940F47" w14:textId="77777777" w:rsidR="00CE1BDB" w:rsidRPr="00C75F28" w:rsidRDefault="00CE1BDB" w:rsidP="00F5328D">
            <w:pPr>
              <w:jc w:val="right"/>
              <w:rPr>
                <w:rFonts w:cs="Arial"/>
                <w:sz w:val="20"/>
                <w:szCs w:val="20"/>
              </w:rPr>
            </w:pPr>
            <w:r w:rsidRPr="00C75F28">
              <w:rPr>
                <w:rFonts w:cs="Arial"/>
                <w:color w:val="000000"/>
                <w:sz w:val="20"/>
                <w:szCs w:val="20"/>
              </w:rPr>
              <w:t>1.0%</w:t>
            </w:r>
          </w:p>
        </w:tc>
        <w:tc>
          <w:tcPr>
            <w:tcW w:w="465" w:type="pct"/>
            <w:tcMar>
              <w:left w:w="0" w:type="dxa"/>
              <w:right w:w="108" w:type="dxa"/>
            </w:tcMar>
            <w:vAlign w:val="center"/>
          </w:tcPr>
          <w:p w14:paraId="661B0BD4" w14:textId="77777777" w:rsidR="00CE1BDB" w:rsidRPr="00C75F28" w:rsidRDefault="00CE1BDB" w:rsidP="00F5328D">
            <w:pPr>
              <w:jc w:val="right"/>
              <w:rPr>
                <w:rFonts w:cs="Arial"/>
                <w:color w:val="000000"/>
                <w:sz w:val="20"/>
                <w:szCs w:val="20"/>
              </w:rPr>
            </w:pPr>
            <w:r w:rsidRPr="00C75F28">
              <w:rPr>
                <w:rFonts w:cs="Arial"/>
                <w:color w:val="000000"/>
                <w:sz w:val="20"/>
                <w:szCs w:val="20"/>
              </w:rPr>
              <w:t>0.9%</w:t>
            </w:r>
          </w:p>
        </w:tc>
        <w:tc>
          <w:tcPr>
            <w:tcW w:w="445" w:type="pct"/>
            <w:tcMar>
              <w:left w:w="0" w:type="dxa"/>
              <w:right w:w="108" w:type="dxa"/>
            </w:tcMar>
            <w:vAlign w:val="center"/>
          </w:tcPr>
          <w:p w14:paraId="36A1B994" w14:textId="77777777" w:rsidR="00CE1BDB" w:rsidRPr="00C75F28" w:rsidRDefault="00CE1BDB" w:rsidP="00F5328D">
            <w:pPr>
              <w:jc w:val="right"/>
              <w:rPr>
                <w:rFonts w:cs="Arial"/>
                <w:color w:val="000000"/>
                <w:sz w:val="20"/>
                <w:szCs w:val="20"/>
              </w:rPr>
            </w:pPr>
            <w:r w:rsidRPr="00C75F28">
              <w:rPr>
                <w:rFonts w:cs="Arial"/>
                <w:color w:val="000000"/>
                <w:sz w:val="20"/>
                <w:szCs w:val="20"/>
              </w:rPr>
              <w:t>1.1%</w:t>
            </w:r>
          </w:p>
        </w:tc>
      </w:tr>
      <w:tr w:rsidR="00F5328D" w:rsidRPr="00C75F28" w14:paraId="6326FC02" w14:textId="77777777" w:rsidTr="00F5328D">
        <w:tc>
          <w:tcPr>
            <w:tcW w:w="2005" w:type="pct"/>
            <w:shd w:val="clear" w:color="auto" w:fill="auto"/>
            <w:vAlign w:val="bottom"/>
            <w:hideMark/>
          </w:tcPr>
          <w:p w14:paraId="7B6E385D" w14:textId="77777777" w:rsidR="00CE1BDB" w:rsidRPr="00C75F28" w:rsidRDefault="00CE1BDB" w:rsidP="00EF49A7">
            <w:pPr>
              <w:rPr>
                <w:rFonts w:cs="Arial"/>
                <w:color w:val="000000"/>
                <w:sz w:val="20"/>
                <w:szCs w:val="20"/>
              </w:rPr>
            </w:pPr>
            <w:r w:rsidRPr="00C75F28">
              <w:rPr>
                <w:rFonts w:cs="Arial"/>
                <w:color w:val="000000"/>
                <w:sz w:val="20"/>
                <w:szCs w:val="20"/>
              </w:rPr>
              <w:t>Bungalow 2-bedrooms</w:t>
            </w:r>
          </w:p>
        </w:tc>
        <w:tc>
          <w:tcPr>
            <w:tcW w:w="418" w:type="pct"/>
            <w:shd w:val="clear" w:color="auto" w:fill="auto"/>
            <w:noWrap/>
            <w:tcMar>
              <w:left w:w="0" w:type="dxa"/>
              <w:right w:w="108" w:type="dxa"/>
            </w:tcMar>
            <w:vAlign w:val="center"/>
          </w:tcPr>
          <w:p w14:paraId="4E7553FA"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062371F8" w14:textId="77777777" w:rsidR="00CE1BDB" w:rsidRPr="00C75F28" w:rsidRDefault="00CE1BDB" w:rsidP="00F5328D">
            <w:pPr>
              <w:jc w:val="right"/>
              <w:rPr>
                <w:rFonts w:cs="Arial"/>
                <w:sz w:val="20"/>
                <w:szCs w:val="20"/>
              </w:rPr>
            </w:pPr>
            <w:r w:rsidRPr="00C75F28">
              <w:rPr>
                <w:rFonts w:cs="Arial"/>
                <w:color w:val="000000"/>
                <w:sz w:val="20"/>
                <w:szCs w:val="20"/>
              </w:rPr>
              <w:t>0.3%</w:t>
            </w:r>
          </w:p>
        </w:tc>
        <w:tc>
          <w:tcPr>
            <w:tcW w:w="386" w:type="pct"/>
            <w:shd w:val="clear" w:color="auto" w:fill="auto"/>
            <w:noWrap/>
            <w:tcMar>
              <w:left w:w="0" w:type="dxa"/>
              <w:right w:w="108" w:type="dxa"/>
            </w:tcMar>
            <w:vAlign w:val="center"/>
          </w:tcPr>
          <w:p w14:paraId="18D7E9E6" w14:textId="77777777" w:rsidR="00CE1BDB" w:rsidRPr="00C75F28" w:rsidRDefault="00CE1BDB" w:rsidP="00F5328D">
            <w:pPr>
              <w:jc w:val="right"/>
              <w:rPr>
                <w:rFonts w:cs="Arial"/>
                <w:sz w:val="20"/>
                <w:szCs w:val="20"/>
              </w:rPr>
            </w:pPr>
            <w:r w:rsidRPr="00C75F28">
              <w:rPr>
                <w:rFonts w:cs="Arial"/>
                <w:color w:val="000000"/>
                <w:sz w:val="20"/>
                <w:szCs w:val="20"/>
              </w:rPr>
              <w:t>3.1%</w:t>
            </w:r>
          </w:p>
        </w:tc>
        <w:tc>
          <w:tcPr>
            <w:tcW w:w="386" w:type="pct"/>
            <w:shd w:val="clear" w:color="auto" w:fill="auto"/>
            <w:noWrap/>
            <w:tcMar>
              <w:left w:w="0" w:type="dxa"/>
              <w:right w:w="108" w:type="dxa"/>
            </w:tcMar>
            <w:vAlign w:val="center"/>
          </w:tcPr>
          <w:p w14:paraId="2E34D5E0"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3BFDCA7E" w14:textId="77777777" w:rsidR="00CE1BDB" w:rsidRPr="00C75F28" w:rsidRDefault="00CE1BDB" w:rsidP="00F5328D">
            <w:pPr>
              <w:jc w:val="right"/>
              <w:rPr>
                <w:rFonts w:cs="Arial"/>
                <w:sz w:val="20"/>
                <w:szCs w:val="20"/>
              </w:rPr>
            </w:pPr>
            <w:r w:rsidRPr="00C75F28">
              <w:rPr>
                <w:rFonts w:cs="Arial"/>
                <w:color w:val="000000"/>
                <w:sz w:val="20"/>
                <w:szCs w:val="20"/>
              </w:rPr>
              <w:t>3.5%</w:t>
            </w:r>
          </w:p>
        </w:tc>
        <w:tc>
          <w:tcPr>
            <w:tcW w:w="465" w:type="pct"/>
            <w:tcMar>
              <w:left w:w="0" w:type="dxa"/>
              <w:right w:w="108" w:type="dxa"/>
            </w:tcMar>
            <w:vAlign w:val="center"/>
          </w:tcPr>
          <w:p w14:paraId="124E0EA1" w14:textId="77777777" w:rsidR="00CE1BDB" w:rsidRPr="00C75F28" w:rsidRDefault="00CE1BDB" w:rsidP="00F5328D">
            <w:pPr>
              <w:jc w:val="right"/>
              <w:rPr>
                <w:rFonts w:cs="Arial"/>
                <w:color w:val="000000"/>
                <w:sz w:val="20"/>
                <w:szCs w:val="20"/>
              </w:rPr>
            </w:pPr>
            <w:r w:rsidRPr="00C75F28">
              <w:rPr>
                <w:rFonts w:cs="Arial"/>
                <w:color w:val="000000"/>
                <w:sz w:val="20"/>
                <w:szCs w:val="20"/>
              </w:rPr>
              <w:t>4.9%</w:t>
            </w:r>
          </w:p>
        </w:tc>
        <w:tc>
          <w:tcPr>
            <w:tcW w:w="445" w:type="pct"/>
            <w:tcMar>
              <w:left w:w="0" w:type="dxa"/>
              <w:right w:w="108" w:type="dxa"/>
            </w:tcMar>
            <w:vAlign w:val="center"/>
          </w:tcPr>
          <w:p w14:paraId="5793FB92" w14:textId="77777777" w:rsidR="00CE1BDB" w:rsidRPr="00C75F28" w:rsidRDefault="00CE1BDB" w:rsidP="00F5328D">
            <w:pPr>
              <w:jc w:val="right"/>
              <w:rPr>
                <w:rFonts w:cs="Arial"/>
                <w:color w:val="000000"/>
                <w:sz w:val="20"/>
                <w:szCs w:val="20"/>
              </w:rPr>
            </w:pPr>
            <w:r w:rsidRPr="00C75F28">
              <w:rPr>
                <w:rFonts w:cs="Arial"/>
                <w:color w:val="000000"/>
                <w:sz w:val="20"/>
                <w:szCs w:val="20"/>
              </w:rPr>
              <w:t>4.7%</w:t>
            </w:r>
          </w:p>
        </w:tc>
      </w:tr>
      <w:tr w:rsidR="00F5328D" w:rsidRPr="00C75F28" w14:paraId="272E6AAA" w14:textId="77777777" w:rsidTr="00F5328D">
        <w:tc>
          <w:tcPr>
            <w:tcW w:w="2005" w:type="pct"/>
            <w:shd w:val="clear" w:color="auto" w:fill="auto"/>
            <w:vAlign w:val="bottom"/>
            <w:hideMark/>
          </w:tcPr>
          <w:p w14:paraId="699ECF1C" w14:textId="77777777" w:rsidR="00CE1BDB" w:rsidRPr="00C75F28" w:rsidRDefault="00CE1BDB" w:rsidP="00EF49A7">
            <w:pPr>
              <w:rPr>
                <w:rFonts w:cs="Arial"/>
                <w:color w:val="000000"/>
                <w:sz w:val="20"/>
                <w:szCs w:val="20"/>
              </w:rPr>
            </w:pPr>
            <w:r w:rsidRPr="00C75F28">
              <w:rPr>
                <w:rFonts w:cs="Arial"/>
                <w:color w:val="000000"/>
                <w:sz w:val="20"/>
                <w:szCs w:val="20"/>
              </w:rPr>
              <w:t>Bungalow 3-bedrooms</w:t>
            </w:r>
          </w:p>
        </w:tc>
        <w:tc>
          <w:tcPr>
            <w:tcW w:w="418" w:type="pct"/>
            <w:shd w:val="clear" w:color="auto" w:fill="auto"/>
            <w:noWrap/>
            <w:tcMar>
              <w:left w:w="0" w:type="dxa"/>
              <w:right w:w="108" w:type="dxa"/>
            </w:tcMar>
            <w:vAlign w:val="center"/>
          </w:tcPr>
          <w:p w14:paraId="0C7C6514"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1B3E6611"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43DE5DB0" w14:textId="77777777" w:rsidR="00CE1BDB" w:rsidRPr="00C75F28" w:rsidRDefault="00CE1BDB" w:rsidP="00F5328D">
            <w:pPr>
              <w:jc w:val="right"/>
              <w:rPr>
                <w:rFonts w:cs="Arial"/>
                <w:sz w:val="20"/>
                <w:szCs w:val="20"/>
              </w:rPr>
            </w:pPr>
            <w:r w:rsidRPr="00C75F28">
              <w:rPr>
                <w:rFonts w:cs="Arial"/>
                <w:color w:val="000000"/>
                <w:sz w:val="20"/>
                <w:szCs w:val="20"/>
              </w:rPr>
              <w:t>1.5%</w:t>
            </w:r>
          </w:p>
        </w:tc>
        <w:tc>
          <w:tcPr>
            <w:tcW w:w="386" w:type="pct"/>
            <w:shd w:val="clear" w:color="auto" w:fill="auto"/>
            <w:noWrap/>
            <w:tcMar>
              <w:left w:w="0" w:type="dxa"/>
              <w:right w:w="108" w:type="dxa"/>
            </w:tcMar>
            <w:vAlign w:val="center"/>
          </w:tcPr>
          <w:p w14:paraId="44BCF5AA" w14:textId="77777777" w:rsidR="00CE1BDB" w:rsidRPr="00C75F28" w:rsidRDefault="00CE1BDB" w:rsidP="00F5328D">
            <w:pPr>
              <w:jc w:val="right"/>
              <w:rPr>
                <w:rFonts w:cs="Arial"/>
                <w:sz w:val="20"/>
                <w:szCs w:val="20"/>
              </w:rPr>
            </w:pPr>
            <w:r w:rsidRPr="00C75F28">
              <w:rPr>
                <w:rFonts w:cs="Arial"/>
                <w:color w:val="000000"/>
                <w:sz w:val="20"/>
                <w:szCs w:val="20"/>
              </w:rPr>
              <w:t>0.1%</w:t>
            </w:r>
          </w:p>
        </w:tc>
        <w:tc>
          <w:tcPr>
            <w:tcW w:w="464" w:type="pct"/>
            <w:shd w:val="clear" w:color="auto" w:fill="auto"/>
            <w:noWrap/>
            <w:tcMar>
              <w:left w:w="0" w:type="dxa"/>
              <w:right w:w="108" w:type="dxa"/>
            </w:tcMar>
            <w:vAlign w:val="center"/>
          </w:tcPr>
          <w:p w14:paraId="20295499" w14:textId="77777777" w:rsidR="00CE1BDB" w:rsidRPr="00C75F28" w:rsidRDefault="00CE1BDB" w:rsidP="00F5328D">
            <w:pPr>
              <w:jc w:val="right"/>
              <w:rPr>
                <w:rFonts w:cs="Arial"/>
                <w:sz w:val="20"/>
                <w:szCs w:val="20"/>
              </w:rPr>
            </w:pPr>
            <w:r w:rsidRPr="00C75F28">
              <w:rPr>
                <w:rFonts w:cs="Arial"/>
                <w:color w:val="000000"/>
                <w:sz w:val="20"/>
                <w:szCs w:val="20"/>
              </w:rPr>
              <w:t>1.7%</w:t>
            </w:r>
          </w:p>
        </w:tc>
        <w:tc>
          <w:tcPr>
            <w:tcW w:w="465" w:type="pct"/>
            <w:tcMar>
              <w:left w:w="0" w:type="dxa"/>
              <w:right w:w="108" w:type="dxa"/>
            </w:tcMar>
            <w:vAlign w:val="center"/>
          </w:tcPr>
          <w:p w14:paraId="6C9F4340" w14:textId="77777777" w:rsidR="00CE1BDB" w:rsidRPr="00C75F28" w:rsidRDefault="00CE1BDB" w:rsidP="00F5328D">
            <w:pPr>
              <w:jc w:val="right"/>
              <w:rPr>
                <w:rFonts w:cs="Arial"/>
                <w:color w:val="000000"/>
                <w:sz w:val="20"/>
                <w:szCs w:val="20"/>
              </w:rPr>
            </w:pPr>
            <w:r w:rsidRPr="00C75F28">
              <w:rPr>
                <w:rFonts w:cs="Arial"/>
                <w:color w:val="000000"/>
                <w:sz w:val="20"/>
                <w:szCs w:val="20"/>
              </w:rPr>
              <w:t>3.4%</w:t>
            </w:r>
          </w:p>
        </w:tc>
        <w:tc>
          <w:tcPr>
            <w:tcW w:w="445" w:type="pct"/>
            <w:tcMar>
              <w:left w:w="0" w:type="dxa"/>
              <w:right w:w="108" w:type="dxa"/>
            </w:tcMar>
            <w:vAlign w:val="center"/>
          </w:tcPr>
          <w:p w14:paraId="34E3EE01" w14:textId="77777777" w:rsidR="00CE1BDB" w:rsidRPr="00C75F28" w:rsidRDefault="00CE1BDB" w:rsidP="00F5328D">
            <w:pPr>
              <w:jc w:val="right"/>
              <w:rPr>
                <w:rFonts w:cs="Arial"/>
                <w:color w:val="000000"/>
                <w:sz w:val="20"/>
                <w:szCs w:val="20"/>
              </w:rPr>
            </w:pPr>
            <w:r w:rsidRPr="00C75F28">
              <w:rPr>
                <w:rFonts w:cs="Arial"/>
                <w:color w:val="000000"/>
                <w:sz w:val="20"/>
                <w:szCs w:val="20"/>
              </w:rPr>
              <w:t>3.0%</w:t>
            </w:r>
          </w:p>
        </w:tc>
      </w:tr>
      <w:tr w:rsidR="00F5328D" w:rsidRPr="00C75F28" w14:paraId="22FFEADB" w14:textId="77777777" w:rsidTr="00F5328D">
        <w:tc>
          <w:tcPr>
            <w:tcW w:w="2005" w:type="pct"/>
            <w:shd w:val="clear" w:color="auto" w:fill="auto"/>
            <w:vAlign w:val="bottom"/>
            <w:hideMark/>
          </w:tcPr>
          <w:p w14:paraId="3ABECE7B" w14:textId="77777777" w:rsidR="00CE1BDB" w:rsidRPr="00C75F28" w:rsidRDefault="00CE1BDB" w:rsidP="00EF49A7">
            <w:pPr>
              <w:rPr>
                <w:rFonts w:cs="Arial"/>
                <w:color w:val="000000"/>
                <w:sz w:val="20"/>
                <w:szCs w:val="20"/>
              </w:rPr>
            </w:pPr>
            <w:r w:rsidRPr="00C75F28">
              <w:rPr>
                <w:rFonts w:cs="Arial"/>
                <w:color w:val="000000"/>
                <w:sz w:val="20"/>
                <w:szCs w:val="20"/>
              </w:rPr>
              <w:t>Bungalow 4 or more -bedrooms</w:t>
            </w:r>
          </w:p>
        </w:tc>
        <w:tc>
          <w:tcPr>
            <w:tcW w:w="418" w:type="pct"/>
            <w:shd w:val="clear" w:color="auto" w:fill="auto"/>
            <w:noWrap/>
            <w:tcMar>
              <w:left w:w="0" w:type="dxa"/>
              <w:right w:w="108" w:type="dxa"/>
            </w:tcMar>
            <w:vAlign w:val="center"/>
          </w:tcPr>
          <w:p w14:paraId="45040C8A"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4761EB64"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12902C54" w14:textId="77777777" w:rsidR="00CE1BDB" w:rsidRPr="00C75F28" w:rsidRDefault="00CE1BDB" w:rsidP="00F5328D">
            <w:pPr>
              <w:jc w:val="right"/>
              <w:rPr>
                <w:rFonts w:cs="Arial"/>
                <w:sz w:val="20"/>
                <w:szCs w:val="20"/>
              </w:rPr>
            </w:pPr>
            <w:r w:rsidRPr="00C75F28">
              <w:rPr>
                <w:rFonts w:cs="Arial"/>
                <w:color w:val="000000"/>
                <w:sz w:val="20"/>
                <w:szCs w:val="20"/>
              </w:rPr>
              <w:t>0.2%</w:t>
            </w:r>
          </w:p>
        </w:tc>
        <w:tc>
          <w:tcPr>
            <w:tcW w:w="386" w:type="pct"/>
            <w:shd w:val="clear" w:color="auto" w:fill="auto"/>
            <w:noWrap/>
            <w:tcMar>
              <w:left w:w="0" w:type="dxa"/>
              <w:right w:w="108" w:type="dxa"/>
            </w:tcMar>
            <w:vAlign w:val="center"/>
          </w:tcPr>
          <w:p w14:paraId="4001538E" w14:textId="77777777" w:rsidR="00CE1BDB" w:rsidRPr="00C75F28" w:rsidRDefault="00CE1BDB" w:rsidP="00F5328D">
            <w:pPr>
              <w:jc w:val="right"/>
              <w:rPr>
                <w:rFonts w:cs="Arial"/>
                <w:sz w:val="20"/>
                <w:szCs w:val="20"/>
              </w:rPr>
            </w:pPr>
            <w:r w:rsidRPr="00C75F28">
              <w:rPr>
                <w:rFonts w:cs="Arial"/>
                <w:color w:val="000000"/>
                <w:sz w:val="20"/>
                <w:szCs w:val="20"/>
              </w:rPr>
              <w:t>0.1%</w:t>
            </w:r>
          </w:p>
        </w:tc>
        <w:tc>
          <w:tcPr>
            <w:tcW w:w="464" w:type="pct"/>
            <w:shd w:val="clear" w:color="auto" w:fill="auto"/>
            <w:noWrap/>
            <w:tcMar>
              <w:left w:w="0" w:type="dxa"/>
              <w:right w:w="108" w:type="dxa"/>
            </w:tcMar>
            <w:vAlign w:val="center"/>
          </w:tcPr>
          <w:p w14:paraId="0DEF3B8A" w14:textId="77777777" w:rsidR="00CE1BDB" w:rsidRPr="00C75F28" w:rsidRDefault="00CE1BDB" w:rsidP="00F5328D">
            <w:pPr>
              <w:jc w:val="right"/>
              <w:rPr>
                <w:rFonts w:cs="Arial"/>
                <w:sz w:val="20"/>
                <w:szCs w:val="20"/>
              </w:rPr>
            </w:pPr>
            <w:r w:rsidRPr="00C75F28">
              <w:rPr>
                <w:rFonts w:cs="Arial"/>
                <w:color w:val="000000"/>
                <w:sz w:val="20"/>
                <w:szCs w:val="20"/>
              </w:rPr>
              <w:t>0.3%</w:t>
            </w:r>
          </w:p>
        </w:tc>
        <w:tc>
          <w:tcPr>
            <w:tcW w:w="465" w:type="pct"/>
            <w:tcMar>
              <w:left w:w="0" w:type="dxa"/>
              <w:right w:w="108" w:type="dxa"/>
            </w:tcMar>
            <w:vAlign w:val="center"/>
          </w:tcPr>
          <w:p w14:paraId="2DCBE584" w14:textId="77777777" w:rsidR="00CE1BDB" w:rsidRPr="00C75F28" w:rsidRDefault="00CE1BDB" w:rsidP="00F5328D">
            <w:pPr>
              <w:jc w:val="right"/>
              <w:rPr>
                <w:rFonts w:cs="Arial"/>
                <w:color w:val="000000"/>
                <w:sz w:val="20"/>
                <w:szCs w:val="20"/>
              </w:rPr>
            </w:pPr>
            <w:r w:rsidRPr="00C75F28">
              <w:rPr>
                <w:rFonts w:cs="Arial"/>
                <w:color w:val="000000"/>
                <w:sz w:val="20"/>
                <w:szCs w:val="20"/>
              </w:rPr>
              <w:t>0.9%</w:t>
            </w:r>
          </w:p>
        </w:tc>
        <w:tc>
          <w:tcPr>
            <w:tcW w:w="445" w:type="pct"/>
            <w:tcMar>
              <w:left w:w="0" w:type="dxa"/>
              <w:right w:w="108" w:type="dxa"/>
            </w:tcMar>
            <w:vAlign w:val="center"/>
          </w:tcPr>
          <w:p w14:paraId="0230BE44" w14:textId="77777777" w:rsidR="00CE1BDB" w:rsidRPr="00C75F28" w:rsidRDefault="00CE1BDB" w:rsidP="00F5328D">
            <w:pPr>
              <w:jc w:val="right"/>
              <w:rPr>
                <w:rFonts w:cs="Arial"/>
                <w:color w:val="000000"/>
                <w:sz w:val="20"/>
                <w:szCs w:val="20"/>
              </w:rPr>
            </w:pPr>
            <w:r w:rsidRPr="00C75F28">
              <w:rPr>
                <w:rFonts w:cs="Arial"/>
                <w:color w:val="000000"/>
                <w:sz w:val="20"/>
                <w:szCs w:val="20"/>
              </w:rPr>
              <w:t>0.6%</w:t>
            </w:r>
          </w:p>
        </w:tc>
      </w:tr>
      <w:tr w:rsidR="00F5328D" w:rsidRPr="00C75F28" w14:paraId="6F1F8CCE" w14:textId="77777777" w:rsidTr="00F5328D">
        <w:tc>
          <w:tcPr>
            <w:tcW w:w="2005" w:type="pct"/>
            <w:shd w:val="clear" w:color="auto" w:fill="auto"/>
            <w:noWrap/>
            <w:vAlign w:val="bottom"/>
            <w:hideMark/>
          </w:tcPr>
          <w:p w14:paraId="4EE19738" w14:textId="77777777" w:rsidR="00CE1BDB" w:rsidRPr="00C75F28" w:rsidRDefault="00CE1BDB" w:rsidP="00EF49A7">
            <w:pPr>
              <w:rPr>
                <w:rFonts w:cs="Arial"/>
                <w:color w:val="000000"/>
                <w:sz w:val="20"/>
                <w:szCs w:val="20"/>
              </w:rPr>
            </w:pPr>
            <w:r w:rsidRPr="00C75F28">
              <w:rPr>
                <w:rFonts w:cs="Arial"/>
                <w:color w:val="000000"/>
                <w:sz w:val="20"/>
                <w:szCs w:val="20"/>
              </w:rPr>
              <w:t>Flat 1-bedroom</w:t>
            </w:r>
          </w:p>
        </w:tc>
        <w:tc>
          <w:tcPr>
            <w:tcW w:w="418" w:type="pct"/>
            <w:shd w:val="clear" w:color="auto" w:fill="auto"/>
            <w:noWrap/>
            <w:tcMar>
              <w:left w:w="0" w:type="dxa"/>
              <w:right w:w="108" w:type="dxa"/>
            </w:tcMar>
            <w:vAlign w:val="center"/>
          </w:tcPr>
          <w:p w14:paraId="3F733103" w14:textId="77777777" w:rsidR="00CE1BDB" w:rsidRPr="00C75F28" w:rsidRDefault="00CE1BDB" w:rsidP="00F5328D">
            <w:pPr>
              <w:ind w:right="-19"/>
              <w:jc w:val="right"/>
              <w:rPr>
                <w:rFonts w:cs="Arial"/>
                <w:sz w:val="20"/>
                <w:szCs w:val="20"/>
              </w:rPr>
            </w:pPr>
            <w:r w:rsidRPr="00C75F28">
              <w:rPr>
                <w:rFonts w:cs="Arial"/>
                <w:color w:val="000000"/>
                <w:sz w:val="20"/>
                <w:szCs w:val="20"/>
              </w:rPr>
              <w:t>6.5%</w:t>
            </w:r>
          </w:p>
        </w:tc>
        <w:tc>
          <w:tcPr>
            <w:tcW w:w="431" w:type="pct"/>
            <w:shd w:val="clear" w:color="auto" w:fill="auto"/>
            <w:noWrap/>
            <w:tcMar>
              <w:left w:w="0" w:type="dxa"/>
              <w:right w:w="108" w:type="dxa"/>
            </w:tcMar>
            <w:vAlign w:val="center"/>
          </w:tcPr>
          <w:p w14:paraId="412C089F" w14:textId="77777777" w:rsidR="00CE1BDB" w:rsidRPr="00C75F28" w:rsidRDefault="00CE1BDB" w:rsidP="00F5328D">
            <w:pPr>
              <w:jc w:val="right"/>
              <w:rPr>
                <w:rFonts w:cs="Arial"/>
                <w:sz w:val="20"/>
                <w:szCs w:val="20"/>
              </w:rPr>
            </w:pPr>
            <w:r w:rsidRPr="00C75F28">
              <w:rPr>
                <w:rFonts w:cs="Arial"/>
                <w:color w:val="000000"/>
                <w:sz w:val="20"/>
                <w:szCs w:val="20"/>
              </w:rPr>
              <w:t>2.2%</w:t>
            </w:r>
          </w:p>
        </w:tc>
        <w:tc>
          <w:tcPr>
            <w:tcW w:w="386" w:type="pct"/>
            <w:shd w:val="clear" w:color="auto" w:fill="auto"/>
            <w:noWrap/>
            <w:tcMar>
              <w:left w:w="0" w:type="dxa"/>
              <w:right w:w="108" w:type="dxa"/>
            </w:tcMar>
            <w:vAlign w:val="center"/>
          </w:tcPr>
          <w:p w14:paraId="51538F02" w14:textId="77777777" w:rsidR="00CE1BDB" w:rsidRPr="00C75F28" w:rsidRDefault="00CE1BDB" w:rsidP="00F5328D">
            <w:pPr>
              <w:jc w:val="right"/>
              <w:rPr>
                <w:rFonts w:cs="Arial"/>
                <w:sz w:val="20"/>
                <w:szCs w:val="20"/>
              </w:rPr>
            </w:pPr>
            <w:r w:rsidRPr="00C75F28">
              <w:rPr>
                <w:rFonts w:cs="Arial"/>
                <w:color w:val="000000"/>
                <w:sz w:val="20"/>
                <w:szCs w:val="20"/>
              </w:rPr>
              <w:t>0.8%</w:t>
            </w:r>
          </w:p>
        </w:tc>
        <w:tc>
          <w:tcPr>
            <w:tcW w:w="386" w:type="pct"/>
            <w:shd w:val="clear" w:color="auto" w:fill="auto"/>
            <w:noWrap/>
            <w:tcMar>
              <w:left w:w="0" w:type="dxa"/>
              <w:right w:w="108" w:type="dxa"/>
            </w:tcMar>
            <w:vAlign w:val="center"/>
          </w:tcPr>
          <w:p w14:paraId="0DA21200"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1D994E69" w14:textId="77777777" w:rsidR="00CE1BDB" w:rsidRPr="00C75F28" w:rsidRDefault="00CE1BDB" w:rsidP="00F5328D">
            <w:pPr>
              <w:jc w:val="right"/>
              <w:rPr>
                <w:rFonts w:cs="Arial"/>
                <w:sz w:val="20"/>
                <w:szCs w:val="20"/>
              </w:rPr>
            </w:pPr>
            <w:r w:rsidRPr="00C75F28">
              <w:rPr>
                <w:rFonts w:cs="Arial"/>
                <w:color w:val="000000"/>
                <w:sz w:val="20"/>
                <w:szCs w:val="20"/>
              </w:rPr>
              <w:t>9.6%</w:t>
            </w:r>
          </w:p>
        </w:tc>
        <w:tc>
          <w:tcPr>
            <w:tcW w:w="465" w:type="pct"/>
            <w:tcMar>
              <w:left w:w="0" w:type="dxa"/>
              <w:right w:w="108" w:type="dxa"/>
            </w:tcMar>
            <w:vAlign w:val="center"/>
          </w:tcPr>
          <w:p w14:paraId="1D61E5C4" w14:textId="77777777" w:rsidR="00CE1BDB" w:rsidRPr="00C75F28" w:rsidRDefault="00CE1BDB" w:rsidP="00F5328D">
            <w:pPr>
              <w:jc w:val="right"/>
              <w:rPr>
                <w:rFonts w:cs="Arial"/>
                <w:color w:val="000000"/>
                <w:sz w:val="20"/>
                <w:szCs w:val="20"/>
              </w:rPr>
            </w:pPr>
            <w:r w:rsidRPr="00C75F28">
              <w:rPr>
                <w:rFonts w:cs="Arial"/>
                <w:color w:val="000000"/>
                <w:sz w:val="20"/>
                <w:szCs w:val="20"/>
              </w:rPr>
              <w:t>10.6%</w:t>
            </w:r>
          </w:p>
        </w:tc>
        <w:tc>
          <w:tcPr>
            <w:tcW w:w="445" w:type="pct"/>
            <w:tcMar>
              <w:left w:w="0" w:type="dxa"/>
              <w:right w:w="108" w:type="dxa"/>
            </w:tcMar>
            <w:vAlign w:val="center"/>
          </w:tcPr>
          <w:p w14:paraId="4FB85EF4" w14:textId="77777777" w:rsidR="00CE1BDB" w:rsidRPr="00C75F28" w:rsidRDefault="00CE1BDB" w:rsidP="00F5328D">
            <w:pPr>
              <w:jc w:val="right"/>
              <w:rPr>
                <w:rFonts w:cs="Arial"/>
                <w:color w:val="000000"/>
                <w:sz w:val="20"/>
                <w:szCs w:val="20"/>
              </w:rPr>
            </w:pPr>
            <w:r w:rsidRPr="00C75F28">
              <w:rPr>
                <w:rFonts w:cs="Arial"/>
                <w:color w:val="000000"/>
                <w:sz w:val="20"/>
                <w:szCs w:val="20"/>
              </w:rPr>
              <w:t>10.8%</w:t>
            </w:r>
          </w:p>
        </w:tc>
      </w:tr>
      <w:tr w:rsidR="00F5328D" w:rsidRPr="00C75F28" w14:paraId="1449EAAA" w14:textId="77777777" w:rsidTr="00F5328D">
        <w:tc>
          <w:tcPr>
            <w:tcW w:w="2005" w:type="pct"/>
            <w:shd w:val="clear" w:color="auto" w:fill="auto"/>
            <w:noWrap/>
            <w:vAlign w:val="bottom"/>
            <w:hideMark/>
          </w:tcPr>
          <w:p w14:paraId="2869B6B2" w14:textId="77777777" w:rsidR="00CE1BDB" w:rsidRPr="00C75F28" w:rsidRDefault="00CE1BDB" w:rsidP="00EF49A7">
            <w:pPr>
              <w:rPr>
                <w:rFonts w:cs="Arial"/>
                <w:color w:val="000000"/>
                <w:sz w:val="20"/>
                <w:szCs w:val="20"/>
              </w:rPr>
            </w:pPr>
            <w:r w:rsidRPr="00C75F28">
              <w:rPr>
                <w:rFonts w:cs="Arial"/>
                <w:color w:val="000000"/>
                <w:sz w:val="20"/>
                <w:szCs w:val="20"/>
              </w:rPr>
              <w:t>Flat 2-bedrooms</w:t>
            </w:r>
          </w:p>
        </w:tc>
        <w:tc>
          <w:tcPr>
            <w:tcW w:w="418" w:type="pct"/>
            <w:shd w:val="clear" w:color="auto" w:fill="auto"/>
            <w:noWrap/>
            <w:tcMar>
              <w:left w:w="0" w:type="dxa"/>
              <w:right w:w="108" w:type="dxa"/>
            </w:tcMar>
            <w:vAlign w:val="center"/>
          </w:tcPr>
          <w:p w14:paraId="7A9287E1" w14:textId="77777777" w:rsidR="00CE1BDB" w:rsidRPr="00C75F28" w:rsidRDefault="00CE1BDB" w:rsidP="00F5328D">
            <w:pPr>
              <w:ind w:right="-19"/>
              <w:jc w:val="right"/>
              <w:rPr>
                <w:rFonts w:cs="Arial"/>
                <w:sz w:val="20"/>
                <w:szCs w:val="20"/>
              </w:rPr>
            </w:pPr>
            <w:r w:rsidRPr="00C75F28">
              <w:rPr>
                <w:rFonts w:cs="Arial"/>
                <w:color w:val="000000"/>
                <w:sz w:val="20"/>
                <w:szCs w:val="20"/>
              </w:rPr>
              <w:t>1.9%</w:t>
            </w:r>
          </w:p>
        </w:tc>
        <w:tc>
          <w:tcPr>
            <w:tcW w:w="431" w:type="pct"/>
            <w:shd w:val="clear" w:color="auto" w:fill="auto"/>
            <w:noWrap/>
            <w:tcMar>
              <w:left w:w="0" w:type="dxa"/>
              <w:right w:w="108" w:type="dxa"/>
            </w:tcMar>
            <w:vAlign w:val="center"/>
          </w:tcPr>
          <w:p w14:paraId="6273ABF0" w14:textId="77777777" w:rsidR="00CE1BDB" w:rsidRPr="00C75F28" w:rsidRDefault="00CE1BDB" w:rsidP="00F5328D">
            <w:pPr>
              <w:jc w:val="right"/>
              <w:rPr>
                <w:rFonts w:cs="Arial"/>
                <w:sz w:val="20"/>
                <w:szCs w:val="20"/>
              </w:rPr>
            </w:pPr>
            <w:r w:rsidRPr="00C75F28">
              <w:rPr>
                <w:rFonts w:cs="Arial"/>
                <w:color w:val="000000"/>
                <w:sz w:val="20"/>
                <w:szCs w:val="20"/>
              </w:rPr>
              <w:t>2.9%</w:t>
            </w:r>
          </w:p>
        </w:tc>
        <w:tc>
          <w:tcPr>
            <w:tcW w:w="386" w:type="pct"/>
            <w:shd w:val="clear" w:color="auto" w:fill="auto"/>
            <w:noWrap/>
            <w:tcMar>
              <w:left w:w="0" w:type="dxa"/>
              <w:right w:w="108" w:type="dxa"/>
            </w:tcMar>
            <w:vAlign w:val="center"/>
          </w:tcPr>
          <w:p w14:paraId="0A97F0EE" w14:textId="77777777" w:rsidR="00CE1BDB" w:rsidRPr="00C75F28" w:rsidRDefault="00CE1BDB" w:rsidP="00F5328D">
            <w:pPr>
              <w:jc w:val="right"/>
              <w:rPr>
                <w:rFonts w:cs="Arial"/>
                <w:sz w:val="20"/>
                <w:szCs w:val="20"/>
              </w:rPr>
            </w:pPr>
            <w:r w:rsidRPr="00C75F28">
              <w:rPr>
                <w:rFonts w:cs="Arial"/>
                <w:color w:val="000000"/>
                <w:sz w:val="20"/>
                <w:szCs w:val="20"/>
              </w:rPr>
              <w:t>2.4%</w:t>
            </w:r>
          </w:p>
        </w:tc>
        <w:tc>
          <w:tcPr>
            <w:tcW w:w="386" w:type="pct"/>
            <w:shd w:val="clear" w:color="auto" w:fill="auto"/>
            <w:noWrap/>
            <w:tcMar>
              <w:left w:w="0" w:type="dxa"/>
              <w:right w:w="108" w:type="dxa"/>
            </w:tcMar>
            <w:vAlign w:val="center"/>
          </w:tcPr>
          <w:p w14:paraId="02028CAB"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36DB240F" w14:textId="77777777" w:rsidR="00CE1BDB" w:rsidRPr="00C75F28" w:rsidRDefault="00CE1BDB" w:rsidP="00F5328D">
            <w:pPr>
              <w:jc w:val="right"/>
              <w:rPr>
                <w:rFonts w:cs="Arial"/>
                <w:sz w:val="20"/>
                <w:szCs w:val="20"/>
              </w:rPr>
            </w:pPr>
            <w:r w:rsidRPr="00C75F28">
              <w:rPr>
                <w:rFonts w:cs="Arial"/>
                <w:color w:val="000000"/>
                <w:sz w:val="20"/>
                <w:szCs w:val="20"/>
              </w:rPr>
              <w:t>7.2%</w:t>
            </w:r>
          </w:p>
        </w:tc>
        <w:tc>
          <w:tcPr>
            <w:tcW w:w="465" w:type="pct"/>
            <w:tcMar>
              <w:left w:w="0" w:type="dxa"/>
              <w:right w:w="108" w:type="dxa"/>
            </w:tcMar>
            <w:vAlign w:val="center"/>
          </w:tcPr>
          <w:p w14:paraId="1003262D" w14:textId="77777777" w:rsidR="00CE1BDB" w:rsidRPr="00C75F28" w:rsidRDefault="00CE1BDB" w:rsidP="00F5328D">
            <w:pPr>
              <w:jc w:val="right"/>
              <w:rPr>
                <w:rFonts w:cs="Arial"/>
                <w:color w:val="000000"/>
                <w:sz w:val="20"/>
                <w:szCs w:val="20"/>
              </w:rPr>
            </w:pPr>
            <w:r w:rsidRPr="00C75F28">
              <w:rPr>
                <w:rFonts w:cs="Arial"/>
                <w:color w:val="000000"/>
                <w:sz w:val="20"/>
                <w:szCs w:val="20"/>
              </w:rPr>
              <w:t>10.8%</w:t>
            </w:r>
          </w:p>
        </w:tc>
        <w:tc>
          <w:tcPr>
            <w:tcW w:w="445" w:type="pct"/>
            <w:tcMar>
              <w:left w:w="0" w:type="dxa"/>
              <w:right w:w="108" w:type="dxa"/>
            </w:tcMar>
            <w:vAlign w:val="center"/>
          </w:tcPr>
          <w:p w14:paraId="63DC44D7" w14:textId="77777777" w:rsidR="00CE1BDB" w:rsidRPr="00C75F28" w:rsidRDefault="00CE1BDB" w:rsidP="00F5328D">
            <w:pPr>
              <w:jc w:val="right"/>
              <w:rPr>
                <w:rFonts w:cs="Arial"/>
                <w:color w:val="000000"/>
                <w:sz w:val="20"/>
                <w:szCs w:val="20"/>
              </w:rPr>
            </w:pPr>
            <w:r w:rsidRPr="00C75F28">
              <w:rPr>
                <w:rFonts w:cs="Arial"/>
                <w:color w:val="000000"/>
                <w:sz w:val="20"/>
                <w:szCs w:val="20"/>
              </w:rPr>
              <w:t>10.6%</w:t>
            </w:r>
          </w:p>
        </w:tc>
      </w:tr>
      <w:tr w:rsidR="00F5328D" w:rsidRPr="00C75F28" w14:paraId="5DA81D26" w14:textId="77777777" w:rsidTr="00F5328D">
        <w:tc>
          <w:tcPr>
            <w:tcW w:w="2005" w:type="pct"/>
            <w:shd w:val="clear" w:color="auto" w:fill="auto"/>
            <w:noWrap/>
            <w:vAlign w:val="bottom"/>
            <w:hideMark/>
          </w:tcPr>
          <w:p w14:paraId="72BC2737" w14:textId="77777777" w:rsidR="00CE1BDB" w:rsidRPr="00C75F28" w:rsidRDefault="00CE1BDB" w:rsidP="00EF49A7">
            <w:pPr>
              <w:rPr>
                <w:rFonts w:cs="Arial"/>
                <w:color w:val="000000"/>
                <w:sz w:val="20"/>
                <w:szCs w:val="20"/>
              </w:rPr>
            </w:pPr>
            <w:r w:rsidRPr="00C75F28">
              <w:rPr>
                <w:rFonts w:cs="Arial"/>
                <w:color w:val="000000"/>
                <w:sz w:val="20"/>
                <w:szCs w:val="20"/>
              </w:rPr>
              <w:t>Flat 3-bedrooms</w:t>
            </w:r>
          </w:p>
        </w:tc>
        <w:tc>
          <w:tcPr>
            <w:tcW w:w="418" w:type="pct"/>
            <w:shd w:val="clear" w:color="auto" w:fill="auto"/>
            <w:noWrap/>
            <w:tcMar>
              <w:left w:w="0" w:type="dxa"/>
              <w:right w:w="108" w:type="dxa"/>
            </w:tcMar>
            <w:vAlign w:val="center"/>
          </w:tcPr>
          <w:p w14:paraId="3739504F" w14:textId="77777777" w:rsidR="00CE1BDB" w:rsidRPr="00C75F28" w:rsidRDefault="00CE1BDB" w:rsidP="00F5328D">
            <w:pPr>
              <w:ind w:right="-19"/>
              <w:jc w:val="right"/>
              <w:rPr>
                <w:rFonts w:cs="Arial"/>
                <w:sz w:val="20"/>
                <w:szCs w:val="20"/>
              </w:rPr>
            </w:pPr>
            <w:r w:rsidRPr="00C75F28">
              <w:rPr>
                <w:rFonts w:cs="Arial"/>
                <w:color w:val="000000"/>
                <w:sz w:val="20"/>
                <w:szCs w:val="20"/>
              </w:rPr>
              <w:t>0.2%</w:t>
            </w:r>
          </w:p>
        </w:tc>
        <w:tc>
          <w:tcPr>
            <w:tcW w:w="431" w:type="pct"/>
            <w:shd w:val="clear" w:color="auto" w:fill="auto"/>
            <w:noWrap/>
            <w:tcMar>
              <w:left w:w="0" w:type="dxa"/>
              <w:right w:w="108" w:type="dxa"/>
            </w:tcMar>
            <w:vAlign w:val="center"/>
          </w:tcPr>
          <w:p w14:paraId="2CCAACC2" w14:textId="77777777" w:rsidR="00CE1BDB" w:rsidRPr="00C75F28" w:rsidRDefault="00CE1BDB" w:rsidP="00F5328D">
            <w:pPr>
              <w:jc w:val="right"/>
              <w:rPr>
                <w:rFonts w:cs="Arial"/>
                <w:sz w:val="20"/>
                <w:szCs w:val="20"/>
              </w:rPr>
            </w:pPr>
            <w:r w:rsidRPr="00C75F28">
              <w:rPr>
                <w:rFonts w:cs="Arial"/>
                <w:color w:val="000000"/>
                <w:sz w:val="20"/>
                <w:szCs w:val="20"/>
              </w:rPr>
              <w:t>0.3%</w:t>
            </w:r>
          </w:p>
        </w:tc>
        <w:tc>
          <w:tcPr>
            <w:tcW w:w="386" w:type="pct"/>
            <w:shd w:val="clear" w:color="auto" w:fill="auto"/>
            <w:noWrap/>
            <w:tcMar>
              <w:left w:w="0" w:type="dxa"/>
              <w:right w:w="108" w:type="dxa"/>
            </w:tcMar>
            <w:vAlign w:val="center"/>
          </w:tcPr>
          <w:p w14:paraId="765261F2" w14:textId="77777777" w:rsidR="00CE1BDB" w:rsidRPr="00C75F28" w:rsidRDefault="00CE1BDB" w:rsidP="00F5328D">
            <w:pPr>
              <w:jc w:val="right"/>
              <w:rPr>
                <w:rFonts w:cs="Arial"/>
                <w:sz w:val="20"/>
                <w:szCs w:val="20"/>
              </w:rPr>
            </w:pPr>
            <w:r w:rsidRPr="00C75F28">
              <w:rPr>
                <w:rFonts w:cs="Arial"/>
                <w:color w:val="000000"/>
                <w:sz w:val="20"/>
                <w:szCs w:val="20"/>
              </w:rPr>
              <w:t>0.2%</w:t>
            </w:r>
          </w:p>
        </w:tc>
        <w:tc>
          <w:tcPr>
            <w:tcW w:w="386" w:type="pct"/>
            <w:shd w:val="clear" w:color="auto" w:fill="auto"/>
            <w:noWrap/>
            <w:tcMar>
              <w:left w:w="0" w:type="dxa"/>
              <w:right w:w="108" w:type="dxa"/>
            </w:tcMar>
            <w:vAlign w:val="center"/>
          </w:tcPr>
          <w:p w14:paraId="51846817"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5F9A18D7" w14:textId="77777777" w:rsidR="00CE1BDB" w:rsidRPr="00C75F28" w:rsidRDefault="00CE1BDB" w:rsidP="00F5328D">
            <w:pPr>
              <w:jc w:val="right"/>
              <w:rPr>
                <w:rFonts w:cs="Arial"/>
                <w:sz w:val="20"/>
                <w:szCs w:val="20"/>
              </w:rPr>
            </w:pPr>
            <w:r w:rsidRPr="00C75F28">
              <w:rPr>
                <w:rFonts w:cs="Arial"/>
                <w:color w:val="000000"/>
                <w:sz w:val="20"/>
                <w:szCs w:val="20"/>
              </w:rPr>
              <w:t>0.8%</w:t>
            </w:r>
          </w:p>
        </w:tc>
        <w:tc>
          <w:tcPr>
            <w:tcW w:w="465" w:type="pct"/>
            <w:tcMar>
              <w:left w:w="0" w:type="dxa"/>
              <w:right w:w="108" w:type="dxa"/>
            </w:tcMar>
            <w:vAlign w:val="center"/>
          </w:tcPr>
          <w:p w14:paraId="35B7CBD2" w14:textId="77777777" w:rsidR="00CE1BDB" w:rsidRPr="00C75F28" w:rsidRDefault="00CE1BDB" w:rsidP="00F5328D">
            <w:pPr>
              <w:jc w:val="right"/>
              <w:rPr>
                <w:rFonts w:cs="Arial"/>
                <w:color w:val="000000"/>
                <w:sz w:val="20"/>
                <w:szCs w:val="20"/>
              </w:rPr>
            </w:pPr>
            <w:r w:rsidRPr="00C75F28">
              <w:rPr>
                <w:rFonts w:cs="Arial"/>
                <w:color w:val="000000"/>
                <w:sz w:val="20"/>
                <w:szCs w:val="20"/>
              </w:rPr>
              <w:t>1.2%</w:t>
            </w:r>
          </w:p>
        </w:tc>
        <w:tc>
          <w:tcPr>
            <w:tcW w:w="445" w:type="pct"/>
            <w:tcMar>
              <w:left w:w="0" w:type="dxa"/>
              <w:right w:w="108" w:type="dxa"/>
            </w:tcMar>
            <w:vAlign w:val="center"/>
          </w:tcPr>
          <w:p w14:paraId="6712F75A" w14:textId="77777777" w:rsidR="00CE1BDB" w:rsidRPr="00C75F28" w:rsidRDefault="00CE1BDB" w:rsidP="00F5328D">
            <w:pPr>
              <w:jc w:val="right"/>
              <w:rPr>
                <w:rFonts w:cs="Arial"/>
                <w:color w:val="000000"/>
                <w:sz w:val="20"/>
                <w:szCs w:val="20"/>
              </w:rPr>
            </w:pPr>
            <w:r w:rsidRPr="00C75F28">
              <w:rPr>
                <w:rFonts w:cs="Arial"/>
                <w:color w:val="000000"/>
                <w:sz w:val="20"/>
                <w:szCs w:val="20"/>
              </w:rPr>
              <w:t>1.8%</w:t>
            </w:r>
          </w:p>
        </w:tc>
      </w:tr>
      <w:tr w:rsidR="00F5328D" w:rsidRPr="00C75F28" w14:paraId="1AB64D2B" w14:textId="77777777" w:rsidTr="00F5328D">
        <w:tc>
          <w:tcPr>
            <w:tcW w:w="2005" w:type="pct"/>
            <w:shd w:val="clear" w:color="auto" w:fill="auto"/>
            <w:noWrap/>
            <w:vAlign w:val="bottom"/>
            <w:hideMark/>
          </w:tcPr>
          <w:p w14:paraId="15731266" w14:textId="77777777" w:rsidR="00CE1BDB" w:rsidRPr="00C75F28" w:rsidRDefault="00CE1BDB" w:rsidP="00EF49A7">
            <w:pPr>
              <w:rPr>
                <w:rFonts w:cs="Arial"/>
                <w:color w:val="000000"/>
                <w:sz w:val="20"/>
                <w:szCs w:val="20"/>
              </w:rPr>
            </w:pPr>
            <w:r w:rsidRPr="00C75F28">
              <w:rPr>
                <w:rFonts w:cs="Arial"/>
                <w:color w:val="000000"/>
                <w:sz w:val="20"/>
                <w:szCs w:val="20"/>
              </w:rPr>
              <w:t>Flat 4 or more-bedrooms</w:t>
            </w:r>
          </w:p>
        </w:tc>
        <w:tc>
          <w:tcPr>
            <w:tcW w:w="418" w:type="pct"/>
            <w:shd w:val="clear" w:color="auto" w:fill="auto"/>
            <w:noWrap/>
            <w:tcMar>
              <w:left w:w="0" w:type="dxa"/>
              <w:right w:w="108" w:type="dxa"/>
            </w:tcMar>
            <w:vAlign w:val="center"/>
          </w:tcPr>
          <w:p w14:paraId="7A95937D"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57482AB4"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069B24D2" w14:textId="77777777" w:rsidR="00CE1BDB" w:rsidRPr="00C75F28" w:rsidRDefault="00CE1BDB" w:rsidP="00F5328D">
            <w:pPr>
              <w:jc w:val="right"/>
              <w:rPr>
                <w:rFonts w:cs="Arial"/>
                <w:sz w:val="20"/>
                <w:szCs w:val="20"/>
              </w:rPr>
            </w:pPr>
            <w:r w:rsidRPr="00C75F28">
              <w:rPr>
                <w:rFonts w:cs="Arial"/>
                <w:color w:val="000000"/>
                <w:sz w:val="20"/>
                <w:szCs w:val="20"/>
              </w:rPr>
              <w:t>0.2%</w:t>
            </w:r>
          </w:p>
        </w:tc>
        <w:tc>
          <w:tcPr>
            <w:tcW w:w="386" w:type="pct"/>
            <w:shd w:val="clear" w:color="auto" w:fill="auto"/>
            <w:noWrap/>
            <w:tcMar>
              <w:left w:w="0" w:type="dxa"/>
              <w:right w:w="108" w:type="dxa"/>
            </w:tcMar>
            <w:vAlign w:val="center"/>
          </w:tcPr>
          <w:p w14:paraId="08E02F36"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1B7FD075" w14:textId="77777777" w:rsidR="00CE1BDB" w:rsidRPr="00C75F28" w:rsidRDefault="00CE1BDB" w:rsidP="00F5328D">
            <w:pPr>
              <w:jc w:val="right"/>
              <w:rPr>
                <w:rFonts w:cs="Arial"/>
                <w:sz w:val="20"/>
                <w:szCs w:val="20"/>
              </w:rPr>
            </w:pPr>
            <w:r w:rsidRPr="00C75F28">
              <w:rPr>
                <w:rFonts w:cs="Arial"/>
                <w:color w:val="000000"/>
                <w:sz w:val="20"/>
                <w:szCs w:val="20"/>
              </w:rPr>
              <w:t>0.2%</w:t>
            </w:r>
          </w:p>
        </w:tc>
        <w:tc>
          <w:tcPr>
            <w:tcW w:w="465" w:type="pct"/>
            <w:tcMar>
              <w:left w:w="0" w:type="dxa"/>
              <w:right w:w="108" w:type="dxa"/>
            </w:tcMar>
            <w:vAlign w:val="center"/>
          </w:tcPr>
          <w:p w14:paraId="116CE7EE" w14:textId="77777777" w:rsidR="00CE1BDB" w:rsidRPr="00C75F28" w:rsidRDefault="00CE1BDB" w:rsidP="00F5328D">
            <w:pPr>
              <w:jc w:val="right"/>
              <w:rPr>
                <w:rFonts w:cs="Arial"/>
                <w:color w:val="000000"/>
                <w:sz w:val="20"/>
                <w:szCs w:val="20"/>
              </w:rPr>
            </w:pPr>
            <w:r w:rsidRPr="00C75F28">
              <w:rPr>
                <w:rFonts w:cs="Arial"/>
                <w:color w:val="000000"/>
                <w:sz w:val="20"/>
                <w:szCs w:val="20"/>
              </w:rPr>
              <w:t>0.3%</w:t>
            </w:r>
          </w:p>
        </w:tc>
        <w:tc>
          <w:tcPr>
            <w:tcW w:w="445" w:type="pct"/>
            <w:tcMar>
              <w:left w:w="0" w:type="dxa"/>
              <w:right w:w="108" w:type="dxa"/>
            </w:tcMar>
            <w:vAlign w:val="center"/>
          </w:tcPr>
          <w:p w14:paraId="1A0A5D9F" w14:textId="77777777" w:rsidR="00CE1BDB" w:rsidRPr="00C75F28" w:rsidRDefault="00CE1BDB" w:rsidP="00F5328D">
            <w:pPr>
              <w:jc w:val="right"/>
              <w:rPr>
                <w:rFonts w:cs="Arial"/>
                <w:color w:val="000000"/>
                <w:sz w:val="20"/>
                <w:szCs w:val="20"/>
              </w:rPr>
            </w:pPr>
            <w:r w:rsidRPr="00C75F28">
              <w:rPr>
                <w:rFonts w:cs="Arial"/>
                <w:color w:val="000000"/>
                <w:sz w:val="20"/>
                <w:szCs w:val="20"/>
              </w:rPr>
              <w:t>0.5%</w:t>
            </w:r>
          </w:p>
        </w:tc>
      </w:tr>
      <w:tr w:rsidR="00F5328D" w:rsidRPr="00C75F28" w14:paraId="6FF5DAD6" w14:textId="77777777" w:rsidTr="00F5328D">
        <w:tc>
          <w:tcPr>
            <w:tcW w:w="2005" w:type="pct"/>
            <w:shd w:val="clear" w:color="auto" w:fill="auto"/>
            <w:noWrap/>
            <w:vAlign w:val="bottom"/>
            <w:hideMark/>
          </w:tcPr>
          <w:p w14:paraId="5EBB2B22" w14:textId="77777777" w:rsidR="00CE1BDB" w:rsidRPr="00C75F28" w:rsidRDefault="00CE1BDB" w:rsidP="00EF49A7">
            <w:pPr>
              <w:rPr>
                <w:rFonts w:cs="Arial"/>
                <w:color w:val="000000"/>
                <w:sz w:val="20"/>
                <w:szCs w:val="20"/>
              </w:rPr>
            </w:pPr>
            <w:r w:rsidRPr="00C75F28">
              <w:rPr>
                <w:rFonts w:cs="Arial"/>
                <w:color w:val="000000"/>
                <w:sz w:val="20"/>
                <w:szCs w:val="20"/>
              </w:rPr>
              <w:t>Terraced house 1-bedroom</w:t>
            </w:r>
          </w:p>
        </w:tc>
        <w:tc>
          <w:tcPr>
            <w:tcW w:w="418" w:type="pct"/>
            <w:shd w:val="clear" w:color="auto" w:fill="auto"/>
            <w:noWrap/>
            <w:tcMar>
              <w:left w:w="0" w:type="dxa"/>
              <w:right w:w="108" w:type="dxa"/>
            </w:tcMar>
            <w:vAlign w:val="center"/>
          </w:tcPr>
          <w:p w14:paraId="4D72A040"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417A9C7A" w14:textId="77777777" w:rsidR="00CE1BDB" w:rsidRPr="00C75F28" w:rsidRDefault="00CE1BDB" w:rsidP="00F5328D">
            <w:pPr>
              <w:jc w:val="right"/>
              <w:rPr>
                <w:rFonts w:cs="Arial"/>
                <w:sz w:val="20"/>
                <w:szCs w:val="20"/>
              </w:rPr>
            </w:pPr>
            <w:r w:rsidRPr="00C75F28">
              <w:rPr>
                <w:rFonts w:cs="Arial"/>
                <w:color w:val="000000"/>
                <w:sz w:val="20"/>
                <w:szCs w:val="20"/>
              </w:rPr>
              <w:t>0.5%</w:t>
            </w:r>
          </w:p>
        </w:tc>
        <w:tc>
          <w:tcPr>
            <w:tcW w:w="386" w:type="pct"/>
            <w:shd w:val="clear" w:color="auto" w:fill="auto"/>
            <w:noWrap/>
            <w:tcMar>
              <w:left w:w="0" w:type="dxa"/>
              <w:right w:w="108" w:type="dxa"/>
            </w:tcMar>
            <w:vAlign w:val="center"/>
          </w:tcPr>
          <w:p w14:paraId="17D1DD5F"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69265250"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7E30A7DE" w14:textId="77777777" w:rsidR="00CE1BDB" w:rsidRPr="00C75F28" w:rsidRDefault="00CE1BDB" w:rsidP="00F5328D">
            <w:pPr>
              <w:jc w:val="right"/>
              <w:rPr>
                <w:rFonts w:cs="Arial"/>
                <w:sz w:val="20"/>
                <w:szCs w:val="20"/>
              </w:rPr>
            </w:pPr>
            <w:r w:rsidRPr="00C75F28">
              <w:rPr>
                <w:rFonts w:cs="Arial"/>
                <w:color w:val="000000"/>
                <w:sz w:val="20"/>
                <w:szCs w:val="20"/>
              </w:rPr>
              <w:t>0.6%</w:t>
            </w:r>
          </w:p>
        </w:tc>
        <w:tc>
          <w:tcPr>
            <w:tcW w:w="465" w:type="pct"/>
            <w:tcMar>
              <w:left w:w="0" w:type="dxa"/>
              <w:right w:w="108" w:type="dxa"/>
            </w:tcMar>
            <w:vAlign w:val="center"/>
          </w:tcPr>
          <w:p w14:paraId="2BA4E390" w14:textId="77777777" w:rsidR="00CE1BDB" w:rsidRPr="00C75F28" w:rsidRDefault="00CE1BDB" w:rsidP="00F5328D">
            <w:pPr>
              <w:jc w:val="right"/>
              <w:rPr>
                <w:rFonts w:cs="Arial"/>
                <w:color w:val="000000"/>
                <w:sz w:val="20"/>
                <w:szCs w:val="20"/>
              </w:rPr>
            </w:pPr>
            <w:r w:rsidRPr="00C75F28">
              <w:rPr>
                <w:rFonts w:cs="Arial"/>
                <w:color w:val="000000"/>
                <w:sz w:val="20"/>
                <w:szCs w:val="20"/>
              </w:rPr>
              <w:t>0.7%</w:t>
            </w:r>
          </w:p>
        </w:tc>
        <w:tc>
          <w:tcPr>
            <w:tcW w:w="445" w:type="pct"/>
            <w:tcMar>
              <w:left w:w="0" w:type="dxa"/>
              <w:right w:w="108" w:type="dxa"/>
            </w:tcMar>
            <w:vAlign w:val="center"/>
          </w:tcPr>
          <w:p w14:paraId="6FBAE526" w14:textId="77777777" w:rsidR="00CE1BDB" w:rsidRPr="00C75F28" w:rsidRDefault="00CE1BDB" w:rsidP="00F5328D">
            <w:pPr>
              <w:jc w:val="right"/>
              <w:rPr>
                <w:rFonts w:cs="Arial"/>
                <w:color w:val="000000"/>
                <w:sz w:val="20"/>
                <w:szCs w:val="20"/>
              </w:rPr>
            </w:pPr>
            <w:r w:rsidRPr="00C75F28">
              <w:rPr>
                <w:rFonts w:cs="Arial"/>
                <w:color w:val="000000"/>
                <w:sz w:val="20"/>
                <w:szCs w:val="20"/>
              </w:rPr>
              <w:t>0.5%</w:t>
            </w:r>
          </w:p>
        </w:tc>
      </w:tr>
      <w:tr w:rsidR="00F5328D" w:rsidRPr="00C75F28" w14:paraId="03C0C55B" w14:textId="77777777" w:rsidTr="00F5328D">
        <w:tc>
          <w:tcPr>
            <w:tcW w:w="2005" w:type="pct"/>
            <w:shd w:val="clear" w:color="auto" w:fill="auto"/>
            <w:noWrap/>
            <w:vAlign w:val="bottom"/>
            <w:hideMark/>
          </w:tcPr>
          <w:p w14:paraId="45D943A5" w14:textId="77777777" w:rsidR="00CE1BDB" w:rsidRPr="00C75F28" w:rsidRDefault="00CE1BDB" w:rsidP="00EF49A7">
            <w:pPr>
              <w:rPr>
                <w:rFonts w:cs="Arial"/>
                <w:color w:val="000000"/>
                <w:sz w:val="20"/>
                <w:szCs w:val="20"/>
              </w:rPr>
            </w:pPr>
            <w:r w:rsidRPr="00C75F28">
              <w:rPr>
                <w:rFonts w:cs="Arial"/>
                <w:color w:val="000000"/>
                <w:sz w:val="20"/>
                <w:szCs w:val="20"/>
              </w:rPr>
              <w:t>Terraced house 2-bedrooms</w:t>
            </w:r>
          </w:p>
        </w:tc>
        <w:tc>
          <w:tcPr>
            <w:tcW w:w="418" w:type="pct"/>
            <w:shd w:val="clear" w:color="auto" w:fill="auto"/>
            <w:noWrap/>
            <w:tcMar>
              <w:left w:w="0" w:type="dxa"/>
              <w:right w:w="108" w:type="dxa"/>
            </w:tcMar>
            <w:vAlign w:val="center"/>
          </w:tcPr>
          <w:p w14:paraId="3B04ED2E" w14:textId="77777777" w:rsidR="00CE1BDB" w:rsidRPr="00C75F28" w:rsidRDefault="00CE1BDB" w:rsidP="00F5328D">
            <w:pPr>
              <w:ind w:right="-19"/>
              <w:jc w:val="right"/>
              <w:rPr>
                <w:rFonts w:cs="Arial"/>
                <w:sz w:val="20"/>
                <w:szCs w:val="20"/>
              </w:rPr>
            </w:pPr>
            <w:r w:rsidRPr="00C75F28">
              <w:rPr>
                <w:rFonts w:cs="Arial"/>
                <w:color w:val="000000"/>
                <w:sz w:val="20"/>
                <w:szCs w:val="20"/>
              </w:rPr>
              <w:t>0.1%</w:t>
            </w:r>
          </w:p>
        </w:tc>
        <w:tc>
          <w:tcPr>
            <w:tcW w:w="431" w:type="pct"/>
            <w:shd w:val="clear" w:color="auto" w:fill="auto"/>
            <w:noWrap/>
            <w:tcMar>
              <w:left w:w="0" w:type="dxa"/>
              <w:right w:w="108" w:type="dxa"/>
            </w:tcMar>
            <w:vAlign w:val="center"/>
          </w:tcPr>
          <w:p w14:paraId="470BC831" w14:textId="77777777" w:rsidR="00CE1BDB" w:rsidRPr="00C75F28" w:rsidRDefault="00CE1BDB" w:rsidP="00F5328D">
            <w:pPr>
              <w:jc w:val="right"/>
              <w:rPr>
                <w:rFonts w:cs="Arial"/>
                <w:sz w:val="20"/>
                <w:szCs w:val="20"/>
              </w:rPr>
            </w:pPr>
            <w:r w:rsidRPr="00C75F28">
              <w:rPr>
                <w:rFonts w:cs="Arial"/>
                <w:color w:val="000000"/>
                <w:sz w:val="20"/>
                <w:szCs w:val="20"/>
              </w:rPr>
              <w:t>8.5%</w:t>
            </w:r>
          </w:p>
        </w:tc>
        <w:tc>
          <w:tcPr>
            <w:tcW w:w="386" w:type="pct"/>
            <w:shd w:val="clear" w:color="auto" w:fill="auto"/>
            <w:noWrap/>
            <w:tcMar>
              <w:left w:w="0" w:type="dxa"/>
              <w:right w:w="108" w:type="dxa"/>
            </w:tcMar>
            <w:vAlign w:val="center"/>
          </w:tcPr>
          <w:p w14:paraId="2A0BC868" w14:textId="77777777" w:rsidR="00CE1BDB" w:rsidRPr="00C75F28" w:rsidRDefault="00CE1BDB" w:rsidP="00F5328D">
            <w:pPr>
              <w:jc w:val="right"/>
              <w:rPr>
                <w:rFonts w:cs="Arial"/>
                <w:sz w:val="20"/>
                <w:szCs w:val="20"/>
              </w:rPr>
            </w:pPr>
            <w:r w:rsidRPr="00C75F28">
              <w:rPr>
                <w:rFonts w:cs="Arial"/>
                <w:color w:val="000000"/>
                <w:sz w:val="20"/>
                <w:szCs w:val="20"/>
              </w:rPr>
              <w:t>2.5%</w:t>
            </w:r>
          </w:p>
        </w:tc>
        <w:tc>
          <w:tcPr>
            <w:tcW w:w="386" w:type="pct"/>
            <w:shd w:val="clear" w:color="auto" w:fill="auto"/>
            <w:noWrap/>
            <w:tcMar>
              <w:left w:w="0" w:type="dxa"/>
              <w:right w:w="108" w:type="dxa"/>
            </w:tcMar>
            <w:vAlign w:val="center"/>
          </w:tcPr>
          <w:p w14:paraId="211417FF"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1AE95FCA" w14:textId="77777777" w:rsidR="00CE1BDB" w:rsidRPr="00C75F28" w:rsidRDefault="00CE1BDB" w:rsidP="00F5328D">
            <w:pPr>
              <w:jc w:val="right"/>
              <w:rPr>
                <w:rFonts w:cs="Arial"/>
                <w:sz w:val="20"/>
                <w:szCs w:val="20"/>
              </w:rPr>
            </w:pPr>
            <w:r w:rsidRPr="00C75F28">
              <w:rPr>
                <w:rFonts w:cs="Arial"/>
                <w:color w:val="000000"/>
                <w:sz w:val="20"/>
                <w:szCs w:val="20"/>
              </w:rPr>
              <w:t>11.1%</w:t>
            </w:r>
          </w:p>
        </w:tc>
        <w:tc>
          <w:tcPr>
            <w:tcW w:w="465" w:type="pct"/>
            <w:tcMar>
              <w:left w:w="0" w:type="dxa"/>
              <w:right w:w="108" w:type="dxa"/>
            </w:tcMar>
            <w:vAlign w:val="center"/>
          </w:tcPr>
          <w:p w14:paraId="060C8D2C" w14:textId="77777777" w:rsidR="00CE1BDB" w:rsidRPr="00C75F28" w:rsidRDefault="00CE1BDB" w:rsidP="00F5328D">
            <w:pPr>
              <w:jc w:val="right"/>
              <w:rPr>
                <w:rFonts w:cs="Arial"/>
                <w:color w:val="000000"/>
                <w:sz w:val="20"/>
                <w:szCs w:val="20"/>
              </w:rPr>
            </w:pPr>
            <w:r w:rsidRPr="00C75F28">
              <w:rPr>
                <w:rFonts w:cs="Arial"/>
                <w:color w:val="000000"/>
                <w:sz w:val="20"/>
                <w:szCs w:val="20"/>
              </w:rPr>
              <w:t>7.4%</w:t>
            </w:r>
          </w:p>
        </w:tc>
        <w:tc>
          <w:tcPr>
            <w:tcW w:w="445" w:type="pct"/>
            <w:tcMar>
              <w:left w:w="0" w:type="dxa"/>
              <w:right w:w="108" w:type="dxa"/>
            </w:tcMar>
            <w:vAlign w:val="center"/>
          </w:tcPr>
          <w:p w14:paraId="2A907AB9" w14:textId="77777777" w:rsidR="00CE1BDB" w:rsidRPr="00C75F28" w:rsidRDefault="00CE1BDB" w:rsidP="00F5328D">
            <w:pPr>
              <w:jc w:val="right"/>
              <w:rPr>
                <w:rFonts w:cs="Arial"/>
                <w:color w:val="000000"/>
                <w:sz w:val="20"/>
                <w:szCs w:val="20"/>
              </w:rPr>
            </w:pPr>
            <w:r w:rsidRPr="00C75F28">
              <w:rPr>
                <w:rFonts w:cs="Arial"/>
                <w:color w:val="000000"/>
                <w:sz w:val="20"/>
                <w:szCs w:val="20"/>
              </w:rPr>
              <w:t>8.8%</w:t>
            </w:r>
          </w:p>
        </w:tc>
      </w:tr>
      <w:tr w:rsidR="00F5328D" w:rsidRPr="00C75F28" w14:paraId="0C269CB0" w14:textId="77777777" w:rsidTr="00F5328D">
        <w:tc>
          <w:tcPr>
            <w:tcW w:w="2005" w:type="pct"/>
            <w:shd w:val="clear" w:color="auto" w:fill="auto"/>
            <w:noWrap/>
            <w:vAlign w:val="bottom"/>
            <w:hideMark/>
          </w:tcPr>
          <w:p w14:paraId="155FE5BD" w14:textId="77777777" w:rsidR="00CE1BDB" w:rsidRPr="00C75F28" w:rsidRDefault="00CE1BDB" w:rsidP="00EF49A7">
            <w:pPr>
              <w:rPr>
                <w:rFonts w:cs="Arial"/>
                <w:color w:val="000000"/>
                <w:sz w:val="20"/>
                <w:szCs w:val="20"/>
              </w:rPr>
            </w:pPr>
            <w:r w:rsidRPr="00C75F28">
              <w:rPr>
                <w:rFonts w:cs="Arial"/>
                <w:color w:val="000000"/>
                <w:sz w:val="20"/>
                <w:szCs w:val="20"/>
              </w:rPr>
              <w:t>Terraced house 3-bedrooms</w:t>
            </w:r>
          </w:p>
        </w:tc>
        <w:tc>
          <w:tcPr>
            <w:tcW w:w="418" w:type="pct"/>
            <w:shd w:val="clear" w:color="auto" w:fill="auto"/>
            <w:noWrap/>
            <w:tcMar>
              <w:left w:w="0" w:type="dxa"/>
              <w:right w:w="108" w:type="dxa"/>
            </w:tcMar>
            <w:vAlign w:val="center"/>
          </w:tcPr>
          <w:p w14:paraId="1AFD478C"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01AE8F12" w14:textId="77777777" w:rsidR="00CE1BDB" w:rsidRPr="00C75F28" w:rsidRDefault="00CE1BDB" w:rsidP="00F5328D">
            <w:pPr>
              <w:jc w:val="right"/>
              <w:rPr>
                <w:rFonts w:cs="Arial"/>
                <w:sz w:val="20"/>
                <w:szCs w:val="20"/>
              </w:rPr>
            </w:pPr>
            <w:r w:rsidRPr="00C75F28">
              <w:rPr>
                <w:rFonts w:cs="Arial"/>
                <w:color w:val="000000"/>
                <w:sz w:val="20"/>
                <w:szCs w:val="20"/>
              </w:rPr>
              <w:t>15.4%</w:t>
            </w:r>
          </w:p>
        </w:tc>
        <w:tc>
          <w:tcPr>
            <w:tcW w:w="386" w:type="pct"/>
            <w:shd w:val="clear" w:color="auto" w:fill="auto"/>
            <w:noWrap/>
            <w:tcMar>
              <w:left w:w="0" w:type="dxa"/>
              <w:right w:w="108" w:type="dxa"/>
            </w:tcMar>
            <w:vAlign w:val="center"/>
          </w:tcPr>
          <w:p w14:paraId="20B34469" w14:textId="77777777" w:rsidR="00CE1BDB" w:rsidRPr="00C75F28" w:rsidRDefault="00CE1BDB" w:rsidP="00F5328D">
            <w:pPr>
              <w:jc w:val="right"/>
              <w:rPr>
                <w:rFonts w:cs="Arial"/>
                <w:sz w:val="20"/>
                <w:szCs w:val="20"/>
              </w:rPr>
            </w:pPr>
            <w:r w:rsidRPr="00C75F28">
              <w:rPr>
                <w:rFonts w:cs="Arial"/>
                <w:color w:val="000000"/>
                <w:sz w:val="20"/>
                <w:szCs w:val="20"/>
              </w:rPr>
              <w:t>14.2%</w:t>
            </w:r>
          </w:p>
        </w:tc>
        <w:tc>
          <w:tcPr>
            <w:tcW w:w="386" w:type="pct"/>
            <w:shd w:val="clear" w:color="auto" w:fill="auto"/>
            <w:noWrap/>
            <w:tcMar>
              <w:left w:w="0" w:type="dxa"/>
              <w:right w:w="108" w:type="dxa"/>
            </w:tcMar>
            <w:vAlign w:val="center"/>
          </w:tcPr>
          <w:p w14:paraId="185443B2"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73B5BC15" w14:textId="77777777" w:rsidR="00CE1BDB" w:rsidRPr="00C75F28" w:rsidRDefault="00CE1BDB" w:rsidP="00F5328D">
            <w:pPr>
              <w:jc w:val="right"/>
              <w:rPr>
                <w:rFonts w:cs="Arial"/>
                <w:sz w:val="20"/>
                <w:szCs w:val="20"/>
              </w:rPr>
            </w:pPr>
            <w:r w:rsidRPr="00C75F28">
              <w:rPr>
                <w:rFonts w:cs="Arial"/>
                <w:color w:val="000000"/>
                <w:sz w:val="20"/>
                <w:szCs w:val="20"/>
              </w:rPr>
              <w:t>29.7%</w:t>
            </w:r>
          </w:p>
        </w:tc>
        <w:tc>
          <w:tcPr>
            <w:tcW w:w="465" w:type="pct"/>
            <w:tcMar>
              <w:left w:w="0" w:type="dxa"/>
              <w:right w:w="108" w:type="dxa"/>
            </w:tcMar>
            <w:vAlign w:val="center"/>
          </w:tcPr>
          <w:p w14:paraId="1DFD6938" w14:textId="77777777" w:rsidR="00CE1BDB" w:rsidRPr="00C75F28" w:rsidRDefault="00CE1BDB" w:rsidP="00F5328D">
            <w:pPr>
              <w:jc w:val="right"/>
              <w:rPr>
                <w:rFonts w:cs="Arial"/>
                <w:color w:val="000000"/>
                <w:sz w:val="20"/>
                <w:szCs w:val="20"/>
              </w:rPr>
            </w:pPr>
            <w:r w:rsidRPr="00C75F28">
              <w:rPr>
                <w:rFonts w:cs="Arial"/>
                <w:color w:val="000000"/>
                <w:sz w:val="20"/>
                <w:szCs w:val="20"/>
              </w:rPr>
              <w:t>14.3%</w:t>
            </w:r>
          </w:p>
        </w:tc>
        <w:tc>
          <w:tcPr>
            <w:tcW w:w="445" w:type="pct"/>
            <w:tcMar>
              <w:left w:w="0" w:type="dxa"/>
              <w:right w:w="108" w:type="dxa"/>
            </w:tcMar>
            <w:vAlign w:val="center"/>
          </w:tcPr>
          <w:p w14:paraId="1DBA38ED" w14:textId="77777777" w:rsidR="00CE1BDB" w:rsidRPr="00C75F28" w:rsidRDefault="00CE1BDB" w:rsidP="00F5328D">
            <w:pPr>
              <w:jc w:val="right"/>
              <w:rPr>
                <w:rFonts w:cs="Arial"/>
                <w:color w:val="000000"/>
                <w:sz w:val="20"/>
                <w:szCs w:val="20"/>
              </w:rPr>
            </w:pPr>
            <w:r w:rsidRPr="00C75F28">
              <w:rPr>
                <w:rFonts w:cs="Arial"/>
                <w:color w:val="000000"/>
                <w:sz w:val="20"/>
                <w:szCs w:val="20"/>
              </w:rPr>
              <w:t>15.0%</w:t>
            </w:r>
          </w:p>
        </w:tc>
      </w:tr>
      <w:tr w:rsidR="00F5328D" w:rsidRPr="00C75F28" w14:paraId="1A037EA7" w14:textId="77777777" w:rsidTr="00F5328D">
        <w:tc>
          <w:tcPr>
            <w:tcW w:w="2005" w:type="pct"/>
            <w:shd w:val="clear" w:color="auto" w:fill="auto"/>
            <w:noWrap/>
            <w:vAlign w:val="bottom"/>
            <w:hideMark/>
          </w:tcPr>
          <w:p w14:paraId="4055D571" w14:textId="77777777" w:rsidR="00CE1BDB" w:rsidRPr="00C75F28" w:rsidRDefault="00CE1BDB" w:rsidP="00EF49A7">
            <w:pPr>
              <w:rPr>
                <w:rFonts w:cs="Arial"/>
                <w:color w:val="000000"/>
                <w:sz w:val="20"/>
                <w:szCs w:val="20"/>
              </w:rPr>
            </w:pPr>
            <w:r w:rsidRPr="00C75F28">
              <w:rPr>
                <w:rFonts w:cs="Arial"/>
                <w:color w:val="000000"/>
                <w:sz w:val="20"/>
                <w:szCs w:val="20"/>
              </w:rPr>
              <w:t>Terraced house 4 or more-bedrooms</w:t>
            </w:r>
          </w:p>
        </w:tc>
        <w:tc>
          <w:tcPr>
            <w:tcW w:w="418" w:type="pct"/>
            <w:shd w:val="clear" w:color="auto" w:fill="auto"/>
            <w:noWrap/>
            <w:tcMar>
              <w:left w:w="0" w:type="dxa"/>
              <w:right w:w="108" w:type="dxa"/>
            </w:tcMar>
            <w:vAlign w:val="center"/>
          </w:tcPr>
          <w:p w14:paraId="37EA3129"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2E6CB4F5" w14:textId="77777777" w:rsidR="00CE1BDB" w:rsidRPr="00C75F28" w:rsidRDefault="00CE1BDB" w:rsidP="00F5328D">
            <w:pPr>
              <w:jc w:val="right"/>
              <w:rPr>
                <w:rFonts w:cs="Arial"/>
                <w:sz w:val="20"/>
                <w:szCs w:val="20"/>
              </w:rPr>
            </w:pPr>
            <w:r w:rsidRPr="00C75F28">
              <w:rPr>
                <w:rFonts w:cs="Arial"/>
                <w:color w:val="000000"/>
                <w:sz w:val="20"/>
                <w:szCs w:val="20"/>
              </w:rPr>
              <w:t>0.3%</w:t>
            </w:r>
          </w:p>
        </w:tc>
        <w:tc>
          <w:tcPr>
            <w:tcW w:w="386" w:type="pct"/>
            <w:shd w:val="clear" w:color="auto" w:fill="auto"/>
            <w:noWrap/>
            <w:tcMar>
              <w:left w:w="0" w:type="dxa"/>
              <w:right w:w="108" w:type="dxa"/>
            </w:tcMar>
            <w:vAlign w:val="center"/>
          </w:tcPr>
          <w:p w14:paraId="1B66E449" w14:textId="77777777" w:rsidR="00CE1BDB" w:rsidRPr="00C75F28" w:rsidRDefault="00CE1BDB" w:rsidP="00F5328D">
            <w:pPr>
              <w:jc w:val="right"/>
              <w:rPr>
                <w:rFonts w:cs="Arial"/>
                <w:sz w:val="20"/>
                <w:szCs w:val="20"/>
              </w:rPr>
            </w:pPr>
            <w:r w:rsidRPr="00C75F28">
              <w:rPr>
                <w:rFonts w:cs="Arial"/>
                <w:color w:val="000000"/>
                <w:sz w:val="20"/>
                <w:szCs w:val="20"/>
              </w:rPr>
              <w:t>1.7%</w:t>
            </w:r>
          </w:p>
        </w:tc>
        <w:tc>
          <w:tcPr>
            <w:tcW w:w="386" w:type="pct"/>
            <w:shd w:val="clear" w:color="auto" w:fill="auto"/>
            <w:noWrap/>
            <w:tcMar>
              <w:left w:w="0" w:type="dxa"/>
              <w:right w:w="108" w:type="dxa"/>
            </w:tcMar>
            <w:vAlign w:val="center"/>
          </w:tcPr>
          <w:p w14:paraId="555090B8" w14:textId="77777777" w:rsidR="00CE1BDB" w:rsidRPr="00C75F28" w:rsidRDefault="00CE1BDB" w:rsidP="00F5328D">
            <w:pPr>
              <w:jc w:val="right"/>
              <w:rPr>
                <w:rFonts w:cs="Arial"/>
                <w:sz w:val="20"/>
                <w:szCs w:val="20"/>
              </w:rPr>
            </w:pPr>
            <w:r w:rsidRPr="00C75F28">
              <w:rPr>
                <w:rFonts w:cs="Arial"/>
                <w:color w:val="000000"/>
                <w:sz w:val="20"/>
                <w:szCs w:val="20"/>
              </w:rPr>
              <w:t>0.1%</w:t>
            </w:r>
          </w:p>
        </w:tc>
        <w:tc>
          <w:tcPr>
            <w:tcW w:w="464" w:type="pct"/>
            <w:shd w:val="clear" w:color="auto" w:fill="auto"/>
            <w:noWrap/>
            <w:tcMar>
              <w:left w:w="0" w:type="dxa"/>
              <w:right w:w="108" w:type="dxa"/>
            </w:tcMar>
            <w:vAlign w:val="center"/>
          </w:tcPr>
          <w:p w14:paraId="0ECCD8A2" w14:textId="77777777" w:rsidR="00CE1BDB" w:rsidRPr="00C75F28" w:rsidRDefault="00CE1BDB" w:rsidP="00F5328D">
            <w:pPr>
              <w:jc w:val="right"/>
              <w:rPr>
                <w:rFonts w:cs="Arial"/>
                <w:sz w:val="20"/>
                <w:szCs w:val="20"/>
              </w:rPr>
            </w:pPr>
            <w:r w:rsidRPr="00C75F28">
              <w:rPr>
                <w:rFonts w:cs="Arial"/>
                <w:color w:val="000000"/>
                <w:sz w:val="20"/>
                <w:szCs w:val="20"/>
              </w:rPr>
              <w:t>2.1%</w:t>
            </w:r>
          </w:p>
        </w:tc>
        <w:tc>
          <w:tcPr>
            <w:tcW w:w="465" w:type="pct"/>
            <w:tcMar>
              <w:left w:w="0" w:type="dxa"/>
              <w:right w:w="108" w:type="dxa"/>
            </w:tcMar>
            <w:vAlign w:val="center"/>
          </w:tcPr>
          <w:p w14:paraId="639F8701" w14:textId="77777777" w:rsidR="00CE1BDB" w:rsidRPr="00C75F28" w:rsidRDefault="00CE1BDB" w:rsidP="00F5328D">
            <w:pPr>
              <w:jc w:val="right"/>
              <w:rPr>
                <w:rFonts w:cs="Arial"/>
                <w:color w:val="000000"/>
                <w:sz w:val="20"/>
                <w:szCs w:val="20"/>
              </w:rPr>
            </w:pPr>
            <w:r w:rsidRPr="00C75F28">
              <w:rPr>
                <w:rFonts w:cs="Arial"/>
                <w:color w:val="000000"/>
                <w:sz w:val="20"/>
                <w:szCs w:val="20"/>
              </w:rPr>
              <w:t>2.1%</w:t>
            </w:r>
          </w:p>
        </w:tc>
        <w:tc>
          <w:tcPr>
            <w:tcW w:w="445" w:type="pct"/>
            <w:tcMar>
              <w:left w:w="0" w:type="dxa"/>
              <w:right w:w="108" w:type="dxa"/>
            </w:tcMar>
            <w:vAlign w:val="center"/>
          </w:tcPr>
          <w:p w14:paraId="7A0B2E7E" w14:textId="77777777" w:rsidR="00CE1BDB" w:rsidRPr="00C75F28" w:rsidRDefault="00CE1BDB" w:rsidP="00F5328D">
            <w:pPr>
              <w:jc w:val="right"/>
              <w:rPr>
                <w:rFonts w:cs="Arial"/>
                <w:color w:val="000000"/>
                <w:sz w:val="20"/>
                <w:szCs w:val="20"/>
              </w:rPr>
            </w:pPr>
            <w:r w:rsidRPr="00C75F28">
              <w:rPr>
                <w:rFonts w:cs="Arial"/>
                <w:color w:val="000000"/>
                <w:sz w:val="20"/>
                <w:szCs w:val="20"/>
              </w:rPr>
              <w:t>2.4%</w:t>
            </w:r>
          </w:p>
        </w:tc>
      </w:tr>
      <w:tr w:rsidR="00F5328D" w:rsidRPr="00C75F28" w14:paraId="74CF3721" w14:textId="77777777" w:rsidTr="00F5328D">
        <w:tc>
          <w:tcPr>
            <w:tcW w:w="2005" w:type="pct"/>
            <w:shd w:val="clear" w:color="auto" w:fill="auto"/>
            <w:noWrap/>
            <w:vAlign w:val="bottom"/>
            <w:hideMark/>
          </w:tcPr>
          <w:p w14:paraId="131E8F48" w14:textId="77777777" w:rsidR="00CE1BDB" w:rsidRPr="00C75F28" w:rsidRDefault="00CE1BDB" w:rsidP="00EF49A7">
            <w:pPr>
              <w:rPr>
                <w:rFonts w:cs="Arial"/>
                <w:color w:val="000000"/>
                <w:sz w:val="20"/>
                <w:szCs w:val="20"/>
              </w:rPr>
            </w:pPr>
            <w:r w:rsidRPr="00C75F28">
              <w:rPr>
                <w:rFonts w:cs="Arial"/>
                <w:color w:val="000000"/>
                <w:sz w:val="20"/>
                <w:szCs w:val="20"/>
              </w:rPr>
              <w:t>Semi-detached house 1-bedroom</w:t>
            </w:r>
          </w:p>
        </w:tc>
        <w:tc>
          <w:tcPr>
            <w:tcW w:w="418" w:type="pct"/>
            <w:shd w:val="clear" w:color="auto" w:fill="auto"/>
            <w:noWrap/>
            <w:tcMar>
              <w:left w:w="0" w:type="dxa"/>
              <w:right w:w="108" w:type="dxa"/>
            </w:tcMar>
            <w:vAlign w:val="center"/>
          </w:tcPr>
          <w:p w14:paraId="166B82FE"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358D08D7"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7E98ED47"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4BD3C071"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158A8E70"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5" w:type="pct"/>
            <w:tcMar>
              <w:left w:w="0" w:type="dxa"/>
              <w:right w:w="108" w:type="dxa"/>
            </w:tcMar>
            <w:vAlign w:val="center"/>
          </w:tcPr>
          <w:p w14:paraId="7F871AED" w14:textId="77777777" w:rsidR="00CE1BDB" w:rsidRPr="00C75F28" w:rsidRDefault="00CE1BDB" w:rsidP="00F5328D">
            <w:pPr>
              <w:jc w:val="right"/>
              <w:rPr>
                <w:rFonts w:cs="Arial"/>
                <w:color w:val="000000"/>
                <w:sz w:val="20"/>
                <w:szCs w:val="20"/>
              </w:rPr>
            </w:pPr>
            <w:r w:rsidRPr="00C75F28">
              <w:rPr>
                <w:rFonts w:cs="Arial"/>
                <w:color w:val="000000"/>
                <w:sz w:val="20"/>
                <w:szCs w:val="20"/>
              </w:rPr>
              <w:t>0.1%</w:t>
            </w:r>
          </w:p>
        </w:tc>
        <w:tc>
          <w:tcPr>
            <w:tcW w:w="445" w:type="pct"/>
            <w:tcMar>
              <w:left w:w="0" w:type="dxa"/>
              <w:right w:w="108" w:type="dxa"/>
            </w:tcMar>
            <w:vAlign w:val="center"/>
          </w:tcPr>
          <w:p w14:paraId="7D20F7CC" w14:textId="77777777" w:rsidR="00CE1BDB" w:rsidRPr="00C75F28" w:rsidRDefault="00CE1BDB" w:rsidP="00F5328D">
            <w:pPr>
              <w:jc w:val="right"/>
              <w:rPr>
                <w:rFonts w:cs="Arial"/>
                <w:color w:val="000000"/>
                <w:sz w:val="20"/>
                <w:szCs w:val="20"/>
              </w:rPr>
            </w:pPr>
            <w:r w:rsidRPr="00C75F28">
              <w:rPr>
                <w:rFonts w:cs="Arial"/>
                <w:color w:val="000000"/>
                <w:sz w:val="20"/>
                <w:szCs w:val="20"/>
              </w:rPr>
              <w:t>0.1%</w:t>
            </w:r>
          </w:p>
        </w:tc>
      </w:tr>
      <w:tr w:rsidR="00F5328D" w:rsidRPr="00C75F28" w14:paraId="47400480" w14:textId="77777777" w:rsidTr="00F5328D">
        <w:tc>
          <w:tcPr>
            <w:tcW w:w="2005" w:type="pct"/>
            <w:shd w:val="clear" w:color="auto" w:fill="auto"/>
            <w:noWrap/>
            <w:vAlign w:val="bottom"/>
            <w:hideMark/>
          </w:tcPr>
          <w:p w14:paraId="4C82EE17" w14:textId="77777777" w:rsidR="00CE1BDB" w:rsidRPr="00C75F28" w:rsidRDefault="00CE1BDB" w:rsidP="00EF49A7">
            <w:pPr>
              <w:rPr>
                <w:rFonts w:cs="Arial"/>
                <w:color w:val="000000"/>
                <w:sz w:val="20"/>
                <w:szCs w:val="20"/>
              </w:rPr>
            </w:pPr>
            <w:r w:rsidRPr="00C75F28">
              <w:rPr>
                <w:rFonts w:cs="Arial"/>
                <w:color w:val="000000"/>
                <w:sz w:val="20"/>
                <w:szCs w:val="20"/>
              </w:rPr>
              <w:t>Semi-detached house 2-bedrooms</w:t>
            </w:r>
          </w:p>
        </w:tc>
        <w:tc>
          <w:tcPr>
            <w:tcW w:w="418" w:type="pct"/>
            <w:shd w:val="clear" w:color="auto" w:fill="auto"/>
            <w:noWrap/>
            <w:tcMar>
              <w:left w:w="0" w:type="dxa"/>
              <w:right w:w="108" w:type="dxa"/>
            </w:tcMar>
            <w:vAlign w:val="center"/>
          </w:tcPr>
          <w:p w14:paraId="55F4C0FF"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299CCBE8" w14:textId="77777777" w:rsidR="00CE1BDB" w:rsidRPr="00C75F28" w:rsidRDefault="00CE1BDB" w:rsidP="00F5328D">
            <w:pPr>
              <w:jc w:val="right"/>
              <w:rPr>
                <w:rFonts w:cs="Arial"/>
                <w:sz w:val="20"/>
                <w:szCs w:val="20"/>
              </w:rPr>
            </w:pPr>
            <w:r w:rsidRPr="00C75F28">
              <w:rPr>
                <w:rFonts w:cs="Arial"/>
                <w:color w:val="000000"/>
                <w:sz w:val="20"/>
                <w:szCs w:val="20"/>
              </w:rPr>
              <w:t>1.3%</w:t>
            </w:r>
          </w:p>
        </w:tc>
        <w:tc>
          <w:tcPr>
            <w:tcW w:w="386" w:type="pct"/>
            <w:shd w:val="clear" w:color="auto" w:fill="auto"/>
            <w:noWrap/>
            <w:tcMar>
              <w:left w:w="0" w:type="dxa"/>
              <w:right w:w="108" w:type="dxa"/>
            </w:tcMar>
            <w:vAlign w:val="center"/>
          </w:tcPr>
          <w:p w14:paraId="7F4751E1" w14:textId="77777777" w:rsidR="00CE1BDB" w:rsidRPr="00C75F28" w:rsidRDefault="00CE1BDB" w:rsidP="00F5328D">
            <w:pPr>
              <w:jc w:val="right"/>
              <w:rPr>
                <w:rFonts w:cs="Arial"/>
                <w:sz w:val="20"/>
                <w:szCs w:val="20"/>
              </w:rPr>
            </w:pPr>
            <w:r w:rsidRPr="00C75F28">
              <w:rPr>
                <w:rFonts w:cs="Arial"/>
                <w:color w:val="000000"/>
                <w:sz w:val="20"/>
                <w:szCs w:val="20"/>
              </w:rPr>
              <w:t>2.2%</w:t>
            </w:r>
          </w:p>
        </w:tc>
        <w:tc>
          <w:tcPr>
            <w:tcW w:w="386" w:type="pct"/>
            <w:shd w:val="clear" w:color="auto" w:fill="auto"/>
            <w:noWrap/>
            <w:tcMar>
              <w:left w:w="0" w:type="dxa"/>
              <w:right w:w="108" w:type="dxa"/>
            </w:tcMar>
            <w:vAlign w:val="center"/>
          </w:tcPr>
          <w:p w14:paraId="6E1D1354"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6C7B819D" w14:textId="77777777" w:rsidR="00CE1BDB" w:rsidRPr="00C75F28" w:rsidRDefault="00CE1BDB" w:rsidP="00F5328D">
            <w:pPr>
              <w:jc w:val="right"/>
              <w:rPr>
                <w:rFonts w:cs="Arial"/>
                <w:sz w:val="20"/>
                <w:szCs w:val="20"/>
              </w:rPr>
            </w:pPr>
            <w:r w:rsidRPr="00C75F28">
              <w:rPr>
                <w:rFonts w:cs="Arial"/>
                <w:color w:val="000000"/>
                <w:sz w:val="20"/>
                <w:szCs w:val="20"/>
              </w:rPr>
              <w:t>3.5%</w:t>
            </w:r>
          </w:p>
        </w:tc>
        <w:tc>
          <w:tcPr>
            <w:tcW w:w="465" w:type="pct"/>
            <w:tcMar>
              <w:left w:w="0" w:type="dxa"/>
              <w:right w:w="108" w:type="dxa"/>
            </w:tcMar>
            <w:vAlign w:val="center"/>
          </w:tcPr>
          <w:p w14:paraId="592846DD" w14:textId="77777777" w:rsidR="00CE1BDB" w:rsidRPr="00C75F28" w:rsidRDefault="00CE1BDB" w:rsidP="00F5328D">
            <w:pPr>
              <w:jc w:val="right"/>
              <w:rPr>
                <w:rFonts w:cs="Arial"/>
                <w:color w:val="000000"/>
                <w:sz w:val="20"/>
                <w:szCs w:val="20"/>
              </w:rPr>
            </w:pPr>
            <w:r w:rsidRPr="00C75F28">
              <w:rPr>
                <w:rFonts w:cs="Arial"/>
                <w:color w:val="000000"/>
                <w:sz w:val="20"/>
                <w:szCs w:val="20"/>
              </w:rPr>
              <w:t>3.3%</w:t>
            </w:r>
          </w:p>
        </w:tc>
        <w:tc>
          <w:tcPr>
            <w:tcW w:w="445" w:type="pct"/>
            <w:tcMar>
              <w:left w:w="0" w:type="dxa"/>
              <w:right w:w="108" w:type="dxa"/>
            </w:tcMar>
            <w:vAlign w:val="center"/>
          </w:tcPr>
          <w:p w14:paraId="79337C99" w14:textId="77777777" w:rsidR="00CE1BDB" w:rsidRPr="00C75F28" w:rsidRDefault="00CE1BDB" w:rsidP="00F5328D">
            <w:pPr>
              <w:jc w:val="right"/>
              <w:rPr>
                <w:rFonts w:cs="Arial"/>
                <w:color w:val="000000"/>
                <w:sz w:val="20"/>
                <w:szCs w:val="20"/>
              </w:rPr>
            </w:pPr>
            <w:r w:rsidRPr="00C75F28">
              <w:rPr>
                <w:rFonts w:cs="Arial"/>
                <w:color w:val="000000"/>
                <w:sz w:val="20"/>
                <w:szCs w:val="20"/>
              </w:rPr>
              <w:t>3.8%</w:t>
            </w:r>
          </w:p>
        </w:tc>
      </w:tr>
      <w:tr w:rsidR="00F5328D" w:rsidRPr="00C75F28" w14:paraId="76B827DB" w14:textId="77777777" w:rsidTr="00F5328D">
        <w:tc>
          <w:tcPr>
            <w:tcW w:w="2005" w:type="pct"/>
            <w:shd w:val="clear" w:color="auto" w:fill="auto"/>
            <w:noWrap/>
            <w:vAlign w:val="bottom"/>
            <w:hideMark/>
          </w:tcPr>
          <w:p w14:paraId="7DF97358" w14:textId="77777777" w:rsidR="00CE1BDB" w:rsidRPr="00C75F28" w:rsidRDefault="00CE1BDB" w:rsidP="00EF49A7">
            <w:pPr>
              <w:rPr>
                <w:rFonts w:cs="Arial"/>
                <w:color w:val="000000"/>
                <w:sz w:val="20"/>
                <w:szCs w:val="20"/>
              </w:rPr>
            </w:pPr>
            <w:r w:rsidRPr="00C75F28">
              <w:rPr>
                <w:rFonts w:cs="Arial"/>
                <w:color w:val="000000"/>
                <w:sz w:val="20"/>
                <w:szCs w:val="20"/>
              </w:rPr>
              <w:t>Semi-detached house 3-bedrooms</w:t>
            </w:r>
          </w:p>
        </w:tc>
        <w:tc>
          <w:tcPr>
            <w:tcW w:w="418" w:type="pct"/>
            <w:shd w:val="clear" w:color="auto" w:fill="auto"/>
            <w:noWrap/>
            <w:tcMar>
              <w:left w:w="0" w:type="dxa"/>
              <w:right w:w="108" w:type="dxa"/>
            </w:tcMar>
            <w:vAlign w:val="center"/>
          </w:tcPr>
          <w:p w14:paraId="65CAF6CB"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366AC574" w14:textId="77777777" w:rsidR="00CE1BDB" w:rsidRPr="00C75F28" w:rsidRDefault="00CE1BDB" w:rsidP="00F5328D">
            <w:pPr>
              <w:jc w:val="right"/>
              <w:rPr>
                <w:rFonts w:cs="Arial"/>
                <w:sz w:val="20"/>
                <w:szCs w:val="20"/>
              </w:rPr>
            </w:pPr>
            <w:r w:rsidRPr="00C75F28">
              <w:rPr>
                <w:rFonts w:cs="Arial"/>
                <w:color w:val="000000"/>
                <w:sz w:val="20"/>
                <w:szCs w:val="20"/>
              </w:rPr>
              <w:t>1.1%</w:t>
            </w:r>
          </w:p>
        </w:tc>
        <w:tc>
          <w:tcPr>
            <w:tcW w:w="386" w:type="pct"/>
            <w:shd w:val="clear" w:color="auto" w:fill="auto"/>
            <w:noWrap/>
            <w:tcMar>
              <w:left w:w="0" w:type="dxa"/>
              <w:right w:w="108" w:type="dxa"/>
            </w:tcMar>
            <w:vAlign w:val="center"/>
          </w:tcPr>
          <w:p w14:paraId="3925C8B6" w14:textId="77777777" w:rsidR="00CE1BDB" w:rsidRPr="00C75F28" w:rsidRDefault="00CE1BDB" w:rsidP="00F5328D">
            <w:pPr>
              <w:jc w:val="right"/>
              <w:rPr>
                <w:rFonts w:cs="Arial"/>
                <w:sz w:val="20"/>
                <w:szCs w:val="20"/>
              </w:rPr>
            </w:pPr>
            <w:r w:rsidRPr="00C75F28">
              <w:rPr>
                <w:rFonts w:cs="Arial"/>
                <w:color w:val="000000"/>
                <w:sz w:val="20"/>
                <w:szCs w:val="20"/>
              </w:rPr>
              <w:t>16.1%</w:t>
            </w:r>
          </w:p>
        </w:tc>
        <w:tc>
          <w:tcPr>
            <w:tcW w:w="386" w:type="pct"/>
            <w:shd w:val="clear" w:color="auto" w:fill="auto"/>
            <w:noWrap/>
            <w:tcMar>
              <w:left w:w="0" w:type="dxa"/>
              <w:right w:w="108" w:type="dxa"/>
            </w:tcMar>
            <w:vAlign w:val="center"/>
          </w:tcPr>
          <w:p w14:paraId="7991B239"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656F392E" w14:textId="77777777" w:rsidR="00CE1BDB" w:rsidRPr="00C75F28" w:rsidRDefault="00CE1BDB" w:rsidP="00F5328D">
            <w:pPr>
              <w:jc w:val="right"/>
              <w:rPr>
                <w:rFonts w:cs="Arial"/>
                <w:sz w:val="20"/>
                <w:szCs w:val="20"/>
              </w:rPr>
            </w:pPr>
            <w:r w:rsidRPr="00C75F28">
              <w:rPr>
                <w:rFonts w:cs="Arial"/>
                <w:color w:val="000000"/>
                <w:sz w:val="20"/>
                <w:szCs w:val="20"/>
              </w:rPr>
              <w:t>17.3%</w:t>
            </w:r>
          </w:p>
        </w:tc>
        <w:tc>
          <w:tcPr>
            <w:tcW w:w="465" w:type="pct"/>
            <w:tcMar>
              <w:left w:w="0" w:type="dxa"/>
              <w:right w:w="108" w:type="dxa"/>
            </w:tcMar>
            <w:vAlign w:val="center"/>
          </w:tcPr>
          <w:p w14:paraId="76F178F1" w14:textId="77777777" w:rsidR="00CE1BDB" w:rsidRPr="00C75F28" w:rsidRDefault="00CE1BDB" w:rsidP="00F5328D">
            <w:pPr>
              <w:jc w:val="right"/>
              <w:rPr>
                <w:rFonts w:cs="Arial"/>
                <w:color w:val="000000"/>
                <w:sz w:val="20"/>
                <w:szCs w:val="20"/>
              </w:rPr>
            </w:pPr>
            <w:r w:rsidRPr="00C75F28">
              <w:rPr>
                <w:rFonts w:cs="Arial"/>
                <w:color w:val="000000"/>
                <w:sz w:val="20"/>
                <w:szCs w:val="20"/>
              </w:rPr>
              <w:t>15.5%</w:t>
            </w:r>
          </w:p>
        </w:tc>
        <w:tc>
          <w:tcPr>
            <w:tcW w:w="445" w:type="pct"/>
            <w:tcMar>
              <w:left w:w="0" w:type="dxa"/>
              <w:right w:w="108" w:type="dxa"/>
            </w:tcMar>
            <w:vAlign w:val="center"/>
          </w:tcPr>
          <w:p w14:paraId="28B9B096" w14:textId="77777777" w:rsidR="00CE1BDB" w:rsidRPr="00C75F28" w:rsidRDefault="00CE1BDB" w:rsidP="00F5328D">
            <w:pPr>
              <w:jc w:val="right"/>
              <w:rPr>
                <w:rFonts w:cs="Arial"/>
                <w:color w:val="000000"/>
                <w:sz w:val="20"/>
                <w:szCs w:val="20"/>
              </w:rPr>
            </w:pPr>
            <w:r w:rsidRPr="00C75F28">
              <w:rPr>
                <w:rFonts w:cs="Arial"/>
                <w:color w:val="000000"/>
                <w:sz w:val="20"/>
                <w:szCs w:val="20"/>
              </w:rPr>
              <w:t>17.7%</w:t>
            </w:r>
          </w:p>
        </w:tc>
      </w:tr>
      <w:tr w:rsidR="00F5328D" w:rsidRPr="00C75F28" w14:paraId="06ECFF60" w14:textId="77777777" w:rsidTr="00F5328D">
        <w:tc>
          <w:tcPr>
            <w:tcW w:w="2005" w:type="pct"/>
            <w:shd w:val="clear" w:color="auto" w:fill="auto"/>
            <w:noWrap/>
            <w:vAlign w:val="bottom"/>
            <w:hideMark/>
          </w:tcPr>
          <w:p w14:paraId="11DDF3B3" w14:textId="77777777" w:rsidR="00CE1BDB" w:rsidRPr="00C75F28" w:rsidRDefault="00CE1BDB" w:rsidP="00EF49A7">
            <w:pPr>
              <w:rPr>
                <w:rFonts w:cs="Arial"/>
                <w:color w:val="000000"/>
                <w:sz w:val="20"/>
                <w:szCs w:val="20"/>
              </w:rPr>
            </w:pPr>
            <w:r w:rsidRPr="00C75F28">
              <w:rPr>
                <w:rFonts w:cs="Arial"/>
                <w:color w:val="000000"/>
                <w:sz w:val="20"/>
                <w:szCs w:val="20"/>
              </w:rPr>
              <w:t>Semi-detached house 4 or more-bedrooms</w:t>
            </w:r>
          </w:p>
        </w:tc>
        <w:tc>
          <w:tcPr>
            <w:tcW w:w="418" w:type="pct"/>
            <w:shd w:val="clear" w:color="auto" w:fill="auto"/>
            <w:noWrap/>
            <w:tcMar>
              <w:left w:w="0" w:type="dxa"/>
              <w:right w:w="108" w:type="dxa"/>
            </w:tcMar>
            <w:vAlign w:val="center"/>
          </w:tcPr>
          <w:p w14:paraId="0ADAC650"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05F6ABF4"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632F6EA7" w14:textId="77777777" w:rsidR="00CE1BDB" w:rsidRPr="00C75F28" w:rsidRDefault="00CE1BDB" w:rsidP="00F5328D">
            <w:pPr>
              <w:jc w:val="right"/>
              <w:rPr>
                <w:rFonts w:cs="Arial"/>
                <w:sz w:val="20"/>
                <w:szCs w:val="20"/>
              </w:rPr>
            </w:pPr>
            <w:r w:rsidRPr="00C75F28">
              <w:rPr>
                <w:rFonts w:cs="Arial"/>
                <w:color w:val="000000"/>
                <w:sz w:val="20"/>
                <w:szCs w:val="20"/>
              </w:rPr>
              <w:t>2.0%</w:t>
            </w:r>
          </w:p>
        </w:tc>
        <w:tc>
          <w:tcPr>
            <w:tcW w:w="386" w:type="pct"/>
            <w:shd w:val="clear" w:color="auto" w:fill="auto"/>
            <w:noWrap/>
            <w:tcMar>
              <w:left w:w="0" w:type="dxa"/>
              <w:right w:w="108" w:type="dxa"/>
            </w:tcMar>
            <w:vAlign w:val="center"/>
          </w:tcPr>
          <w:p w14:paraId="2DB4F3A8" w14:textId="77777777" w:rsidR="00CE1BDB" w:rsidRPr="00C75F28" w:rsidRDefault="00CE1BDB" w:rsidP="00F5328D">
            <w:pPr>
              <w:jc w:val="right"/>
              <w:rPr>
                <w:rFonts w:cs="Arial"/>
                <w:sz w:val="20"/>
                <w:szCs w:val="20"/>
              </w:rPr>
            </w:pPr>
            <w:r w:rsidRPr="00C75F28">
              <w:rPr>
                <w:rFonts w:cs="Arial"/>
                <w:color w:val="000000"/>
                <w:sz w:val="20"/>
                <w:szCs w:val="20"/>
              </w:rPr>
              <w:t>0.2%</w:t>
            </w:r>
          </w:p>
        </w:tc>
        <w:tc>
          <w:tcPr>
            <w:tcW w:w="464" w:type="pct"/>
            <w:shd w:val="clear" w:color="auto" w:fill="auto"/>
            <w:noWrap/>
            <w:tcMar>
              <w:left w:w="0" w:type="dxa"/>
              <w:right w:w="108" w:type="dxa"/>
            </w:tcMar>
            <w:vAlign w:val="center"/>
          </w:tcPr>
          <w:p w14:paraId="11F43898" w14:textId="77777777" w:rsidR="00CE1BDB" w:rsidRPr="00C75F28" w:rsidRDefault="00CE1BDB" w:rsidP="00F5328D">
            <w:pPr>
              <w:jc w:val="right"/>
              <w:rPr>
                <w:rFonts w:cs="Arial"/>
                <w:sz w:val="20"/>
                <w:szCs w:val="20"/>
              </w:rPr>
            </w:pPr>
            <w:r w:rsidRPr="00C75F28">
              <w:rPr>
                <w:rFonts w:cs="Arial"/>
                <w:color w:val="000000"/>
                <w:sz w:val="20"/>
                <w:szCs w:val="20"/>
              </w:rPr>
              <w:t>2.2%</w:t>
            </w:r>
          </w:p>
        </w:tc>
        <w:tc>
          <w:tcPr>
            <w:tcW w:w="465" w:type="pct"/>
            <w:tcMar>
              <w:left w:w="0" w:type="dxa"/>
              <w:right w:w="108" w:type="dxa"/>
            </w:tcMar>
            <w:vAlign w:val="center"/>
          </w:tcPr>
          <w:p w14:paraId="612BDA69" w14:textId="77777777" w:rsidR="00CE1BDB" w:rsidRPr="00C75F28" w:rsidRDefault="00CE1BDB" w:rsidP="00F5328D">
            <w:pPr>
              <w:jc w:val="right"/>
              <w:rPr>
                <w:rFonts w:cs="Arial"/>
                <w:color w:val="000000"/>
                <w:sz w:val="20"/>
                <w:szCs w:val="20"/>
              </w:rPr>
            </w:pPr>
            <w:r w:rsidRPr="00C75F28">
              <w:rPr>
                <w:rFonts w:cs="Arial"/>
                <w:color w:val="000000"/>
                <w:sz w:val="20"/>
                <w:szCs w:val="20"/>
              </w:rPr>
              <w:t>2.8%</w:t>
            </w:r>
          </w:p>
        </w:tc>
        <w:tc>
          <w:tcPr>
            <w:tcW w:w="445" w:type="pct"/>
            <w:tcMar>
              <w:left w:w="0" w:type="dxa"/>
              <w:right w:w="108" w:type="dxa"/>
            </w:tcMar>
            <w:vAlign w:val="center"/>
          </w:tcPr>
          <w:p w14:paraId="6A66DB03" w14:textId="77777777" w:rsidR="00CE1BDB" w:rsidRPr="00C75F28" w:rsidRDefault="00CE1BDB" w:rsidP="00F5328D">
            <w:pPr>
              <w:jc w:val="right"/>
              <w:rPr>
                <w:rFonts w:cs="Arial"/>
                <w:color w:val="000000"/>
                <w:sz w:val="20"/>
                <w:szCs w:val="20"/>
              </w:rPr>
            </w:pPr>
            <w:r w:rsidRPr="00C75F28">
              <w:rPr>
                <w:rFonts w:cs="Arial"/>
                <w:color w:val="000000"/>
                <w:sz w:val="20"/>
                <w:szCs w:val="20"/>
              </w:rPr>
              <w:t>2.6%</w:t>
            </w:r>
          </w:p>
        </w:tc>
      </w:tr>
      <w:tr w:rsidR="00F5328D" w:rsidRPr="00C75F28" w14:paraId="5731D4C1" w14:textId="77777777" w:rsidTr="00F5328D">
        <w:tc>
          <w:tcPr>
            <w:tcW w:w="2005" w:type="pct"/>
            <w:shd w:val="clear" w:color="auto" w:fill="auto"/>
            <w:noWrap/>
            <w:vAlign w:val="bottom"/>
            <w:hideMark/>
          </w:tcPr>
          <w:p w14:paraId="4D0DADF6" w14:textId="77777777" w:rsidR="00CE1BDB" w:rsidRPr="00C75F28" w:rsidRDefault="00CE1BDB" w:rsidP="00EF49A7">
            <w:pPr>
              <w:rPr>
                <w:rFonts w:cs="Arial"/>
                <w:color w:val="000000"/>
                <w:sz w:val="20"/>
                <w:szCs w:val="20"/>
              </w:rPr>
            </w:pPr>
            <w:r w:rsidRPr="00C75F28">
              <w:rPr>
                <w:rFonts w:cs="Arial"/>
                <w:color w:val="000000"/>
                <w:sz w:val="20"/>
                <w:szCs w:val="20"/>
              </w:rPr>
              <w:t>Detached house 1-bedroom</w:t>
            </w:r>
          </w:p>
        </w:tc>
        <w:tc>
          <w:tcPr>
            <w:tcW w:w="418" w:type="pct"/>
            <w:shd w:val="clear" w:color="auto" w:fill="auto"/>
            <w:noWrap/>
            <w:tcMar>
              <w:left w:w="0" w:type="dxa"/>
              <w:right w:w="108" w:type="dxa"/>
            </w:tcMar>
            <w:vAlign w:val="center"/>
          </w:tcPr>
          <w:p w14:paraId="20D79707"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09C9A729"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181E8B8A"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66DBF716"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1FA2EB8C"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5" w:type="pct"/>
            <w:tcMar>
              <w:left w:w="0" w:type="dxa"/>
              <w:right w:w="108" w:type="dxa"/>
            </w:tcMar>
            <w:vAlign w:val="center"/>
          </w:tcPr>
          <w:p w14:paraId="48332A8F" w14:textId="77777777" w:rsidR="00CE1BDB" w:rsidRPr="00C75F28" w:rsidRDefault="00CE1BDB" w:rsidP="00F5328D">
            <w:pPr>
              <w:jc w:val="right"/>
              <w:rPr>
                <w:rFonts w:cs="Arial"/>
                <w:color w:val="000000"/>
                <w:sz w:val="20"/>
                <w:szCs w:val="20"/>
              </w:rPr>
            </w:pPr>
            <w:r w:rsidRPr="00C75F28">
              <w:rPr>
                <w:rFonts w:cs="Arial"/>
                <w:color w:val="000000"/>
                <w:sz w:val="20"/>
                <w:szCs w:val="20"/>
              </w:rPr>
              <w:t>0.0%</w:t>
            </w:r>
          </w:p>
        </w:tc>
        <w:tc>
          <w:tcPr>
            <w:tcW w:w="445" w:type="pct"/>
            <w:tcMar>
              <w:left w:w="0" w:type="dxa"/>
              <w:right w:w="108" w:type="dxa"/>
            </w:tcMar>
            <w:vAlign w:val="center"/>
          </w:tcPr>
          <w:p w14:paraId="6DF47B79" w14:textId="77777777" w:rsidR="00CE1BDB" w:rsidRPr="00C75F28" w:rsidRDefault="00CE1BDB" w:rsidP="00F5328D">
            <w:pPr>
              <w:jc w:val="right"/>
              <w:rPr>
                <w:rFonts w:cs="Arial"/>
                <w:color w:val="000000"/>
                <w:sz w:val="20"/>
                <w:szCs w:val="20"/>
              </w:rPr>
            </w:pPr>
            <w:r w:rsidRPr="00C75F28">
              <w:rPr>
                <w:rFonts w:cs="Arial"/>
                <w:color w:val="000000"/>
                <w:sz w:val="20"/>
                <w:szCs w:val="20"/>
              </w:rPr>
              <w:t>0.0%</w:t>
            </w:r>
          </w:p>
        </w:tc>
      </w:tr>
      <w:tr w:rsidR="00F5328D" w:rsidRPr="00C75F28" w14:paraId="23B80A51" w14:textId="77777777" w:rsidTr="00F5328D">
        <w:tc>
          <w:tcPr>
            <w:tcW w:w="2005" w:type="pct"/>
            <w:shd w:val="clear" w:color="auto" w:fill="auto"/>
            <w:noWrap/>
            <w:vAlign w:val="bottom"/>
            <w:hideMark/>
          </w:tcPr>
          <w:p w14:paraId="2DBBDD6F" w14:textId="77777777" w:rsidR="00CE1BDB" w:rsidRPr="00C75F28" w:rsidRDefault="00CE1BDB" w:rsidP="00EF49A7">
            <w:pPr>
              <w:rPr>
                <w:rFonts w:cs="Arial"/>
                <w:color w:val="000000"/>
                <w:sz w:val="20"/>
                <w:szCs w:val="20"/>
              </w:rPr>
            </w:pPr>
            <w:r w:rsidRPr="00C75F28">
              <w:rPr>
                <w:rFonts w:cs="Arial"/>
                <w:color w:val="000000"/>
                <w:sz w:val="20"/>
                <w:szCs w:val="20"/>
              </w:rPr>
              <w:t>Detached house 2-bedrooms</w:t>
            </w:r>
          </w:p>
        </w:tc>
        <w:tc>
          <w:tcPr>
            <w:tcW w:w="418" w:type="pct"/>
            <w:shd w:val="clear" w:color="auto" w:fill="auto"/>
            <w:noWrap/>
            <w:tcMar>
              <w:left w:w="0" w:type="dxa"/>
              <w:right w:w="108" w:type="dxa"/>
            </w:tcMar>
            <w:vAlign w:val="center"/>
          </w:tcPr>
          <w:p w14:paraId="1B2AC5B1"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52EECD06"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2E3C4216" w14:textId="77777777" w:rsidR="00CE1BDB" w:rsidRPr="00C75F28" w:rsidRDefault="00CE1BDB" w:rsidP="00F5328D">
            <w:pPr>
              <w:jc w:val="right"/>
              <w:rPr>
                <w:rFonts w:cs="Arial"/>
                <w:sz w:val="20"/>
                <w:szCs w:val="20"/>
              </w:rPr>
            </w:pPr>
            <w:r w:rsidRPr="00C75F28">
              <w:rPr>
                <w:rFonts w:cs="Arial"/>
                <w:color w:val="000000"/>
                <w:sz w:val="20"/>
                <w:szCs w:val="20"/>
              </w:rPr>
              <w:t>0.1%</w:t>
            </w:r>
          </w:p>
        </w:tc>
        <w:tc>
          <w:tcPr>
            <w:tcW w:w="386" w:type="pct"/>
            <w:shd w:val="clear" w:color="auto" w:fill="auto"/>
            <w:noWrap/>
            <w:tcMar>
              <w:left w:w="0" w:type="dxa"/>
              <w:right w:w="108" w:type="dxa"/>
            </w:tcMar>
            <w:vAlign w:val="center"/>
          </w:tcPr>
          <w:p w14:paraId="58C016D7"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464" w:type="pct"/>
            <w:shd w:val="clear" w:color="auto" w:fill="auto"/>
            <w:noWrap/>
            <w:tcMar>
              <w:left w:w="0" w:type="dxa"/>
              <w:right w:w="108" w:type="dxa"/>
            </w:tcMar>
            <w:vAlign w:val="center"/>
          </w:tcPr>
          <w:p w14:paraId="5C390F92" w14:textId="77777777" w:rsidR="00CE1BDB" w:rsidRPr="00C75F28" w:rsidRDefault="00CE1BDB" w:rsidP="00F5328D">
            <w:pPr>
              <w:jc w:val="right"/>
              <w:rPr>
                <w:rFonts w:cs="Arial"/>
                <w:sz w:val="20"/>
                <w:szCs w:val="20"/>
              </w:rPr>
            </w:pPr>
            <w:r w:rsidRPr="00C75F28">
              <w:rPr>
                <w:rFonts w:cs="Arial"/>
                <w:color w:val="000000"/>
                <w:sz w:val="20"/>
                <w:szCs w:val="20"/>
              </w:rPr>
              <w:t>0.1%</w:t>
            </w:r>
          </w:p>
        </w:tc>
        <w:tc>
          <w:tcPr>
            <w:tcW w:w="465" w:type="pct"/>
            <w:tcMar>
              <w:left w:w="0" w:type="dxa"/>
              <w:right w:w="108" w:type="dxa"/>
            </w:tcMar>
            <w:vAlign w:val="center"/>
          </w:tcPr>
          <w:p w14:paraId="1417293C" w14:textId="77777777" w:rsidR="00CE1BDB" w:rsidRPr="00C75F28" w:rsidRDefault="00CE1BDB" w:rsidP="00F5328D">
            <w:pPr>
              <w:jc w:val="right"/>
              <w:rPr>
                <w:rFonts w:cs="Arial"/>
                <w:color w:val="000000"/>
                <w:sz w:val="20"/>
                <w:szCs w:val="20"/>
              </w:rPr>
            </w:pPr>
            <w:r w:rsidRPr="00C75F28">
              <w:rPr>
                <w:rFonts w:cs="Arial"/>
                <w:color w:val="000000"/>
                <w:sz w:val="20"/>
                <w:szCs w:val="20"/>
              </w:rPr>
              <w:t>0.9%</w:t>
            </w:r>
          </w:p>
        </w:tc>
        <w:tc>
          <w:tcPr>
            <w:tcW w:w="445" w:type="pct"/>
            <w:tcMar>
              <w:left w:w="0" w:type="dxa"/>
              <w:right w:w="108" w:type="dxa"/>
            </w:tcMar>
            <w:vAlign w:val="center"/>
          </w:tcPr>
          <w:p w14:paraId="5795AA6D" w14:textId="77777777" w:rsidR="00CE1BDB" w:rsidRPr="00C75F28" w:rsidRDefault="00CE1BDB" w:rsidP="00F5328D">
            <w:pPr>
              <w:jc w:val="right"/>
              <w:rPr>
                <w:rFonts w:cs="Arial"/>
                <w:color w:val="000000"/>
                <w:sz w:val="20"/>
                <w:szCs w:val="20"/>
              </w:rPr>
            </w:pPr>
            <w:r w:rsidRPr="00C75F28">
              <w:rPr>
                <w:rFonts w:cs="Arial"/>
                <w:color w:val="000000"/>
                <w:sz w:val="20"/>
                <w:szCs w:val="20"/>
              </w:rPr>
              <w:t>0.7%</w:t>
            </w:r>
          </w:p>
        </w:tc>
      </w:tr>
      <w:tr w:rsidR="00F5328D" w:rsidRPr="00C75F28" w14:paraId="29702FF6" w14:textId="77777777" w:rsidTr="00F5328D">
        <w:tc>
          <w:tcPr>
            <w:tcW w:w="2005" w:type="pct"/>
            <w:shd w:val="clear" w:color="auto" w:fill="auto"/>
            <w:noWrap/>
            <w:vAlign w:val="bottom"/>
            <w:hideMark/>
          </w:tcPr>
          <w:p w14:paraId="66707C6C" w14:textId="77777777" w:rsidR="00CE1BDB" w:rsidRPr="00C75F28" w:rsidRDefault="00CE1BDB" w:rsidP="00EF49A7">
            <w:pPr>
              <w:rPr>
                <w:rFonts w:cs="Arial"/>
                <w:color w:val="000000"/>
                <w:sz w:val="20"/>
                <w:szCs w:val="20"/>
              </w:rPr>
            </w:pPr>
            <w:r w:rsidRPr="00C75F28">
              <w:rPr>
                <w:rFonts w:cs="Arial"/>
                <w:color w:val="000000"/>
                <w:sz w:val="20"/>
                <w:szCs w:val="20"/>
              </w:rPr>
              <w:t>Detached house 3-bedrooms</w:t>
            </w:r>
          </w:p>
        </w:tc>
        <w:tc>
          <w:tcPr>
            <w:tcW w:w="418" w:type="pct"/>
            <w:shd w:val="clear" w:color="auto" w:fill="auto"/>
            <w:noWrap/>
            <w:tcMar>
              <w:left w:w="0" w:type="dxa"/>
              <w:right w:w="108" w:type="dxa"/>
            </w:tcMar>
            <w:vAlign w:val="center"/>
          </w:tcPr>
          <w:p w14:paraId="04622184"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43AC761B"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4A3BC9A4" w14:textId="77777777" w:rsidR="00CE1BDB" w:rsidRPr="00C75F28" w:rsidRDefault="00CE1BDB" w:rsidP="00F5328D">
            <w:pPr>
              <w:jc w:val="right"/>
              <w:rPr>
                <w:rFonts w:cs="Arial"/>
                <w:sz w:val="20"/>
                <w:szCs w:val="20"/>
              </w:rPr>
            </w:pPr>
            <w:r w:rsidRPr="00C75F28">
              <w:rPr>
                <w:rFonts w:cs="Arial"/>
                <w:color w:val="000000"/>
                <w:sz w:val="20"/>
                <w:szCs w:val="20"/>
              </w:rPr>
              <w:t>2.9%</w:t>
            </w:r>
          </w:p>
        </w:tc>
        <w:tc>
          <w:tcPr>
            <w:tcW w:w="386" w:type="pct"/>
            <w:shd w:val="clear" w:color="auto" w:fill="auto"/>
            <w:noWrap/>
            <w:tcMar>
              <w:left w:w="0" w:type="dxa"/>
              <w:right w:w="108" w:type="dxa"/>
            </w:tcMar>
            <w:vAlign w:val="center"/>
          </w:tcPr>
          <w:p w14:paraId="72B37EA1" w14:textId="77777777" w:rsidR="00CE1BDB" w:rsidRPr="00C75F28" w:rsidRDefault="00CE1BDB" w:rsidP="00F5328D">
            <w:pPr>
              <w:jc w:val="right"/>
              <w:rPr>
                <w:rFonts w:cs="Arial"/>
                <w:sz w:val="20"/>
                <w:szCs w:val="20"/>
              </w:rPr>
            </w:pPr>
            <w:r w:rsidRPr="00C75F28">
              <w:rPr>
                <w:rFonts w:cs="Arial"/>
                <w:color w:val="000000"/>
                <w:sz w:val="20"/>
                <w:szCs w:val="20"/>
              </w:rPr>
              <w:t>0.4%</w:t>
            </w:r>
          </w:p>
        </w:tc>
        <w:tc>
          <w:tcPr>
            <w:tcW w:w="464" w:type="pct"/>
            <w:shd w:val="clear" w:color="auto" w:fill="auto"/>
            <w:noWrap/>
            <w:tcMar>
              <w:left w:w="0" w:type="dxa"/>
              <w:right w:w="108" w:type="dxa"/>
            </w:tcMar>
            <w:vAlign w:val="center"/>
          </w:tcPr>
          <w:p w14:paraId="6B0DCF76" w14:textId="77777777" w:rsidR="00CE1BDB" w:rsidRPr="00C75F28" w:rsidRDefault="00CE1BDB" w:rsidP="00F5328D">
            <w:pPr>
              <w:jc w:val="right"/>
              <w:rPr>
                <w:rFonts w:cs="Arial"/>
                <w:sz w:val="20"/>
                <w:szCs w:val="20"/>
              </w:rPr>
            </w:pPr>
            <w:r w:rsidRPr="00C75F28">
              <w:rPr>
                <w:rFonts w:cs="Arial"/>
                <w:color w:val="000000"/>
                <w:sz w:val="20"/>
                <w:szCs w:val="20"/>
              </w:rPr>
              <w:t>3.2%</w:t>
            </w:r>
          </w:p>
        </w:tc>
        <w:tc>
          <w:tcPr>
            <w:tcW w:w="465" w:type="pct"/>
            <w:tcMar>
              <w:left w:w="0" w:type="dxa"/>
              <w:right w:w="108" w:type="dxa"/>
            </w:tcMar>
            <w:vAlign w:val="center"/>
          </w:tcPr>
          <w:p w14:paraId="0BDCCE24" w14:textId="77777777" w:rsidR="00CE1BDB" w:rsidRPr="00C75F28" w:rsidRDefault="00CE1BDB" w:rsidP="00F5328D">
            <w:pPr>
              <w:jc w:val="right"/>
              <w:rPr>
                <w:rFonts w:cs="Arial"/>
                <w:color w:val="000000"/>
                <w:sz w:val="20"/>
                <w:szCs w:val="20"/>
              </w:rPr>
            </w:pPr>
            <w:r w:rsidRPr="00C75F28">
              <w:rPr>
                <w:rFonts w:cs="Arial"/>
                <w:color w:val="000000"/>
                <w:sz w:val="20"/>
                <w:szCs w:val="20"/>
              </w:rPr>
              <w:t>7.0%</w:t>
            </w:r>
          </w:p>
        </w:tc>
        <w:tc>
          <w:tcPr>
            <w:tcW w:w="445" w:type="pct"/>
            <w:tcMar>
              <w:left w:w="0" w:type="dxa"/>
              <w:right w:w="108" w:type="dxa"/>
            </w:tcMar>
            <w:vAlign w:val="center"/>
          </w:tcPr>
          <w:p w14:paraId="30DD00B0" w14:textId="77777777" w:rsidR="00CE1BDB" w:rsidRPr="00C75F28" w:rsidRDefault="00CE1BDB" w:rsidP="00F5328D">
            <w:pPr>
              <w:jc w:val="right"/>
              <w:rPr>
                <w:rFonts w:cs="Arial"/>
                <w:color w:val="000000"/>
                <w:sz w:val="20"/>
                <w:szCs w:val="20"/>
              </w:rPr>
            </w:pPr>
            <w:r w:rsidRPr="00C75F28">
              <w:rPr>
                <w:rFonts w:cs="Arial"/>
                <w:color w:val="000000"/>
                <w:sz w:val="20"/>
                <w:szCs w:val="20"/>
              </w:rPr>
              <w:t>5.9%</w:t>
            </w:r>
          </w:p>
        </w:tc>
      </w:tr>
      <w:tr w:rsidR="00F5328D" w:rsidRPr="00C75F28" w14:paraId="55D860C4" w14:textId="77777777" w:rsidTr="00F5328D">
        <w:tc>
          <w:tcPr>
            <w:tcW w:w="2005" w:type="pct"/>
            <w:shd w:val="clear" w:color="auto" w:fill="auto"/>
            <w:noWrap/>
            <w:vAlign w:val="bottom"/>
            <w:hideMark/>
          </w:tcPr>
          <w:p w14:paraId="4FECC9E8" w14:textId="77777777" w:rsidR="00CE1BDB" w:rsidRPr="00C75F28" w:rsidRDefault="00CE1BDB" w:rsidP="00EF49A7">
            <w:pPr>
              <w:rPr>
                <w:rFonts w:cs="Arial"/>
                <w:color w:val="000000"/>
                <w:sz w:val="20"/>
                <w:szCs w:val="20"/>
              </w:rPr>
            </w:pPr>
            <w:r w:rsidRPr="00C75F28">
              <w:rPr>
                <w:rFonts w:cs="Arial"/>
                <w:color w:val="000000"/>
                <w:sz w:val="20"/>
                <w:szCs w:val="20"/>
              </w:rPr>
              <w:t>Detached house 4 or more-bedrooms</w:t>
            </w:r>
          </w:p>
        </w:tc>
        <w:tc>
          <w:tcPr>
            <w:tcW w:w="418" w:type="pct"/>
            <w:shd w:val="clear" w:color="auto" w:fill="auto"/>
            <w:noWrap/>
            <w:tcMar>
              <w:left w:w="0" w:type="dxa"/>
              <w:right w:w="108" w:type="dxa"/>
            </w:tcMar>
            <w:vAlign w:val="center"/>
          </w:tcPr>
          <w:p w14:paraId="4A0AA571" w14:textId="77777777" w:rsidR="00CE1BDB" w:rsidRPr="00C75F28" w:rsidRDefault="00CE1BDB" w:rsidP="00F5328D">
            <w:pPr>
              <w:ind w:right="-19"/>
              <w:jc w:val="right"/>
              <w:rPr>
                <w:rFonts w:cs="Arial"/>
                <w:sz w:val="20"/>
                <w:szCs w:val="20"/>
              </w:rPr>
            </w:pPr>
            <w:r w:rsidRPr="00C75F28">
              <w:rPr>
                <w:rFonts w:cs="Arial"/>
                <w:color w:val="000000"/>
                <w:sz w:val="20"/>
                <w:szCs w:val="20"/>
              </w:rPr>
              <w:t>0.0%</w:t>
            </w:r>
          </w:p>
        </w:tc>
        <w:tc>
          <w:tcPr>
            <w:tcW w:w="431" w:type="pct"/>
            <w:shd w:val="clear" w:color="auto" w:fill="auto"/>
            <w:noWrap/>
            <w:tcMar>
              <w:left w:w="0" w:type="dxa"/>
              <w:right w:w="108" w:type="dxa"/>
            </w:tcMar>
            <w:vAlign w:val="center"/>
          </w:tcPr>
          <w:p w14:paraId="1579C9ED" w14:textId="77777777" w:rsidR="00CE1BDB" w:rsidRPr="00C75F28" w:rsidRDefault="00CE1BDB" w:rsidP="00F5328D">
            <w:pPr>
              <w:jc w:val="right"/>
              <w:rPr>
                <w:rFonts w:cs="Arial"/>
                <w:sz w:val="20"/>
                <w:szCs w:val="20"/>
              </w:rPr>
            </w:pPr>
            <w:r w:rsidRPr="00C75F28">
              <w:rPr>
                <w:rFonts w:cs="Arial"/>
                <w:color w:val="000000"/>
                <w:sz w:val="20"/>
                <w:szCs w:val="20"/>
              </w:rPr>
              <w:t>0.0%</w:t>
            </w:r>
          </w:p>
        </w:tc>
        <w:tc>
          <w:tcPr>
            <w:tcW w:w="386" w:type="pct"/>
            <w:shd w:val="clear" w:color="auto" w:fill="auto"/>
            <w:noWrap/>
            <w:tcMar>
              <w:left w:w="0" w:type="dxa"/>
              <w:right w:w="108" w:type="dxa"/>
            </w:tcMar>
            <w:vAlign w:val="center"/>
          </w:tcPr>
          <w:p w14:paraId="7C4455D2" w14:textId="77777777" w:rsidR="00CE1BDB" w:rsidRPr="00C75F28" w:rsidRDefault="00CE1BDB" w:rsidP="00F5328D">
            <w:pPr>
              <w:jc w:val="right"/>
              <w:rPr>
                <w:rFonts w:cs="Arial"/>
                <w:sz w:val="20"/>
                <w:szCs w:val="20"/>
              </w:rPr>
            </w:pPr>
            <w:r w:rsidRPr="00C75F28">
              <w:rPr>
                <w:rFonts w:cs="Arial"/>
                <w:color w:val="000000"/>
                <w:sz w:val="20"/>
                <w:szCs w:val="20"/>
              </w:rPr>
              <w:t>2.6%</w:t>
            </w:r>
          </w:p>
        </w:tc>
        <w:tc>
          <w:tcPr>
            <w:tcW w:w="386" w:type="pct"/>
            <w:shd w:val="clear" w:color="auto" w:fill="auto"/>
            <w:noWrap/>
            <w:tcMar>
              <w:left w:w="0" w:type="dxa"/>
              <w:right w:w="108" w:type="dxa"/>
            </w:tcMar>
            <w:vAlign w:val="center"/>
          </w:tcPr>
          <w:p w14:paraId="649D597D" w14:textId="77777777" w:rsidR="00CE1BDB" w:rsidRPr="00C75F28" w:rsidRDefault="00CE1BDB" w:rsidP="00F5328D">
            <w:pPr>
              <w:jc w:val="right"/>
              <w:rPr>
                <w:rFonts w:cs="Arial"/>
                <w:sz w:val="20"/>
                <w:szCs w:val="20"/>
              </w:rPr>
            </w:pPr>
            <w:r w:rsidRPr="00C75F28">
              <w:rPr>
                <w:rFonts w:cs="Arial"/>
                <w:color w:val="000000"/>
                <w:sz w:val="20"/>
                <w:szCs w:val="20"/>
              </w:rPr>
              <w:t>3.3%</w:t>
            </w:r>
          </w:p>
        </w:tc>
        <w:tc>
          <w:tcPr>
            <w:tcW w:w="464" w:type="pct"/>
            <w:shd w:val="clear" w:color="auto" w:fill="auto"/>
            <w:noWrap/>
            <w:tcMar>
              <w:left w:w="0" w:type="dxa"/>
              <w:right w:w="108" w:type="dxa"/>
            </w:tcMar>
            <w:vAlign w:val="center"/>
          </w:tcPr>
          <w:p w14:paraId="037F0886" w14:textId="77777777" w:rsidR="00CE1BDB" w:rsidRPr="00C75F28" w:rsidRDefault="00CE1BDB" w:rsidP="00F5328D">
            <w:pPr>
              <w:jc w:val="right"/>
              <w:rPr>
                <w:rFonts w:cs="Arial"/>
                <w:sz w:val="20"/>
                <w:szCs w:val="20"/>
              </w:rPr>
            </w:pPr>
            <w:r w:rsidRPr="00C75F28">
              <w:rPr>
                <w:rFonts w:cs="Arial"/>
                <w:color w:val="000000"/>
                <w:sz w:val="20"/>
                <w:szCs w:val="20"/>
              </w:rPr>
              <w:t>5.9%</w:t>
            </w:r>
          </w:p>
        </w:tc>
        <w:tc>
          <w:tcPr>
            <w:tcW w:w="465" w:type="pct"/>
            <w:tcMar>
              <w:left w:w="0" w:type="dxa"/>
              <w:right w:w="108" w:type="dxa"/>
            </w:tcMar>
            <w:vAlign w:val="center"/>
          </w:tcPr>
          <w:p w14:paraId="3B76B6AD" w14:textId="77777777" w:rsidR="00CE1BDB" w:rsidRPr="00C75F28" w:rsidRDefault="00CE1BDB" w:rsidP="00F5328D">
            <w:pPr>
              <w:jc w:val="right"/>
              <w:rPr>
                <w:rFonts w:cs="Arial"/>
                <w:color w:val="000000"/>
                <w:sz w:val="20"/>
                <w:szCs w:val="20"/>
              </w:rPr>
            </w:pPr>
            <w:r w:rsidRPr="00C75F28">
              <w:rPr>
                <w:rFonts w:cs="Arial"/>
                <w:color w:val="000000"/>
                <w:sz w:val="20"/>
                <w:szCs w:val="20"/>
              </w:rPr>
              <w:t>12.7%</w:t>
            </w:r>
          </w:p>
        </w:tc>
        <w:tc>
          <w:tcPr>
            <w:tcW w:w="445" w:type="pct"/>
            <w:tcMar>
              <w:left w:w="0" w:type="dxa"/>
              <w:right w:w="108" w:type="dxa"/>
            </w:tcMar>
            <w:vAlign w:val="center"/>
          </w:tcPr>
          <w:p w14:paraId="544AD4F3" w14:textId="77777777" w:rsidR="00CE1BDB" w:rsidRPr="00C75F28" w:rsidRDefault="00CE1BDB" w:rsidP="00F5328D">
            <w:pPr>
              <w:jc w:val="right"/>
              <w:rPr>
                <w:rFonts w:cs="Arial"/>
                <w:color w:val="000000"/>
                <w:sz w:val="20"/>
                <w:szCs w:val="20"/>
              </w:rPr>
            </w:pPr>
            <w:r w:rsidRPr="00C75F28">
              <w:rPr>
                <w:rFonts w:cs="Arial"/>
                <w:color w:val="000000"/>
                <w:sz w:val="20"/>
                <w:szCs w:val="20"/>
              </w:rPr>
              <w:t>9.3%</w:t>
            </w:r>
          </w:p>
        </w:tc>
      </w:tr>
      <w:tr w:rsidR="00F5328D" w:rsidRPr="00C75F28" w14:paraId="76CF23BB" w14:textId="77777777" w:rsidTr="00F5328D">
        <w:tc>
          <w:tcPr>
            <w:tcW w:w="2005" w:type="pct"/>
            <w:shd w:val="clear" w:color="auto" w:fill="auto"/>
            <w:noWrap/>
            <w:vAlign w:val="bottom"/>
            <w:hideMark/>
          </w:tcPr>
          <w:p w14:paraId="69052E05" w14:textId="77777777" w:rsidR="00CE1BDB" w:rsidRPr="00C75F28" w:rsidRDefault="00CE1BDB" w:rsidP="00EF49A7">
            <w:pPr>
              <w:rPr>
                <w:rFonts w:cs="Arial"/>
                <w:b/>
                <w:bCs/>
                <w:color w:val="000000"/>
                <w:sz w:val="20"/>
                <w:szCs w:val="20"/>
              </w:rPr>
            </w:pPr>
            <w:r w:rsidRPr="00C75F28">
              <w:rPr>
                <w:rFonts w:cs="Arial"/>
                <w:b/>
                <w:bCs/>
                <w:color w:val="000000"/>
                <w:sz w:val="20"/>
                <w:szCs w:val="20"/>
              </w:rPr>
              <w:t>Medway Total</w:t>
            </w:r>
          </w:p>
        </w:tc>
        <w:tc>
          <w:tcPr>
            <w:tcW w:w="418" w:type="pct"/>
            <w:shd w:val="clear" w:color="auto" w:fill="auto"/>
            <w:noWrap/>
            <w:tcMar>
              <w:left w:w="0" w:type="dxa"/>
              <w:right w:w="108" w:type="dxa"/>
            </w:tcMar>
            <w:vAlign w:val="center"/>
          </w:tcPr>
          <w:p w14:paraId="06C36876" w14:textId="77777777" w:rsidR="00CE1BDB" w:rsidRPr="00C75F28" w:rsidRDefault="00CE1BDB" w:rsidP="00F5328D">
            <w:pPr>
              <w:ind w:right="-19"/>
              <w:jc w:val="right"/>
              <w:rPr>
                <w:rFonts w:cs="Arial"/>
                <w:sz w:val="20"/>
                <w:szCs w:val="20"/>
              </w:rPr>
            </w:pPr>
            <w:r w:rsidRPr="00C75F28">
              <w:rPr>
                <w:rFonts w:cs="Arial"/>
                <w:color w:val="000000"/>
                <w:sz w:val="20"/>
                <w:szCs w:val="20"/>
              </w:rPr>
              <w:t>8.8%</w:t>
            </w:r>
          </w:p>
        </w:tc>
        <w:tc>
          <w:tcPr>
            <w:tcW w:w="431" w:type="pct"/>
            <w:shd w:val="clear" w:color="auto" w:fill="auto"/>
            <w:noWrap/>
            <w:tcMar>
              <w:left w:w="0" w:type="dxa"/>
              <w:right w:w="108" w:type="dxa"/>
            </w:tcMar>
            <w:vAlign w:val="center"/>
          </w:tcPr>
          <w:p w14:paraId="118B26E6" w14:textId="77777777" w:rsidR="00CE1BDB" w:rsidRPr="00C75F28" w:rsidRDefault="00CE1BDB" w:rsidP="00F5328D">
            <w:pPr>
              <w:jc w:val="right"/>
              <w:rPr>
                <w:rFonts w:cs="Arial"/>
                <w:sz w:val="20"/>
                <w:szCs w:val="20"/>
              </w:rPr>
            </w:pPr>
            <w:r w:rsidRPr="00C75F28">
              <w:rPr>
                <w:rFonts w:cs="Arial"/>
                <w:color w:val="000000"/>
                <w:sz w:val="20"/>
                <w:szCs w:val="20"/>
              </w:rPr>
              <w:t>33.8%</w:t>
            </w:r>
          </w:p>
        </w:tc>
        <w:tc>
          <w:tcPr>
            <w:tcW w:w="386" w:type="pct"/>
            <w:shd w:val="clear" w:color="auto" w:fill="auto"/>
            <w:noWrap/>
            <w:tcMar>
              <w:left w:w="0" w:type="dxa"/>
              <w:right w:w="108" w:type="dxa"/>
            </w:tcMar>
            <w:vAlign w:val="center"/>
          </w:tcPr>
          <w:p w14:paraId="22600997" w14:textId="77777777" w:rsidR="00CE1BDB" w:rsidRPr="00C75F28" w:rsidRDefault="00CE1BDB" w:rsidP="00F5328D">
            <w:pPr>
              <w:jc w:val="right"/>
              <w:rPr>
                <w:rFonts w:cs="Arial"/>
                <w:sz w:val="20"/>
                <w:szCs w:val="20"/>
              </w:rPr>
            </w:pPr>
            <w:r w:rsidRPr="00C75F28">
              <w:rPr>
                <w:rFonts w:cs="Arial"/>
                <w:color w:val="000000"/>
                <w:sz w:val="20"/>
                <w:szCs w:val="20"/>
              </w:rPr>
              <w:t>53.0%</w:t>
            </w:r>
          </w:p>
        </w:tc>
        <w:tc>
          <w:tcPr>
            <w:tcW w:w="386" w:type="pct"/>
            <w:shd w:val="clear" w:color="auto" w:fill="auto"/>
            <w:noWrap/>
            <w:tcMar>
              <w:left w:w="0" w:type="dxa"/>
              <w:right w:w="108" w:type="dxa"/>
            </w:tcMar>
            <w:vAlign w:val="center"/>
          </w:tcPr>
          <w:p w14:paraId="595CBCFF" w14:textId="77777777" w:rsidR="00CE1BDB" w:rsidRPr="00C75F28" w:rsidRDefault="00CE1BDB" w:rsidP="00F5328D">
            <w:pPr>
              <w:jc w:val="right"/>
              <w:rPr>
                <w:rFonts w:cs="Arial"/>
                <w:sz w:val="20"/>
                <w:szCs w:val="20"/>
              </w:rPr>
            </w:pPr>
            <w:r w:rsidRPr="00C75F28">
              <w:rPr>
                <w:rFonts w:cs="Arial"/>
                <w:color w:val="000000"/>
                <w:sz w:val="20"/>
                <w:szCs w:val="20"/>
              </w:rPr>
              <w:t>4.4%</w:t>
            </w:r>
          </w:p>
        </w:tc>
        <w:tc>
          <w:tcPr>
            <w:tcW w:w="464" w:type="pct"/>
            <w:shd w:val="clear" w:color="auto" w:fill="auto"/>
            <w:noWrap/>
            <w:tcMar>
              <w:left w:w="0" w:type="dxa"/>
              <w:right w:w="108" w:type="dxa"/>
            </w:tcMar>
            <w:vAlign w:val="center"/>
          </w:tcPr>
          <w:p w14:paraId="55CB65FE" w14:textId="77777777" w:rsidR="00CE1BDB" w:rsidRPr="00C75F28" w:rsidRDefault="00CE1BDB" w:rsidP="00F5328D">
            <w:pPr>
              <w:jc w:val="right"/>
              <w:rPr>
                <w:rFonts w:cs="Arial"/>
                <w:sz w:val="20"/>
                <w:szCs w:val="20"/>
              </w:rPr>
            </w:pPr>
            <w:r w:rsidRPr="00C75F28">
              <w:rPr>
                <w:rFonts w:cs="Arial"/>
                <w:color w:val="000000"/>
                <w:sz w:val="20"/>
                <w:szCs w:val="20"/>
              </w:rPr>
              <w:t>100.0%</w:t>
            </w:r>
          </w:p>
        </w:tc>
        <w:tc>
          <w:tcPr>
            <w:tcW w:w="465" w:type="pct"/>
            <w:tcMar>
              <w:left w:w="0" w:type="dxa"/>
              <w:right w:w="108" w:type="dxa"/>
            </w:tcMar>
            <w:vAlign w:val="center"/>
          </w:tcPr>
          <w:p w14:paraId="77149591" w14:textId="77777777" w:rsidR="00CE1BDB" w:rsidRPr="00C75F28" w:rsidRDefault="00CE1BDB" w:rsidP="00F5328D">
            <w:pPr>
              <w:jc w:val="right"/>
              <w:rPr>
                <w:rFonts w:cs="Arial"/>
                <w:color w:val="000000"/>
                <w:sz w:val="20"/>
                <w:szCs w:val="20"/>
              </w:rPr>
            </w:pPr>
          </w:p>
        </w:tc>
        <w:tc>
          <w:tcPr>
            <w:tcW w:w="445" w:type="pct"/>
            <w:tcMar>
              <w:left w:w="0" w:type="dxa"/>
              <w:right w:w="108" w:type="dxa"/>
            </w:tcMar>
            <w:vAlign w:val="center"/>
          </w:tcPr>
          <w:p w14:paraId="6BBAC2C6" w14:textId="77777777" w:rsidR="00CE1BDB" w:rsidRPr="00C75F28" w:rsidRDefault="00CE1BDB" w:rsidP="00F5328D">
            <w:pPr>
              <w:jc w:val="right"/>
              <w:rPr>
                <w:rFonts w:cs="Arial"/>
                <w:color w:val="000000"/>
                <w:sz w:val="20"/>
                <w:szCs w:val="20"/>
              </w:rPr>
            </w:pPr>
          </w:p>
        </w:tc>
      </w:tr>
      <w:tr w:rsidR="00F5328D" w:rsidRPr="00C75F28" w14:paraId="66D126C8" w14:textId="77777777" w:rsidTr="00F5328D">
        <w:tc>
          <w:tcPr>
            <w:tcW w:w="2005" w:type="pct"/>
            <w:shd w:val="clear" w:color="auto" w:fill="auto"/>
            <w:noWrap/>
            <w:vAlign w:val="bottom"/>
          </w:tcPr>
          <w:p w14:paraId="039ABC3E" w14:textId="77777777" w:rsidR="00CE1BDB" w:rsidRPr="00C75F28" w:rsidRDefault="00CE1BDB" w:rsidP="00EF49A7">
            <w:pPr>
              <w:rPr>
                <w:rFonts w:cs="Arial"/>
                <w:b/>
                <w:bCs/>
                <w:color w:val="000000"/>
                <w:sz w:val="20"/>
                <w:szCs w:val="20"/>
              </w:rPr>
            </w:pPr>
            <w:proofErr w:type="gramStart"/>
            <w:r w:rsidRPr="00C75F28">
              <w:rPr>
                <w:rFonts w:cs="Arial"/>
                <w:b/>
                <w:bCs/>
                <w:color w:val="000000"/>
                <w:sz w:val="20"/>
                <w:szCs w:val="20"/>
              </w:rPr>
              <w:t>South East</w:t>
            </w:r>
            <w:proofErr w:type="gramEnd"/>
            <w:r w:rsidRPr="00C75F28">
              <w:rPr>
                <w:rFonts w:cs="Arial"/>
                <w:b/>
                <w:bCs/>
                <w:color w:val="000000"/>
                <w:sz w:val="20"/>
                <w:szCs w:val="20"/>
              </w:rPr>
              <w:t xml:space="preserve"> Total</w:t>
            </w:r>
          </w:p>
        </w:tc>
        <w:tc>
          <w:tcPr>
            <w:tcW w:w="418" w:type="pct"/>
            <w:shd w:val="clear" w:color="auto" w:fill="auto"/>
            <w:noWrap/>
            <w:tcMar>
              <w:left w:w="0" w:type="dxa"/>
              <w:right w:w="108" w:type="dxa"/>
            </w:tcMar>
            <w:vAlign w:val="center"/>
          </w:tcPr>
          <w:p w14:paraId="62343B03" w14:textId="77777777" w:rsidR="00CE1BDB" w:rsidRPr="00C75F28" w:rsidRDefault="00CE1BDB" w:rsidP="00F5328D">
            <w:pPr>
              <w:jc w:val="right"/>
              <w:rPr>
                <w:rFonts w:cs="Arial"/>
                <w:color w:val="000000"/>
                <w:sz w:val="20"/>
                <w:szCs w:val="20"/>
              </w:rPr>
            </w:pPr>
            <w:r w:rsidRPr="00C75F28">
              <w:rPr>
                <w:rFonts w:cs="Arial"/>
                <w:color w:val="000000"/>
                <w:sz w:val="20"/>
                <w:szCs w:val="20"/>
              </w:rPr>
              <w:t>7.9%</w:t>
            </w:r>
          </w:p>
        </w:tc>
        <w:tc>
          <w:tcPr>
            <w:tcW w:w="431" w:type="pct"/>
            <w:shd w:val="clear" w:color="auto" w:fill="auto"/>
            <w:noWrap/>
            <w:tcMar>
              <w:left w:w="0" w:type="dxa"/>
              <w:right w:w="108" w:type="dxa"/>
            </w:tcMar>
            <w:vAlign w:val="center"/>
          </w:tcPr>
          <w:p w14:paraId="08C8CD8A" w14:textId="77777777" w:rsidR="00CE1BDB" w:rsidRPr="00C75F28" w:rsidRDefault="00CE1BDB" w:rsidP="00F5328D">
            <w:pPr>
              <w:jc w:val="right"/>
              <w:rPr>
                <w:rFonts w:cs="Arial"/>
                <w:color w:val="000000"/>
                <w:sz w:val="20"/>
                <w:szCs w:val="20"/>
              </w:rPr>
            </w:pPr>
            <w:r w:rsidRPr="00C75F28">
              <w:rPr>
                <w:rFonts w:cs="Arial"/>
                <w:color w:val="000000"/>
                <w:sz w:val="20"/>
                <w:szCs w:val="20"/>
              </w:rPr>
              <w:t>16.7%</w:t>
            </w:r>
          </w:p>
        </w:tc>
        <w:tc>
          <w:tcPr>
            <w:tcW w:w="386" w:type="pct"/>
            <w:shd w:val="clear" w:color="auto" w:fill="auto"/>
            <w:noWrap/>
            <w:tcMar>
              <w:left w:w="0" w:type="dxa"/>
              <w:right w:w="108" w:type="dxa"/>
            </w:tcMar>
            <w:vAlign w:val="center"/>
          </w:tcPr>
          <w:p w14:paraId="1A81ECBE" w14:textId="77777777" w:rsidR="00CE1BDB" w:rsidRPr="00C75F28" w:rsidRDefault="00CE1BDB" w:rsidP="00F5328D">
            <w:pPr>
              <w:jc w:val="right"/>
              <w:rPr>
                <w:rFonts w:cs="Arial"/>
                <w:color w:val="000000"/>
                <w:sz w:val="20"/>
                <w:szCs w:val="20"/>
              </w:rPr>
            </w:pPr>
            <w:r w:rsidRPr="00C75F28">
              <w:rPr>
                <w:rFonts w:cs="Arial"/>
                <w:color w:val="000000"/>
                <w:sz w:val="20"/>
                <w:szCs w:val="20"/>
              </w:rPr>
              <w:t>60.0%</w:t>
            </w:r>
          </w:p>
        </w:tc>
        <w:tc>
          <w:tcPr>
            <w:tcW w:w="386" w:type="pct"/>
            <w:shd w:val="clear" w:color="auto" w:fill="auto"/>
            <w:noWrap/>
            <w:tcMar>
              <w:left w:w="0" w:type="dxa"/>
              <w:right w:w="108" w:type="dxa"/>
            </w:tcMar>
            <w:vAlign w:val="center"/>
          </w:tcPr>
          <w:p w14:paraId="0564050D" w14:textId="77777777" w:rsidR="00CE1BDB" w:rsidRPr="00C75F28" w:rsidRDefault="00CE1BDB" w:rsidP="00F5328D">
            <w:pPr>
              <w:jc w:val="right"/>
              <w:rPr>
                <w:rFonts w:cs="Arial"/>
                <w:color w:val="000000"/>
                <w:sz w:val="20"/>
                <w:szCs w:val="20"/>
              </w:rPr>
            </w:pPr>
            <w:r w:rsidRPr="00C75F28">
              <w:rPr>
                <w:rFonts w:cs="Arial"/>
                <w:color w:val="000000"/>
                <w:sz w:val="20"/>
                <w:szCs w:val="20"/>
              </w:rPr>
              <w:t>15.3%</w:t>
            </w:r>
          </w:p>
        </w:tc>
        <w:tc>
          <w:tcPr>
            <w:tcW w:w="464" w:type="pct"/>
            <w:shd w:val="clear" w:color="auto" w:fill="auto"/>
            <w:noWrap/>
            <w:tcMar>
              <w:left w:w="0" w:type="dxa"/>
              <w:right w:w="108" w:type="dxa"/>
            </w:tcMar>
            <w:vAlign w:val="center"/>
          </w:tcPr>
          <w:p w14:paraId="692276E6" w14:textId="77777777" w:rsidR="00CE1BDB" w:rsidRPr="00C75F28" w:rsidRDefault="00CE1BDB" w:rsidP="00F5328D">
            <w:pPr>
              <w:jc w:val="right"/>
              <w:rPr>
                <w:rFonts w:cs="Arial"/>
                <w:color w:val="000000"/>
                <w:sz w:val="20"/>
                <w:szCs w:val="20"/>
              </w:rPr>
            </w:pPr>
          </w:p>
        </w:tc>
        <w:tc>
          <w:tcPr>
            <w:tcW w:w="465" w:type="pct"/>
            <w:tcMar>
              <w:left w:w="108" w:type="dxa"/>
              <w:right w:w="108" w:type="dxa"/>
            </w:tcMar>
            <w:vAlign w:val="center"/>
          </w:tcPr>
          <w:p w14:paraId="6A3831B7" w14:textId="77777777" w:rsidR="00CE1BDB" w:rsidRPr="00C75F28" w:rsidRDefault="00CE1BDB" w:rsidP="00F5328D">
            <w:pPr>
              <w:jc w:val="right"/>
              <w:rPr>
                <w:rFonts w:cs="Arial"/>
                <w:color w:val="000000"/>
                <w:sz w:val="20"/>
                <w:szCs w:val="20"/>
              </w:rPr>
            </w:pPr>
            <w:r w:rsidRPr="00C75F28">
              <w:rPr>
                <w:rFonts w:cs="Arial"/>
                <w:color w:val="000000"/>
                <w:sz w:val="20"/>
                <w:szCs w:val="20"/>
              </w:rPr>
              <w:t>100.0</w:t>
            </w:r>
          </w:p>
        </w:tc>
        <w:tc>
          <w:tcPr>
            <w:tcW w:w="445" w:type="pct"/>
            <w:tcMar>
              <w:left w:w="0" w:type="dxa"/>
              <w:right w:w="108" w:type="dxa"/>
            </w:tcMar>
            <w:vAlign w:val="center"/>
          </w:tcPr>
          <w:p w14:paraId="08D8235C" w14:textId="77777777" w:rsidR="00CE1BDB" w:rsidRPr="00C75F28" w:rsidRDefault="00CE1BDB" w:rsidP="00F5328D">
            <w:pPr>
              <w:jc w:val="right"/>
              <w:rPr>
                <w:rFonts w:cs="Arial"/>
                <w:color w:val="000000"/>
                <w:sz w:val="20"/>
                <w:szCs w:val="20"/>
              </w:rPr>
            </w:pPr>
          </w:p>
        </w:tc>
      </w:tr>
      <w:tr w:rsidR="00CE1BDB" w:rsidRPr="00C75F28" w14:paraId="16361B9D" w14:textId="77777777" w:rsidTr="00F5328D">
        <w:tc>
          <w:tcPr>
            <w:tcW w:w="4555" w:type="pct"/>
            <w:gridSpan w:val="7"/>
            <w:shd w:val="clear" w:color="auto" w:fill="auto"/>
            <w:noWrap/>
            <w:vAlign w:val="bottom"/>
          </w:tcPr>
          <w:p w14:paraId="00C9C6DD" w14:textId="77777777" w:rsidR="00CE1BDB" w:rsidRPr="00C75F28" w:rsidRDefault="00CE1BDB" w:rsidP="00EF49A7">
            <w:pPr>
              <w:rPr>
                <w:rFonts w:cs="Arial"/>
                <w:color w:val="000000"/>
                <w:sz w:val="20"/>
                <w:szCs w:val="20"/>
              </w:rPr>
            </w:pPr>
            <w:r w:rsidRPr="00C75F28">
              <w:rPr>
                <w:rFonts w:cs="Arial"/>
                <w:b/>
                <w:bCs/>
                <w:color w:val="000000"/>
                <w:sz w:val="20"/>
                <w:szCs w:val="20"/>
              </w:rPr>
              <w:t>England Total</w:t>
            </w:r>
          </w:p>
        </w:tc>
        <w:tc>
          <w:tcPr>
            <w:tcW w:w="445" w:type="pct"/>
            <w:vAlign w:val="bottom"/>
          </w:tcPr>
          <w:p w14:paraId="57DEB798" w14:textId="77777777" w:rsidR="00CE1BDB" w:rsidRPr="00C75F28" w:rsidRDefault="00CE1BDB" w:rsidP="00F5328D">
            <w:pPr>
              <w:jc w:val="right"/>
              <w:rPr>
                <w:rFonts w:cs="Arial"/>
                <w:color w:val="000000"/>
                <w:sz w:val="20"/>
                <w:szCs w:val="20"/>
              </w:rPr>
            </w:pPr>
            <w:r w:rsidRPr="00C75F28">
              <w:rPr>
                <w:rFonts w:cs="Arial"/>
                <w:color w:val="000000"/>
                <w:sz w:val="20"/>
                <w:szCs w:val="20"/>
              </w:rPr>
              <w:t>100.0</w:t>
            </w:r>
          </w:p>
        </w:tc>
      </w:tr>
      <w:tr w:rsidR="00CE1BDB" w:rsidRPr="00C75F28" w14:paraId="5F49F885" w14:textId="77777777" w:rsidTr="00F5328D">
        <w:tblPrEx>
          <w:tblCellMar>
            <w:left w:w="0" w:type="dxa"/>
            <w:right w:w="0" w:type="dxa"/>
          </w:tblCellMar>
        </w:tblPrEx>
        <w:trPr>
          <w:trHeight w:val="69"/>
        </w:trPr>
        <w:tc>
          <w:tcPr>
            <w:tcW w:w="5000" w:type="pct"/>
            <w:gridSpan w:val="8"/>
            <w:shd w:val="clear" w:color="auto" w:fill="auto"/>
            <w:noWrap/>
            <w:tcMar>
              <w:top w:w="15" w:type="dxa"/>
              <w:left w:w="108" w:type="dxa"/>
              <w:bottom w:w="0" w:type="dxa"/>
              <w:right w:w="108" w:type="dxa"/>
            </w:tcMar>
            <w:vAlign w:val="center"/>
            <w:hideMark/>
          </w:tcPr>
          <w:p w14:paraId="34CE095D" w14:textId="77777777" w:rsidR="00CE1BDB" w:rsidRPr="00C75F28" w:rsidRDefault="00CE1BDB" w:rsidP="00EF49A7">
            <w:pPr>
              <w:rPr>
                <w:rFonts w:cs="Arial"/>
                <w:color w:val="000000"/>
                <w:sz w:val="20"/>
                <w:szCs w:val="20"/>
              </w:rPr>
            </w:pPr>
            <w:r w:rsidRPr="00C75F28">
              <w:rPr>
                <w:rFonts w:cs="Arial"/>
                <w:color w:val="000000"/>
                <w:sz w:val="20"/>
                <w:szCs w:val="20"/>
              </w:rPr>
              <w:t xml:space="preserve">Base: Medway 112,450, SE 3,892,400, </w:t>
            </w:r>
            <w:proofErr w:type="gramStart"/>
            <w:r w:rsidRPr="00C75F28">
              <w:rPr>
                <w:rFonts w:cs="Arial"/>
                <w:color w:val="000000"/>
                <w:sz w:val="20"/>
                <w:szCs w:val="20"/>
              </w:rPr>
              <w:t>England  24,165,880</w:t>
            </w:r>
            <w:proofErr w:type="gramEnd"/>
            <w:r w:rsidRPr="00C75F28">
              <w:rPr>
                <w:rFonts w:cs="Arial"/>
                <w:color w:val="000000"/>
                <w:sz w:val="20"/>
                <w:szCs w:val="20"/>
              </w:rPr>
              <w:t xml:space="preserve">  (excludes annex, other and missing)</w:t>
            </w:r>
          </w:p>
        </w:tc>
      </w:tr>
    </w:tbl>
    <w:p w14:paraId="33CFE7F3" w14:textId="77777777" w:rsidR="00CE1BDB" w:rsidRPr="00FA4DC7" w:rsidRDefault="00CE1BDB" w:rsidP="00CE1BDB">
      <w:pPr>
        <w:rPr>
          <w:rFonts w:cs="Arial"/>
          <w:color w:val="000000"/>
          <w:sz w:val="22"/>
          <w:szCs w:val="22"/>
        </w:rPr>
      </w:pPr>
      <w:r w:rsidRPr="00FA4DC7">
        <w:rPr>
          <w:rFonts w:cs="Arial"/>
          <w:color w:val="000000"/>
          <w:sz w:val="22"/>
          <w:szCs w:val="22"/>
        </w:rPr>
        <w:t>Source: VOA 2020</w:t>
      </w:r>
    </w:p>
    <w:p w14:paraId="4A0222C1" w14:textId="77777777" w:rsidR="00CE1BDB" w:rsidRPr="00FA4DC7" w:rsidRDefault="00CE1BDB" w:rsidP="00CE1BDB">
      <w:pPr>
        <w:rPr>
          <w:rFonts w:cs="Arial"/>
          <w:color w:val="000000"/>
          <w:sz w:val="20"/>
          <w:szCs w:val="22"/>
          <w:highlight w:val="yellow"/>
        </w:rPr>
      </w:pPr>
    </w:p>
    <w:tbl>
      <w:tblPr>
        <w:tblW w:w="4784"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46"/>
        <w:gridCol w:w="1177"/>
        <w:gridCol w:w="1275"/>
        <w:gridCol w:w="1275"/>
        <w:gridCol w:w="1135"/>
        <w:gridCol w:w="1275"/>
      </w:tblGrid>
      <w:tr w:rsidR="00CE1BDB" w:rsidRPr="00FA4DC7" w14:paraId="38547178" w14:textId="77777777" w:rsidTr="00F5328D">
        <w:tc>
          <w:tcPr>
            <w:tcW w:w="5000" w:type="pct"/>
            <w:gridSpan w:val="6"/>
            <w:shd w:val="clear" w:color="auto" w:fill="006666"/>
            <w:noWrap/>
            <w:vAlign w:val="bottom"/>
          </w:tcPr>
          <w:p w14:paraId="4EFC18E9" w14:textId="77777777" w:rsidR="00CE1BDB" w:rsidRPr="00FA4DC7" w:rsidRDefault="00CE1BDB" w:rsidP="00EF49A7">
            <w:pPr>
              <w:pStyle w:val="Tableheading1"/>
              <w:rPr>
                <w:rFonts w:cs="Arial"/>
              </w:rPr>
            </w:pPr>
            <w:bookmarkStart w:id="147" w:name="_Toc46778430"/>
            <w:bookmarkStart w:id="148" w:name="_Toc83036055"/>
            <w:r w:rsidRPr="00FA4DC7">
              <w:rPr>
                <w:rFonts w:cs="Arial"/>
              </w:rPr>
              <w:t>Table 2.4</w:t>
            </w:r>
            <w:r w:rsidRPr="00FA4DC7">
              <w:rPr>
                <w:rFonts w:cs="Arial"/>
              </w:rPr>
              <w:tab/>
            </w:r>
            <w:r w:rsidRPr="00FA4DC7">
              <w:rPr>
                <w:rFonts w:cs="Arial"/>
                <w:lang w:val="en-US"/>
              </w:rPr>
              <w:t xml:space="preserve">Dwelling </w:t>
            </w:r>
            <w:r w:rsidRPr="00FA4DC7">
              <w:rPr>
                <w:rFonts w:cs="Arial"/>
              </w:rPr>
              <w:t>type, number of bedrooms and council tax band summary</w:t>
            </w:r>
            <w:bookmarkEnd w:id="147"/>
            <w:bookmarkEnd w:id="148"/>
          </w:p>
        </w:tc>
      </w:tr>
      <w:tr w:rsidR="00CE1BDB" w:rsidRPr="00FA4DC7" w14:paraId="148DD88F" w14:textId="77777777" w:rsidTr="00F5328D">
        <w:tc>
          <w:tcPr>
            <w:tcW w:w="1506" w:type="pct"/>
            <w:vMerge w:val="restart"/>
            <w:shd w:val="clear" w:color="auto" w:fill="006666"/>
            <w:noWrap/>
            <w:vAlign w:val="bottom"/>
            <w:hideMark/>
          </w:tcPr>
          <w:p w14:paraId="1A91E5BB" w14:textId="77777777" w:rsidR="00CE1BDB" w:rsidRPr="00FA4DC7" w:rsidRDefault="00CE1BDB" w:rsidP="00EF49A7">
            <w:pPr>
              <w:rPr>
                <w:rFonts w:cs="Arial"/>
                <w:b/>
                <w:bCs/>
                <w:color w:val="FFFFFF"/>
                <w:sz w:val="22"/>
              </w:rPr>
            </w:pPr>
            <w:r w:rsidRPr="00FA4DC7">
              <w:rPr>
                <w:rFonts w:cs="Arial"/>
                <w:b/>
                <w:bCs/>
                <w:color w:val="FFFFFF"/>
                <w:sz w:val="22"/>
              </w:rPr>
              <w:t xml:space="preserve">Dwelling type </w:t>
            </w:r>
          </w:p>
        </w:tc>
        <w:tc>
          <w:tcPr>
            <w:tcW w:w="2768" w:type="pct"/>
            <w:gridSpan w:val="4"/>
            <w:shd w:val="clear" w:color="auto" w:fill="006666"/>
            <w:vAlign w:val="bottom"/>
            <w:hideMark/>
          </w:tcPr>
          <w:p w14:paraId="6A27084E" w14:textId="77777777" w:rsidR="00CE1BDB" w:rsidRPr="00FA4DC7" w:rsidRDefault="00CE1BDB" w:rsidP="00EF49A7">
            <w:pPr>
              <w:jc w:val="center"/>
              <w:rPr>
                <w:rFonts w:cs="Arial"/>
                <w:b/>
                <w:bCs/>
                <w:color w:val="FFFFFF"/>
                <w:sz w:val="22"/>
              </w:rPr>
            </w:pPr>
            <w:r w:rsidRPr="00FA4DC7">
              <w:rPr>
                <w:rFonts w:cs="Arial"/>
                <w:b/>
                <w:bCs/>
                <w:color w:val="FFFFFF"/>
                <w:sz w:val="22"/>
              </w:rPr>
              <w:t>Council Tax Band</w:t>
            </w:r>
          </w:p>
        </w:tc>
        <w:tc>
          <w:tcPr>
            <w:tcW w:w="726" w:type="pct"/>
            <w:vMerge w:val="restart"/>
            <w:shd w:val="clear" w:color="auto" w:fill="006666"/>
            <w:vAlign w:val="bottom"/>
          </w:tcPr>
          <w:p w14:paraId="76767C36" w14:textId="77777777" w:rsidR="00CE1BDB" w:rsidRPr="00FA4DC7" w:rsidRDefault="00CE1BDB" w:rsidP="00EF49A7">
            <w:pPr>
              <w:jc w:val="center"/>
              <w:rPr>
                <w:rFonts w:cs="Arial"/>
                <w:b/>
                <w:bCs/>
                <w:color w:val="FFFFFF"/>
                <w:sz w:val="22"/>
              </w:rPr>
            </w:pPr>
            <w:r w:rsidRPr="00FA4DC7">
              <w:rPr>
                <w:rFonts w:cs="Arial"/>
                <w:b/>
                <w:bCs/>
                <w:color w:val="FFFFFF"/>
                <w:sz w:val="22"/>
              </w:rPr>
              <w:t xml:space="preserve">Medway </w:t>
            </w:r>
          </w:p>
          <w:p w14:paraId="3A8828B1" w14:textId="77777777" w:rsidR="00CE1BDB" w:rsidRPr="00FA4DC7" w:rsidRDefault="00CE1BDB" w:rsidP="00EF49A7">
            <w:pPr>
              <w:jc w:val="center"/>
              <w:rPr>
                <w:rFonts w:cs="Arial"/>
                <w:b/>
                <w:bCs/>
                <w:color w:val="FFFFFF"/>
                <w:sz w:val="22"/>
              </w:rPr>
            </w:pPr>
            <w:r w:rsidRPr="00FA4DC7">
              <w:rPr>
                <w:rFonts w:cs="Arial"/>
                <w:b/>
                <w:bCs/>
                <w:color w:val="FFFFFF"/>
                <w:sz w:val="22"/>
              </w:rPr>
              <w:t>Total</w:t>
            </w:r>
          </w:p>
        </w:tc>
      </w:tr>
      <w:tr w:rsidR="00CE1BDB" w:rsidRPr="00FA4DC7" w14:paraId="1BC13E3F" w14:textId="77777777" w:rsidTr="00F5328D">
        <w:tc>
          <w:tcPr>
            <w:tcW w:w="1506" w:type="pct"/>
            <w:vMerge/>
            <w:shd w:val="clear" w:color="000000" w:fill="009193"/>
            <w:noWrap/>
            <w:vAlign w:val="bottom"/>
            <w:hideMark/>
          </w:tcPr>
          <w:p w14:paraId="20B999A7" w14:textId="77777777" w:rsidR="00CE1BDB" w:rsidRPr="00FA4DC7" w:rsidRDefault="00CE1BDB" w:rsidP="00EF49A7">
            <w:pPr>
              <w:rPr>
                <w:rFonts w:cs="Arial"/>
                <w:color w:val="FFFFFF"/>
                <w:sz w:val="22"/>
              </w:rPr>
            </w:pPr>
          </w:p>
        </w:tc>
        <w:tc>
          <w:tcPr>
            <w:tcW w:w="670" w:type="pct"/>
            <w:shd w:val="clear" w:color="auto" w:fill="006666"/>
            <w:noWrap/>
            <w:vAlign w:val="bottom"/>
            <w:hideMark/>
          </w:tcPr>
          <w:p w14:paraId="0B485BE3" w14:textId="77777777" w:rsidR="00CE1BDB" w:rsidRPr="00FA4DC7" w:rsidRDefault="00CE1BDB" w:rsidP="00EF49A7">
            <w:pPr>
              <w:jc w:val="center"/>
              <w:rPr>
                <w:rFonts w:cs="Arial"/>
                <w:b/>
                <w:bCs/>
                <w:color w:val="FFFFFF"/>
                <w:sz w:val="22"/>
              </w:rPr>
            </w:pPr>
            <w:r w:rsidRPr="00FA4DC7">
              <w:rPr>
                <w:rFonts w:cs="Arial"/>
                <w:b/>
                <w:bCs/>
                <w:color w:val="FFFFFF"/>
                <w:sz w:val="22"/>
              </w:rPr>
              <w:t>A</w:t>
            </w:r>
          </w:p>
        </w:tc>
        <w:tc>
          <w:tcPr>
            <w:tcW w:w="726" w:type="pct"/>
            <w:shd w:val="clear" w:color="auto" w:fill="006666"/>
            <w:noWrap/>
            <w:vAlign w:val="bottom"/>
            <w:hideMark/>
          </w:tcPr>
          <w:p w14:paraId="71F9BA20" w14:textId="77777777" w:rsidR="00CE1BDB" w:rsidRPr="00FA4DC7" w:rsidRDefault="00CE1BDB" w:rsidP="00EF49A7">
            <w:pPr>
              <w:jc w:val="center"/>
              <w:rPr>
                <w:rFonts w:cs="Arial"/>
                <w:b/>
                <w:bCs/>
                <w:color w:val="FFFFFF"/>
                <w:sz w:val="22"/>
              </w:rPr>
            </w:pPr>
            <w:r w:rsidRPr="00FA4DC7">
              <w:rPr>
                <w:rFonts w:cs="Arial"/>
                <w:b/>
                <w:bCs/>
                <w:color w:val="FFFFFF"/>
                <w:sz w:val="22"/>
              </w:rPr>
              <w:t>B</w:t>
            </w:r>
          </w:p>
        </w:tc>
        <w:tc>
          <w:tcPr>
            <w:tcW w:w="726" w:type="pct"/>
            <w:shd w:val="clear" w:color="auto" w:fill="006666"/>
            <w:noWrap/>
            <w:vAlign w:val="bottom"/>
            <w:hideMark/>
          </w:tcPr>
          <w:p w14:paraId="14665357" w14:textId="77777777" w:rsidR="00CE1BDB" w:rsidRPr="00FA4DC7" w:rsidRDefault="00CE1BDB" w:rsidP="00EF49A7">
            <w:pPr>
              <w:jc w:val="center"/>
              <w:rPr>
                <w:rFonts w:cs="Arial"/>
                <w:b/>
                <w:bCs/>
                <w:color w:val="FFFFFF"/>
                <w:sz w:val="22"/>
              </w:rPr>
            </w:pPr>
            <w:r w:rsidRPr="00FA4DC7">
              <w:rPr>
                <w:rFonts w:cs="Arial"/>
                <w:b/>
                <w:bCs/>
                <w:color w:val="FFFFFF"/>
                <w:sz w:val="22"/>
              </w:rPr>
              <w:t>C-E</w:t>
            </w:r>
          </w:p>
        </w:tc>
        <w:tc>
          <w:tcPr>
            <w:tcW w:w="646" w:type="pct"/>
            <w:shd w:val="clear" w:color="auto" w:fill="006666"/>
            <w:noWrap/>
            <w:vAlign w:val="bottom"/>
            <w:hideMark/>
          </w:tcPr>
          <w:p w14:paraId="3497F1DE" w14:textId="77777777" w:rsidR="00CE1BDB" w:rsidRPr="00FA4DC7" w:rsidRDefault="00CE1BDB" w:rsidP="00EF49A7">
            <w:pPr>
              <w:jc w:val="center"/>
              <w:rPr>
                <w:rFonts w:cs="Arial"/>
                <w:b/>
                <w:bCs/>
                <w:color w:val="FFFFFF"/>
                <w:sz w:val="22"/>
              </w:rPr>
            </w:pPr>
            <w:r w:rsidRPr="00FA4DC7">
              <w:rPr>
                <w:rFonts w:cs="Arial"/>
                <w:b/>
                <w:bCs/>
                <w:color w:val="FFFFFF"/>
                <w:sz w:val="22"/>
              </w:rPr>
              <w:t>F+</w:t>
            </w:r>
          </w:p>
        </w:tc>
        <w:tc>
          <w:tcPr>
            <w:tcW w:w="726" w:type="pct"/>
            <w:vMerge/>
            <w:shd w:val="clear" w:color="000000" w:fill="009193"/>
            <w:noWrap/>
            <w:vAlign w:val="bottom"/>
            <w:hideMark/>
          </w:tcPr>
          <w:p w14:paraId="4426B381" w14:textId="77777777" w:rsidR="00CE1BDB" w:rsidRPr="00FA4DC7" w:rsidRDefault="00CE1BDB" w:rsidP="00EF49A7">
            <w:pPr>
              <w:jc w:val="center"/>
              <w:rPr>
                <w:rFonts w:cs="Arial"/>
                <w:b/>
                <w:bCs/>
                <w:color w:val="FFFFFF"/>
                <w:sz w:val="22"/>
              </w:rPr>
            </w:pPr>
          </w:p>
        </w:tc>
      </w:tr>
      <w:tr w:rsidR="00CE1BDB" w:rsidRPr="00FA4DC7" w14:paraId="50362CB3" w14:textId="77777777" w:rsidTr="00F5328D">
        <w:tc>
          <w:tcPr>
            <w:tcW w:w="1506" w:type="pct"/>
            <w:shd w:val="clear" w:color="auto" w:fill="auto"/>
            <w:vAlign w:val="bottom"/>
            <w:hideMark/>
          </w:tcPr>
          <w:p w14:paraId="5F7DBD51" w14:textId="77777777" w:rsidR="00CE1BDB" w:rsidRPr="00FA4DC7" w:rsidRDefault="00CE1BDB" w:rsidP="00EF49A7">
            <w:pPr>
              <w:rPr>
                <w:rFonts w:cs="Arial"/>
                <w:color w:val="000000"/>
                <w:sz w:val="22"/>
              </w:rPr>
            </w:pPr>
            <w:r w:rsidRPr="00FA4DC7">
              <w:rPr>
                <w:rFonts w:cs="Arial"/>
                <w:color w:val="000000"/>
                <w:sz w:val="22"/>
              </w:rPr>
              <w:t xml:space="preserve">Bungalow </w:t>
            </w:r>
          </w:p>
        </w:tc>
        <w:tc>
          <w:tcPr>
            <w:tcW w:w="670" w:type="pct"/>
            <w:shd w:val="clear" w:color="auto" w:fill="auto"/>
            <w:noWrap/>
            <w:vAlign w:val="center"/>
          </w:tcPr>
          <w:p w14:paraId="75D4C2BC" w14:textId="77777777" w:rsidR="00CE1BDB" w:rsidRPr="00FA4DC7" w:rsidRDefault="00CE1BDB" w:rsidP="00F5328D">
            <w:pPr>
              <w:jc w:val="right"/>
              <w:rPr>
                <w:rFonts w:cs="Arial"/>
                <w:color w:val="000000"/>
                <w:sz w:val="22"/>
              </w:rPr>
            </w:pPr>
            <w:r w:rsidRPr="00FA4DC7">
              <w:rPr>
                <w:rFonts w:cs="Arial"/>
                <w:color w:val="000000"/>
                <w:sz w:val="22"/>
                <w:szCs w:val="22"/>
              </w:rPr>
              <w:t>0.1%</w:t>
            </w:r>
          </w:p>
        </w:tc>
        <w:tc>
          <w:tcPr>
            <w:tcW w:w="726" w:type="pct"/>
            <w:shd w:val="clear" w:color="auto" w:fill="auto"/>
            <w:noWrap/>
            <w:vAlign w:val="center"/>
          </w:tcPr>
          <w:p w14:paraId="7E3F9F3A" w14:textId="77777777" w:rsidR="00CE1BDB" w:rsidRPr="00FA4DC7" w:rsidRDefault="00CE1BDB" w:rsidP="00F5328D">
            <w:pPr>
              <w:jc w:val="right"/>
              <w:rPr>
                <w:rFonts w:cs="Arial"/>
                <w:color w:val="000000"/>
                <w:sz w:val="22"/>
              </w:rPr>
            </w:pPr>
            <w:r w:rsidRPr="00FA4DC7">
              <w:rPr>
                <w:rFonts w:cs="Arial"/>
                <w:color w:val="000000"/>
                <w:sz w:val="22"/>
                <w:szCs w:val="22"/>
              </w:rPr>
              <w:t>1.1%</w:t>
            </w:r>
          </w:p>
        </w:tc>
        <w:tc>
          <w:tcPr>
            <w:tcW w:w="726" w:type="pct"/>
            <w:shd w:val="clear" w:color="auto" w:fill="auto"/>
            <w:noWrap/>
            <w:vAlign w:val="center"/>
          </w:tcPr>
          <w:p w14:paraId="69CC7ADD" w14:textId="77777777" w:rsidR="00CE1BDB" w:rsidRPr="00FA4DC7" w:rsidRDefault="00CE1BDB" w:rsidP="00F5328D">
            <w:pPr>
              <w:jc w:val="right"/>
              <w:rPr>
                <w:rFonts w:cs="Arial"/>
                <w:color w:val="000000"/>
                <w:sz w:val="22"/>
              </w:rPr>
            </w:pPr>
            <w:r w:rsidRPr="00FA4DC7">
              <w:rPr>
                <w:rFonts w:cs="Arial"/>
                <w:color w:val="000000"/>
                <w:sz w:val="22"/>
                <w:szCs w:val="22"/>
              </w:rPr>
              <w:t>5.0%</w:t>
            </w:r>
          </w:p>
        </w:tc>
        <w:tc>
          <w:tcPr>
            <w:tcW w:w="646" w:type="pct"/>
            <w:shd w:val="clear" w:color="auto" w:fill="auto"/>
            <w:noWrap/>
            <w:vAlign w:val="center"/>
          </w:tcPr>
          <w:p w14:paraId="649267CB" w14:textId="77777777" w:rsidR="00CE1BDB" w:rsidRPr="00FA4DC7" w:rsidRDefault="00CE1BDB" w:rsidP="00F5328D">
            <w:pPr>
              <w:jc w:val="right"/>
              <w:rPr>
                <w:rFonts w:cs="Arial"/>
                <w:color w:val="000000"/>
                <w:sz w:val="22"/>
              </w:rPr>
            </w:pPr>
            <w:r w:rsidRPr="00FA4DC7">
              <w:rPr>
                <w:rFonts w:cs="Arial"/>
                <w:color w:val="000000"/>
                <w:sz w:val="22"/>
                <w:szCs w:val="22"/>
              </w:rPr>
              <w:t>0.3%</w:t>
            </w:r>
          </w:p>
        </w:tc>
        <w:tc>
          <w:tcPr>
            <w:tcW w:w="726" w:type="pct"/>
            <w:shd w:val="clear" w:color="auto" w:fill="auto"/>
            <w:noWrap/>
            <w:vAlign w:val="center"/>
          </w:tcPr>
          <w:p w14:paraId="5FA4CC15" w14:textId="77777777" w:rsidR="00CE1BDB" w:rsidRPr="00FA4DC7" w:rsidRDefault="00CE1BDB" w:rsidP="00F5328D">
            <w:pPr>
              <w:jc w:val="right"/>
              <w:rPr>
                <w:rFonts w:cs="Arial"/>
                <w:color w:val="000000"/>
                <w:sz w:val="22"/>
              </w:rPr>
            </w:pPr>
            <w:r w:rsidRPr="00FA4DC7">
              <w:rPr>
                <w:rFonts w:cs="Arial"/>
                <w:color w:val="000000"/>
                <w:sz w:val="22"/>
                <w:szCs w:val="22"/>
              </w:rPr>
              <w:t>6.5%</w:t>
            </w:r>
          </w:p>
        </w:tc>
      </w:tr>
      <w:tr w:rsidR="00CE1BDB" w:rsidRPr="00FA4DC7" w14:paraId="04EFD291" w14:textId="77777777" w:rsidTr="00F5328D">
        <w:tc>
          <w:tcPr>
            <w:tcW w:w="1506" w:type="pct"/>
            <w:shd w:val="clear" w:color="auto" w:fill="auto"/>
            <w:vAlign w:val="bottom"/>
            <w:hideMark/>
          </w:tcPr>
          <w:p w14:paraId="495DBE85" w14:textId="77777777" w:rsidR="00CE1BDB" w:rsidRPr="00FA4DC7" w:rsidRDefault="00CE1BDB" w:rsidP="00EF49A7">
            <w:pPr>
              <w:rPr>
                <w:rFonts w:cs="Arial"/>
                <w:color w:val="000000"/>
                <w:sz w:val="22"/>
              </w:rPr>
            </w:pPr>
            <w:r w:rsidRPr="00FA4DC7">
              <w:rPr>
                <w:rFonts w:cs="Arial"/>
                <w:color w:val="000000"/>
                <w:sz w:val="22"/>
              </w:rPr>
              <w:t>Flat</w:t>
            </w:r>
          </w:p>
        </w:tc>
        <w:tc>
          <w:tcPr>
            <w:tcW w:w="670" w:type="pct"/>
            <w:shd w:val="clear" w:color="auto" w:fill="auto"/>
            <w:noWrap/>
            <w:vAlign w:val="center"/>
          </w:tcPr>
          <w:p w14:paraId="2C62D8F2" w14:textId="77777777" w:rsidR="00CE1BDB" w:rsidRPr="00FA4DC7" w:rsidRDefault="00CE1BDB" w:rsidP="00F5328D">
            <w:pPr>
              <w:jc w:val="right"/>
              <w:rPr>
                <w:rFonts w:cs="Arial"/>
                <w:color w:val="000000"/>
                <w:sz w:val="22"/>
              </w:rPr>
            </w:pPr>
            <w:r w:rsidRPr="00FA4DC7">
              <w:rPr>
                <w:rFonts w:cs="Arial"/>
                <w:color w:val="000000"/>
                <w:sz w:val="22"/>
                <w:szCs w:val="22"/>
              </w:rPr>
              <w:t>8.6%</w:t>
            </w:r>
          </w:p>
        </w:tc>
        <w:tc>
          <w:tcPr>
            <w:tcW w:w="726" w:type="pct"/>
            <w:shd w:val="clear" w:color="auto" w:fill="auto"/>
            <w:noWrap/>
            <w:vAlign w:val="center"/>
          </w:tcPr>
          <w:p w14:paraId="67299394" w14:textId="77777777" w:rsidR="00CE1BDB" w:rsidRPr="00FA4DC7" w:rsidRDefault="00CE1BDB" w:rsidP="00F5328D">
            <w:pPr>
              <w:jc w:val="right"/>
              <w:rPr>
                <w:rFonts w:cs="Arial"/>
                <w:color w:val="000000"/>
                <w:sz w:val="22"/>
              </w:rPr>
            </w:pPr>
            <w:r w:rsidRPr="00FA4DC7">
              <w:rPr>
                <w:rFonts w:cs="Arial"/>
                <w:color w:val="000000"/>
                <w:sz w:val="22"/>
                <w:szCs w:val="22"/>
              </w:rPr>
              <w:t>5.4%</w:t>
            </w:r>
          </w:p>
        </w:tc>
        <w:tc>
          <w:tcPr>
            <w:tcW w:w="726" w:type="pct"/>
            <w:shd w:val="clear" w:color="auto" w:fill="auto"/>
            <w:noWrap/>
            <w:vAlign w:val="center"/>
          </w:tcPr>
          <w:p w14:paraId="410F8289" w14:textId="77777777" w:rsidR="00CE1BDB" w:rsidRPr="00FA4DC7" w:rsidRDefault="00CE1BDB" w:rsidP="00F5328D">
            <w:pPr>
              <w:jc w:val="right"/>
              <w:rPr>
                <w:rFonts w:cs="Arial"/>
                <w:color w:val="000000"/>
                <w:sz w:val="22"/>
              </w:rPr>
            </w:pPr>
            <w:r w:rsidRPr="00FA4DC7">
              <w:rPr>
                <w:rFonts w:cs="Arial"/>
                <w:color w:val="000000"/>
                <w:sz w:val="22"/>
                <w:szCs w:val="22"/>
              </w:rPr>
              <w:t>3.6%</w:t>
            </w:r>
          </w:p>
        </w:tc>
        <w:tc>
          <w:tcPr>
            <w:tcW w:w="646" w:type="pct"/>
            <w:shd w:val="clear" w:color="auto" w:fill="auto"/>
            <w:noWrap/>
            <w:vAlign w:val="center"/>
          </w:tcPr>
          <w:p w14:paraId="0B0F9F95"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7169DA7D" w14:textId="77777777" w:rsidR="00CE1BDB" w:rsidRPr="00FA4DC7" w:rsidRDefault="00CE1BDB" w:rsidP="00F5328D">
            <w:pPr>
              <w:jc w:val="right"/>
              <w:rPr>
                <w:rFonts w:cs="Arial"/>
                <w:color w:val="000000"/>
                <w:sz w:val="22"/>
              </w:rPr>
            </w:pPr>
            <w:r w:rsidRPr="00FA4DC7">
              <w:rPr>
                <w:rFonts w:cs="Arial"/>
                <w:color w:val="000000"/>
                <w:sz w:val="22"/>
                <w:szCs w:val="22"/>
              </w:rPr>
              <w:t>17.7%</w:t>
            </w:r>
          </w:p>
        </w:tc>
      </w:tr>
      <w:tr w:rsidR="00CE1BDB" w:rsidRPr="00FA4DC7" w14:paraId="69C27417" w14:textId="77777777" w:rsidTr="00F5328D">
        <w:trPr>
          <w:trHeight w:val="211"/>
        </w:trPr>
        <w:tc>
          <w:tcPr>
            <w:tcW w:w="1506" w:type="pct"/>
            <w:shd w:val="clear" w:color="auto" w:fill="auto"/>
            <w:vAlign w:val="bottom"/>
            <w:hideMark/>
          </w:tcPr>
          <w:p w14:paraId="7F6DC08A" w14:textId="77777777" w:rsidR="00CE1BDB" w:rsidRPr="00FA4DC7" w:rsidRDefault="00CE1BDB" w:rsidP="00EF49A7">
            <w:pPr>
              <w:rPr>
                <w:rFonts w:cs="Arial"/>
                <w:color w:val="000000"/>
                <w:sz w:val="22"/>
              </w:rPr>
            </w:pPr>
            <w:r w:rsidRPr="00FA4DC7">
              <w:rPr>
                <w:rFonts w:cs="Arial"/>
                <w:color w:val="000000"/>
                <w:sz w:val="22"/>
              </w:rPr>
              <w:t>Terraced</w:t>
            </w:r>
          </w:p>
        </w:tc>
        <w:tc>
          <w:tcPr>
            <w:tcW w:w="670" w:type="pct"/>
            <w:shd w:val="clear" w:color="auto" w:fill="auto"/>
            <w:noWrap/>
            <w:vAlign w:val="center"/>
          </w:tcPr>
          <w:p w14:paraId="3080735B" w14:textId="77777777" w:rsidR="00CE1BDB" w:rsidRPr="00FA4DC7" w:rsidRDefault="00CE1BDB" w:rsidP="00F5328D">
            <w:pPr>
              <w:jc w:val="right"/>
              <w:rPr>
                <w:rFonts w:cs="Arial"/>
                <w:color w:val="000000"/>
                <w:sz w:val="22"/>
              </w:rPr>
            </w:pPr>
            <w:r w:rsidRPr="00FA4DC7">
              <w:rPr>
                <w:rFonts w:cs="Arial"/>
                <w:color w:val="000000"/>
                <w:sz w:val="22"/>
                <w:szCs w:val="22"/>
              </w:rPr>
              <w:t>0.1%</w:t>
            </w:r>
          </w:p>
        </w:tc>
        <w:tc>
          <w:tcPr>
            <w:tcW w:w="726" w:type="pct"/>
            <w:shd w:val="clear" w:color="auto" w:fill="auto"/>
            <w:noWrap/>
            <w:vAlign w:val="center"/>
          </w:tcPr>
          <w:p w14:paraId="4AD64266" w14:textId="77777777" w:rsidR="00CE1BDB" w:rsidRPr="00FA4DC7" w:rsidRDefault="00CE1BDB" w:rsidP="00F5328D">
            <w:pPr>
              <w:jc w:val="right"/>
              <w:rPr>
                <w:rFonts w:cs="Arial"/>
                <w:color w:val="000000"/>
                <w:sz w:val="22"/>
              </w:rPr>
            </w:pPr>
            <w:r w:rsidRPr="00FA4DC7">
              <w:rPr>
                <w:rFonts w:cs="Arial"/>
                <w:color w:val="000000"/>
                <w:sz w:val="22"/>
                <w:szCs w:val="22"/>
              </w:rPr>
              <w:t>24.8%</w:t>
            </w:r>
          </w:p>
        </w:tc>
        <w:tc>
          <w:tcPr>
            <w:tcW w:w="726" w:type="pct"/>
            <w:shd w:val="clear" w:color="auto" w:fill="auto"/>
            <w:noWrap/>
            <w:vAlign w:val="center"/>
          </w:tcPr>
          <w:p w14:paraId="18BE22D1" w14:textId="77777777" w:rsidR="00CE1BDB" w:rsidRPr="00FA4DC7" w:rsidRDefault="00CE1BDB" w:rsidP="00F5328D">
            <w:pPr>
              <w:jc w:val="right"/>
              <w:rPr>
                <w:rFonts w:cs="Arial"/>
                <w:color w:val="000000"/>
                <w:sz w:val="22"/>
              </w:rPr>
            </w:pPr>
            <w:r w:rsidRPr="00FA4DC7">
              <w:rPr>
                <w:rFonts w:cs="Arial"/>
                <w:color w:val="000000"/>
                <w:sz w:val="22"/>
                <w:szCs w:val="22"/>
              </w:rPr>
              <w:t>18.4%</w:t>
            </w:r>
          </w:p>
        </w:tc>
        <w:tc>
          <w:tcPr>
            <w:tcW w:w="646" w:type="pct"/>
            <w:shd w:val="clear" w:color="auto" w:fill="auto"/>
            <w:noWrap/>
            <w:vAlign w:val="center"/>
          </w:tcPr>
          <w:p w14:paraId="514A64A5" w14:textId="77777777" w:rsidR="00CE1BDB" w:rsidRPr="00FA4DC7" w:rsidRDefault="00CE1BDB" w:rsidP="00F5328D">
            <w:pPr>
              <w:jc w:val="right"/>
              <w:rPr>
                <w:rFonts w:cs="Arial"/>
                <w:color w:val="000000"/>
                <w:sz w:val="22"/>
              </w:rPr>
            </w:pPr>
            <w:r w:rsidRPr="00FA4DC7">
              <w:rPr>
                <w:rFonts w:cs="Arial"/>
                <w:color w:val="000000"/>
                <w:sz w:val="22"/>
                <w:szCs w:val="22"/>
              </w:rPr>
              <w:t>0.2%</w:t>
            </w:r>
          </w:p>
        </w:tc>
        <w:tc>
          <w:tcPr>
            <w:tcW w:w="726" w:type="pct"/>
            <w:shd w:val="clear" w:color="auto" w:fill="auto"/>
            <w:noWrap/>
            <w:vAlign w:val="center"/>
          </w:tcPr>
          <w:p w14:paraId="2E03FB0A" w14:textId="77777777" w:rsidR="00CE1BDB" w:rsidRPr="00FA4DC7" w:rsidRDefault="00CE1BDB" w:rsidP="00F5328D">
            <w:pPr>
              <w:jc w:val="right"/>
              <w:rPr>
                <w:rFonts w:cs="Arial"/>
                <w:color w:val="000000"/>
                <w:sz w:val="22"/>
              </w:rPr>
            </w:pPr>
            <w:r w:rsidRPr="00FA4DC7">
              <w:rPr>
                <w:rFonts w:cs="Arial"/>
                <w:color w:val="000000"/>
                <w:sz w:val="22"/>
                <w:szCs w:val="22"/>
              </w:rPr>
              <w:t>43.5%</w:t>
            </w:r>
          </w:p>
        </w:tc>
      </w:tr>
      <w:tr w:rsidR="00CE1BDB" w:rsidRPr="00FA4DC7" w14:paraId="1C82167F" w14:textId="77777777" w:rsidTr="00F5328D">
        <w:tc>
          <w:tcPr>
            <w:tcW w:w="1506" w:type="pct"/>
            <w:shd w:val="clear" w:color="auto" w:fill="auto"/>
            <w:vAlign w:val="bottom"/>
            <w:hideMark/>
          </w:tcPr>
          <w:p w14:paraId="63EC7ECE" w14:textId="77777777" w:rsidR="00CE1BDB" w:rsidRPr="00FA4DC7" w:rsidRDefault="00CE1BDB" w:rsidP="00EF49A7">
            <w:pPr>
              <w:rPr>
                <w:rFonts w:cs="Arial"/>
                <w:color w:val="000000"/>
                <w:sz w:val="22"/>
              </w:rPr>
            </w:pPr>
            <w:r w:rsidRPr="00FA4DC7">
              <w:rPr>
                <w:rFonts w:cs="Arial"/>
                <w:color w:val="000000"/>
                <w:sz w:val="22"/>
              </w:rPr>
              <w:t>Semi-detached</w:t>
            </w:r>
          </w:p>
        </w:tc>
        <w:tc>
          <w:tcPr>
            <w:tcW w:w="670" w:type="pct"/>
            <w:shd w:val="clear" w:color="auto" w:fill="auto"/>
            <w:noWrap/>
            <w:vAlign w:val="center"/>
          </w:tcPr>
          <w:p w14:paraId="02C9869F"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083E36D1" w14:textId="77777777" w:rsidR="00CE1BDB" w:rsidRPr="00FA4DC7" w:rsidRDefault="00CE1BDB" w:rsidP="00F5328D">
            <w:pPr>
              <w:jc w:val="right"/>
              <w:rPr>
                <w:rFonts w:cs="Arial"/>
                <w:color w:val="000000"/>
                <w:sz w:val="22"/>
              </w:rPr>
            </w:pPr>
            <w:r w:rsidRPr="00FA4DC7">
              <w:rPr>
                <w:rFonts w:cs="Arial"/>
                <w:color w:val="000000"/>
                <w:sz w:val="22"/>
                <w:szCs w:val="22"/>
              </w:rPr>
              <w:t>2.5%</w:t>
            </w:r>
          </w:p>
        </w:tc>
        <w:tc>
          <w:tcPr>
            <w:tcW w:w="726" w:type="pct"/>
            <w:shd w:val="clear" w:color="auto" w:fill="auto"/>
            <w:noWrap/>
            <w:vAlign w:val="center"/>
          </w:tcPr>
          <w:p w14:paraId="55C9941E" w14:textId="77777777" w:rsidR="00CE1BDB" w:rsidRPr="00FA4DC7" w:rsidRDefault="00CE1BDB" w:rsidP="00F5328D">
            <w:pPr>
              <w:jc w:val="right"/>
              <w:rPr>
                <w:rFonts w:cs="Arial"/>
                <w:color w:val="000000"/>
                <w:sz w:val="22"/>
              </w:rPr>
            </w:pPr>
            <w:r w:rsidRPr="00FA4DC7">
              <w:rPr>
                <w:rFonts w:cs="Arial"/>
                <w:color w:val="000000"/>
                <w:sz w:val="22"/>
                <w:szCs w:val="22"/>
              </w:rPr>
              <w:t>20.3%</w:t>
            </w:r>
          </w:p>
        </w:tc>
        <w:tc>
          <w:tcPr>
            <w:tcW w:w="646" w:type="pct"/>
            <w:shd w:val="clear" w:color="auto" w:fill="auto"/>
            <w:noWrap/>
            <w:vAlign w:val="center"/>
          </w:tcPr>
          <w:p w14:paraId="31442978" w14:textId="77777777" w:rsidR="00CE1BDB" w:rsidRPr="00FA4DC7" w:rsidRDefault="00CE1BDB" w:rsidP="00F5328D">
            <w:pPr>
              <w:jc w:val="right"/>
              <w:rPr>
                <w:rFonts w:cs="Arial"/>
                <w:color w:val="000000"/>
                <w:sz w:val="22"/>
              </w:rPr>
            </w:pPr>
            <w:r w:rsidRPr="00FA4DC7">
              <w:rPr>
                <w:rFonts w:cs="Arial"/>
                <w:color w:val="000000"/>
                <w:sz w:val="22"/>
                <w:szCs w:val="22"/>
              </w:rPr>
              <w:t>0.2%</w:t>
            </w:r>
          </w:p>
        </w:tc>
        <w:tc>
          <w:tcPr>
            <w:tcW w:w="726" w:type="pct"/>
            <w:shd w:val="clear" w:color="auto" w:fill="auto"/>
            <w:noWrap/>
            <w:vAlign w:val="center"/>
          </w:tcPr>
          <w:p w14:paraId="1EF79E56" w14:textId="77777777" w:rsidR="00CE1BDB" w:rsidRPr="00FA4DC7" w:rsidRDefault="00CE1BDB" w:rsidP="00F5328D">
            <w:pPr>
              <w:jc w:val="right"/>
              <w:rPr>
                <w:rFonts w:cs="Arial"/>
                <w:color w:val="000000"/>
                <w:sz w:val="22"/>
              </w:rPr>
            </w:pPr>
            <w:r w:rsidRPr="00FA4DC7">
              <w:rPr>
                <w:rFonts w:cs="Arial"/>
                <w:color w:val="000000"/>
                <w:sz w:val="22"/>
                <w:szCs w:val="22"/>
              </w:rPr>
              <w:t>23.1%</w:t>
            </w:r>
          </w:p>
        </w:tc>
      </w:tr>
      <w:tr w:rsidR="00CE1BDB" w:rsidRPr="00FA4DC7" w14:paraId="7EA70E1E" w14:textId="77777777" w:rsidTr="00F5328D">
        <w:tc>
          <w:tcPr>
            <w:tcW w:w="1506" w:type="pct"/>
            <w:shd w:val="clear" w:color="auto" w:fill="auto"/>
            <w:noWrap/>
            <w:vAlign w:val="bottom"/>
            <w:hideMark/>
          </w:tcPr>
          <w:p w14:paraId="45A5C407" w14:textId="77777777" w:rsidR="00CE1BDB" w:rsidRPr="00FA4DC7" w:rsidRDefault="00CE1BDB" w:rsidP="00EF49A7">
            <w:pPr>
              <w:rPr>
                <w:rFonts w:cs="Arial"/>
                <w:color w:val="000000"/>
                <w:sz w:val="22"/>
              </w:rPr>
            </w:pPr>
            <w:r w:rsidRPr="00FA4DC7">
              <w:rPr>
                <w:rFonts w:cs="Arial"/>
                <w:color w:val="000000"/>
                <w:sz w:val="22"/>
              </w:rPr>
              <w:t>Detached</w:t>
            </w:r>
          </w:p>
        </w:tc>
        <w:tc>
          <w:tcPr>
            <w:tcW w:w="670" w:type="pct"/>
            <w:shd w:val="clear" w:color="auto" w:fill="auto"/>
            <w:noWrap/>
            <w:vAlign w:val="center"/>
          </w:tcPr>
          <w:p w14:paraId="035E1BBC"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4C5AB0F2"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4E430FDA" w14:textId="77777777" w:rsidR="00CE1BDB" w:rsidRPr="00FA4DC7" w:rsidRDefault="00CE1BDB" w:rsidP="00F5328D">
            <w:pPr>
              <w:jc w:val="right"/>
              <w:rPr>
                <w:rFonts w:cs="Arial"/>
                <w:color w:val="000000"/>
                <w:sz w:val="22"/>
              </w:rPr>
            </w:pPr>
            <w:r w:rsidRPr="00FA4DC7">
              <w:rPr>
                <w:rFonts w:cs="Arial"/>
                <w:color w:val="000000"/>
                <w:sz w:val="22"/>
                <w:szCs w:val="22"/>
              </w:rPr>
              <w:t>5.5%</w:t>
            </w:r>
          </w:p>
        </w:tc>
        <w:tc>
          <w:tcPr>
            <w:tcW w:w="646" w:type="pct"/>
            <w:shd w:val="clear" w:color="auto" w:fill="auto"/>
            <w:noWrap/>
            <w:vAlign w:val="center"/>
          </w:tcPr>
          <w:p w14:paraId="7DC3F329" w14:textId="77777777" w:rsidR="00CE1BDB" w:rsidRPr="00FA4DC7" w:rsidRDefault="00CE1BDB" w:rsidP="00F5328D">
            <w:pPr>
              <w:jc w:val="right"/>
              <w:rPr>
                <w:rFonts w:cs="Arial"/>
                <w:color w:val="000000"/>
                <w:sz w:val="22"/>
              </w:rPr>
            </w:pPr>
            <w:r w:rsidRPr="00FA4DC7">
              <w:rPr>
                <w:rFonts w:cs="Arial"/>
                <w:color w:val="000000"/>
                <w:sz w:val="22"/>
                <w:szCs w:val="22"/>
              </w:rPr>
              <w:t>3.7%</w:t>
            </w:r>
          </w:p>
        </w:tc>
        <w:tc>
          <w:tcPr>
            <w:tcW w:w="726" w:type="pct"/>
            <w:shd w:val="clear" w:color="auto" w:fill="auto"/>
            <w:noWrap/>
            <w:vAlign w:val="center"/>
          </w:tcPr>
          <w:p w14:paraId="61546B59" w14:textId="77777777" w:rsidR="00CE1BDB" w:rsidRPr="00FA4DC7" w:rsidRDefault="00CE1BDB" w:rsidP="00F5328D">
            <w:pPr>
              <w:jc w:val="right"/>
              <w:rPr>
                <w:rFonts w:cs="Arial"/>
                <w:color w:val="000000"/>
                <w:sz w:val="22"/>
              </w:rPr>
            </w:pPr>
            <w:r w:rsidRPr="00FA4DC7">
              <w:rPr>
                <w:rFonts w:cs="Arial"/>
                <w:color w:val="000000"/>
                <w:sz w:val="22"/>
                <w:szCs w:val="22"/>
              </w:rPr>
              <w:t>9.2%</w:t>
            </w:r>
          </w:p>
        </w:tc>
      </w:tr>
      <w:tr w:rsidR="00CE1BDB" w:rsidRPr="00FA4DC7" w14:paraId="52778B17" w14:textId="77777777" w:rsidTr="00F5328D">
        <w:tc>
          <w:tcPr>
            <w:tcW w:w="1506" w:type="pct"/>
            <w:shd w:val="clear" w:color="auto" w:fill="auto"/>
            <w:noWrap/>
            <w:vAlign w:val="bottom"/>
          </w:tcPr>
          <w:p w14:paraId="69D59E77" w14:textId="77777777" w:rsidR="00CE1BDB" w:rsidRPr="00FA4DC7" w:rsidRDefault="00CE1BDB" w:rsidP="00EF49A7">
            <w:pPr>
              <w:rPr>
                <w:rFonts w:cs="Arial"/>
                <w:color w:val="000000"/>
                <w:sz w:val="22"/>
              </w:rPr>
            </w:pPr>
            <w:r w:rsidRPr="00FA4DC7">
              <w:rPr>
                <w:rFonts w:cs="Arial"/>
                <w:color w:val="000000"/>
                <w:sz w:val="22"/>
              </w:rPr>
              <w:t>Total</w:t>
            </w:r>
          </w:p>
        </w:tc>
        <w:tc>
          <w:tcPr>
            <w:tcW w:w="670" w:type="pct"/>
            <w:shd w:val="clear" w:color="auto" w:fill="auto"/>
            <w:noWrap/>
            <w:vAlign w:val="center"/>
          </w:tcPr>
          <w:p w14:paraId="432D27F4" w14:textId="77777777" w:rsidR="00CE1BDB" w:rsidRPr="00FA4DC7" w:rsidRDefault="00CE1BDB" w:rsidP="00F5328D">
            <w:pPr>
              <w:jc w:val="right"/>
              <w:rPr>
                <w:rFonts w:cs="Arial"/>
                <w:color w:val="000000"/>
                <w:sz w:val="22"/>
              </w:rPr>
            </w:pPr>
            <w:r w:rsidRPr="00FA4DC7">
              <w:rPr>
                <w:rFonts w:cs="Arial"/>
                <w:color w:val="000000"/>
                <w:sz w:val="22"/>
                <w:szCs w:val="22"/>
              </w:rPr>
              <w:t>8.8%</w:t>
            </w:r>
          </w:p>
        </w:tc>
        <w:tc>
          <w:tcPr>
            <w:tcW w:w="726" w:type="pct"/>
            <w:shd w:val="clear" w:color="auto" w:fill="auto"/>
            <w:noWrap/>
            <w:vAlign w:val="center"/>
          </w:tcPr>
          <w:p w14:paraId="3662849F" w14:textId="77777777" w:rsidR="00CE1BDB" w:rsidRPr="00FA4DC7" w:rsidRDefault="00CE1BDB" w:rsidP="00F5328D">
            <w:pPr>
              <w:jc w:val="right"/>
              <w:rPr>
                <w:rFonts w:cs="Arial"/>
                <w:color w:val="000000"/>
                <w:sz w:val="22"/>
              </w:rPr>
            </w:pPr>
            <w:r w:rsidRPr="00FA4DC7">
              <w:rPr>
                <w:rFonts w:cs="Arial"/>
                <w:color w:val="000000"/>
                <w:sz w:val="22"/>
                <w:szCs w:val="22"/>
              </w:rPr>
              <w:t>33.8%</w:t>
            </w:r>
          </w:p>
        </w:tc>
        <w:tc>
          <w:tcPr>
            <w:tcW w:w="726" w:type="pct"/>
            <w:shd w:val="clear" w:color="auto" w:fill="auto"/>
            <w:noWrap/>
            <w:vAlign w:val="center"/>
          </w:tcPr>
          <w:p w14:paraId="7C869E73" w14:textId="77777777" w:rsidR="00CE1BDB" w:rsidRPr="00FA4DC7" w:rsidRDefault="00CE1BDB" w:rsidP="00F5328D">
            <w:pPr>
              <w:jc w:val="right"/>
              <w:rPr>
                <w:rFonts w:cs="Arial"/>
                <w:color w:val="000000"/>
                <w:sz w:val="22"/>
              </w:rPr>
            </w:pPr>
            <w:r w:rsidRPr="00FA4DC7">
              <w:rPr>
                <w:rFonts w:cs="Arial"/>
                <w:color w:val="000000"/>
                <w:sz w:val="22"/>
                <w:szCs w:val="22"/>
              </w:rPr>
              <w:t>53.0%</w:t>
            </w:r>
          </w:p>
        </w:tc>
        <w:tc>
          <w:tcPr>
            <w:tcW w:w="646" w:type="pct"/>
            <w:shd w:val="clear" w:color="auto" w:fill="auto"/>
            <w:noWrap/>
            <w:vAlign w:val="center"/>
          </w:tcPr>
          <w:p w14:paraId="5379A80C" w14:textId="77777777" w:rsidR="00CE1BDB" w:rsidRPr="00FA4DC7" w:rsidRDefault="00CE1BDB" w:rsidP="00F5328D">
            <w:pPr>
              <w:jc w:val="right"/>
              <w:rPr>
                <w:rFonts w:cs="Arial"/>
                <w:color w:val="000000"/>
                <w:sz w:val="22"/>
              </w:rPr>
            </w:pPr>
            <w:r w:rsidRPr="00FA4DC7">
              <w:rPr>
                <w:rFonts w:cs="Arial"/>
                <w:color w:val="000000"/>
                <w:sz w:val="22"/>
                <w:szCs w:val="22"/>
              </w:rPr>
              <w:t>4.4%</w:t>
            </w:r>
          </w:p>
        </w:tc>
        <w:tc>
          <w:tcPr>
            <w:tcW w:w="726" w:type="pct"/>
            <w:shd w:val="clear" w:color="auto" w:fill="auto"/>
            <w:noWrap/>
            <w:vAlign w:val="center"/>
          </w:tcPr>
          <w:p w14:paraId="7D30C160" w14:textId="77777777" w:rsidR="00CE1BDB" w:rsidRPr="00FA4DC7" w:rsidRDefault="00CE1BDB" w:rsidP="00F5328D">
            <w:pPr>
              <w:jc w:val="right"/>
              <w:rPr>
                <w:rFonts w:cs="Arial"/>
                <w:color w:val="000000"/>
                <w:sz w:val="22"/>
              </w:rPr>
            </w:pPr>
            <w:r w:rsidRPr="00FA4DC7">
              <w:rPr>
                <w:rFonts w:cs="Arial"/>
                <w:color w:val="000000"/>
                <w:sz w:val="22"/>
                <w:szCs w:val="22"/>
              </w:rPr>
              <w:t>100.0%</w:t>
            </w:r>
          </w:p>
        </w:tc>
      </w:tr>
      <w:tr w:rsidR="00CE1BDB" w:rsidRPr="00FA4DC7" w14:paraId="25AE7F22" w14:textId="77777777" w:rsidTr="00F5328D">
        <w:tc>
          <w:tcPr>
            <w:tcW w:w="1506" w:type="pct"/>
            <w:shd w:val="clear" w:color="auto" w:fill="006666"/>
            <w:noWrap/>
            <w:vAlign w:val="bottom"/>
          </w:tcPr>
          <w:p w14:paraId="4F1FDE13" w14:textId="77777777" w:rsidR="00CE1BDB" w:rsidRPr="00FA4DC7" w:rsidRDefault="00CE1BDB" w:rsidP="00EF49A7">
            <w:pPr>
              <w:rPr>
                <w:rFonts w:cs="Arial"/>
                <w:color w:val="000000"/>
                <w:sz w:val="22"/>
              </w:rPr>
            </w:pPr>
            <w:r w:rsidRPr="00FA4DC7">
              <w:rPr>
                <w:rFonts w:cs="Arial"/>
                <w:b/>
                <w:bCs/>
                <w:color w:val="FFFFFF"/>
                <w:sz w:val="22"/>
              </w:rPr>
              <w:t>Number of bedrooms</w:t>
            </w:r>
          </w:p>
        </w:tc>
        <w:tc>
          <w:tcPr>
            <w:tcW w:w="670" w:type="pct"/>
            <w:shd w:val="clear" w:color="auto" w:fill="006666"/>
            <w:noWrap/>
            <w:vAlign w:val="bottom"/>
          </w:tcPr>
          <w:p w14:paraId="14976E40" w14:textId="77777777" w:rsidR="00CE1BDB" w:rsidRPr="00FA4DC7" w:rsidRDefault="00CE1BDB" w:rsidP="00EF49A7">
            <w:pPr>
              <w:jc w:val="center"/>
              <w:rPr>
                <w:rFonts w:cs="Arial"/>
                <w:sz w:val="22"/>
              </w:rPr>
            </w:pPr>
            <w:r w:rsidRPr="00FA4DC7">
              <w:rPr>
                <w:rFonts w:cs="Arial"/>
                <w:b/>
                <w:bCs/>
                <w:color w:val="FFFFFF"/>
                <w:sz w:val="22"/>
              </w:rPr>
              <w:t>A</w:t>
            </w:r>
          </w:p>
        </w:tc>
        <w:tc>
          <w:tcPr>
            <w:tcW w:w="726" w:type="pct"/>
            <w:shd w:val="clear" w:color="auto" w:fill="006666"/>
            <w:noWrap/>
            <w:vAlign w:val="bottom"/>
          </w:tcPr>
          <w:p w14:paraId="106D3D95" w14:textId="77777777" w:rsidR="00CE1BDB" w:rsidRPr="00FA4DC7" w:rsidRDefault="00CE1BDB" w:rsidP="00EF49A7">
            <w:pPr>
              <w:jc w:val="center"/>
              <w:rPr>
                <w:rFonts w:cs="Arial"/>
                <w:sz w:val="22"/>
              </w:rPr>
            </w:pPr>
            <w:r w:rsidRPr="00FA4DC7">
              <w:rPr>
                <w:rFonts w:cs="Arial"/>
                <w:b/>
                <w:bCs/>
                <w:color w:val="FFFFFF"/>
                <w:sz w:val="22"/>
              </w:rPr>
              <w:t>B</w:t>
            </w:r>
          </w:p>
        </w:tc>
        <w:tc>
          <w:tcPr>
            <w:tcW w:w="726" w:type="pct"/>
            <w:shd w:val="clear" w:color="auto" w:fill="006666"/>
            <w:noWrap/>
            <w:vAlign w:val="bottom"/>
          </w:tcPr>
          <w:p w14:paraId="49E036AC" w14:textId="77777777" w:rsidR="00CE1BDB" w:rsidRPr="00FA4DC7" w:rsidRDefault="00CE1BDB" w:rsidP="00EF49A7">
            <w:pPr>
              <w:jc w:val="center"/>
              <w:rPr>
                <w:rFonts w:cs="Arial"/>
                <w:sz w:val="22"/>
              </w:rPr>
            </w:pPr>
            <w:r w:rsidRPr="00FA4DC7">
              <w:rPr>
                <w:rFonts w:cs="Arial"/>
                <w:b/>
                <w:bCs/>
                <w:color w:val="FFFFFF"/>
                <w:sz w:val="22"/>
              </w:rPr>
              <w:t>C-E</w:t>
            </w:r>
          </w:p>
        </w:tc>
        <w:tc>
          <w:tcPr>
            <w:tcW w:w="646" w:type="pct"/>
            <w:shd w:val="clear" w:color="auto" w:fill="006666"/>
            <w:noWrap/>
            <w:vAlign w:val="bottom"/>
          </w:tcPr>
          <w:p w14:paraId="399E5181" w14:textId="77777777" w:rsidR="00CE1BDB" w:rsidRPr="00FA4DC7" w:rsidRDefault="00CE1BDB" w:rsidP="00EF49A7">
            <w:pPr>
              <w:jc w:val="center"/>
              <w:rPr>
                <w:rFonts w:cs="Arial"/>
                <w:sz w:val="22"/>
              </w:rPr>
            </w:pPr>
            <w:r w:rsidRPr="00FA4DC7">
              <w:rPr>
                <w:rFonts w:cs="Arial"/>
                <w:b/>
                <w:bCs/>
                <w:color w:val="FFFFFF"/>
                <w:sz w:val="22"/>
              </w:rPr>
              <w:t>F+</w:t>
            </w:r>
          </w:p>
        </w:tc>
        <w:tc>
          <w:tcPr>
            <w:tcW w:w="726" w:type="pct"/>
            <w:shd w:val="clear" w:color="auto" w:fill="006666"/>
            <w:noWrap/>
            <w:vAlign w:val="bottom"/>
          </w:tcPr>
          <w:p w14:paraId="09A9A6B8" w14:textId="77777777" w:rsidR="00CE1BDB" w:rsidRPr="00FA4DC7" w:rsidRDefault="00CE1BDB" w:rsidP="00EF49A7">
            <w:pPr>
              <w:jc w:val="center"/>
              <w:rPr>
                <w:rFonts w:cs="Arial"/>
                <w:b/>
                <w:bCs/>
                <w:color w:val="FFFFFF"/>
                <w:sz w:val="22"/>
              </w:rPr>
            </w:pPr>
            <w:r w:rsidRPr="00FA4DC7">
              <w:rPr>
                <w:rFonts w:cs="Arial"/>
                <w:b/>
                <w:bCs/>
                <w:color w:val="FFFFFF"/>
                <w:sz w:val="22"/>
              </w:rPr>
              <w:t xml:space="preserve">Medway </w:t>
            </w:r>
          </w:p>
          <w:p w14:paraId="4C6DA70D" w14:textId="77777777" w:rsidR="00CE1BDB" w:rsidRPr="00FA4DC7" w:rsidRDefault="00CE1BDB" w:rsidP="00EF49A7">
            <w:pPr>
              <w:jc w:val="center"/>
              <w:rPr>
                <w:rFonts w:cs="Arial"/>
                <w:color w:val="000000"/>
                <w:sz w:val="22"/>
              </w:rPr>
            </w:pPr>
            <w:r w:rsidRPr="00FA4DC7">
              <w:rPr>
                <w:rFonts w:cs="Arial"/>
                <w:b/>
                <w:bCs/>
                <w:color w:val="FFFFFF"/>
                <w:sz w:val="22"/>
              </w:rPr>
              <w:t>Total</w:t>
            </w:r>
          </w:p>
        </w:tc>
      </w:tr>
      <w:tr w:rsidR="00CE1BDB" w:rsidRPr="00FA4DC7" w14:paraId="3D578553" w14:textId="77777777" w:rsidTr="00F5328D">
        <w:tc>
          <w:tcPr>
            <w:tcW w:w="1506" w:type="pct"/>
            <w:shd w:val="clear" w:color="auto" w:fill="auto"/>
            <w:noWrap/>
            <w:vAlign w:val="bottom"/>
            <w:hideMark/>
          </w:tcPr>
          <w:p w14:paraId="324FF3EC" w14:textId="77777777" w:rsidR="00CE1BDB" w:rsidRPr="00FA4DC7" w:rsidRDefault="00CE1BDB" w:rsidP="00EF49A7">
            <w:pPr>
              <w:rPr>
                <w:rFonts w:cs="Arial"/>
                <w:color w:val="000000"/>
                <w:sz w:val="22"/>
              </w:rPr>
            </w:pPr>
            <w:r w:rsidRPr="00FA4DC7">
              <w:rPr>
                <w:rFonts w:cs="Arial"/>
                <w:color w:val="000000"/>
                <w:sz w:val="22"/>
              </w:rPr>
              <w:t>1-bedroom</w:t>
            </w:r>
          </w:p>
        </w:tc>
        <w:tc>
          <w:tcPr>
            <w:tcW w:w="670" w:type="pct"/>
            <w:shd w:val="clear" w:color="auto" w:fill="auto"/>
            <w:noWrap/>
            <w:vAlign w:val="center"/>
          </w:tcPr>
          <w:p w14:paraId="404D83E5" w14:textId="77777777" w:rsidR="00CE1BDB" w:rsidRPr="00FA4DC7" w:rsidRDefault="00CE1BDB" w:rsidP="00F5328D">
            <w:pPr>
              <w:jc w:val="right"/>
              <w:rPr>
                <w:rFonts w:cs="Arial"/>
                <w:color w:val="000000"/>
                <w:sz w:val="22"/>
              </w:rPr>
            </w:pPr>
            <w:r w:rsidRPr="00FA4DC7">
              <w:rPr>
                <w:rFonts w:cs="Arial"/>
                <w:color w:val="000000"/>
                <w:sz w:val="22"/>
                <w:szCs w:val="22"/>
              </w:rPr>
              <w:t>6.6%</w:t>
            </w:r>
          </w:p>
        </w:tc>
        <w:tc>
          <w:tcPr>
            <w:tcW w:w="726" w:type="pct"/>
            <w:shd w:val="clear" w:color="auto" w:fill="auto"/>
            <w:noWrap/>
            <w:vAlign w:val="center"/>
          </w:tcPr>
          <w:p w14:paraId="78C9B5E4" w14:textId="77777777" w:rsidR="00CE1BDB" w:rsidRPr="00FA4DC7" w:rsidRDefault="00CE1BDB" w:rsidP="00F5328D">
            <w:pPr>
              <w:jc w:val="right"/>
              <w:rPr>
                <w:rFonts w:cs="Arial"/>
                <w:color w:val="000000"/>
                <w:sz w:val="22"/>
              </w:rPr>
            </w:pPr>
            <w:r w:rsidRPr="00FA4DC7">
              <w:rPr>
                <w:rFonts w:cs="Arial"/>
                <w:color w:val="000000"/>
                <w:sz w:val="22"/>
                <w:szCs w:val="22"/>
              </w:rPr>
              <w:t>3.6%</w:t>
            </w:r>
          </w:p>
        </w:tc>
        <w:tc>
          <w:tcPr>
            <w:tcW w:w="726" w:type="pct"/>
            <w:shd w:val="clear" w:color="auto" w:fill="auto"/>
            <w:noWrap/>
            <w:vAlign w:val="center"/>
          </w:tcPr>
          <w:p w14:paraId="6D53D387" w14:textId="77777777" w:rsidR="00CE1BDB" w:rsidRPr="00FA4DC7" w:rsidRDefault="00CE1BDB" w:rsidP="00F5328D">
            <w:pPr>
              <w:jc w:val="right"/>
              <w:rPr>
                <w:rFonts w:cs="Arial"/>
                <w:color w:val="000000"/>
                <w:sz w:val="22"/>
              </w:rPr>
            </w:pPr>
            <w:r w:rsidRPr="00FA4DC7">
              <w:rPr>
                <w:rFonts w:cs="Arial"/>
                <w:color w:val="000000"/>
                <w:sz w:val="22"/>
                <w:szCs w:val="22"/>
              </w:rPr>
              <w:t>1.0%</w:t>
            </w:r>
          </w:p>
        </w:tc>
        <w:tc>
          <w:tcPr>
            <w:tcW w:w="646" w:type="pct"/>
            <w:shd w:val="clear" w:color="auto" w:fill="auto"/>
            <w:noWrap/>
            <w:vAlign w:val="center"/>
          </w:tcPr>
          <w:p w14:paraId="43E6CADE"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080184FD" w14:textId="77777777" w:rsidR="00CE1BDB" w:rsidRPr="00FA4DC7" w:rsidRDefault="00CE1BDB" w:rsidP="00F5328D">
            <w:pPr>
              <w:jc w:val="right"/>
              <w:rPr>
                <w:rFonts w:cs="Arial"/>
                <w:color w:val="000000"/>
                <w:sz w:val="22"/>
              </w:rPr>
            </w:pPr>
            <w:r w:rsidRPr="00FA4DC7">
              <w:rPr>
                <w:rFonts w:cs="Arial"/>
                <w:color w:val="000000"/>
                <w:sz w:val="22"/>
                <w:szCs w:val="22"/>
              </w:rPr>
              <w:t>11.2%</w:t>
            </w:r>
          </w:p>
        </w:tc>
      </w:tr>
      <w:tr w:rsidR="00CE1BDB" w:rsidRPr="00FA4DC7" w14:paraId="3FA3C6C7" w14:textId="77777777" w:rsidTr="00F5328D">
        <w:tc>
          <w:tcPr>
            <w:tcW w:w="1506" w:type="pct"/>
            <w:shd w:val="clear" w:color="auto" w:fill="auto"/>
            <w:noWrap/>
            <w:vAlign w:val="bottom"/>
            <w:hideMark/>
          </w:tcPr>
          <w:p w14:paraId="61A28975" w14:textId="77777777" w:rsidR="00CE1BDB" w:rsidRPr="00FA4DC7" w:rsidRDefault="00CE1BDB" w:rsidP="00EF49A7">
            <w:pPr>
              <w:rPr>
                <w:rFonts w:cs="Arial"/>
                <w:color w:val="000000"/>
                <w:sz w:val="22"/>
              </w:rPr>
            </w:pPr>
            <w:r w:rsidRPr="00FA4DC7">
              <w:rPr>
                <w:rFonts w:cs="Arial"/>
                <w:color w:val="000000"/>
                <w:sz w:val="22"/>
              </w:rPr>
              <w:t>2-bedrooms</w:t>
            </w:r>
          </w:p>
        </w:tc>
        <w:tc>
          <w:tcPr>
            <w:tcW w:w="670" w:type="pct"/>
            <w:shd w:val="clear" w:color="auto" w:fill="auto"/>
            <w:noWrap/>
            <w:vAlign w:val="center"/>
          </w:tcPr>
          <w:p w14:paraId="33803235" w14:textId="77777777" w:rsidR="00CE1BDB" w:rsidRPr="00FA4DC7" w:rsidRDefault="00CE1BDB" w:rsidP="00F5328D">
            <w:pPr>
              <w:jc w:val="right"/>
              <w:rPr>
                <w:rFonts w:cs="Arial"/>
                <w:color w:val="000000"/>
                <w:sz w:val="22"/>
              </w:rPr>
            </w:pPr>
            <w:r w:rsidRPr="00FA4DC7">
              <w:rPr>
                <w:rFonts w:cs="Arial"/>
                <w:color w:val="000000"/>
                <w:sz w:val="22"/>
                <w:szCs w:val="22"/>
              </w:rPr>
              <w:t>2.0%</w:t>
            </w:r>
          </w:p>
        </w:tc>
        <w:tc>
          <w:tcPr>
            <w:tcW w:w="726" w:type="pct"/>
            <w:shd w:val="clear" w:color="auto" w:fill="auto"/>
            <w:noWrap/>
            <w:vAlign w:val="center"/>
          </w:tcPr>
          <w:p w14:paraId="5812F9E3" w14:textId="77777777" w:rsidR="00CE1BDB" w:rsidRPr="00FA4DC7" w:rsidRDefault="00CE1BDB" w:rsidP="00F5328D">
            <w:pPr>
              <w:jc w:val="right"/>
              <w:rPr>
                <w:rFonts w:cs="Arial"/>
                <w:color w:val="000000"/>
                <w:sz w:val="22"/>
              </w:rPr>
            </w:pPr>
            <w:r w:rsidRPr="00FA4DC7">
              <w:rPr>
                <w:rFonts w:cs="Arial"/>
                <w:color w:val="000000"/>
                <w:sz w:val="22"/>
                <w:szCs w:val="22"/>
              </w:rPr>
              <w:t>13.0%</w:t>
            </w:r>
          </w:p>
        </w:tc>
        <w:tc>
          <w:tcPr>
            <w:tcW w:w="726" w:type="pct"/>
            <w:shd w:val="clear" w:color="auto" w:fill="auto"/>
            <w:noWrap/>
            <w:vAlign w:val="center"/>
          </w:tcPr>
          <w:p w14:paraId="6B09631D" w14:textId="77777777" w:rsidR="00CE1BDB" w:rsidRPr="00FA4DC7" w:rsidRDefault="00CE1BDB" w:rsidP="00F5328D">
            <w:pPr>
              <w:jc w:val="right"/>
              <w:rPr>
                <w:rFonts w:cs="Arial"/>
                <w:color w:val="000000"/>
                <w:sz w:val="22"/>
              </w:rPr>
            </w:pPr>
            <w:r w:rsidRPr="00FA4DC7">
              <w:rPr>
                <w:rFonts w:cs="Arial"/>
                <w:color w:val="000000"/>
                <w:sz w:val="22"/>
                <w:szCs w:val="22"/>
              </w:rPr>
              <w:t>10.4%</w:t>
            </w:r>
          </w:p>
        </w:tc>
        <w:tc>
          <w:tcPr>
            <w:tcW w:w="646" w:type="pct"/>
            <w:shd w:val="clear" w:color="auto" w:fill="auto"/>
            <w:noWrap/>
            <w:vAlign w:val="center"/>
          </w:tcPr>
          <w:p w14:paraId="622C2DB8"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53E2D21F" w14:textId="77777777" w:rsidR="00CE1BDB" w:rsidRPr="00FA4DC7" w:rsidRDefault="00CE1BDB" w:rsidP="00F5328D">
            <w:pPr>
              <w:jc w:val="right"/>
              <w:rPr>
                <w:rFonts w:cs="Arial"/>
                <w:color w:val="000000"/>
                <w:sz w:val="22"/>
              </w:rPr>
            </w:pPr>
            <w:r w:rsidRPr="00FA4DC7">
              <w:rPr>
                <w:rFonts w:cs="Arial"/>
                <w:color w:val="000000"/>
                <w:sz w:val="22"/>
                <w:szCs w:val="22"/>
              </w:rPr>
              <w:t>25.4%</w:t>
            </w:r>
          </w:p>
        </w:tc>
      </w:tr>
      <w:tr w:rsidR="00CE1BDB" w:rsidRPr="00FA4DC7" w14:paraId="40D51220" w14:textId="77777777" w:rsidTr="00F5328D">
        <w:tc>
          <w:tcPr>
            <w:tcW w:w="1506" w:type="pct"/>
            <w:shd w:val="clear" w:color="auto" w:fill="auto"/>
            <w:noWrap/>
            <w:vAlign w:val="bottom"/>
            <w:hideMark/>
          </w:tcPr>
          <w:p w14:paraId="090DA021" w14:textId="77777777" w:rsidR="00CE1BDB" w:rsidRPr="00FA4DC7" w:rsidRDefault="00CE1BDB" w:rsidP="00EF49A7">
            <w:pPr>
              <w:rPr>
                <w:rFonts w:cs="Arial"/>
                <w:color w:val="000000"/>
                <w:sz w:val="22"/>
              </w:rPr>
            </w:pPr>
            <w:r w:rsidRPr="00FA4DC7">
              <w:rPr>
                <w:rFonts w:cs="Arial"/>
                <w:color w:val="000000"/>
                <w:sz w:val="22"/>
              </w:rPr>
              <w:t>3-bedrooms</w:t>
            </w:r>
          </w:p>
        </w:tc>
        <w:tc>
          <w:tcPr>
            <w:tcW w:w="670" w:type="pct"/>
            <w:shd w:val="clear" w:color="auto" w:fill="auto"/>
            <w:noWrap/>
            <w:vAlign w:val="center"/>
          </w:tcPr>
          <w:p w14:paraId="6AC4D1AD" w14:textId="77777777" w:rsidR="00CE1BDB" w:rsidRPr="00FA4DC7" w:rsidRDefault="00CE1BDB" w:rsidP="00F5328D">
            <w:pPr>
              <w:jc w:val="right"/>
              <w:rPr>
                <w:rFonts w:cs="Arial"/>
                <w:color w:val="000000"/>
                <w:sz w:val="22"/>
              </w:rPr>
            </w:pPr>
            <w:r w:rsidRPr="00FA4DC7">
              <w:rPr>
                <w:rFonts w:cs="Arial"/>
                <w:color w:val="000000"/>
                <w:sz w:val="22"/>
                <w:szCs w:val="22"/>
              </w:rPr>
              <w:t>0.2%</w:t>
            </w:r>
          </w:p>
        </w:tc>
        <w:tc>
          <w:tcPr>
            <w:tcW w:w="726" w:type="pct"/>
            <w:shd w:val="clear" w:color="auto" w:fill="auto"/>
            <w:noWrap/>
            <w:vAlign w:val="center"/>
          </w:tcPr>
          <w:p w14:paraId="1BACC2D3" w14:textId="77777777" w:rsidR="00CE1BDB" w:rsidRPr="00FA4DC7" w:rsidRDefault="00CE1BDB" w:rsidP="00F5328D">
            <w:pPr>
              <w:jc w:val="right"/>
              <w:rPr>
                <w:rFonts w:cs="Arial"/>
                <w:color w:val="000000"/>
                <w:sz w:val="22"/>
              </w:rPr>
            </w:pPr>
            <w:r w:rsidRPr="00FA4DC7">
              <w:rPr>
                <w:rFonts w:cs="Arial"/>
                <w:color w:val="000000"/>
                <w:sz w:val="22"/>
                <w:szCs w:val="22"/>
              </w:rPr>
              <w:t>16.9%</w:t>
            </w:r>
          </w:p>
        </w:tc>
        <w:tc>
          <w:tcPr>
            <w:tcW w:w="726" w:type="pct"/>
            <w:shd w:val="clear" w:color="auto" w:fill="auto"/>
            <w:noWrap/>
            <w:vAlign w:val="center"/>
          </w:tcPr>
          <w:p w14:paraId="4DBADE8F" w14:textId="77777777" w:rsidR="00CE1BDB" w:rsidRPr="00FA4DC7" w:rsidRDefault="00CE1BDB" w:rsidP="00F5328D">
            <w:pPr>
              <w:jc w:val="right"/>
              <w:rPr>
                <w:rFonts w:cs="Arial"/>
                <w:color w:val="000000"/>
                <w:sz w:val="22"/>
              </w:rPr>
            </w:pPr>
            <w:r w:rsidRPr="00FA4DC7">
              <w:rPr>
                <w:rFonts w:cs="Arial"/>
                <w:color w:val="000000"/>
                <w:sz w:val="22"/>
                <w:szCs w:val="22"/>
              </w:rPr>
              <w:t>34.9%</w:t>
            </w:r>
          </w:p>
        </w:tc>
        <w:tc>
          <w:tcPr>
            <w:tcW w:w="646" w:type="pct"/>
            <w:shd w:val="clear" w:color="auto" w:fill="auto"/>
            <w:noWrap/>
            <w:vAlign w:val="center"/>
          </w:tcPr>
          <w:p w14:paraId="14F8FFD9" w14:textId="77777777" w:rsidR="00CE1BDB" w:rsidRPr="00FA4DC7" w:rsidRDefault="00CE1BDB" w:rsidP="00F5328D">
            <w:pPr>
              <w:jc w:val="right"/>
              <w:rPr>
                <w:rFonts w:cs="Arial"/>
                <w:color w:val="000000"/>
                <w:sz w:val="22"/>
              </w:rPr>
            </w:pPr>
            <w:r w:rsidRPr="00FA4DC7">
              <w:rPr>
                <w:rFonts w:cs="Arial"/>
                <w:color w:val="000000"/>
                <w:sz w:val="22"/>
                <w:szCs w:val="22"/>
              </w:rPr>
              <w:t>0.6%</w:t>
            </w:r>
          </w:p>
        </w:tc>
        <w:tc>
          <w:tcPr>
            <w:tcW w:w="726" w:type="pct"/>
            <w:shd w:val="clear" w:color="auto" w:fill="auto"/>
            <w:noWrap/>
            <w:vAlign w:val="center"/>
          </w:tcPr>
          <w:p w14:paraId="2F7BF0E3" w14:textId="77777777" w:rsidR="00CE1BDB" w:rsidRPr="00FA4DC7" w:rsidRDefault="00CE1BDB" w:rsidP="00F5328D">
            <w:pPr>
              <w:jc w:val="right"/>
              <w:rPr>
                <w:rFonts w:cs="Arial"/>
                <w:color w:val="000000"/>
                <w:sz w:val="22"/>
              </w:rPr>
            </w:pPr>
            <w:r w:rsidRPr="00FA4DC7">
              <w:rPr>
                <w:rFonts w:cs="Arial"/>
                <w:color w:val="000000"/>
                <w:sz w:val="22"/>
                <w:szCs w:val="22"/>
              </w:rPr>
              <w:t>52.7%</w:t>
            </w:r>
          </w:p>
        </w:tc>
      </w:tr>
      <w:tr w:rsidR="00CE1BDB" w:rsidRPr="00FA4DC7" w14:paraId="03F3DEE3" w14:textId="77777777" w:rsidTr="00F5328D">
        <w:tc>
          <w:tcPr>
            <w:tcW w:w="1506" w:type="pct"/>
            <w:shd w:val="clear" w:color="auto" w:fill="auto"/>
            <w:noWrap/>
            <w:vAlign w:val="bottom"/>
          </w:tcPr>
          <w:p w14:paraId="49253169" w14:textId="77777777" w:rsidR="00CE1BDB" w:rsidRPr="00FA4DC7" w:rsidRDefault="00CE1BDB" w:rsidP="00EF49A7">
            <w:pPr>
              <w:rPr>
                <w:rFonts w:cs="Arial"/>
                <w:color w:val="000000"/>
                <w:sz w:val="22"/>
              </w:rPr>
            </w:pPr>
            <w:r w:rsidRPr="00FA4DC7">
              <w:rPr>
                <w:rFonts w:cs="Arial"/>
                <w:color w:val="000000"/>
                <w:sz w:val="22"/>
              </w:rPr>
              <w:t>4-bedrooms</w:t>
            </w:r>
          </w:p>
        </w:tc>
        <w:tc>
          <w:tcPr>
            <w:tcW w:w="670" w:type="pct"/>
            <w:shd w:val="clear" w:color="auto" w:fill="auto"/>
            <w:noWrap/>
            <w:vAlign w:val="center"/>
          </w:tcPr>
          <w:p w14:paraId="32E5768A" w14:textId="77777777" w:rsidR="00CE1BDB" w:rsidRPr="00FA4DC7" w:rsidRDefault="00CE1BDB" w:rsidP="00F5328D">
            <w:pPr>
              <w:jc w:val="right"/>
              <w:rPr>
                <w:rFonts w:cs="Arial"/>
                <w:color w:val="000000"/>
                <w:sz w:val="22"/>
              </w:rPr>
            </w:pPr>
            <w:r w:rsidRPr="00FA4DC7">
              <w:rPr>
                <w:rFonts w:cs="Arial"/>
                <w:color w:val="000000"/>
                <w:sz w:val="22"/>
                <w:szCs w:val="22"/>
              </w:rPr>
              <w:t>0.0%</w:t>
            </w:r>
          </w:p>
        </w:tc>
        <w:tc>
          <w:tcPr>
            <w:tcW w:w="726" w:type="pct"/>
            <w:shd w:val="clear" w:color="auto" w:fill="auto"/>
            <w:noWrap/>
            <w:vAlign w:val="center"/>
          </w:tcPr>
          <w:p w14:paraId="28016D77" w14:textId="77777777" w:rsidR="00CE1BDB" w:rsidRPr="00FA4DC7" w:rsidRDefault="00CE1BDB" w:rsidP="00F5328D">
            <w:pPr>
              <w:jc w:val="right"/>
              <w:rPr>
                <w:rFonts w:cs="Arial"/>
                <w:color w:val="000000"/>
                <w:sz w:val="22"/>
              </w:rPr>
            </w:pPr>
            <w:r w:rsidRPr="00FA4DC7">
              <w:rPr>
                <w:rFonts w:cs="Arial"/>
                <w:color w:val="000000"/>
                <w:sz w:val="22"/>
                <w:szCs w:val="22"/>
              </w:rPr>
              <w:t>0.3%</w:t>
            </w:r>
          </w:p>
        </w:tc>
        <w:tc>
          <w:tcPr>
            <w:tcW w:w="726" w:type="pct"/>
            <w:shd w:val="clear" w:color="auto" w:fill="auto"/>
            <w:noWrap/>
            <w:vAlign w:val="center"/>
          </w:tcPr>
          <w:p w14:paraId="59D14632" w14:textId="77777777" w:rsidR="00CE1BDB" w:rsidRPr="00FA4DC7" w:rsidRDefault="00CE1BDB" w:rsidP="00F5328D">
            <w:pPr>
              <w:jc w:val="right"/>
              <w:rPr>
                <w:rFonts w:cs="Arial"/>
                <w:color w:val="000000"/>
                <w:sz w:val="22"/>
              </w:rPr>
            </w:pPr>
            <w:r w:rsidRPr="00FA4DC7">
              <w:rPr>
                <w:rFonts w:cs="Arial"/>
                <w:color w:val="000000"/>
                <w:sz w:val="22"/>
                <w:szCs w:val="22"/>
              </w:rPr>
              <w:t>6.6%</w:t>
            </w:r>
          </w:p>
        </w:tc>
        <w:tc>
          <w:tcPr>
            <w:tcW w:w="646" w:type="pct"/>
            <w:shd w:val="clear" w:color="auto" w:fill="auto"/>
            <w:noWrap/>
            <w:vAlign w:val="center"/>
          </w:tcPr>
          <w:p w14:paraId="4C7ECF72" w14:textId="77777777" w:rsidR="00CE1BDB" w:rsidRPr="00FA4DC7" w:rsidRDefault="00CE1BDB" w:rsidP="00F5328D">
            <w:pPr>
              <w:jc w:val="right"/>
              <w:rPr>
                <w:rFonts w:cs="Arial"/>
                <w:color w:val="000000"/>
                <w:sz w:val="22"/>
              </w:rPr>
            </w:pPr>
            <w:r w:rsidRPr="00FA4DC7">
              <w:rPr>
                <w:rFonts w:cs="Arial"/>
                <w:color w:val="000000"/>
                <w:sz w:val="22"/>
                <w:szCs w:val="22"/>
              </w:rPr>
              <w:t>3.8%</w:t>
            </w:r>
          </w:p>
        </w:tc>
        <w:tc>
          <w:tcPr>
            <w:tcW w:w="726" w:type="pct"/>
            <w:shd w:val="clear" w:color="auto" w:fill="auto"/>
            <w:noWrap/>
            <w:vAlign w:val="center"/>
          </w:tcPr>
          <w:p w14:paraId="37E915BE" w14:textId="77777777" w:rsidR="00CE1BDB" w:rsidRPr="00FA4DC7" w:rsidRDefault="00CE1BDB" w:rsidP="00F5328D">
            <w:pPr>
              <w:jc w:val="right"/>
              <w:rPr>
                <w:rFonts w:cs="Arial"/>
                <w:color w:val="000000"/>
                <w:sz w:val="22"/>
              </w:rPr>
            </w:pPr>
            <w:r w:rsidRPr="00FA4DC7">
              <w:rPr>
                <w:rFonts w:cs="Arial"/>
                <w:color w:val="000000"/>
                <w:sz w:val="22"/>
                <w:szCs w:val="22"/>
              </w:rPr>
              <w:t>10.7%</w:t>
            </w:r>
          </w:p>
        </w:tc>
      </w:tr>
      <w:tr w:rsidR="00CE1BDB" w:rsidRPr="00FA4DC7" w14:paraId="2F8F3F11" w14:textId="77777777" w:rsidTr="00F5328D">
        <w:tc>
          <w:tcPr>
            <w:tcW w:w="1506" w:type="pct"/>
            <w:shd w:val="clear" w:color="auto" w:fill="auto"/>
            <w:noWrap/>
            <w:vAlign w:val="bottom"/>
          </w:tcPr>
          <w:p w14:paraId="3DBA5B2B" w14:textId="77777777" w:rsidR="00CE1BDB" w:rsidRPr="00FA4DC7" w:rsidRDefault="00CE1BDB" w:rsidP="00EF49A7">
            <w:pPr>
              <w:rPr>
                <w:rFonts w:cs="Arial"/>
                <w:color w:val="000000"/>
                <w:sz w:val="22"/>
              </w:rPr>
            </w:pPr>
            <w:r w:rsidRPr="00FA4DC7">
              <w:rPr>
                <w:rFonts w:cs="Arial"/>
                <w:color w:val="000000"/>
                <w:sz w:val="22"/>
              </w:rPr>
              <w:t>Total</w:t>
            </w:r>
          </w:p>
        </w:tc>
        <w:tc>
          <w:tcPr>
            <w:tcW w:w="670" w:type="pct"/>
            <w:shd w:val="clear" w:color="auto" w:fill="auto"/>
            <w:noWrap/>
            <w:vAlign w:val="center"/>
          </w:tcPr>
          <w:p w14:paraId="31485D02" w14:textId="77777777" w:rsidR="00CE1BDB" w:rsidRPr="00FA4DC7" w:rsidRDefault="00CE1BDB" w:rsidP="00F5328D">
            <w:pPr>
              <w:jc w:val="right"/>
              <w:rPr>
                <w:rFonts w:cs="Arial"/>
                <w:color w:val="000000"/>
                <w:sz w:val="22"/>
              </w:rPr>
            </w:pPr>
            <w:r w:rsidRPr="00FA4DC7">
              <w:rPr>
                <w:rFonts w:cs="Arial"/>
                <w:color w:val="000000"/>
                <w:sz w:val="22"/>
                <w:szCs w:val="22"/>
              </w:rPr>
              <w:t>8.8%</w:t>
            </w:r>
          </w:p>
        </w:tc>
        <w:tc>
          <w:tcPr>
            <w:tcW w:w="726" w:type="pct"/>
            <w:shd w:val="clear" w:color="auto" w:fill="auto"/>
            <w:noWrap/>
            <w:vAlign w:val="center"/>
          </w:tcPr>
          <w:p w14:paraId="4024EE24" w14:textId="77777777" w:rsidR="00CE1BDB" w:rsidRPr="00FA4DC7" w:rsidRDefault="00CE1BDB" w:rsidP="00F5328D">
            <w:pPr>
              <w:jc w:val="right"/>
              <w:rPr>
                <w:rFonts w:cs="Arial"/>
                <w:color w:val="000000"/>
                <w:sz w:val="22"/>
              </w:rPr>
            </w:pPr>
            <w:r w:rsidRPr="00FA4DC7">
              <w:rPr>
                <w:rFonts w:cs="Arial"/>
                <w:color w:val="000000"/>
                <w:sz w:val="22"/>
                <w:szCs w:val="22"/>
              </w:rPr>
              <w:t>33.8%</w:t>
            </w:r>
          </w:p>
        </w:tc>
        <w:tc>
          <w:tcPr>
            <w:tcW w:w="726" w:type="pct"/>
            <w:shd w:val="clear" w:color="auto" w:fill="auto"/>
            <w:noWrap/>
            <w:vAlign w:val="center"/>
          </w:tcPr>
          <w:p w14:paraId="63D0C1CE" w14:textId="77777777" w:rsidR="00CE1BDB" w:rsidRPr="00FA4DC7" w:rsidRDefault="00CE1BDB" w:rsidP="00F5328D">
            <w:pPr>
              <w:jc w:val="right"/>
              <w:rPr>
                <w:rFonts w:cs="Arial"/>
                <w:color w:val="000000"/>
                <w:sz w:val="22"/>
              </w:rPr>
            </w:pPr>
            <w:r w:rsidRPr="00FA4DC7">
              <w:rPr>
                <w:rFonts w:cs="Arial"/>
                <w:color w:val="000000"/>
                <w:sz w:val="22"/>
                <w:szCs w:val="22"/>
              </w:rPr>
              <w:t>53.0%</w:t>
            </w:r>
          </w:p>
        </w:tc>
        <w:tc>
          <w:tcPr>
            <w:tcW w:w="646" w:type="pct"/>
            <w:shd w:val="clear" w:color="auto" w:fill="auto"/>
            <w:noWrap/>
            <w:vAlign w:val="center"/>
          </w:tcPr>
          <w:p w14:paraId="5AA7D6CC" w14:textId="77777777" w:rsidR="00CE1BDB" w:rsidRPr="00FA4DC7" w:rsidRDefault="00CE1BDB" w:rsidP="00F5328D">
            <w:pPr>
              <w:jc w:val="right"/>
              <w:rPr>
                <w:rFonts w:cs="Arial"/>
                <w:color w:val="000000"/>
                <w:sz w:val="22"/>
              </w:rPr>
            </w:pPr>
            <w:r w:rsidRPr="00FA4DC7">
              <w:rPr>
                <w:rFonts w:cs="Arial"/>
                <w:color w:val="000000"/>
                <w:sz w:val="22"/>
                <w:szCs w:val="22"/>
              </w:rPr>
              <w:t>4.4%</w:t>
            </w:r>
          </w:p>
        </w:tc>
        <w:tc>
          <w:tcPr>
            <w:tcW w:w="726" w:type="pct"/>
            <w:shd w:val="clear" w:color="auto" w:fill="auto"/>
            <w:noWrap/>
            <w:vAlign w:val="center"/>
          </w:tcPr>
          <w:p w14:paraId="73E83D94" w14:textId="77777777" w:rsidR="00CE1BDB" w:rsidRPr="00FA4DC7" w:rsidRDefault="00CE1BDB" w:rsidP="00F5328D">
            <w:pPr>
              <w:jc w:val="right"/>
              <w:rPr>
                <w:rFonts w:cs="Arial"/>
                <w:color w:val="000000"/>
                <w:sz w:val="22"/>
              </w:rPr>
            </w:pPr>
            <w:r w:rsidRPr="00FA4DC7">
              <w:rPr>
                <w:rFonts w:cs="Arial"/>
                <w:color w:val="000000"/>
                <w:sz w:val="22"/>
                <w:szCs w:val="22"/>
              </w:rPr>
              <w:t>100.0%</w:t>
            </w:r>
          </w:p>
        </w:tc>
      </w:tr>
    </w:tbl>
    <w:p w14:paraId="25734306" w14:textId="77777777" w:rsidR="00CE1BDB" w:rsidRPr="00FA4DC7" w:rsidRDefault="00CE1BDB" w:rsidP="00CE1BDB">
      <w:pPr>
        <w:rPr>
          <w:rFonts w:cs="Arial"/>
          <w:color w:val="000000"/>
          <w:sz w:val="22"/>
          <w:szCs w:val="22"/>
        </w:rPr>
      </w:pPr>
      <w:r w:rsidRPr="00FA4DC7">
        <w:rPr>
          <w:rFonts w:cs="Arial"/>
          <w:color w:val="000000" w:themeColor="text1"/>
          <w:sz w:val="22"/>
          <w:szCs w:val="22"/>
        </w:rPr>
        <w:t>Source: VOA 2020</w:t>
      </w:r>
    </w:p>
    <w:p w14:paraId="51DEFA78" w14:textId="77777777" w:rsidR="00CE1BDB" w:rsidRPr="00FA4DC7" w:rsidRDefault="00CE1BDB" w:rsidP="00CE1BDB">
      <w:pPr>
        <w:rPr>
          <w:rFonts w:cs="Arial"/>
          <w:highlight w:val="yellow"/>
        </w:rPr>
      </w:pPr>
    </w:p>
    <w:p w14:paraId="723BBDC2" w14:textId="77777777" w:rsidR="00CE1BDB" w:rsidRPr="00FA4DC7" w:rsidRDefault="00CE1BDB" w:rsidP="00CE1BDB">
      <w:pPr>
        <w:rPr>
          <w:rFonts w:cs="Arial"/>
          <w:b/>
          <w:color w:val="006666"/>
          <w:sz w:val="22"/>
          <w:highlight w:val="yellow"/>
          <w:lang w:eastAsia="en-US"/>
        </w:rPr>
        <w:sectPr w:rsidR="00CE1BDB" w:rsidRPr="00FA4DC7" w:rsidSect="00EF49A7">
          <w:pgSz w:w="11906" w:h="16838"/>
          <w:pgMar w:top="1440" w:right="1276" w:bottom="1134" w:left="1440" w:header="708" w:footer="708" w:gutter="0"/>
          <w:cols w:space="708"/>
          <w:docGrid w:linePitch="360"/>
        </w:sectPr>
      </w:pPr>
    </w:p>
    <w:p w14:paraId="78EBB874" w14:textId="77777777" w:rsidR="00CE1BDB" w:rsidRPr="00FA4DC7" w:rsidRDefault="00CE1BDB" w:rsidP="00CE1BDB">
      <w:pPr>
        <w:pStyle w:val="Mapheading0"/>
      </w:pPr>
      <w:bookmarkStart w:id="149" w:name="_Toc83035732"/>
      <w:r w:rsidRPr="00FA4DC7">
        <w:lastRenderedPageBreak/>
        <w:t>Map 2.1</w:t>
      </w:r>
      <w:r w:rsidRPr="00FA4DC7">
        <w:tab/>
        <w:t>Predominant dwelling type and size by built-up areas within LSOAs: Medway</w:t>
      </w:r>
      <w:bookmarkEnd w:id="149"/>
    </w:p>
    <w:p w14:paraId="06103973" w14:textId="77777777" w:rsidR="00CE1BDB" w:rsidRPr="00FA4DC7" w:rsidRDefault="00CE1BDB" w:rsidP="00CE1BDB">
      <w:pPr>
        <w:rPr>
          <w:rFonts w:cs="Arial"/>
          <w:highlight w:val="yellow"/>
        </w:rPr>
      </w:pPr>
    </w:p>
    <w:p w14:paraId="37789545" w14:textId="77777777" w:rsidR="00CE1BDB" w:rsidRPr="00FA4DC7" w:rsidRDefault="00CE1BDB" w:rsidP="00CE1BDB">
      <w:pPr>
        <w:rPr>
          <w:rFonts w:cs="Arial"/>
          <w:highlight w:val="yellow"/>
        </w:rPr>
      </w:pPr>
      <w:r w:rsidRPr="00FA4DC7">
        <w:rPr>
          <w:rFonts w:cs="Arial"/>
          <w:noProof/>
        </w:rPr>
        <w:drawing>
          <wp:inline distT="0" distB="0" distL="0" distR="0" wp14:anchorId="3E4DC1C1" wp14:editId="064057F2">
            <wp:extent cx="7244864" cy="5119492"/>
            <wp:effectExtent l="0" t="0" r="0" b="0"/>
            <wp:docPr id="15" name="Picture 15" descr="Map showing predominant dwelling type and size by built up areas within LSOAs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predominant dwelling type and size by built up areas within LSOAs in Medway"/>
                    <pic:cNvPicPr/>
                  </pic:nvPicPr>
                  <pic:blipFill>
                    <a:blip r:embed="rId19">
                      <a:extLst>
                        <a:ext uri="{28A0092B-C50C-407E-A947-70E740481C1C}">
                          <a14:useLocalDpi xmlns:a14="http://schemas.microsoft.com/office/drawing/2010/main" val="0"/>
                        </a:ext>
                      </a:extLst>
                    </a:blip>
                    <a:stretch>
                      <a:fillRect/>
                    </a:stretch>
                  </pic:blipFill>
                  <pic:spPr>
                    <a:xfrm>
                      <a:off x="0" y="0"/>
                      <a:ext cx="7244864" cy="5119492"/>
                    </a:xfrm>
                    <a:prstGeom prst="rect">
                      <a:avLst/>
                    </a:prstGeom>
                  </pic:spPr>
                </pic:pic>
              </a:graphicData>
            </a:graphic>
          </wp:inline>
        </w:drawing>
      </w:r>
    </w:p>
    <w:p w14:paraId="28033D27" w14:textId="02FABD65" w:rsidR="00CE1BDB" w:rsidRPr="00FA4DC7" w:rsidRDefault="00CE1BDB" w:rsidP="00CE1BDB">
      <w:pPr>
        <w:rPr>
          <w:rFonts w:cs="Arial"/>
        </w:rPr>
        <w:sectPr w:rsidR="00CE1BDB" w:rsidRPr="00FA4DC7" w:rsidSect="00EF49A7">
          <w:pgSz w:w="16838" w:h="11906" w:orient="landscape"/>
          <w:pgMar w:top="1276" w:right="1134" w:bottom="1440" w:left="1440" w:header="708" w:footer="708" w:gutter="0"/>
          <w:cols w:space="708"/>
          <w:docGrid w:linePitch="360"/>
        </w:sectPr>
      </w:pPr>
      <w:r w:rsidRPr="00FA4DC7">
        <w:rPr>
          <w:rFonts w:cs="Arial"/>
        </w:rPr>
        <w:t>Source: VOA 202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985"/>
        <w:gridCol w:w="985"/>
        <w:gridCol w:w="985"/>
        <w:gridCol w:w="986"/>
        <w:gridCol w:w="986"/>
        <w:gridCol w:w="986"/>
        <w:gridCol w:w="1149"/>
        <w:gridCol w:w="1149"/>
        <w:gridCol w:w="1149"/>
        <w:gridCol w:w="767"/>
        <w:gridCol w:w="1012"/>
      </w:tblGrid>
      <w:tr w:rsidR="00F5328D" w:rsidRPr="00A96B82" w14:paraId="3E555E0E" w14:textId="77777777" w:rsidTr="00F5328D">
        <w:trPr>
          <w:trHeight w:val="305"/>
        </w:trPr>
        <w:tc>
          <w:tcPr>
            <w:tcW w:w="5000" w:type="pct"/>
            <w:gridSpan w:val="12"/>
            <w:shd w:val="clear" w:color="auto" w:fill="006666"/>
            <w:vAlign w:val="center"/>
          </w:tcPr>
          <w:p w14:paraId="4E62C611" w14:textId="77777777" w:rsidR="00F5328D" w:rsidRPr="00A96B82" w:rsidRDefault="00F5328D" w:rsidP="00F5328D">
            <w:pPr>
              <w:pStyle w:val="Tableheading1"/>
              <w:rPr>
                <w:rFonts w:ascii="Calibri" w:hAnsi="Calibri"/>
                <w:b w:val="0"/>
                <w:bCs w:val="0"/>
                <w:color w:val="FFFFFF"/>
              </w:rPr>
            </w:pPr>
            <w:bookmarkStart w:id="150" w:name="_Toc83036056"/>
            <w:r w:rsidRPr="00FA4DC7">
              <w:rPr>
                <w:rFonts w:cs="Arial"/>
              </w:rPr>
              <w:lastRenderedPageBreak/>
              <w:t>Table</w:t>
            </w:r>
            <w:r w:rsidRPr="00FA4DC7">
              <w:rPr>
                <w:rFonts w:cs="Arial"/>
                <w:color w:val="FFFFFF"/>
                <w:szCs w:val="22"/>
              </w:rPr>
              <w:t xml:space="preserve"> 2.5a</w:t>
            </w:r>
            <w:r w:rsidRPr="00FA4DC7">
              <w:rPr>
                <w:rFonts w:cs="Arial"/>
                <w:color w:val="FFFFFF"/>
                <w:szCs w:val="22"/>
              </w:rPr>
              <w:tab/>
              <w:t>Summary of existing dwelling type and number of bedrooms by ward</w:t>
            </w:r>
            <w:bookmarkEnd w:id="150"/>
          </w:p>
        </w:tc>
      </w:tr>
      <w:tr w:rsidR="00F5328D" w:rsidRPr="00A96B82" w14:paraId="2E931C10" w14:textId="77777777" w:rsidTr="00F5328D">
        <w:trPr>
          <w:trHeight w:val="305"/>
        </w:trPr>
        <w:tc>
          <w:tcPr>
            <w:tcW w:w="1026" w:type="pct"/>
            <w:vMerge w:val="restart"/>
            <w:shd w:val="clear" w:color="auto" w:fill="006666"/>
            <w:vAlign w:val="bottom"/>
            <w:hideMark/>
          </w:tcPr>
          <w:p w14:paraId="6C061DCB" w14:textId="77777777" w:rsidR="00F5328D" w:rsidRPr="00A96B82" w:rsidRDefault="00F5328D" w:rsidP="00F5328D">
            <w:pPr>
              <w:rPr>
                <w:rFonts w:cs="Arial"/>
                <w:b/>
                <w:bCs/>
                <w:color w:val="FFFFFF"/>
                <w:sz w:val="20"/>
                <w:szCs w:val="20"/>
              </w:rPr>
            </w:pPr>
            <w:r w:rsidRPr="00A96B82">
              <w:rPr>
                <w:rFonts w:cs="Arial"/>
                <w:b/>
                <w:bCs/>
                <w:color w:val="FFFFFF"/>
                <w:sz w:val="20"/>
                <w:szCs w:val="20"/>
              </w:rPr>
              <w:t>Ward</w:t>
            </w:r>
          </w:p>
        </w:tc>
        <w:tc>
          <w:tcPr>
            <w:tcW w:w="3347" w:type="pct"/>
            <w:gridSpan w:val="9"/>
            <w:shd w:val="clear" w:color="auto" w:fill="006666"/>
            <w:noWrap/>
            <w:vAlign w:val="bottom"/>
            <w:hideMark/>
          </w:tcPr>
          <w:p w14:paraId="41B1E55D" w14:textId="77777777" w:rsidR="00F5328D" w:rsidRPr="00A96B82" w:rsidRDefault="00F5328D" w:rsidP="00F5328D">
            <w:pPr>
              <w:jc w:val="center"/>
              <w:rPr>
                <w:rFonts w:ascii="Calibri" w:hAnsi="Calibri" w:cs="Calibri"/>
                <w:b/>
                <w:bCs/>
                <w:color w:val="FFFFFF"/>
              </w:rPr>
            </w:pPr>
            <w:r w:rsidRPr="00A96B82">
              <w:rPr>
                <w:rFonts w:ascii="Calibri" w:hAnsi="Calibri" w:cs="Calibri"/>
                <w:b/>
                <w:bCs/>
                <w:color w:val="FFFFFF"/>
              </w:rPr>
              <w:t>Dwelling type and number of bedrooms</w:t>
            </w:r>
          </w:p>
        </w:tc>
        <w:tc>
          <w:tcPr>
            <w:tcW w:w="269" w:type="pct"/>
            <w:vMerge w:val="restart"/>
            <w:shd w:val="clear" w:color="auto" w:fill="006666"/>
            <w:vAlign w:val="bottom"/>
          </w:tcPr>
          <w:p w14:paraId="60B8FAEC" w14:textId="77777777" w:rsidR="00F5328D" w:rsidRPr="00F5328D" w:rsidRDefault="00F5328D" w:rsidP="00F5328D">
            <w:pPr>
              <w:jc w:val="center"/>
              <w:rPr>
                <w:rFonts w:ascii="Calibri" w:hAnsi="Calibri" w:cs="Calibri"/>
                <w:b/>
                <w:bCs/>
                <w:color w:val="FFFFFF"/>
                <w:sz w:val="20"/>
                <w:szCs w:val="20"/>
              </w:rPr>
            </w:pPr>
            <w:r w:rsidRPr="00F5328D">
              <w:rPr>
                <w:rFonts w:cs="Arial"/>
                <w:b/>
                <w:bCs/>
                <w:color w:val="FFFFFF"/>
                <w:sz w:val="20"/>
                <w:szCs w:val="20"/>
              </w:rPr>
              <w:t>Total</w:t>
            </w:r>
          </w:p>
        </w:tc>
        <w:tc>
          <w:tcPr>
            <w:tcW w:w="357" w:type="pct"/>
            <w:vMerge w:val="restart"/>
            <w:shd w:val="clear" w:color="auto" w:fill="006666"/>
            <w:vAlign w:val="bottom"/>
          </w:tcPr>
          <w:p w14:paraId="337F1D48" w14:textId="77777777" w:rsidR="00F5328D" w:rsidRPr="00F5328D" w:rsidRDefault="00F5328D" w:rsidP="00F5328D">
            <w:pPr>
              <w:jc w:val="center"/>
              <w:rPr>
                <w:rFonts w:ascii="Calibri" w:hAnsi="Calibri" w:cs="Calibri"/>
                <w:b/>
                <w:bCs/>
                <w:color w:val="FFFFFF"/>
                <w:sz w:val="20"/>
                <w:szCs w:val="20"/>
              </w:rPr>
            </w:pPr>
            <w:r w:rsidRPr="00F5328D">
              <w:rPr>
                <w:rFonts w:cs="Arial"/>
                <w:b/>
                <w:bCs/>
                <w:color w:val="FFFFFF"/>
                <w:sz w:val="20"/>
                <w:szCs w:val="20"/>
              </w:rPr>
              <w:t>Base</w:t>
            </w:r>
          </w:p>
        </w:tc>
      </w:tr>
      <w:tr w:rsidR="00F5328D" w:rsidRPr="00A96B82" w14:paraId="7C698732" w14:textId="77777777" w:rsidTr="00F5328D">
        <w:trPr>
          <w:trHeight w:val="827"/>
        </w:trPr>
        <w:tc>
          <w:tcPr>
            <w:tcW w:w="1026" w:type="pct"/>
            <w:vMerge/>
            <w:shd w:val="clear" w:color="auto" w:fill="006666"/>
            <w:vAlign w:val="center"/>
            <w:hideMark/>
          </w:tcPr>
          <w:p w14:paraId="5CA86189" w14:textId="77777777" w:rsidR="00F5328D" w:rsidRPr="00A96B82" w:rsidRDefault="00F5328D" w:rsidP="00F5328D">
            <w:pPr>
              <w:jc w:val="center"/>
              <w:rPr>
                <w:rFonts w:cs="Arial"/>
                <w:b/>
                <w:bCs/>
                <w:color w:val="FFFFFF"/>
                <w:sz w:val="20"/>
                <w:szCs w:val="20"/>
              </w:rPr>
            </w:pPr>
          </w:p>
        </w:tc>
        <w:tc>
          <w:tcPr>
            <w:tcW w:w="353" w:type="pct"/>
            <w:shd w:val="clear" w:color="auto" w:fill="006666"/>
            <w:tcMar>
              <w:left w:w="0" w:type="dxa"/>
              <w:right w:w="0" w:type="dxa"/>
            </w:tcMar>
            <w:vAlign w:val="bottom"/>
            <w:hideMark/>
          </w:tcPr>
          <w:p w14:paraId="42B2A8CD" w14:textId="77777777" w:rsidR="00F5328D" w:rsidRPr="00A96B82" w:rsidRDefault="00F5328D" w:rsidP="00F5328D">
            <w:pPr>
              <w:jc w:val="center"/>
              <w:rPr>
                <w:rFonts w:cs="Arial"/>
                <w:b/>
                <w:bCs/>
                <w:color w:val="FFFFFF"/>
                <w:sz w:val="20"/>
                <w:szCs w:val="20"/>
              </w:rPr>
            </w:pPr>
            <w:r w:rsidRPr="00A96B82">
              <w:rPr>
                <w:rFonts w:cs="Arial"/>
                <w:b/>
                <w:bCs/>
                <w:color w:val="FFFFFF"/>
                <w:sz w:val="20"/>
                <w:szCs w:val="20"/>
              </w:rPr>
              <w:t>1-bedroom house</w:t>
            </w:r>
          </w:p>
        </w:tc>
        <w:tc>
          <w:tcPr>
            <w:tcW w:w="353" w:type="pct"/>
            <w:shd w:val="clear" w:color="auto" w:fill="006666"/>
            <w:tcMar>
              <w:left w:w="0" w:type="dxa"/>
              <w:right w:w="0" w:type="dxa"/>
            </w:tcMar>
            <w:vAlign w:val="bottom"/>
            <w:hideMark/>
          </w:tcPr>
          <w:p w14:paraId="5B0286C1" w14:textId="77777777" w:rsidR="00F5328D" w:rsidRPr="00A96B82" w:rsidRDefault="00F5328D" w:rsidP="00F5328D">
            <w:pPr>
              <w:jc w:val="center"/>
              <w:rPr>
                <w:rFonts w:cs="Arial"/>
                <w:b/>
                <w:bCs/>
                <w:color w:val="FFFFFF"/>
                <w:sz w:val="20"/>
                <w:szCs w:val="20"/>
              </w:rPr>
            </w:pPr>
            <w:r w:rsidRPr="00A96B82">
              <w:rPr>
                <w:rFonts w:cs="Arial"/>
                <w:b/>
                <w:bCs/>
                <w:color w:val="FFFFFF"/>
                <w:sz w:val="20"/>
                <w:szCs w:val="20"/>
              </w:rPr>
              <w:t>2-bedroom house</w:t>
            </w:r>
          </w:p>
        </w:tc>
        <w:tc>
          <w:tcPr>
            <w:tcW w:w="353" w:type="pct"/>
            <w:shd w:val="clear" w:color="auto" w:fill="006666"/>
            <w:tcMar>
              <w:left w:w="0" w:type="dxa"/>
              <w:right w:w="0" w:type="dxa"/>
            </w:tcMar>
            <w:vAlign w:val="bottom"/>
            <w:hideMark/>
          </w:tcPr>
          <w:p w14:paraId="0AF8827E" w14:textId="77777777" w:rsidR="00F5328D" w:rsidRPr="00A96B82" w:rsidRDefault="00F5328D" w:rsidP="00F5328D">
            <w:pPr>
              <w:jc w:val="center"/>
              <w:rPr>
                <w:rFonts w:cs="Arial"/>
                <w:b/>
                <w:bCs/>
                <w:color w:val="FFFFFF"/>
                <w:sz w:val="20"/>
                <w:szCs w:val="20"/>
              </w:rPr>
            </w:pPr>
            <w:r w:rsidRPr="00A96B82">
              <w:rPr>
                <w:rFonts w:cs="Arial"/>
                <w:b/>
                <w:bCs/>
                <w:color w:val="FFFFFF"/>
                <w:sz w:val="20"/>
                <w:szCs w:val="20"/>
              </w:rPr>
              <w:t>3-bedroom house</w:t>
            </w:r>
          </w:p>
        </w:tc>
        <w:tc>
          <w:tcPr>
            <w:tcW w:w="353" w:type="pct"/>
            <w:shd w:val="clear" w:color="auto" w:fill="006666"/>
            <w:tcMar>
              <w:left w:w="0" w:type="dxa"/>
              <w:right w:w="0" w:type="dxa"/>
            </w:tcMar>
            <w:vAlign w:val="bottom"/>
            <w:hideMark/>
          </w:tcPr>
          <w:p w14:paraId="7AB2D038" w14:textId="77777777" w:rsidR="00F5328D" w:rsidRPr="00A96B82" w:rsidRDefault="00F5328D" w:rsidP="00F5328D">
            <w:pPr>
              <w:jc w:val="center"/>
              <w:rPr>
                <w:rFonts w:cs="Arial"/>
                <w:b/>
                <w:bCs/>
                <w:color w:val="FFFFFF"/>
                <w:sz w:val="20"/>
                <w:szCs w:val="20"/>
              </w:rPr>
            </w:pPr>
            <w:r w:rsidRPr="00A96B82">
              <w:rPr>
                <w:rFonts w:cs="Arial"/>
                <w:b/>
                <w:bCs/>
                <w:color w:val="FFFFFF"/>
                <w:sz w:val="20"/>
                <w:szCs w:val="20"/>
              </w:rPr>
              <w:t>4-bedroom house</w:t>
            </w:r>
          </w:p>
        </w:tc>
        <w:tc>
          <w:tcPr>
            <w:tcW w:w="353" w:type="pct"/>
            <w:shd w:val="clear" w:color="auto" w:fill="006666"/>
            <w:tcMar>
              <w:left w:w="0" w:type="dxa"/>
              <w:right w:w="0" w:type="dxa"/>
            </w:tcMar>
            <w:vAlign w:val="bottom"/>
            <w:hideMark/>
          </w:tcPr>
          <w:p w14:paraId="38EAFA3E" w14:textId="77777777" w:rsidR="00F5328D" w:rsidRPr="00A96B82" w:rsidRDefault="00F5328D" w:rsidP="00F5328D">
            <w:pPr>
              <w:jc w:val="center"/>
              <w:rPr>
                <w:rFonts w:cs="Arial"/>
                <w:b/>
                <w:bCs/>
                <w:color w:val="FFFFFF"/>
                <w:sz w:val="20"/>
                <w:szCs w:val="20"/>
              </w:rPr>
            </w:pPr>
            <w:r w:rsidRPr="00A96B82">
              <w:rPr>
                <w:rFonts w:cs="Arial"/>
                <w:b/>
                <w:bCs/>
                <w:color w:val="FFFFFF"/>
                <w:sz w:val="20"/>
                <w:szCs w:val="20"/>
              </w:rPr>
              <w:t>1-bedroom flat</w:t>
            </w:r>
          </w:p>
        </w:tc>
        <w:tc>
          <w:tcPr>
            <w:tcW w:w="353" w:type="pct"/>
            <w:shd w:val="clear" w:color="auto" w:fill="006666"/>
            <w:tcMar>
              <w:left w:w="0" w:type="dxa"/>
              <w:right w:w="0" w:type="dxa"/>
            </w:tcMar>
            <w:vAlign w:val="bottom"/>
            <w:hideMark/>
          </w:tcPr>
          <w:p w14:paraId="298EE6C7" w14:textId="77777777" w:rsidR="00F5328D" w:rsidRPr="00A96B82" w:rsidRDefault="00F5328D" w:rsidP="00F5328D">
            <w:pPr>
              <w:jc w:val="center"/>
              <w:rPr>
                <w:rFonts w:cs="Arial"/>
                <w:b/>
                <w:bCs/>
                <w:color w:val="FFFFFF"/>
                <w:sz w:val="20"/>
                <w:szCs w:val="20"/>
              </w:rPr>
            </w:pPr>
            <w:r w:rsidRPr="00A96B82">
              <w:rPr>
                <w:rFonts w:cs="Arial"/>
                <w:b/>
                <w:bCs/>
                <w:color w:val="FFFFFF"/>
                <w:sz w:val="20"/>
                <w:szCs w:val="20"/>
              </w:rPr>
              <w:t>2 or more-bedroom flat</w:t>
            </w:r>
          </w:p>
        </w:tc>
        <w:tc>
          <w:tcPr>
            <w:tcW w:w="410" w:type="pct"/>
            <w:shd w:val="clear" w:color="auto" w:fill="006666"/>
            <w:tcMar>
              <w:left w:w="0" w:type="dxa"/>
              <w:right w:w="0" w:type="dxa"/>
            </w:tcMar>
            <w:vAlign w:val="bottom"/>
            <w:hideMark/>
          </w:tcPr>
          <w:p w14:paraId="6A383A5B"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1-bedroom bungalow</w:t>
            </w:r>
          </w:p>
        </w:tc>
        <w:tc>
          <w:tcPr>
            <w:tcW w:w="410" w:type="pct"/>
            <w:shd w:val="clear" w:color="auto" w:fill="006666"/>
            <w:tcMar>
              <w:left w:w="0" w:type="dxa"/>
              <w:right w:w="0" w:type="dxa"/>
            </w:tcMar>
            <w:vAlign w:val="bottom"/>
            <w:hideMark/>
          </w:tcPr>
          <w:p w14:paraId="0A239BA4"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2-bedroom bungalow</w:t>
            </w:r>
          </w:p>
        </w:tc>
        <w:tc>
          <w:tcPr>
            <w:tcW w:w="410" w:type="pct"/>
            <w:shd w:val="clear" w:color="auto" w:fill="006666"/>
            <w:tcMar>
              <w:left w:w="0" w:type="dxa"/>
              <w:right w:w="0" w:type="dxa"/>
            </w:tcMar>
            <w:vAlign w:val="bottom"/>
            <w:hideMark/>
          </w:tcPr>
          <w:p w14:paraId="1316893F"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3 or more-bedroom bungalow</w:t>
            </w:r>
          </w:p>
        </w:tc>
        <w:tc>
          <w:tcPr>
            <w:tcW w:w="269" w:type="pct"/>
            <w:vMerge/>
            <w:shd w:val="clear" w:color="auto" w:fill="006666"/>
            <w:vAlign w:val="bottom"/>
            <w:hideMark/>
          </w:tcPr>
          <w:p w14:paraId="629BDEDF" w14:textId="77777777" w:rsidR="00F5328D" w:rsidRPr="00A96B82" w:rsidRDefault="00F5328D" w:rsidP="00F5328D">
            <w:pPr>
              <w:jc w:val="center"/>
              <w:rPr>
                <w:rFonts w:cs="Arial"/>
                <w:b/>
                <w:bCs/>
                <w:color w:val="FFFFFF"/>
                <w:sz w:val="22"/>
                <w:szCs w:val="22"/>
              </w:rPr>
            </w:pPr>
          </w:p>
        </w:tc>
        <w:tc>
          <w:tcPr>
            <w:tcW w:w="357" w:type="pct"/>
            <w:vMerge/>
            <w:shd w:val="clear" w:color="auto" w:fill="006666"/>
            <w:vAlign w:val="bottom"/>
            <w:hideMark/>
          </w:tcPr>
          <w:p w14:paraId="10C1F891" w14:textId="77777777" w:rsidR="00F5328D" w:rsidRPr="00A96B82" w:rsidRDefault="00F5328D" w:rsidP="00F5328D">
            <w:pPr>
              <w:jc w:val="center"/>
              <w:rPr>
                <w:rFonts w:cs="Arial"/>
                <w:b/>
                <w:bCs/>
                <w:color w:val="FFFFFF"/>
                <w:sz w:val="22"/>
                <w:szCs w:val="22"/>
              </w:rPr>
            </w:pPr>
          </w:p>
        </w:tc>
      </w:tr>
      <w:tr w:rsidR="00F5328D" w:rsidRPr="00A96B82" w14:paraId="2C30D77B" w14:textId="77777777" w:rsidTr="00F5328D">
        <w:trPr>
          <w:trHeight w:val="287"/>
        </w:trPr>
        <w:tc>
          <w:tcPr>
            <w:tcW w:w="1026" w:type="pct"/>
            <w:shd w:val="clear" w:color="auto" w:fill="auto"/>
            <w:noWrap/>
            <w:vAlign w:val="bottom"/>
            <w:hideMark/>
          </w:tcPr>
          <w:p w14:paraId="77749607" w14:textId="77777777" w:rsidR="00F5328D" w:rsidRPr="00A96B82" w:rsidRDefault="00F5328D" w:rsidP="00F5328D">
            <w:pPr>
              <w:rPr>
                <w:rFonts w:cs="Arial"/>
                <w:color w:val="000000"/>
                <w:sz w:val="22"/>
                <w:szCs w:val="22"/>
              </w:rPr>
            </w:pPr>
            <w:r w:rsidRPr="00A96B82">
              <w:rPr>
                <w:rFonts w:cs="Arial"/>
                <w:color w:val="000000"/>
                <w:sz w:val="22"/>
                <w:szCs w:val="22"/>
              </w:rPr>
              <w:t>Chatham Central</w:t>
            </w:r>
          </w:p>
        </w:tc>
        <w:tc>
          <w:tcPr>
            <w:tcW w:w="353" w:type="pct"/>
            <w:shd w:val="clear" w:color="auto" w:fill="auto"/>
            <w:noWrap/>
            <w:vAlign w:val="bottom"/>
            <w:hideMark/>
          </w:tcPr>
          <w:p w14:paraId="4EAC76F7" w14:textId="77777777" w:rsidR="00F5328D" w:rsidRPr="00A96B82" w:rsidRDefault="00F5328D" w:rsidP="00F5328D">
            <w:pPr>
              <w:jc w:val="right"/>
              <w:rPr>
                <w:rFonts w:cs="Arial"/>
                <w:color w:val="000000"/>
                <w:sz w:val="22"/>
                <w:szCs w:val="22"/>
              </w:rPr>
            </w:pPr>
            <w:r w:rsidRPr="00A96B82">
              <w:rPr>
                <w:rFonts w:cs="Arial"/>
                <w:color w:val="000000"/>
                <w:sz w:val="22"/>
                <w:szCs w:val="22"/>
              </w:rPr>
              <w:t>0.6</w:t>
            </w:r>
          </w:p>
        </w:tc>
        <w:tc>
          <w:tcPr>
            <w:tcW w:w="353" w:type="pct"/>
            <w:shd w:val="clear" w:color="auto" w:fill="auto"/>
            <w:noWrap/>
            <w:vAlign w:val="bottom"/>
            <w:hideMark/>
          </w:tcPr>
          <w:p w14:paraId="495CB546" w14:textId="77777777" w:rsidR="00F5328D" w:rsidRPr="00A96B82" w:rsidRDefault="00F5328D" w:rsidP="00F5328D">
            <w:pPr>
              <w:jc w:val="right"/>
              <w:rPr>
                <w:rFonts w:cs="Arial"/>
                <w:color w:val="000000"/>
                <w:sz w:val="22"/>
                <w:szCs w:val="22"/>
              </w:rPr>
            </w:pPr>
            <w:r w:rsidRPr="00A96B82">
              <w:rPr>
                <w:rFonts w:cs="Arial"/>
                <w:color w:val="000000"/>
                <w:sz w:val="22"/>
                <w:szCs w:val="22"/>
              </w:rPr>
              <w:t>16.7</w:t>
            </w:r>
          </w:p>
        </w:tc>
        <w:tc>
          <w:tcPr>
            <w:tcW w:w="353" w:type="pct"/>
            <w:shd w:val="clear" w:color="auto" w:fill="auto"/>
            <w:noWrap/>
            <w:vAlign w:val="bottom"/>
            <w:hideMark/>
          </w:tcPr>
          <w:p w14:paraId="04A32C94" w14:textId="77777777" w:rsidR="00F5328D" w:rsidRPr="00A96B82" w:rsidRDefault="00F5328D" w:rsidP="00F5328D">
            <w:pPr>
              <w:jc w:val="right"/>
              <w:rPr>
                <w:rFonts w:cs="Arial"/>
                <w:color w:val="000000"/>
                <w:sz w:val="22"/>
                <w:szCs w:val="22"/>
              </w:rPr>
            </w:pPr>
            <w:r w:rsidRPr="00A96B82">
              <w:rPr>
                <w:rFonts w:cs="Arial"/>
                <w:color w:val="000000"/>
                <w:sz w:val="22"/>
                <w:szCs w:val="22"/>
              </w:rPr>
              <w:t>55.2</w:t>
            </w:r>
          </w:p>
        </w:tc>
        <w:tc>
          <w:tcPr>
            <w:tcW w:w="353" w:type="pct"/>
            <w:shd w:val="clear" w:color="auto" w:fill="auto"/>
            <w:noWrap/>
            <w:vAlign w:val="bottom"/>
            <w:hideMark/>
          </w:tcPr>
          <w:p w14:paraId="02F1DDB2" w14:textId="77777777" w:rsidR="00F5328D" w:rsidRPr="00A96B82" w:rsidRDefault="00F5328D" w:rsidP="00F5328D">
            <w:pPr>
              <w:jc w:val="right"/>
              <w:rPr>
                <w:rFonts w:cs="Arial"/>
                <w:color w:val="000000"/>
                <w:sz w:val="22"/>
                <w:szCs w:val="22"/>
              </w:rPr>
            </w:pPr>
            <w:r w:rsidRPr="00A96B82">
              <w:rPr>
                <w:rFonts w:cs="Arial"/>
                <w:color w:val="000000"/>
                <w:sz w:val="22"/>
                <w:szCs w:val="22"/>
              </w:rPr>
              <w:t>4.1</w:t>
            </w:r>
          </w:p>
        </w:tc>
        <w:tc>
          <w:tcPr>
            <w:tcW w:w="353" w:type="pct"/>
            <w:shd w:val="clear" w:color="auto" w:fill="auto"/>
            <w:noWrap/>
            <w:vAlign w:val="bottom"/>
            <w:hideMark/>
          </w:tcPr>
          <w:p w14:paraId="13D2A46C" w14:textId="77777777" w:rsidR="00F5328D" w:rsidRPr="00A96B82" w:rsidRDefault="00F5328D" w:rsidP="00F5328D">
            <w:pPr>
              <w:jc w:val="right"/>
              <w:rPr>
                <w:rFonts w:cs="Arial"/>
                <w:color w:val="000000"/>
                <w:sz w:val="22"/>
                <w:szCs w:val="22"/>
              </w:rPr>
            </w:pPr>
            <w:r w:rsidRPr="00A96B82">
              <w:rPr>
                <w:rFonts w:cs="Arial"/>
                <w:color w:val="000000"/>
                <w:sz w:val="22"/>
                <w:szCs w:val="22"/>
              </w:rPr>
              <w:t>13.2</w:t>
            </w:r>
          </w:p>
        </w:tc>
        <w:tc>
          <w:tcPr>
            <w:tcW w:w="353" w:type="pct"/>
            <w:shd w:val="clear" w:color="auto" w:fill="auto"/>
            <w:noWrap/>
            <w:vAlign w:val="bottom"/>
            <w:hideMark/>
          </w:tcPr>
          <w:p w14:paraId="12FA83E7" w14:textId="77777777" w:rsidR="00F5328D" w:rsidRPr="00A96B82" w:rsidRDefault="00F5328D" w:rsidP="00F5328D">
            <w:pPr>
              <w:jc w:val="right"/>
              <w:rPr>
                <w:rFonts w:cs="Arial"/>
                <w:color w:val="000000"/>
                <w:sz w:val="22"/>
                <w:szCs w:val="22"/>
              </w:rPr>
            </w:pPr>
            <w:r w:rsidRPr="00A96B82">
              <w:rPr>
                <w:rFonts w:cs="Arial"/>
                <w:color w:val="000000"/>
                <w:sz w:val="22"/>
                <w:szCs w:val="22"/>
              </w:rPr>
              <w:t>7.8</w:t>
            </w:r>
          </w:p>
        </w:tc>
        <w:tc>
          <w:tcPr>
            <w:tcW w:w="410" w:type="pct"/>
            <w:shd w:val="clear" w:color="auto" w:fill="auto"/>
            <w:noWrap/>
            <w:vAlign w:val="bottom"/>
            <w:hideMark/>
          </w:tcPr>
          <w:p w14:paraId="2FA2F608" w14:textId="77777777" w:rsidR="00F5328D" w:rsidRPr="00A96B82" w:rsidRDefault="00F5328D" w:rsidP="00F5328D">
            <w:pPr>
              <w:jc w:val="right"/>
              <w:rPr>
                <w:rFonts w:cs="Arial"/>
                <w:color w:val="000000"/>
                <w:sz w:val="22"/>
                <w:szCs w:val="22"/>
              </w:rPr>
            </w:pPr>
            <w:r w:rsidRPr="00A96B82">
              <w:rPr>
                <w:rFonts w:cs="Arial"/>
                <w:color w:val="000000"/>
                <w:sz w:val="22"/>
                <w:szCs w:val="22"/>
              </w:rPr>
              <w:t>1.2</w:t>
            </w:r>
          </w:p>
        </w:tc>
        <w:tc>
          <w:tcPr>
            <w:tcW w:w="410" w:type="pct"/>
            <w:shd w:val="clear" w:color="auto" w:fill="auto"/>
            <w:noWrap/>
            <w:vAlign w:val="bottom"/>
            <w:hideMark/>
          </w:tcPr>
          <w:p w14:paraId="19C564D4" w14:textId="77777777" w:rsidR="00F5328D" w:rsidRPr="00A96B82" w:rsidRDefault="00F5328D" w:rsidP="00F5328D">
            <w:pPr>
              <w:jc w:val="right"/>
              <w:rPr>
                <w:rFonts w:cs="Arial"/>
                <w:color w:val="000000"/>
                <w:sz w:val="22"/>
                <w:szCs w:val="22"/>
              </w:rPr>
            </w:pPr>
            <w:r w:rsidRPr="00A96B82">
              <w:rPr>
                <w:rFonts w:cs="Arial"/>
                <w:color w:val="000000"/>
                <w:sz w:val="22"/>
                <w:szCs w:val="22"/>
              </w:rPr>
              <w:t>1.2</w:t>
            </w:r>
          </w:p>
        </w:tc>
        <w:tc>
          <w:tcPr>
            <w:tcW w:w="410" w:type="pct"/>
            <w:shd w:val="clear" w:color="auto" w:fill="auto"/>
            <w:noWrap/>
            <w:vAlign w:val="bottom"/>
            <w:hideMark/>
          </w:tcPr>
          <w:p w14:paraId="44B9DD46"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269" w:type="pct"/>
            <w:shd w:val="clear" w:color="auto" w:fill="auto"/>
            <w:noWrap/>
            <w:vAlign w:val="bottom"/>
            <w:hideMark/>
          </w:tcPr>
          <w:p w14:paraId="296AB27A"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7D4DC94F" w14:textId="77777777" w:rsidR="00F5328D" w:rsidRPr="00A96B82" w:rsidRDefault="00F5328D" w:rsidP="00F5328D">
            <w:pPr>
              <w:jc w:val="right"/>
              <w:rPr>
                <w:rFonts w:cs="Arial"/>
                <w:color w:val="000000"/>
                <w:sz w:val="22"/>
                <w:szCs w:val="22"/>
              </w:rPr>
            </w:pPr>
            <w:r w:rsidRPr="00A96B82">
              <w:rPr>
                <w:rFonts w:cs="Arial"/>
                <w:color w:val="000000"/>
                <w:sz w:val="22"/>
                <w:szCs w:val="22"/>
              </w:rPr>
              <w:t>6,760</w:t>
            </w:r>
          </w:p>
        </w:tc>
      </w:tr>
      <w:tr w:rsidR="00F5328D" w:rsidRPr="00A96B82" w14:paraId="7A1EDC0C" w14:textId="77777777" w:rsidTr="00F5328D">
        <w:trPr>
          <w:trHeight w:val="287"/>
        </w:trPr>
        <w:tc>
          <w:tcPr>
            <w:tcW w:w="1026" w:type="pct"/>
            <w:shd w:val="clear" w:color="auto" w:fill="auto"/>
            <w:noWrap/>
            <w:vAlign w:val="bottom"/>
            <w:hideMark/>
          </w:tcPr>
          <w:p w14:paraId="68C76638" w14:textId="77777777" w:rsidR="00F5328D" w:rsidRPr="00A96B82" w:rsidRDefault="00F5328D" w:rsidP="00F5328D">
            <w:pPr>
              <w:rPr>
                <w:rFonts w:cs="Arial"/>
                <w:color w:val="000000"/>
                <w:sz w:val="22"/>
                <w:szCs w:val="22"/>
              </w:rPr>
            </w:pPr>
            <w:proofErr w:type="spellStart"/>
            <w:r w:rsidRPr="00A96B82">
              <w:rPr>
                <w:rFonts w:cs="Arial"/>
                <w:color w:val="000000"/>
                <w:sz w:val="22"/>
                <w:szCs w:val="22"/>
              </w:rPr>
              <w:t>Cuxton</w:t>
            </w:r>
            <w:proofErr w:type="spellEnd"/>
            <w:r w:rsidRPr="00A96B82">
              <w:rPr>
                <w:rFonts w:cs="Arial"/>
                <w:color w:val="000000"/>
                <w:sz w:val="22"/>
                <w:szCs w:val="22"/>
              </w:rPr>
              <w:t xml:space="preserve"> and </w:t>
            </w:r>
            <w:proofErr w:type="spellStart"/>
            <w:r w:rsidRPr="00A96B82">
              <w:rPr>
                <w:rFonts w:cs="Arial"/>
                <w:color w:val="000000"/>
                <w:sz w:val="22"/>
                <w:szCs w:val="22"/>
              </w:rPr>
              <w:t>Halling</w:t>
            </w:r>
            <w:proofErr w:type="spellEnd"/>
          </w:p>
        </w:tc>
        <w:tc>
          <w:tcPr>
            <w:tcW w:w="353" w:type="pct"/>
            <w:shd w:val="clear" w:color="auto" w:fill="auto"/>
            <w:noWrap/>
            <w:vAlign w:val="bottom"/>
            <w:hideMark/>
          </w:tcPr>
          <w:p w14:paraId="44A958B2" w14:textId="77777777" w:rsidR="00F5328D" w:rsidRPr="00A96B82" w:rsidRDefault="00F5328D" w:rsidP="00F5328D">
            <w:pPr>
              <w:jc w:val="right"/>
              <w:rPr>
                <w:rFonts w:cs="Arial"/>
                <w:color w:val="000000"/>
                <w:sz w:val="22"/>
                <w:szCs w:val="22"/>
              </w:rPr>
            </w:pPr>
            <w:r w:rsidRPr="00A96B82">
              <w:rPr>
                <w:rFonts w:cs="Arial"/>
                <w:color w:val="000000"/>
                <w:sz w:val="22"/>
                <w:szCs w:val="22"/>
              </w:rPr>
              <w:t>0.8</w:t>
            </w:r>
          </w:p>
        </w:tc>
        <w:tc>
          <w:tcPr>
            <w:tcW w:w="353" w:type="pct"/>
            <w:shd w:val="clear" w:color="auto" w:fill="auto"/>
            <w:noWrap/>
            <w:vAlign w:val="bottom"/>
            <w:hideMark/>
          </w:tcPr>
          <w:p w14:paraId="2FBC8326" w14:textId="77777777" w:rsidR="00F5328D" w:rsidRPr="00A96B82" w:rsidRDefault="00F5328D" w:rsidP="00F5328D">
            <w:pPr>
              <w:jc w:val="right"/>
              <w:rPr>
                <w:rFonts w:cs="Arial"/>
                <w:color w:val="000000"/>
                <w:sz w:val="22"/>
                <w:szCs w:val="22"/>
              </w:rPr>
            </w:pPr>
            <w:r w:rsidRPr="00A96B82">
              <w:rPr>
                <w:rFonts w:cs="Arial"/>
                <w:color w:val="000000"/>
                <w:sz w:val="22"/>
                <w:szCs w:val="22"/>
              </w:rPr>
              <w:t>15.6</w:t>
            </w:r>
          </w:p>
        </w:tc>
        <w:tc>
          <w:tcPr>
            <w:tcW w:w="353" w:type="pct"/>
            <w:shd w:val="clear" w:color="auto" w:fill="auto"/>
            <w:noWrap/>
            <w:vAlign w:val="bottom"/>
            <w:hideMark/>
          </w:tcPr>
          <w:p w14:paraId="6E002484" w14:textId="77777777" w:rsidR="00F5328D" w:rsidRPr="00A96B82" w:rsidRDefault="00F5328D" w:rsidP="00F5328D">
            <w:pPr>
              <w:jc w:val="right"/>
              <w:rPr>
                <w:rFonts w:cs="Arial"/>
                <w:color w:val="000000"/>
                <w:sz w:val="22"/>
                <w:szCs w:val="22"/>
              </w:rPr>
            </w:pPr>
            <w:r w:rsidRPr="00A96B82">
              <w:rPr>
                <w:rFonts w:cs="Arial"/>
                <w:color w:val="000000"/>
                <w:sz w:val="22"/>
                <w:szCs w:val="22"/>
              </w:rPr>
              <w:t>48.3</w:t>
            </w:r>
          </w:p>
        </w:tc>
        <w:tc>
          <w:tcPr>
            <w:tcW w:w="353" w:type="pct"/>
            <w:shd w:val="clear" w:color="auto" w:fill="auto"/>
            <w:noWrap/>
            <w:vAlign w:val="bottom"/>
            <w:hideMark/>
          </w:tcPr>
          <w:p w14:paraId="1685C262" w14:textId="77777777" w:rsidR="00F5328D" w:rsidRPr="00A96B82" w:rsidRDefault="00F5328D" w:rsidP="00F5328D">
            <w:pPr>
              <w:jc w:val="right"/>
              <w:rPr>
                <w:rFonts w:cs="Arial"/>
                <w:color w:val="000000"/>
                <w:sz w:val="22"/>
                <w:szCs w:val="22"/>
              </w:rPr>
            </w:pPr>
            <w:r w:rsidRPr="00A96B82">
              <w:rPr>
                <w:rFonts w:cs="Arial"/>
                <w:color w:val="000000"/>
                <w:sz w:val="22"/>
                <w:szCs w:val="22"/>
              </w:rPr>
              <w:t>19.0</w:t>
            </w:r>
          </w:p>
        </w:tc>
        <w:tc>
          <w:tcPr>
            <w:tcW w:w="353" w:type="pct"/>
            <w:shd w:val="clear" w:color="auto" w:fill="auto"/>
            <w:noWrap/>
            <w:vAlign w:val="bottom"/>
            <w:hideMark/>
          </w:tcPr>
          <w:p w14:paraId="247EE8C5" w14:textId="77777777" w:rsidR="00F5328D" w:rsidRPr="00A96B82" w:rsidRDefault="00F5328D" w:rsidP="00F5328D">
            <w:pPr>
              <w:jc w:val="right"/>
              <w:rPr>
                <w:rFonts w:cs="Arial"/>
                <w:color w:val="000000"/>
                <w:sz w:val="22"/>
                <w:szCs w:val="22"/>
              </w:rPr>
            </w:pPr>
            <w:r w:rsidRPr="00A96B82">
              <w:rPr>
                <w:rFonts w:cs="Arial"/>
                <w:color w:val="000000"/>
                <w:sz w:val="22"/>
                <w:szCs w:val="22"/>
              </w:rPr>
              <w:t>3.4</w:t>
            </w:r>
          </w:p>
        </w:tc>
        <w:tc>
          <w:tcPr>
            <w:tcW w:w="353" w:type="pct"/>
            <w:shd w:val="clear" w:color="auto" w:fill="auto"/>
            <w:noWrap/>
            <w:vAlign w:val="bottom"/>
            <w:hideMark/>
          </w:tcPr>
          <w:p w14:paraId="33B485C4" w14:textId="77777777" w:rsidR="00F5328D" w:rsidRPr="00A96B82" w:rsidRDefault="00F5328D" w:rsidP="00F5328D">
            <w:pPr>
              <w:jc w:val="right"/>
              <w:rPr>
                <w:rFonts w:cs="Arial"/>
                <w:color w:val="000000"/>
                <w:sz w:val="22"/>
                <w:szCs w:val="22"/>
              </w:rPr>
            </w:pPr>
            <w:r w:rsidRPr="00A96B82">
              <w:rPr>
                <w:rFonts w:cs="Arial"/>
                <w:color w:val="000000"/>
                <w:sz w:val="22"/>
                <w:szCs w:val="22"/>
              </w:rPr>
              <w:t>2.7</w:t>
            </w:r>
          </w:p>
        </w:tc>
        <w:tc>
          <w:tcPr>
            <w:tcW w:w="410" w:type="pct"/>
            <w:shd w:val="clear" w:color="auto" w:fill="auto"/>
            <w:noWrap/>
            <w:vAlign w:val="bottom"/>
            <w:hideMark/>
          </w:tcPr>
          <w:p w14:paraId="2F7C6C86" w14:textId="77777777" w:rsidR="00F5328D" w:rsidRPr="00A96B82" w:rsidRDefault="00F5328D" w:rsidP="00F5328D">
            <w:pPr>
              <w:jc w:val="right"/>
              <w:rPr>
                <w:rFonts w:cs="Arial"/>
                <w:color w:val="000000"/>
                <w:sz w:val="22"/>
                <w:szCs w:val="22"/>
              </w:rPr>
            </w:pPr>
            <w:r w:rsidRPr="00A96B82">
              <w:rPr>
                <w:rFonts w:cs="Arial"/>
                <w:color w:val="000000"/>
                <w:sz w:val="22"/>
                <w:szCs w:val="22"/>
              </w:rPr>
              <w:t>0.4</w:t>
            </w:r>
          </w:p>
        </w:tc>
        <w:tc>
          <w:tcPr>
            <w:tcW w:w="410" w:type="pct"/>
            <w:shd w:val="clear" w:color="auto" w:fill="auto"/>
            <w:noWrap/>
            <w:vAlign w:val="bottom"/>
            <w:hideMark/>
          </w:tcPr>
          <w:p w14:paraId="535C0C9F" w14:textId="77777777" w:rsidR="00F5328D" w:rsidRPr="00A96B82" w:rsidRDefault="00F5328D" w:rsidP="00F5328D">
            <w:pPr>
              <w:jc w:val="right"/>
              <w:rPr>
                <w:rFonts w:cs="Arial"/>
                <w:color w:val="000000"/>
                <w:sz w:val="22"/>
                <w:szCs w:val="22"/>
              </w:rPr>
            </w:pPr>
            <w:r w:rsidRPr="00A96B82">
              <w:rPr>
                <w:rFonts w:cs="Arial"/>
                <w:color w:val="000000"/>
                <w:sz w:val="22"/>
                <w:szCs w:val="22"/>
              </w:rPr>
              <w:t>5.7</w:t>
            </w:r>
          </w:p>
        </w:tc>
        <w:tc>
          <w:tcPr>
            <w:tcW w:w="410" w:type="pct"/>
            <w:shd w:val="clear" w:color="auto" w:fill="auto"/>
            <w:noWrap/>
            <w:vAlign w:val="bottom"/>
            <w:hideMark/>
          </w:tcPr>
          <w:p w14:paraId="0D5D1598" w14:textId="77777777" w:rsidR="00F5328D" w:rsidRPr="00A96B82" w:rsidRDefault="00F5328D" w:rsidP="00F5328D">
            <w:pPr>
              <w:jc w:val="right"/>
              <w:rPr>
                <w:rFonts w:cs="Arial"/>
                <w:color w:val="000000"/>
                <w:sz w:val="22"/>
                <w:szCs w:val="22"/>
              </w:rPr>
            </w:pPr>
            <w:r w:rsidRPr="00A96B82">
              <w:rPr>
                <w:rFonts w:cs="Arial"/>
                <w:color w:val="000000"/>
                <w:sz w:val="22"/>
                <w:szCs w:val="22"/>
              </w:rPr>
              <w:t>4.2</w:t>
            </w:r>
          </w:p>
        </w:tc>
        <w:tc>
          <w:tcPr>
            <w:tcW w:w="269" w:type="pct"/>
            <w:shd w:val="clear" w:color="auto" w:fill="auto"/>
            <w:noWrap/>
            <w:vAlign w:val="bottom"/>
            <w:hideMark/>
          </w:tcPr>
          <w:p w14:paraId="471215ED"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1BDFF74C" w14:textId="77777777" w:rsidR="00F5328D" w:rsidRPr="00A96B82" w:rsidRDefault="00F5328D" w:rsidP="00F5328D">
            <w:pPr>
              <w:jc w:val="right"/>
              <w:rPr>
                <w:rFonts w:cs="Arial"/>
                <w:color w:val="000000"/>
                <w:sz w:val="22"/>
                <w:szCs w:val="22"/>
              </w:rPr>
            </w:pPr>
            <w:r w:rsidRPr="00A96B82">
              <w:rPr>
                <w:rFonts w:cs="Arial"/>
                <w:color w:val="000000"/>
                <w:sz w:val="22"/>
                <w:szCs w:val="22"/>
              </w:rPr>
              <w:t>2,630</w:t>
            </w:r>
          </w:p>
        </w:tc>
      </w:tr>
      <w:tr w:rsidR="00F5328D" w:rsidRPr="00A96B82" w14:paraId="136C5787" w14:textId="77777777" w:rsidTr="00F5328D">
        <w:trPr>
          <w:trHeight w:val="287"/>
        </w:trPr>
        <w:tc>
          <w:tcPr>
            <w:tcW w:w="1026" w:type="pct"/>
            <w:shd w:val="clear" w:color="auto" w:fill="auto"/>
            <w:noWrap/>
            <w:vAlign w:val="bottom"/>
            <w:hideMark/>
          </w:tcPr>
          <w:p w14:paraId="0CECB678" w14:textId="77777777" w:rsidR="00F5328D" w:rsidRPr="00A96B82" w:rsidRDefault="00F5328D" w:rsidP="00F5328D">
            <w:pPr>
              <w:rPr>
                <w:rFonts w:cs="Arial"/>
                <w:color w:val="000000"/>
                <w:sz w:val="22"/>
                <w:szCs w:val="22"/>
              </w:rPr>
            </w:pPr>
            <w:r w:rsidRPr="00A96B82">
              <w:rPr>
                <w:rFonts w:cs="Arial"/>
                <w:color w:val="000000"/>
                <w:sz w:val="22"/>
                <w:szCs w:val="22"/>
              </w:rPr>
              <w:t>Gillingham North</w:t>
            </w:r>
          </w:p>
        </w:tc>
        <w:tc>
          <w:tcPr>
            <w:tcW w:w="353" w:type="pct"/>
            <w:shd w:val="clear" w:color="auto" w:fill="auto"/>
            <w:noWrap/>
            <w:vAlign w:val="bottom"/>
            <w:hideMark/>
          </w:tcPr>
          <w:p w14:paraId="7020C1AE" w14:textId="77777777" w:rsidR="00F5328D" w:rsidRPr="00A96B82" w:rsidRDefault="00F5328D" w:rsidP="00F5328D">
            <w:pPr>
              <w:jc w:val="right"/>
              <w:rPr>
                <w:rFonts w:cs="Arial"/>
                <w:color w:val="000000"/>
                <w:sz w:val="22"/>
                <w:szCs w:val="22"/>
              </w:rPr>
            </w:pPr>
            <w:r w:rsidRPr="00A96B82">
              <w:rPr>
                <w:rFonts w:cs="Arial"/>
                <w:color w:val="000000"/>
                <w:sz w:val="22"/>
                <w:szCs w:val="22"/>
              </w:rPr>
              <w:t>0.5</w:t>
            </w:r>
          </w:p>
        </w:tc>
        <w:tc>
          <w:tcPr>
            <w:tcW w:w="353" w:type="pct"/>
            <w:shd w:val="clear" w:color="auto" w:fill="auto"/>
            <w:noWrap/>
            <w:vAlign w:val="bottom"/>
            <w:hideMark/>
          </w:tcPr>
          <w:p w14:paraId="33B310DF" w14:textId="77777777" w:rsidR="00F5328D" w:rsidRPr="00A96B82" w:rsidRDefault="00F5328D" w:rsidP="00F5328D">
            <w:pPr>
              <w:jc w:val="right"/>
              <w:rPr>
                <w:rFonts w:cs="Arial"/>
                <w:color w:val="000000"/>
                <w:sz w:val="22"/>
                <w:szCs w:val="22"/>
              </w:rPr>
            </w:pPr>
            <w:r w:rsidRPr="00A96B82">
              <w:rPr>
                <w:rFonts w:cs="Arial"/>
                <w:color w:val="000000"/>
                <w:sz w:val="22"/>
                <w:szCs w:val="22"/>
              </w:rPr>
              <w:t>16.7</w:t>
            </w:r>
          </w:p>
        </w:tc>
        <w:tc>
          <w:tcPr>
            <w:tcW w:w="353" w:type="pct"/>
            <w:shd w:val="clear" w:color="auto" w:fill="auto"/>
            <w:noWrap/>
            <w:vAlign w:val="bottom"/>
            <w:hideMark/>
          </w:tcPr>
          <w:p w14:paraId="779AFAC6" w14:textId="77777777" w:rsidR="00F5328D" w:rsidRPr="00A96B82" w:rsidRDefault="00F5328D" w:rsidP="00F5328D">
            <w:pPr>
              <w:jc w:val="right"/>
              <w:rPr>
                <w:rFonts w:cs="Arial"/>
                <w:color w:val="000000"/>
                <w:sz w:val="22"/>
                <w:szCs w:val="22"/>
              </w:rPr>
            </w:pPr>
            <w:r w:rsidRPr="00A96B82">
              <w:rPr>
                <w:rFonts w:cs="Arial"/>
                <w:color w:val="000000"/>
                <w:sz w:val="22"/>
                <w:szCs w:val="22"/>
              </w:rPr>
              <w:t>43.5</w:t>
            </w:r>
          </w:p>
        </w:tc>
        <w:tc>
          <w:tcPr>
            <w:tcW w:w="353" w:type="pct"/>
            <w:shd w:val="clear" w:color="auto" w:fill="auto"/>
            <w:noWrap/>
            <w:vAlign w:val="bottom"/>
            <w:hideMark/>
          </w:tcPr>
          <w:p w14:paraId="0F936DE0" w14:textId="77777777" w:rsidR="00F5328D" w:rsidRPr="00A96B82" w:rsidRDefault="00F5328D" w:rsidP="00F5328D">
            <w:pPr>
              <w:jc w:val="right"/>
              <w:rPr>
                <w:rFonts w:cs="Arial"/>
                <w:color w:val="000000"/>
                <w:sz w:val="22"/>
                <w:szCs w:val="22"/>
              </w:rPr>
            </w:pPr>
            <w:r w:rsidRPr="00A96B82">
              <w:rPr>
                <w:rFonts w:cs="Arial"/>
                <w:color w:val="000000"/>
                <w:sz w:val="22"/>
                <w:szCs w:val="22"/>
              </w:rPr>
              <w:t>3.4</w:t>
            </w:r>
          </w:p>
        </w:tc>
        <w:tc>
          <w:tcPr>
            <w:tcW w:w="353" w:type="pct"/>
            <w:shd w:val="clear" w:color="auto" w:fill="auto"/>
            <w:noWrap/>
            <w:vAlign w:val="bottom"/>
            <w:hideMark/>
          </w:tcPr>
          <w:p w14:paraId="25EAEC3D" w14:textId="77777777" w:rsidR="00F5328D" w:rsidRPr="00A96B82" w:rsidRDefault="00F5328D" w:rsidP="00F5328D">
            <w:pPr>
              <w:jc w:val="right"/>
              <w:rPr>
                <w:rFonts w:cs="Arial"/>
                <w:color w:val="000000"/>
                <w:sz w:val="22"/>
                <w:szCs w:val="22"/>
              </w:rPr>
            </w:pPr>
            <w:r w:rsidRPr="00A96B82">
              <w:rPr>
                <w:rFonts w:cs="Arial"/>
                <w:color w:val="000000"/>
                <w:sz w:val="22"/>
                <w:szCs w:val="22"/>
              </w:rPr>
              <w:t>18.6</w:t>
            </w:r>
          </w:p>
        </w:tc>
        <w:tc>
          <w:tcPr>
            <w:tcW w:w="353" w:type="pct"/>
            <w:shd w:val="clear" w:color="auto" w:fill="auto"/>
            <w:noWrap/>
            <w:vAlign w:val="bottom"/>
            <w:hideMark/>
          </w:tcPr>
          <w:p w14:paraId="4075AD09" w14:textId="77777777" w:rsidR="00F5328D" w:rsidRPr="00A96B82" w:rsidRDefault="00F5328D" w:rsidP="00F5328D">
            <w:pPr>
              <w:jc w:val="right"/>
              <w:rPr>
                <w:rFonts w:cs="Arial"/>
                <w:color w:val="000000"/>
                <w:sz w:val="22"/>
                <w:szCs w:val="22"/>
              </w:rPr>
            </w:pPr>
            <w:r w:rsidRPr="00A96B82">
              <w:rPr>
                <w:rFonts w:cs="Arial"/>
                <w:color w:val="000000"/>
                <w:sz w:val="22"/>
                <w:szCs w:val="22"/>
              </w:rPr>
              <w:t>14.8</w:t>
            </w:r>
          </w:p>
        </w:tc>
        <w:tc>
          <w:tcPr>
            <w:tcW w:w="410" w:type="pct"/>
            <w:shd w:val="clear" w:color="auto" w:fill="auto"/>
            <w:noWrap/>
            <w:vAlign w:val="bottom"/>
            <w:hideMark/>
          </w:tcPr>
          <w:p w14:paraId="7D7C1A0B" w14:textId="77777777" w:rsidR="00F5328D" w:rsidRPr="00A96B82" w:rsidRDefault="00F5328D" w:rsidP="00F5328D">
            <w:pPr>
              <w:jc w:val="right"/>
              <w:rPr>
                <w:rFonts w:cs="Arial"/>
                <w:color w:val="000000"/>
                <w:sz w:val="22"/>
                <w:szCs w:val="22"/>
              </w:rPr>
            </w:pPr>
            <w:r w:rsidRPr="00A96B82">
              <w:rPr>
                <w:rFonts w:cs="Arial"/>
                <w:color w:val="000000"/>
                <w:sz w:val="22"/>
                <w:szCs w:val="22"/>
              </w:rPr>
              <w:t>1.0</w:t>
            </w:r>
          </w:p>
        </w:tc>
        <w:tc>
          <w:tcPr>
            <w:tcW w:w="410" w:type="pct"/>
            <w:shd w:val="clear" w:color="auto" w:fill="auto"/>
            <w:noWrap/>
            <w:vAlign w:val="bottom"/>
            <w:hideMark/>
          </w:tcPr>
          <w:p w14:paraId="1D0007CB" w14:textId="77777777" w:rsidR="00F5328D" w:rsidRPr="00A96B82" w:rsidRDefault="00F5328D" w:rsidP="00F5328D">
            <w:pPr>
              <w:jc w:val="right"/>
              <w:rPr>
                <w:rFonts w:cs="Arial"/>
                <w:color w:val="000000"/>
                <w:sz w:val="22"/>
                <w:szCs w:val="22"/>
              </w:rPr>
            </w:pPr>
            <w:r w:rsidRPr="00A96B82">
              <w:rPr>
                <w:rFonts w:cs="Arial"/>
                <w:color w:val="000000"/>
                <w:sz w:val="22"/>
                <w:szCs w:val="22"/>
              </w:rPr>
              <w:t>1.5</w:t>
            </w:r>
          </w:p>
        </w:tc>
        <w:tc>
          <w:tcPr>
            <w:tcW w:w="410" w:type="pct"/>
            <w:shd w:val="clear" w:color="auto" w:fill="auto"/>
            <w:noWrap/>
            <w:vAlign w:val="bottom"/>
            <w:hideMark/>
          </w:tcPr>
          <w:p w14:paraId="2537AA86" w14:textId="77777777" w:rsidR="00F5328D" w:rsidRPr="00A96B82" w:rsidRDefault="00F5328D" w:rsidP="00F5328D">
            <w:pPr>
              <w:jc w:val="right"/>
              <w:rPr>
                <w:rFonts w:cs="Arial"/>
                <w:color w:val="000000"/>
                <w:sz w:val="22"/>
                <w:szCs w:val="22"/>
              </w:rPr>
            </w:pPr>
            <w:r w:rsidRPr="00A96B82">
              <w:rPr>
                <w:rFonts w:cs="Arial"/>
                <w:color w:val="000000"/>
                <w:sz w:val="22"/>
                <w:szCs w:val="22"/>
              </w:rPr>
              <w:t>0.1</w:t>
            </w:r>
          </w:p>
        </w:tc>
        <w:tc>
          <w:tcPr>
            <w:tcW w:w="269" w:type="pct"/>
            <w:shd w:val="clear" w:color="auto" w:fill="auto"/>
            <w:noWrap/>
            <w:vAlign w:val="bottom"/>
            <w:hideMark/>
          </w:tcPr>
          <w:p w14:paraId="63959DDC"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7DD5F030" w14:textId="77777777" w:rsidR="00F5328D" w:rsidRPr="00A96B82" w:rsidRDefault="00F5328D" w:rsidP="00F5328D">
            <w:pPr>
              <w:jc w:val="right"/>
              <w:rPr>
                <w:rFonts w:cs="Arial"/>
                <w:color w:val="000000"/>
                <w:sz w:val="22"/>
                <w:szCs w:val="22"/>
              </w:rPr>
            </w:pPr>
            <w:r w:rsidRPr="00A96B82">
              <w:rPr>
                <w:rFonts w:cs="Arial"/>
                <w:color w:val="000000"/>
                <w:sz w:val="22"/>
                <w:szCs w:val="22"/>
              </w:rPr>
              <w:t>8,190</w:t>
            </w:r>
          </w:p>
        </w:tc>
      </w:tr>
      <w:tr w:rsidR="00F5328D" w:rsidRPr="00A96B82" w14:paraId="18251223" w14:textId="77777777" w:rsidTr="00F5328D">
        <w:trPr>
          <w:trHeight w:val="287"/>
        </w:trPr>
        <w:tc>
          <w:tcPr>
            <w:tcW w:w="1026" w:type="pct"/>
            <w:shd w:val="clear" w:color="auto" w:fill="auto"/>
            <w:noWrap/>
            <w:vAlign w:val="bottom"/>
            <w:hideMark/>
          </w:tcPr>
          <w:p w14:paraId="3E6693B6" w14:textId="77777777" w:rsidR="00F5328D" w:rsidRPr="00A96B82" w:rsidRDefault="00F5328D" w:rsidP="00F5328D">
            <w:pPr>
              <w:rPr>
                <w:rFonts w:cs="Arial"/>
                <w:color w:val="000000"/>
                <w:sz w:val="22"/>
                <w:szCs w:val="22"/>
              </w:rPr>
            </w:pPr>
            <w:r w:rsidRPr="00A96B82">
              <w:rPr>
                <w:rFonts w:cs="Arial"/>
                <w:color w:val="000000"/>
                <w:sz w:val="22"/>
                <w:szCs w:val="22"/>
              </w:rPr>
              <w:t>Gillingham South</w:t>
            </w:r>
          </w:p>
        </w:tc>
        <w:tc>
          <w:tcPr>
            <w:tcW w:w="353" w:type="pct"/>
            <w:shd w:val="clear" w:color="auto" w:fill="auto"/>
            <w:noWrap/>
            <w:vAlign w:val="bottom"/>
            <w:hideMark/>
          </w:tcPr>
          <w:p w14:paraId="003D7367"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353" w:type="pct"/>
            <w:shd w:val="clear" w:color="auto" w:fill="auto"/>
            <w:noWrap/>
            <w:vAlign w:val="bottom"/>
            <w:hideMark/>
          </w:tcPr>
          <w:p w14:paraId="5080F86E" w14:textId="77777777" w:rsidR="00F5328D" w:rsidRPr="00A96B82" w:rsidRDefault="00F5328D" w:rsidP="00F5328D">
            <w:pPr>
              <w:jc w:val="right"/>
              <w:rPr>
                <w:rFonts w:cs="Arial"/>
                <w:color w:val="000000"/>
                <w:sz w:val="22"/>
                <w:szCs w:val="22"/>
              </w:rPr>
            </w:pPr>
            <w:r w:rsidRPr="00A96B82">
              <w:rPr>
                <w:rFonts w:cs="Arial"/>
                <w:color w:val="000000"/>
                <w:sz w:val="22"/>
                <w:szCs w:val="22"/>
              </w:rPr>
              <w:t>18.0</w:t>
            </w:r>
          </w:p>
        </w:tc>
        <w:tc>
          <w:tcPr>
            <w:tcW w:w="353" w:type="pct"/>
            <w:shd w:val="clear" w:color="auto" w:fill="auto"/>
            <w:noWrap/>
            <w:vAlign w:val="bottom"/>
            <w:hideMark/>
          </w:tcPr>
          <w:p w14:paraId="7EC76EC6" w14:textId="77777777" w:rsidR="00F5328D" w:rsidRPr="00A96B82" w:rsidRDefault="00F5328D" w:rsidP="00F5328D">
            <w:pPr>
              <w:jc w:val="right"/>
              <w:rPr>
                <w:rFonts w:cs="Arial"/>
                <w:color w:val="000000"/>
                <w:sz w:val="22"/>
                <w:szCs w:val="22"/>
              </w:rPr>
            </w:pPr>
            <w:r w:rsidRPr="00A96B82">
              <w:rPr>
                <w:rFonts w:cs="Arial"/>
                <w:color w:val="000000"/>
                <w:sz w:val="22"/>
                <w:szCs w:val="22"/>
              </w:rPr>
              <w:t>56.3</w:t>
            </w:r>
          </w:p>
        </w:tc>
        <w:tc>
          <w:tcPr>
            <w:tcW w:w="353" w:type="pct"/>
            <w:shd w:val="clear" w:color="auto" w:fill="auto"/>
            <w:noWrap/>
            <w:vAlign w:val="bottom"/>
            <w:hideMark/>
          </w:tcPr>
          <w:p w14:paraId="43F18FD9" w14:textId="77777777" w:rsidR="00F5328D" w:rsidRPr="00A96B82" w:rsidRDefault="00F5328D" w:rsidP="00F5328D">
            <w:pPr>
              <w:jc w:val="right"/>
              <w:rPr>
                <w:rFonts w:cs="Arial"/>
                <w:color w:val="000000"/>
                <w:sz w:val="22"/>
                <w:szCs w:val="22"/>
              </w:rPr>
            </w:pPr>
            <w:r w:rsidRPr="00A96B82">
              <w:rPr>
                <w:rFonts w:cs="Arial"/>
                <w:color w:val="000000"/>
                <w:sz w:val="22"/>
                <w:szCs w:val="22"/>
              </w:rPr>
              <w:t>3.6</w:t>
            </w:r>
          </w:p>
        </w:tc>
        <w:tc>
          <w:tcPr>
            <w:tcW w:w="353" w:type="pct"/>
            <w:shd w:val="clear" w:color="auto" w:fill="auto"/>
            <w:noWrap/>
            <w:vAlign w:val="bottom"/>
            <w:hideMark/>
          </w:tcPr>
          <w:p w14:paraId="252863A8" w14:textId="77777777" w:rsidR="00F5328D" w:rsidRPr="00A96B82" w:rsidRDefault="00F5328D" w:rsidP="00F5328D">
            <w:pPr>
              <w:jc w:val="right"/>
              <w:rPr>
                <w:rFonts w:cs="Arial"/>
                <w:color w:val="000000"/>
                <w:sz w:val="22"/>
                <w:szCs w:val="22"/>
              </w:rPr>
            </w:pPr>
            <w:r w:rsidRPr="00A96B82">
              <w:rPr>
                <w:rFonts w:cs="Arial"/>
                <w:color w:val="000000"/>
                <w:sz w:val="22"/>
                <w:szCs w:val="22"/>
              </w:rPr>
              <w:t>14.9</w:t>
            </w:r>
          </w:p>
        </w:tc>
        <w:tc>
          <w:tcPr>
            <w:tcW w:w="353" w:type="pct"/>
            <w:shd w:val="clear" w:color="auto" w:fill="auto"/>
            <w:noWrap/>
            <w:vAlign w:val="bottom"/>
            <w:hideMark/>
          </w:tcPr>
          <w:p w14:paraId="1983E61F" w14:textId="77777777" w:rsidR="00F5328D" w:rsidRPr="00A96B82" w:rsidRDefault="00F5328D" w:rsidP="00F5328D">
            <w:pPr>
              <w:jc w:val="right"/>
              <w:rPr>
                <w:rFonts w:cs="Arial"/>
                <w:color w:val="000000"/>
                <w:sz w:val="22"/>
                <w:szCs w:val="22"/>
              </w:rPr>
            </w:pPr>
            <w:r w:rsidRPr="00A96B82">
              <w:rPr>
                <w:rFonts w:cs="Arial"/>
                <w:color w:val="000000"/>
                <w:sz w:val="22"/>
                <w:szCs w:val="22"/>
              </w:rPr>
              <w:t>6.3</w:t>
            </w:r>
          </w:p>
        </w:tc>
        <w:tc>
          <w:tcPr>
            <w:tcW w:w="410" w:type="pct"/>
            <w:shd w:val="clear" w:color="auto" w:fill="auto"/>
            <w:noWrap/>
            <w:vAlign w:val="bottom"/>
            <w:hideMark/>
          </w:tcPr>
          <w:p w14:paraId="741FEEAD" w14:textId="77777777" w:rsidR="00F5328D" w:rsidRPr="00A96B82" w:rsidRDefault="00F5328D" w:rsidP="00F5328D">
            <w:pPr>
              <w:jc w:val="right"/>
              <w:rPr>
                <w:rFonts w:cs="Arial"/>
                <w:color w:val="000000"/>
                <w:sz w:val="22"/>
                <w:szCs w:val="22"/>
              </w:rPr>
            </w:pPr>
            <w:r w:rsidRPr="00A96B82">
              <w:rPr>
                <w:rFonts w:cs="Arial"/>
                <w:color w:val="000000"/>
                <w:sz w:val="22"/>
                <w:szCs w:val="22"/>
              </w:rPr>
              <w:t>0.1</w:t>
            </w:r>
          </w:p>
        </w:tc>
        <w:tc>
          <w:tcPr>
            <w:tcW w:w="410" w:type="pct"/>
            <w:shd w:val="clear" w:color="auto" w:fill="auto"/>
            <w:noWrap/>
            <w:vAlign w:val="bottom"/>
            <w:hideMark/>
          </w:tcPr>
          <w:p w14:paraId="081464A1" w14:textId="77777777" w:rsidR="00F5328D" w:rsidRPr="00A96B82" w:rsidRDefault="00F5328D" w:rsidP="00F5328D">
            <w:pPr>
              <w:jc w:val="right"/>
              <w:rPr>
                <w:rFonts w:cs="Arial"/>
                <w:color w:val="000000"/>
                <w:sz w:val="22"/>
                <w:szCs w:val="22"/>
              </w:rPr>
            </w:pPr>
            <w:r w:rsidRPr="00A96B82">
              <w:rPr>
                <w:rFonts w:cs="Arial"/>
                <w:color w:val="000000"/>
                <w:sz w:val="22"/>
                <w:szCs w:val="22"/>
              </w:rPr>
              <w:t>0.6</w:t>
            </w:r>
          </w:p>
        </w:tc>
        <w:tc>
          <w:tcPr>
            <w:tcW w:w="410" w:type="pct"/>
            <w:shd w:val="clear" w:color="auto" w:fill="auto"/>
            <w:noWrap/>
            <w:vAlign w:val="bottom"/>
            <w:hideMark/>
          </w:tcPr>
          <w:p w14:paraId="116518AF" w14:textId="77777777" w:rsidR="00F5328D" w:rsidRPr="00A96B82" w:rsidRDefault="00F5328D" w:rsidP="00F5328D">
            <w:pPr>
              <w:jc w:val="right"/>
              <w:rPr>
                <w:rFonts w:cs="Arial"/>
                <w:color w:val="000000"/>
                <w:sz w:val="22"/>
                <w:szCs w:val="22"/>
              </w:rPr>
            </w:pPr>
            <w:r w:rsidRPr="00A96B82">
              <w:rPr>
                <w:rFonts w:cs="Arial"/>
                <w:color w:val="000000"/>
                <w:sz w:val="22"/>
                <w:szCs w:val="22"/>
              </w:rPr>
              <w:t>0.3</w:t>
            </w:r>
          </w:p>
        </w:tc>
        <w:tc>
          <w:tcPr>
            <w:tcW w:w="269" w:type="pct"/>
            <w:shd w:val="clear" w:color="auto" w:fill="auto"/>
            <w:noWrap/>
            <w:vAlign w:val="bottom"/>
            <w:hideMark/>
          </w:tcPr>
          <w:p w14:paraId="6E709AC8"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70EEE71C" w14:textId="77777777" w:rsidR="00F5328D" w:rsidRPr="00A96B82" w:rsidRDefault="00F5328D" w:rsidP="00F5328D">
            <w:pPr>
              <w:jc w:val="right"/>
              <w:rPr>
                <w:rFonts w:cs="Arial"/>
                <w:color w:val="000000"/>
                <w:sz w:val="22"/>
                <w:szCs w:val="22"/>
              </w:rPr>
            </w:pPr>
            <w:r w:rsidRPr="00A96B82">
              <w:rPr>
                <w:rFonts w:cs="Arial"/>
                <w:color w:val="000000"/>
                <w:sz w:val="22"/>
                <w:szCs w:val="22"/>
              </w:rPr>
              <w:t>7,000</w:t>
            </w:r>
          </w:p>
        </w:tc>
      </w:tr>
      <w:tr w:rsidR="00F5328D" w:rsidRPr="00A96B82" w14:paraId="01F550A4" w14:textId="77777777" w:rsidTr="00F5328D">
        <w:trPr>
          <w:trHeight w:val="287"/>
        </w:trPr>
        <w:tc>
          <w:tcPr>
            <w:tcW w:w="1026" w:type="pct"/>
            <w:shd w:val="clear" w:color="auto" w:fill="auto"/>
            <w:noWrap/>
            <w:vAlign w:val="bottom"/>
            <w:hideMark/>
          </w:tcPr>
          <w:p w14:paraId="61359105" w14:textId="77777777" w:rsidR="00F5328D" w:rsidRPr="00A96B82" w:rsidRDefault="00F5328D" w:rsidP="00F5328D">
            <w:pPr>
              <w:rPr>
                <w:rFonts w:cs="Arial"/>
                <w:color w:val="000000"/>
                <w:sz w:val="22"/>
                <w:szCs w:val="22"/>
              </w:rPr>
            </w:pPr>
            <w:r w:rsidRPr="00A96B82">
              <w:rPr>
                <w:rFonts w:cs="Arial"/>
                <w:color w:val="000000"/>
                <w:sz w:val="22"/>
                <w:szCs w:val="22"/>
              </w:rPr>
              <w:t xml:space="preserve">Hempstead and </w:t>
            </w:r>
            <w:proofErr w:type="spellStart"/>
            <w:r w:rsidRPr="00A96B82">
              <w:rPr>
                <w:rFonts w:cs="Arial"/>
                <w:color w:val="000000"/>
                <w:sz w:val="22"/>
                <w:szCs w:val="22"/>
              </w:rPr>
              <w:t>Wigmore</w:t>
            </w:r>
            <w:proofErr w:type="spellEnd"/>
          </w:p>
        </w:tc>
        <w:tc>
          <w:tcPr>
            <w:tcW w:w="353" w:type="pct"/>
            <w:shd w:val="clear" w:color="auto" w:fill="auto"/>
            <w:noWrap/>
            <w:vAlign w:val="bottom"/>
            <w:hideMark/>
          </w:tcPr>
          <w:p w14:paraId="5F095185" w14:textId="77777777" w:rsidR="00F5328D" w:rsidRPr="00A96B82" w:rsidRDefault="00F5328D" w:rsidP="00F5328D">
            <w:pPr>
              <w:jc w:val="right"/>
              <w:rPr>
                <w:rFonts w:cs="Arial"/>
                <w:color w:val="000000"/>
                <w:sz w:val="22"/>
                <w:szCs w:val="22"/>
              </w:rPr>
            </w:pPr>
            <w:r w:rsidRPr="00A96B82">
              <w:rPr>
                <w:rFonts w:cs="Arial"/>
                <w:color w:val="000000"/>
                <w:sz w:val="22"/>
                <w:szCs w:val="22"/>
              </w:rPr>
              <w:t>1.6</w:t>
            </w:r>
          </w:p>
        </w:tc>
        <w:tc>
          <w:tcPr>
            <w:tcW w:w="353" w:type="pct"/>
            <w:shd w:val="clear" w:color="auto" w:fill="auto"/>
            <w:noWrap/>
            <w:vAlign w:val="bottom"/>
            <w:hideMark/>
          </w:tcPr>
          <w:p w14:paraId="038939F4" w14:textId="77777777" w:rsidR="00F5328D" w:rsidRPr="00A96B82" w:rsidRDefault="00F5328D" w:rsidP="00F5328D">
            <w:pPr>
              <w:jc w:val="right"/>
              <w:rPr>
                <w:rFonts w:cs="Arial"/>
                <w:color w:val="000000"/>
                <w:sz w:val="22"/>
                <w:szCs w:val="22"/>
              </w:rPr>
            </w:pPr>
            <w:r w:rsidRPr="00A96B82">
              <w:rPr>
                <w:rFonts w:cs="Arial"/>
                <w:color w:val="000000"/>
                <w:sz w:val="22"/>
                <w:szCs w:val="22"/>
              </w:rPr>
              <w:t>6.3</w:t>
            </w:r>
          </w:p>
        </w:tc>
        <w:tc>
          <w:tcPr>
            <w:tcW w:w="353" w:type="pct"/>
            <w:shd w:val="clear" w:color="auto" w:fill="auto"/>
            <w:noWrap/>
            <w:vAlign w:val="bottom"/>
            <w:hideMark/>
          </w:tcPr>
          <w:p w14:paraId="428108ED" w14:textId="77777777" w:rsidR="00F5328D" w:rsidRPr="00A96B82" w:rsidRDefault="00F5328D" w:rsidP="00F5328D">
            <w:pPr>
              <w:jc w:val="right"/>
              <w:rPr>
                <w:rFonts w:cs="Arial"/>
                <w:color w:val="000000"/>
                <w:sz w:val="22"/>
                <w:szCs w:val="22"/>
              </w:rPr>
            </w:pPr>
            <w:r w:rsidRPr="00A96B82">
              <w:rPr>
                <w:rFonts w:cs="Arial"/>
                <w:color w:val="000000"/>
                <w:sz w:val="22"/>
                <w:szCs w:val="22"/>
              </w:rPr>
              <w:t>37.2</w:t>
            </w:r>
          </w:p>
        </w:tc>
        <w:tc>
          <w:tcPr>
            <w:tcW w:w="353" w:type="pct"/>
            <w:shd w:val="clear" w:color="auto" w:fill="auto"/>
            <w:noWrap/>
            <w:vAlign w:val="bottom"/>
            <w:hideMark/>
          </w:tcPr>
          <w:p w14:paraId="6B404A48" w14:textId="77777777" w:rsidR="00F5328D" w:rsidRPr="00A96B82" w:rsidRDefault="00F5328D" w:rsidP="00F5328D">
            <w:pPr>
              <w:jc w:val="right"/>
              <w:rPr>
                <w:rFonts w:cs="Arial"/>
                <w:color w:val="000000"/>
                <w:sz w:val="22"/>
                <w:szCs w:val="22"/>
              </w:rPr>
            </w:pPr>
            <w:r w:rsidRPr="00A96B82">
              <w:rPr>
                <w:rFonts w:cs="Arial"/>
                <w:color w:val="000000"/>
                <w:sz w:val="22"/>
                <w:szCs w:val="22"/>
              </w:rPr>
              <w:t>33.8</w:t>
            </w:r>
          </w:p>
        </w:tc>
        <w:tc>
          <w:tcPr>
            <w:tcW w:w="353" w:type="pct"/>
            <w:shd w:val="clear" w:color="auto" w:fill="auto"/>
            <w:noWrap/>
            <w:vAlign w:val="bottom"/>
            <w:hideMark/>
          </w:tcPr>
          <w:p w14:paraId="1C6E925C" w14:textId="77777777" w:rsidR="00F5328D" w:rsidRPr="00A96B82" w:rsidRDefault="00F5328D" w:rsidP="00F5328D">
            <w:pPr>
              <w:jc w:val="right"/>
              <w:rPr>
                <w:rFonts w:cs="Arial"/>
                <w:color w:val="000000"/>
                <w:sz w:val="22"/>
                <w:szCs w:val="22"/>
              </w:rPr>
            </w:pPr>
            <w:r w:rsidRPr="00A96B82">
              <w:rPr>
                <w:rFonts w:cs="Arial"/>
                <w:color w:val="000000"/>
                <w:sz w:val="22"/>
                <w:szCs w:val="22"/>
              </w:rPr>
              <w:t>1.6</w:t>
            </w:r>
          </w:p>
        </w:tc>
        <w:tc>
          <w:tcPr>
            <w:tcW w:w="353" w:type="pct"/>
            <w:shd w:val="clear" w:color="auto" w:fill="auto"/>
            <w:noWrap/>
            <w:vAlign w:val="bottom"/>
            <w:hideMark/>
          </w:tcPr>
          <w:p w14:paraId="58F1A3F8" w14:textId="77777777" w:rsidR="00F5328D" w:rsidRPr="00A96B82" w:rsidRDefault="00F5328D" w:rsidP="00F5328D">
            <w:pPr>
              <w:jc w:val="right"/>
              <w:rPr>
                <w:rFonts w:cs="Arial"/>
                <w:color w:val="000000"/>
                <w:sz w:val="22"/>
                <w:szCs w:val="22"/>
              </w:rPr>
            </w:pPr>
            <w:r w:rsidRPr="00A96B82">
              <w:rPr>
                <w:rFonts w:cs="Arial"/>
                <w:color w:val="000000"/>
                <w:sz w:val="22"/>
                <w:szCs w:val="22"/>
              </w:rPr>
              <w:t>0.6</w:t>
            </w:r>
          </w:p>
        </w:tc>
        <w:tc>
          <w:tcPr>
            <w:tcW w:w="410" w:type="pct"/>
            <w:shd w:val="clear" w:color="auto" w:fill="auto"/>
            <w:noWrap/>
            <w:vAlign w:val="bottom"/>
            <w:hideMark/>
          </w:tcPr>
          <w:p w14:paraId="492C450C" w14:textId="77777777" w:rsidR="00F5328D" w:rsidRPr="00A96B82" w:rsidRDefault="00F5328D" w:rsidP="00F5328D">
            <w:pPr>
              <w:jc w:val="right"/>
              <w:rPr>
                <w:rFonts w:cs="Arial"/>
                <w:color w:val="000000"/>
                <w:sz w:val="22"/>
                <w:szCs w:val="22"/>
              </w:rPr>
            </w:pPr>
            <w:r w:rsidRPr="00A96B82">
              <w:rPr>
                <w:rFonts w:cs="Arial"/>
                <w:color w:val="000000"/>
                <w:sz w:val="22"/>
                <w:szCs w:val="22"/>
              </w:rPr>
              <w:t>0.9</w:t>
            </w:r>
          </w:p>
        </w:tc>
        <w:tc>
          <w:tcPr>
            <w:tcW w:w="410" w:type="pct"/>
            <w:shd w:val="clear" w:color="auto" w:fill="auto"/>
            <w:noWrap/>
            <w:vAlign w:val="bottom"/>
            <w:hideMark/>
          </w:tcPr>
          <w:p w14:paraId="4261C30A" w14:textId="77777777" w:rsidR="00F5328D" w:rsidRPr="00A96B82" w:rsidRDefault="00F5328D" w:rsidP="00F5328D">
            <w:pPr>
              <w:jc w:val="right"/>
              <w:rPr>
                <w:rFonts w:cs="Arial"/>
                <w:color w:val="000000"/>
                <w:sz w:val="22"/>
                <w:szCs w:val="22"/>
              </w:rPr>
            </w:pPr>
            <w:r w:rsidRPr="00A96B82">
              <w:rPr>
                <w:rFonts w:cs="Arial"/>
                <w:color w:val="000000"/>
                <w:sz w:val="22"/>
                <w:szCs w:val="22"/>
              </w:rPr>
              <w:t>7.9</w:t>
            </w:r>
          </w:p>
        </w:tc>
        <w:tc>
          <w:tcPr>
            <w:tcW w:w="410" w:type="pct"/>
            <w:shd w:val="clear" w:color="auto" w:fill="auto"/>
            <w:noWrap/>
            <w:vAlign w:val="bottom"/>
            <w:hideMark/>
          </w:tcPr>
          <w:p w14:paraId="3B841CC4" w14:textId="77777777" w:rsidR="00F5328D" w:rsidRPr="00A96B82" w:rsidRDefault="00F5328D" w:rsidP="00F5328D">
            <w:pPr>
              <w:jc w:val="right"/>
              <w:rPr>
                <w:rFonts w:cs="Arial"/>
                <w:color w:val="000000"/>
                <w:sz w:val="22"/>
                <w:szCs w:val="22"/>
              </w:rPr>
            </w:pPr>
            <w:r w:rsidRPr="00A96B82">
              <w:rPr>
                <w:rFonts w:cs="Arial"/>
                <w:color w:val="000000"/>
                <w:sz w:val="22"/>
                <w:szCs w:val="22"/>
              </w:rPr>
              <w:t>10.1</w:t>
            </w:r>
          </w:p>
        </w:tc>
        <w:tc>
          <w:tcPr>
            <w:tcW w:w="269" w:type="pct"/>
            <w:shd w:val="clear" w:color="auto" w:fill="auto"/>
            <w:noWrap/>
            <w:vAlign w:val="bottom"/>
            <w:hideMark/>
          </w:tcPr>
          <w:p w14:paraId="565065A4"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655827A2" w14:textId="77777777" w:rsidR="00F5328D" w:rsidRPr="00A96B82" w:rsidRDefault="00F5328D" w:rsidP="00F5328D">
            <w:pPr>
              <w:jc w:val="right"/>
              <w:rPr>
                <w:rFonts w:cs="Arial"/>
                <w:color w:val="000000"/>
                <w:sz w:val="22"/>
                <w:szCs w:val="22"/>
              </w:rPr>
            </w:pPr>
            <w:r w:rsidRPr="00A96B82">
              <w:rPr>
                <w:rFonts w:cs="Arial"/>
                <w:color w:val="000000"/>
                <w:sz w:val="22"/>
                <w:szCs w:val="22"/>
              </w:rPr>
              <w:t>3,170</w:t>
            </w:r>
          </w:p>
        </w:tc>
      </w:tr>
      <w:tr w:rsidR="00F5328D" w:rsidRPr="00A96B82" w14:paraId="0658DC88" w14:textId="77777777" w:rsidTr="00F5328D">
        <w:trPr>
          <w:trHeight w:val="287"/>
        </w:trPr>
        <w:tc>
          <w:tcPr>
            <w:tcW w:w="1026" w:type="pct"/>
            <w:shd w:val="clear" w:color="auto" w:fill="auto"/>
            <w:noWrap/>
            <w:vAlign w:val="bottom"/>
            <w:hideMark/>
          </w:tcPr>
          <w:p w14:paraId="3B234E70" w14:textId="77777777" w:rsidR="00F5328D" w:rsidRPr="00A96B82" w:rsidRDefault="00F5328D" w:rsidP="00F5328D">
            <w:pPr>
              <w:rPr>
                <w:rFonts w:cs="Arial"/>
                <w:color w:val="000000"/>
                <w:sz w:val="22"/>
                <w:szCs w:val="22"/>
              </w:rPr>
            </w:pPr>
            <w:proofErr w:type="spellStart"/>
            <w:r w:rsidRPr="00A96B82">
              <w:rPr>
                <w:rFonts w:cs="Arial"/>
                <w:color w:val="000000"/>
                <w:sz w:val="22"/>
                <w:szCs w:val="22"/>
              </w:rPr>
              <w:t>Lordswood</w:t>
            </w:r>
            <w:proofErr w:type="spellEnd"/>
            <w:r w:rsidRPr="00A96B82">
              <w:rPr>
                <w:rFonts w:cs="Arial"/>
                <w:color w:val="000000"/>
                <w:sz w:val="22"/>
                <w:szCs w:val="22"/>
              </w:rPr>
              <w:t xml:space="preserve"> and Capstone</w:t>
            </w:r>
          </w:p>
        </w:tc>
        <w:tc>
          <w:tcPr>
            <w:tcW w:w="353" w:type="pct"/>
            <w:shd w:val="clear" w:color="auto" w:fill="auto"/>
            <w:noWrap/>
            <w:vAlign w:val="bottom"/>
            <w:hideMark/>
          </w:tcPr>
          <w:p w14:paraId="5484F4A2" w14:textId="77777777" w:rsidR="00F5328D" w:rsidRPr="00A96B82" w:rsidRDefault="00F5328D" w:rsidP="00F5328D">
            <w:pPr>
              <w:jc w:val="right"/>
              <w:rPr>
                <w:rFonts w:cs="Arial"/>
                <w:color w:val="000000"/>
                <w:sz w:val="22"/>
                <w:szCs w:val="22"/>
              </w:rPr>
            </w:pPr>
            <w:r w:rsidRPr="00A96B82">
              <w:rPr>
                <w:rFonts w:cs="Arial"/>
                <w:color w:val="000000"/>
                <w:sz w:val="22"/>
                <w:szCs w:val="22"/>
              </w:rPr>
              <w:t>1.4</w:t>
            </w:r>
          </w:p>
        </w:tc>
        <w:tc>
          <w:tcPr>
            <w:tcW w:w="353" w:type="pct"/>
            <w:shd w:val="clear" w:color="auto" w:fill="auto"/>
            <w:noWrap/>
            <w:vAlign w:val="bottom"/>
            <w:hideMark/>
          </w:tcPr>
          <w:p w14:paraId="0BA9C272" w14:textId="77777777" w:rsidR="00F5328D" w:rsidRPr="00A96B82" w:rsidRDefault="00F5328D" w:rsidP="00F5328D">
            <w:pPr>
              <w:jc w:val="right"/>
              <w:rPr>
                <w:rFonts w:cs="Arial"/>
                <w:color w:val="000000"/>
                <w:sz w:val="22"/>
                <w:szCs w:val="22"/>
              </w:rPr>
            </w:pPr>
            <w:r w:rsidRPr="00A96B82">
              <w:rPr>
                <w:rFonts w:cs="Arial"/>
                <w:color w:val="000000"/>
                <w:sz w:val="22"/>
                <w:szCs w:val="22"/>
              </w:rPr>
              <w:t>21.9</w:t>
            </w:r>
          </w:p>
        </w:tc>
        <w:tc>
          <w:tcPr>
            <w:tcW w:w="353" w:type="pct"/>
            <w:shd w:val="clear" w:color="auto" w:fill="auto"/>
            <w:noWrap/>
            <w:vAlign w:val="bottom"/>
            <w:hideMark/>
          </w:tcPr>
          <w:p w14:paraId="0A954FDB" w14:textId="77777777" w:rsidR="00F5328D" w:rsidRPr="00A96B82" w:rsidRDefault="00F5328D" w:rsidP="00F5328D">
            <w:pPr>
              <w:jc w:val="right"/>
              <w:rPr>
                <w:rFonts w:cs="Arial"/>
                <w:color w:val="000000"/>
                <w:sz w:val="22"/>
                <w:szCs w:val="22"/>
              </w:rPr>
            </w:pPr>
            <w:r w:rsidRPr="00A96B82">
              <w:rPr>
                <w:rFonts w:cs="Arial"/>
                <w:color w:val="000000"/>
                <w:sz w:val="22"/>
                <w:szCs w:val="22"/>
              </w:rPr>
              <w:t>48.5</w:t>
            </w:r>
          </w:p>
        </w:tc>
        <w:tc>
          <w:tcPr>
            <w:tcW w:w="353" w:type="pct"/>
            <w:shd w:val="clear" w:color="auto" w:fill="auto"/>
            <w:noWrap/>
            <w:vAlign w:val="bottom"/>
            <w:hideMark/>
          </w:tcPr>
          <w:p w14:paraId="1D254021" w14:textId="77777777" w:rsidR="00F5328D" w:rsidRPr="00A96B82" w:rsidRDefault="00F5328D" w:rsidP="00F5328D">
            <w:pPr>
              <w:jc w:val="right"/>
              <w:rPr>
                <w:rFonts w:cs="Arial"/>
                <w:color w:val="000000"/>
                <w:sz w:val="22"/>
                <w:szCs w:val="22"/>
              </w:rPr>
            </w:pPr>
            <w:r w:rsidRPr="00A96B82">
              <w:rPr>
                <w:rFonts w:cs="Arial"/>
                <w:color w:val="000000"/>
                <w:sz w:val="22"/>
                <w:szCs w:val="22"/>
              </w:rPr>
              <w:t>8.8</w:t>
            </w:r>
          </w:p>
        </w:tc>
        <w:tc>
          <w:tcPr>
            <w:tcW w:w="353" w:type="pct"/>
            <w:shd w:val="clear" w:color="auto" w:fill="auto"/>
            <w:noWrap/>
            <w:vAlign w:val="bottom"/>
            <w:hideMark/>
          </w:tcPr>
          <w:p w14:paraId="3919F4FA" w14:textId="77777777" w:rsidR="00F5328D" w:rsidRPr="00A96B82" w:rsidRDefault="00F5328D" w:rsidP="00F5328D">
            <w:pPr>
              <w:jc w:val="right"/>
              <w:rPr>
                <w:rFonts w:cs="Arial"/>
                <w:color w:val="000000"/>
                <w:sz w:val="22"/>
                <w:szCs w:val="22"/>
              </w:rPr>
            </w:pPr>
            <w:r w:rsidRPr="00A96B82">
              <w:rPr>
                <w:rFonts w:cs="Arial"/>
                <w:color w:val="000000"/>
                <w:sz w:val="22"/>
                <w:szCs w:val="22"/>
              </w:rPr>
              <w:t>6.0</w:t>
            </w:r>
          </w:p>
        </w:tc>
        <w:tc>
          <w:tcPr>
            <w:tcW w:w="353" w:type="pct"/>
            <w:shd w:val="clear" w:color="auto" w:fill="auto"/>
            <w:noWrap/>
            <w:vAlign w:val="bottom"/>
            <w:hideMark/>
          </w:tcPr>
          <w:p w14:paraId="33D7DD22" w14:textId="77777777" w:rsidR="00F5328D" w:rsidRPr="00A96B82" w:rsidRDefault="00F5328D" w:rsidP="00F5328D">
            <w:pPr>
              <w:jc w:val="right"/>
              <w:rPr>
                <w:rFonts w:cs="Arial"/>
                <w:color w:val="000000"/>
                <w:sz w:val="22"/>
                <w:szCs w:val="22"/>
              </w:rPr>
            </w:pPr>
            <w:r w:rsidRPr="00A96B82">
              <w:rPr>
                <w:rFonts w:cs="Arial"/>
                <w:color w:val="000000"/>
                <w:sz w:val="22"/>
                <w:szCs w:val="22"/>
              </w:rPr>
              <w:t>3.6</w:t>
            </w:r>
          </w:p>
        </w:tc>
        <w:tc>
          <w:tcPr>
            <w:tcW w:w="410" w:type="pct"/>
            <w:shd w:val="clear" w:color="auto" w:fill="auto"/>
            <w:noWrap/>
            <w:vAlign w:val="bottom"/>
            <w:hideMark/>
          </w:tcPr>
          <w:p w14:paraId="7B4B31AC" w14:textId="77777777" w:rsidR="00F5328D" w:rsidRPr="00A96B82" w:rsidRDefault="00F5328D" w:rsidP="00F5328D">
            <w:pPr>
              <w:jc w:val="right"/>
              <w:rPr>
                <w:rFonts w:cs="Arial"/>
                <w:color w:val="000000"/>
                <w:sz w:val="22"/>
                <w:szCs w:val="22"/>
              </w:rPr>
            </w:pPr>
            <w:r w:rsidRPr="00A96B82">
              <w:rPr>
                <w:rFonts w:cs="Arial"/>
                <w:color w:val="000000"/>
                <w:sz w:val="22"/>
                <w:szCs w:val="22"/>
              </w:rPr>
              <w:t>2.2</w:t>
            </w:r>
          </w:p>
        </w:tc>
        <w:tc>
          <w:tcPr>
            <w:tcW w:w="410" w:type="pct"/>
            <w:shd w:val="clear" w:color="auto" w:fill="auto"/>
            <w:noWrap/>
            <w:vAlign w:val="bottom"/>
            <w:hideMark/>
          </w:tcPr>
          <w:p w14:paraId="0EBD88E6" w14:textId="77777777" w:rsidR="00F5328D" w:rsidRPr="00A96B82" w:rsidRDefault="00F5328D" w:rsidP="00F5328D">
            <w:pPr>
              <w:jc w:val="right"/>
              <w:rPr>
                <w:rFonts w:cs="Arial"/>
                <w:color w:val="000000"/>
                <w:sz w:val="22"/>
                <w:szCs w:val="22"/>
              </w:rPr>
            </w:pPr>
            <w:r w:rsidRPr="00A96B82">
              <w:rPr>
                <w:rFonts w:cs="Arial"/>
                <w:color w:val="000000"/>
                <w:sz w:val="22"/>
                <w:szCs w:val="22"/>
              </w:rPr>
              <w:t>5.8</w:t>
            </w:r>
          </w:p>
        </w:tc>
        <w:tc>
          <w:tcPr>
            <w:tcW w:w="410" w:type="pct"/>
            <w:shd w:val="clear" w:color="auto" w:fill="auto"/>
            <w:noWrap/>
            <w:vAlign w:val="bottom"/>
            <w:hideMark/>
          </w:tcPr>
          <w:p w14:paraId="1839AB4F" w14:textId="77777777" w:rsidR="00F5328D" w:rsidRPr="00A96B82" w:rsidRDefault="00F5328D" w:rsidP="00F5328D">
            <w:pPr>
              <w:jc w:val="right"/>
              <w:rPr>
                <w:rFonts w:cs="Arial"/>
                <w:color w:val="000000"/>
                <w:sz w:val="22"/>
                <w:szCs w:val="22"/>
              </w:rPr>
            </w:pPr>
            <w:r w:rsidRPr="00A96B82">
              <w:rPr>
                <w:rFonts w:cs="Arial"/>
                <w:color w:val="000000"/>
                <w:sz w:val="22"/>
                <w:szCs w:val="22"/>
              </w:rPr>
              <w:t>1.9</w:t>
            </w:r>
          </w:p>
        </w:tc>
        <w:tc>
          <w:tcPr>
            <w:tcW w:w="269" w:type="pct"/>
            <w:shd w:val="clear" w:color="auto" w:fill="auto"/>
            <w:noWrap/>
            <w:vAlign w:val="bottom"/>
            <w:hideMark/>
          </w:tcPr>
          <w:p w14:paraId="776DC1AC"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48ABEABB" w14:textId="77777777" w:rsidR="00F5328D" w:rsidRPr="00A96B82" w:rsidRDefault="00F5328D" w:rsidP="00F5328D">
            <w:pPr>
              <w:jc w:val="right"/>
              <w:rPr>
                <w:rFonts w:cs="Arial"/>
                <w:color w:val="000000"/>
                <w:sz w:val="22"/>
                <w:szCs w:val="22"/>
              </w:rPr>
            </w:pPr>
            <w:r w:rsidRPr="00A96B82">
              <w:rPr>
                <w:rFonts w:cs="Arial"/>
                <w:color w:val="000000"/>
                <w:sz w:val="22"/>
                <w:szCs w:val="22"/>
              </w:rPr>
              <w:t>3,650</w:t>
            </w:r>
          </w:p>
        </w:tc>
      </w:tr>
      <w:tr w:rsidR="00F5328D" w:rsidRPr="00A96B82" w14:paraId="03E4B8C5" w14:textId="77777777" w:rsidTr="00F5328D">
        <w:trPr>
          <w:trHeight w:val="287"/>
        </w:trPr>
        <w:tc>
          <w:tcPr>
            <w:tcW w:w="1026" w:type="pct"/>
            <w:shd w:val="clear" w:color="auto" w:fill="auto"/>
            <w:noWrap/>
            <w:vAlign w:val="bottom"/>
            <w:hideMark/>
          </w:tcPr>
          <w:p w14:paraId="1A1103A8" w14:textId="77777777" w:rsidR="00F5328D" w:rsidRPr="00A96B82" w:rsidRDefault="00F5328D" w:rsidP="00F5328D">
            <w:pPr>
              <w:rPr>
                <w:rFonts w:cs="Arial"/>
                <w:color w:val="000000"/>
                <w:sz w:val="22"/>
                <w:szCs w:val="22"/>
              </w:rPr>
            </w:pPr>
            <w:r w:rsidRPr="00A96B82">
              <w:rPr>
                <w:rFonts w:cs="Arial"/>
                <w:color w:val="000000"/>
                <w:sz w:val="22"/>
                <w:szCs w:val="22"/>
              </w:rPr>
              <w:t xml:space="preserve">Luton and </w:t>
            </w:r>
            <w:proofErr w:type="spellStart"/>
            <w:r w:rsidRPr="00A96B82">
              <w:rPr>
                <w:rFonts w:cs="Arial"/>
                <w:color w:val="000000"/>
                <w:sz w:val="22"/>
                <w:szCs w:val="22"/>
              </w:rPr>
              <w:t>Wayfield</w:t>
            </w:r>
            <w:proofErr w:type="spellEnd"/>
          </w:p>
        </w:tc>
        <w:tc>
          <w:tcPr>
            <w:tcW w:w="353" w:type="pct"/>
            <w:shd w:val="clear" w:color="auto" w:fill="auto"/>
            <w:noWrap/>
            <w:vAlign w:val="bottom"/>
            <w:hideMark/>
          </w:tcPr>
          <w:p w14:paraId="19C60AFE" w14:textId="77777777" w:rsidR="00F5328D" w:rsidRPr="00A96B82" w:rsidRDefault="00F5328D" w:rsidP="00F5328D">
            <w:pPr>
              <w:jc w:val="right"/>
              <w:rPr>
                <w:rFonts w:cs="Arial"/>
                <w:color w:val="000000"/>
                <w:sz w:val="22"/>
                <w:szCs w:val="22"/>
              </w:rPr>
            </w:pPr>
            <w:r w:rsidRPr="00A96B82">
              <w:rPr>
                <w:rFonts w:cs="Arial"/>
                <w:color w:val="000000"/>
                <w:sz w:val="22"/>
                <w:szCs w:val="22"/>
              </w:rPr>
              <w:t>1.4</w:t>
            </w:r>
          </w:p>
        </w:tc>
        <w:tc>
          <w:tcPr>
            <w:tcW w:w="353" w:type="pct"/>
            <w:shd w:val="clear" w:color="auto" w:fill="auto"/>
            <w:noWrap/>
            <w:vAlign w:val="bottom"/>
            <w:hideMark/>
          </w:tcPr>
          <w:p w14:paraId="5DA06646" w14:textId="77777777" w:rsidR="00F5328D" w:rsidRPr="00A96B82" w:rsidRDefault="00F5328D" w:rsidP="00F5328D">
            <w:pPr>
              <w:jc w:val="right"/>
              <w:rPr>
                <w:rFonts w:cs="Arial"/>
                <w:color w:val="000000"/>
                <w:sz w:val="22"/>
                <w:szCs w:val="22"/>
              </w:rPr>
            </w:pPr>
            <w:r w:rsidRPr="00A96B82">
              <w:rPr>
                <w:rFonts w:cs="Arial"/>
                <w:color w:val="000000"/>
                <w:sz w:val="22"/>
                <w:szCs w:val="22"/>
              </w:rPr>
              <w:t>23.0</w:t>
            </w:r>
          </w:p>
        </w:tc>
        <w:tc>
          <w:tcPr>
            <w:tcW w:w="353" w:type="pct"/>
            <w:shd w:val="clear" w:color="auto" w:fill="auto"/>
            <w:noWrap/>
            <w:vAlign w:val="bottom"/>
            <w:hideMark/>
          </w:tcPr>
          <w:p w14:paraId="6D806784" w14:textId="77777777" w:rsidR="00F5328D" w:rsidRPr="00A96B82" w:rsidRDefault="00F5328D" w:rsidP="00F5328D">
            <w:pPr>
              <w:jc w:val="right"/>
              <w:rPr>
                <w:rFonts w:cs="Arial"/>
                <w:color w:val="000000"/>
                <w:sz w:val="22"/>
                <w:szCs w:val="22"/>
              </w:rPr>
            </w:pPr>
            <w:r w:rsidRPr="00A96B82">
              <w:rPr>
                <w:rFonts w:cs="Arial"/>
                <w:color w:val="000000"/>
                <w:sz w:val="22"/>
                <w:szCs w:val="22"/>
              </w:rPr>
              <w:t>47.9</w:t>
            </w:r>
          </w:p>
        </w:tc>
        <w:tc>
          <w:tcPr>
            <w:tcW w:w="353" w:type="pct"/>
            <w:shd w:val="clear" w:color="auto" w:fill="auto"/>
            <w:noWrap/>
            <w:vAlign w:val="bottom"/>
            <w:hideMark/>
          </w:tcPr>
          <w:p w14:paraId="721015DB" w14:textId="77777777" w:rsidR="00F5328D" w:rsidRPr="00A96B82" w:rsidRDefault="00F5328D" w:rsidP="00F5328D">
            <w:pPr>
              <w:jc w:val="right"/>
              <w:rPr>
                <w:rFonts w:cs="Arial"/>
                <w:color w:val="000000"/>
                <w:sz w:val="22"/>
                <w:szCs w:val="22"/>
              </w:rPr>
            </w:pPr>
            <w:r w:rsidRPr="00A96B82">
              <w:rPr>
                <w:rFonts w:cs="Arial"/>
                <w:color w:val="000000"/>
                <w:sz w:val="22"/>
                <w:szCs w:val="22"/>
              </w:rPr>
              <w:t>2.9</w:t>
            </w:r>
          </w:p>
        </w:tc>
        <w:tc>
          <w:tcPr>
            <w:tcW w:w="353" w:type="pct"/>
            <w:shd w:val="clear" w:color="auto" w:fill="auto"/>
            <w:noWrap/>
            <w:vAlign w:val="bottom"/>
            <w:hideMark/>
          </w:tcPr>
          <w:p w14:paraId="6E2369C4" w14:textId="77777777" w:rsidR="00F5328D" w:rsidRPr="00A96B82" w:rsidRDefault="00F5328D" w:rsidP="00F5328D">
            <w:pPr>
              <w:jc w:val="right"/>
              <w:rPr>
                <w:rFonts w:cs="Arial"/>
                <w:color w:val="000000"/>
                <w:sz w:val="22"/>
                <w:szCs w:val="22"/>
              </w:rPr>
            </w:pPr>
            <w:r w:rsidRPr="00A96B82">
              <w:rPr>
                <w:rFonts w:cs="Arial"/>
                <w:color w:val="000000"/>
                <w:sz w:val="22"/>
                <w:szCs w:val="22"/>
              </w:rPr>
              <w:t>15.3</w:t>
            </w:r>
          </w:p>
        </w:tc>
        <w:tc>
          <w:tcPr>
            <w:tcW w:w="353" w:type="pct"/>
            <w:shd w:val="clear" w:color="auto" w:fill="auto"/>
            <w:noWrap/>
            <w:vAlign w:val="bottom"/>
            <w:hideMark/>
          </w:tcPr>
          <w:p w14:paraId="5F9D841B" w14:textId="77777777" w:rsidR="00F5328D" w:rsidRPr="00A96B82" w:rsidRDefault="00F5328D" w:rsidP="00F5328D">
            <w:pPr>
              <w:jc w:val="right"/>
              <w:rPr>
                <w:rFonts w:cs="Arial"/>
                <w:color w:val="000000"/>
                <w:sz w:val="22"/>
                <w:szCs w:val="22"/>
              </w:rPr>
            </w:pPr>
            <w:r w:rsidRPr="00A96B82">
              <w:rPr>
                <w:rFonts w:cs="Arial"/>
                <w:color w:val="000000"/>
                <w:sz w:val="22"/>
                <w:szCs w:val="22"/>
              </w:rPr>
              <w:t>6.6</w:t>
            </w:r>
          </w:p>
        </w:tc>
        <w:tc>
          <w:tcPr>
            <w:tcW w:w="410" w:type="pct"/>
            <w:shd w:val="clear" w:color="auto" w:fill="auto"/>
            <w:noWrap/>
            <w:vAlign w:val="bottom"/>
            <w:hideMark/>
          </w:tcPr>
          <w:p w14:paraId="38E1DC0C" w14:textId="77777777" w:rsidR="00F5328D" w:rsidRPr="00A96B82" w:rsidRDefault="00F5328D" w:rsidP="00F5328D">
            <w:pPr>
              <w:jc w:val="right"/>
              <w:rPr>
                <w:rFonts w:cs="Arial"/>
                <w:color w:val="000000"/>
                <w:sz w:val="22"/>
                <w:szCs w:val="22"/>
              </w:rPr>
            </w:pPr>
            <w:r w:rsidRPr="00A96B82">
              <w:rPr>
                <w:rFonts w:cs="Arial"/>
                <w:color w:val="000000"/>
                <w:sz w:val="22"/>
                <w:szCs w:val="22"/>
              </w:rPr>
              <w:t>1.8</w:t>
            </w:r>
          </w:p>
        </w:tc>
        <w:tc>
          <w:tcPr>
            <w:tcW w:w="410" w:type="pct"/>
            <w:shd w:val="clear" w:color="auto" w:fill="auto"/>
            <w:noWrap/>
            <w:vAlign w:val="bottom"/>
            <w:hideMark/>
          </w:tcPr>
          <w:p w14:paraId="4BC382D6" w14:textId="77777777" w:rsidR="00F5328D" w:rsidRPr="00A96B82" w:rsidRDefault="00F5328D" w:rsidP="00F5328D">
            <w:pPr>
              <w:jc w:val="right"/>
              <w:rPr>
                <w:rFonts w:cs="Arial"/>
                <w:color w:val="000000"/>
                <w:sz w:val="22"/>
                <w:szCs w:val="22"/>
              </w:rPr>
            </w:pPr>
            <w:r w:rsidRPr="00A96B82">
              <w:rPr>
                <w:rFonts w:cs="Arial"/>
                <w:color w:val="000000"/>
                <w:sz w:val="22"/>
                <w:szCs w:val="22"/>
              </w:rPr>
              <w:t>1.0</w:t>
            </w:r>
          </w:p>
        </w:tc>
        <w:tc>
          <w:tcPr>
            <w:tcW w:w="410" w:type="pct"/>
            <w:shd w:val="clear" w:color="auto" w:fill="auto"/>
            <w:noWrap/>
            <w:vAlign w:val="bottom"/>
            <w:hideMark/>
          </w:tcPr>
          <w:p w14:paraId="267F3AB6" w14:textId="77777777" w:rsidR="00F5328D" w:rsidRPr="00A96B82" w:rsidRDefault="00F5328D" w:rsidP="00F5328D">
            <w:pPr>
              <w:jc w:val="right"/>
              <w:rPr>
                <w:rFonts w:cs="Arial"/>
                <w:color w:val="000000"/>
                <w:sz w:val="22"/>
                <w:szCs w:val="22"/>
              </w:rPr>
            </w:pPr>
            <w:r w:rsidRPr="00A96B82">
              <w:rPr>
                <w:rFonts w:cs="Arial"/>
                <w:color w:val="000000"/>
                <w:sz w:val="22"/>
                <w:szCs w:val="22"/>
              </w:rPr>
              <w:t>0.2</w:t>
            </w:r>
          </w:p>
        </w:tc>
        <w:tc>
          <w:tcPr>
            <w:tcW w:w="269" w:type="pct"/>
            <w:shd w:val="clear" w:color="auto" w:fill="auto"/>
            <w:noWrap/>
            <w:vAlign w:val="bottom"/>
            <w:hideMark/>
          </w:tcPr>
          <w:p w14:paraId="79FC3254"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5B23B507" w14:textId="77777777" w:rsidR="00F5328D" w:rsidRPr="00A96B82" w:rsidRDefault="00F5328D" w:rsidP="00F5328D">
            <w:pPr>
              <w:jc w:val="right"/>
              <w:rPr>
                <w:rFonts w:cs="Arial"/>
                <w:color w:val="000000"/>
                <w:sz w:val="22"/>
                <w:szCs w:val="22"/>
              </w:rPr>
            </w:pPr>
            <w:r w:rsidRPr="00A96B82">
              <w:rPr>
                <w:rFonts w:cs="Arial"/>
                <w:color w:val="000000"/>
                <w:sz w:val="22"/>
                <w:szCs w:val="22"/>
              </w:rPr>
              <w:t>6,220</w:t>
            </w:r>
          </w:p>
        </w:tc>
      </w:tr>
      <w:tr w:rsidR="00F5328D" w:rsidRPr="00A96B82" w14:paraId="20173D27" w14:textId="77777777" w:rsidTr="00F5328D">
        <w:trPr>
          <w:trHeight w:val="287"/>
        </w:trPr>
        <w:tc>
          <w:tcPr>
            <w:tcW w:w="1026" w:type="pct"/>
            <w:shd w:val="clear" w:color="auto" w:fill="auto"/>
            <w:noWrap/>
            <w:vAlign w:val="bottom"/>
            <w:hideMark/>
          </w:tcPr>
          <w:p w14:paraId="78910E44" w14:textId="77777777" w:rsidR="00F5328D" w:rsidRPr="00A96B82" w:rsidRDefault="00F5328D" w:rsidP="00F5328D">
            <w:pPr>
              <w:rPr>
                <w:rFonts w:cs="Arial"/>
                <w:color w:val="000000"/>
                <w:sz w:val="22"/>
                <w:szCs w:val="22"/>
              </w:rPr>
            </w:pPr>
            <w:r w:rsidRPr="00A96B82">
              <w:rPr>
                <w:rFonts w:cs="Arial"/>
                <w:color w:val="000000"/>
                <w:sz w:val="22"/>
                <w:szCs w:val="22"/>
              </w:rPr>
              <w:t>Peninsula</w:t>
            </w:r>
          </w:p>
        </w:tc>
        <w:tc>
          <w:tcPr>
            <w:tcW w:w="353" w:type="pct"/>
            <w:shd w:val="clear" w:color="auto" w:fill="auto"/>
            <w:noWrap/>
            <w:vAlign w:val="bottom"/>
            <w:hideMark/>
          </w:tcPr>
          <w:p w14:paraId="6FDD4973" w14:textId="77777777" w:rsidR="00F5328D" w:rsidRPr="00A96B82" w:rsidRDefault="00F5328D" w:rsidP="00F5328D">
            <w:pPr>
              <w:jc w:val="right"/>
              <w:rPr>
                <w:rFonts w:cs="Arial"/>
                <w:color w:val="000000"/>
                <w:sz w:val="22"/>
                <w:szCs w:val="22"/>
              </w:rPr>
            </w:pPr>
            <w:r w:rsidRPr="00A96B82">
              <w:rPr>
                <w:rFonts w:cs="Arial"/>
                <w:color w:val="000000"/>
                <w:sz w:val="22"/>
                <w:szCs w:val="22"/>
              </w:rPr>
              <w:t>0.2</w:t>
            </w:r>
          </w:p>
        </w:tc>
        <w:tc>
          <w:tcPr>
            <w:tcW w:w="353" w:type="pct"/>
            <w:shd w:val="clear" w:color="auto" w:fill="auto"/>
            <w:noWrap/>
            <w:vAlign w:val="bottom"/>
            <w:hideMark/>
          </w:tcPr>
          <w:p w14:paraId="1757BFA2" w14:textId="77777777" w:rsidR="00F5328D" w:rsidRPr="00A96B82" w:rsidRDefault="00F5328D" w:rsidP="00F5328D">
            <w:pPr>
              <w:jc w:val="right"/>
              <w:rPr>
                <w:rFonts w:cs="Arial"/>
                <w:color w:val="000000"/>
                <w:sz w:val="22"/>
                <w:szCs w:val="22"/>
              </w:rPr>
            </w:pPr>
            <w:r w:rsidRPr="00A96B82">
              <w:rPr>
                <w:rFonts w:cs="Arial"/>
                <w:color w:val="000000"/>
                <w:sz w:val="22"/>
                <w:szCs w:val="22"/>
              </w:rPr>
              <w:t>11.4</w:t>
            </w:r>
          </w:p>
        </w:tc>
        <w:tc>
          <w:tcPr>
            <w:tcW w:w="353" w:type="pct"/>
            <w:shd w:val="clear" w:color="auto" w:fill="auto"/>
            <w:noWrap/>
            <w:vAlign w:val="bottom"/>
            <w:hideMark/>
          </w:tcPr>
          <w:p w14:paraId="1C5F7143" w14:textId="77777777" w:rsidR="00F5328D" w:rsidRPr="00A96B82" w:rsidRDefault="00F5328D" w:rsidP="00F5328D">
            <w:pPr>
              <w:jc w:val="right"/>
              <w:rPr>
                <w:rFonts w:cs="Arial"/>
                <w:color w:val="000000"/>
                <w:sz w:val="22"/>
                <w:szCs w:val="22"/>
              </w:rPr>
            </w:pPr>
            <w:r w:rsidRPr="00A96B82">
              <w:rPr>
                <w:rFonts w:cs="Arial"/>
                <w:color w:val="000000"/>
                <w:sz w:val="22"/>
                <w:szCs w:val="22"/>
              </w:rPr>
              <w:t>54.0</w:t>
            </w:r>
          </w:p>
        </w:tc>
        <w:tc>
          <w:tcPr>
            <w:tcW w:w="353" w:type="pct"/>
            <w:shd w:val="clear" w:color="auto" w:fill="auto"/>
            <w:noWrap/>
            <w:vAlign w:val="bottom"/>
            <w:hideMark/>
          </w:tcPr>
          <w:p w14:paraId="1488CECA" w14:textId="77777777" w:rsidR="00F5328D" w:rsidRPr="00A96B82" w:rsidRDefault="00F5328D" w:rsidP="00F5328D">
            <w:pPr>
              <w:jc w:val="right"/>
              <w:rPr>
                <w:rFonts w:cs="Arial"/>
                <w:color w:val="000000"/>
                <w:sz w:val="22"/>
                <w:szCs w:val="22"/>
              </w:rPr>
            </w:pPr>
            <w:r w:rsidRPr="00A96B82">
              <w:rPr>
                <w:rFonts w:cs="Arial"/>
                <w:color w:val="000000"/>
                <w:sz w:val="22"/>
                <w:szCs w:val="22"/>
              </w:rPr>
              <w:t>16.1</w:t>
            </w:r>
          </w:p>
        </w:tc>
        <w:tc>
          <w:tcPr>
            <w:tcW w:w="353" w:type="pct"/>
            <w:shd w:val="clear" w:color="auto" w:fill="auto"/>
            <w:noWrap/>
            <w:vAlign w:val="bottom"/>
            <w:hideMark/>
          </w:tcPr>
          <w:p w14:paraId="5F71DEBE" w14:textId="77777777" w:rsidR="00F5328D" w:rsidRPr="00A96B82" w:rsidRDefault="00F5328D" w:rsidP="00F5328D">
            <w:pPr>
              <w:jc w:val="right"/>
              <w:rPr>
                <w:rFonts w:cs="Arial"/>
                <w:color w:val="000000"/>
                <w:sz w:val="22"/>
                <w:szCs w:val="22"/>
              </w:rPr>
            </w:pPr>
            <w:r w:rsidRPr="00A96B82">
              <w:rPr>
                <w:rFonts w:cs="Arial"/>
                <w:color w:val="000000"/>
                <w:sz w:val="22"/>
                <w:szCs w:val="22"/>
              </w:rPr>
              <w:t>5.2</w:t>
            </w:r>
          </w:p>
        </w:tc>
        <w:tc>
          <w:tcPr>
            <w:tcW w:w="353" w:type="pct"/>
            <w:shd w:val="clear" w:color="auto" w:fill="auto"/>
            <w:noWrap/>
            <w:vAlign w:val="bottom"/>
            <w:hideMark/>
          </w:tcPr>
          <w:p w14:paraId="2E7B042E" w14:textId="77777777" w:rsidR="00F5328D" w:rsidRPr="00A96B82" w:rsidRDefault="00F5328D" w:rsidP="00F5328D">
            <w:pPr>
              <w:jc w:val="right"/>
              <w:rPr>
                <w:rFonts w:cs="Arial"/>
                <w:color w:val="000000"/>
                <w:sz w:val="22"/>
                <w:szCs w:val="22"/>
              </w:rPr>
            </w:pPr>
            <w:r w:rsidRPr="00A96B82">
              <w:rPr>
                <w:rFonts w:cs="Arial"/>
                <w:color w:val="000000"/>
                <w:sz w:val="22"/>
                <w:szCs w:val="22"/>
              </w:rPr>
              <w:t>4.9</w:t>
            </w:r>
          </w:p>
        </w:tc>
        <w:tc>
          <w:tcPr>
            <w:tcW w:w="410" w:type="pct"/>
            <w:shd w:val="clear" w:color="auto" w:fill="auto"/>
            <w:noWrap/>
            <w:vAlign w:val="bottom"/>
            <w:hideMark/>
          </w:tcPr>
          <w:p w14:paraId="405C146E" w14:textId="77777777" w:rsidR="00F5328D" w:rsidRPr="00A96B82" w:rsidRDefault="00F5328D" w:rsidP="00F5328D">
            <w:pPr>
              <w:jc w:val="right"/>
              <w:rPr>
                <w:rFonts w:cs="Arial"/>
                <w:color w:val="000000"/>
                <w:sz w:val="22"/>
                <w:szCs w:val="22"/>
              </w:rPr>
            </w:pPr>
            <w:r w:rsidRPr="00A96B82">
              <w:rPr>
                <w:rFonts w:cs="Arial"/>
                <w:color w:val="000000"/>
                <w:sz w:val="22"/>
                <w:szCs w:val="22"/>
              </w:rPr>
              <w:t>0.5</w:t>
            </w:r>
          </w:p>
        </w:tc>
        <w:tc>
          <w:tcPr>
            <w:tcW w:w="410" w:type="pct"/>
            <w:shd w:val="clear" w:color="auto" w:fill="auto"/>
            <w:noWrap/>
            <w:vAlign w:val="bottom"/>
            <w:hideMark/>
          </w:tcPr>
          <w:p w14:paraId="278890E3" w14:textId="77777777" w:rsidR="00F5328D" w:rsidRPr="00A96B82" w:rsidRDefault="00F5328D" w:rsidP="00F5328D">
            <w:pPr>
              <w:jc w:val="right"/>
              <w:rPr>
                <w:rFonts w:cs="Arial"/>
                <w:color w:val="000000"/>
                <w:sz w:val="22"/>
                <w:szCs w:val="22"/>
              </w:rPr>
            </w:pPr>
            <w:r w:rsidRPr="00A96B82">
              <w:rPr>
                <w:rFonts w:cs="Arial"/>
                <w:color w:val="000000"/>
                <w:sz w:val="22"/>
                <w:szCs w:val="22"/>
              </w:rPr>
              <w:t>4.9</w:t>
            </w:r>
          </w:p>
        </w:tc>
        <w:tc>
          <w:tcPr>
            <w:tcW w:w="410" w:type="pct"/>
            <w:shd w:val="clear" w:color="auto" w:fill="auto"/>
            <w:noWrap/>
            <w:vAlign w:val="bottom"/>
            <w:hideMark/>
          </w:tcPr>
          <w:p w14:paraId="3D2B0E89" w14:textId="77777777" w:rsidR="00F5328D" w:rsidRPr="00A96B82" w:rsidRDefault="00F5328D" w:rsidP="00F5328D">
            <w:pPr>
              <w:jc w:val="right"/>
              <w:rPr>
                <w:rFonts w:cs="Arial"/>
                <w:color w:val="000000"/>
                <w:sz w:val="22"/>
                <w:szCs w:val="22"/>
              </w:rPr>
            </w:pPr>
            <w:r w:rsidRPr="00A96B82">
              <w:rPr>
                <w:rFonts w:cs="Arial"/>
                <w:color w:val="000000"/>
                <w:sz w:val="22"/>
                <w:szCs w:val="22"/>
              </w:rPr>
              <w:t>2.9</w:t>
            </w:r>
          </w:p>
        </w:tc>
        <w:tc>
          <w:tcPr>
            <w:tcW w:w="269" w:type="pct"/>
            <w:shd w:val="clear" w:color="auto" w:fill="auto"/>
            <w:noWrap/>
            <w:vAlign w:val="bottom"/>
            <w:hideMark/>
          </w:tcPr>
          <w:p w14:paraId="37D96ED8"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2B7E1C7A" w14:textId="77777777" w:rsidR="00F5328D" w:rsidRPr="00A96B82" w:rsidRDefault="00F5328D" w:rsidP="00F5328D">
            <w:pPr>
              <w:jc w:val="right"/>
              <w:rPr>
                <w:rFonts w:cs="Arial"/>
                <w:color w:val="000000"/>
                <w:sz w:val="22"/>
                <w:szCs w:val="22"/>
              </w:rPr>
            </w:pPr>
            <w:r w:rsidRPr="00A96B82">
              <w:rPr>
                <w:rFonts w:cs="Arial"/>
                <w:color w:val="000000"/>
                <w:sz w:val="22"/>
                <w:szCs w:val="22"/>
              </w:rPr>
              <w:t>5,540</w:t>
            </w:r>
          </w:p>
        </w:tc>
      </w:tr>
      <w:tr w:rsidR="00F5328D" w:rsidRPr="00A96B82" w14:paraId="63B78CF9" w14:textId="77777777" w:rsidTr="00F5328D">
        <w:trPr>
          <w:trHeight w:val="287"/>
        </w:trPr>
        <w:tc>
          <w:tcPr>
            <w:tcW w:w="1026" w:type="pct"/>
            <w:shd w:val="clear" w:color="auto" w:fill="auto"/>
            <w:noWrap/>
            <w:vAlign w:val="bottom"/>
            <w:hideMark/>
          </w:tcPr>
          <w:p w14:paraId="3691C9ED" w14:textId="77777777" w:rsidR="00F5328D" w:rsidRPr="00A96B82" w:rsidRDefault="00F5328D" w:rsidP="00F5328D">
            <w:pPr>
              <w:rPr>
                <w:rFonts w:cs="Arial"/>
                <w:color w:val="000000"/>
                <w:sz w:val="22"/>
                <w:szCs w:val="22"/>
              </w:rPr>
            </w:pPr>
            <w:r w:rsidRPr="00A96B82">
              <w:rPr>
                <w:rFonts w:cs="Arial"/>
                <w:color w:val="000000"/>
                <w:sz w:val="22"/>
                <w:szCs w:val="22"/>
              </w:rPr>
              <w:t>Princes Park</w:t>
            </w:r>
          </w:p>
        </w:tc>
        <w:tc>
          <w:tcPr>
            <w:tcW w:w="353" w:type="pct"/>
            <w:shd w:val="clear" w:color="auto" w:fill="auto"/>
            <w:noWrap/>
            <w:vAlign w:val="bottom"/>
            <w:hideMark/>
          </w:tcPr>
          <w:p w14:paraId="11FC4AE3" w14:textId="77777777" w:rsidR="00F5328D" w:rsidRPr="00A96B82" w:rsidRDefault="00F5328D" w:rsidP="00F5328D">
            <w:pPr>
              <w:jc w:val="right"/>
              <w:rPr>
                <w:rFonts w:cs="Arial"/>
                <w:color w:val="000000"/>
                <w:sz w:val="22"/>
                <w:szCs w:val="22"/>
              </w:rPr>
            </w:pPr>
            <w:r w:rsidRPr="00A96B82">
              <w:rPr>
                <w:rFonts w:cs="Arial"/>
                <w:color w:val="000000"/>
                <w:sz w:val="22"/>
                <w:szCs w:val="22"/>
              </w:rPr>
              <w:t>4.0</w:t>
            </w:r>
          </w:p>
        </w:tc>
        <w:tc>
          <w:tcPr>
            <w:tcW w:w="353" w:type="pct"/>
            <w:shd w:val="clear" w:color="auto" w:fill="auto"/>
            <w:noWrap/>
            <w:vAlign w:val="bottom"/>
            <w:hideMark/>
          </w:tcPr>
          <w:p w14:paraId="16D1AC60" w14:textId="77777777" w:rsidR="00F5328D" w:rsidRPr="00A96B82" w:rsidRDefault="00F5328D" w:rsidP="00F5328D">
            <w:pPr>
              <w:jc w:val="right"/>
              <w:rPr>
                <w:rFonts w:cs="Arial"/>
                <w:color w:val="000000"/>
                <w:sz w:val="22"/>
                <w:szCs w:val="22"/>
              </w:rPr>
            </w:pPr>
            <w:r w:rsidRPr="00A96B82">
              <w:rPr>
                <w:rFonts w:cs="Arial"/>
                <w:color w:val="000000"/>
                <w:sz w:val="22"/>
                <w:szCs w:val="22"/>
              </w:rPr>
              <w:t>19.5</w:t>
            </w:r>
          </w:p>
        </w:tc>
        <w:tc>
          <w:tcPr>
            <w:tcW w:w="353" w:type="pct"/>
            <w:shd w:val="clear" w:color="auto" w:fill="auto"/>
            <w:noWrap/>
            <w:vAlign w:val="bottom"/>
            <w:hideMark/>
          </w:tcPr>
          <w:p w14:paraId="04CEA46A" w14:textId="77777777" w:rsidR="00F5328D" w:rsidRPr="00A96B82" w:rsidRDefault="00F5328D" w:rsidP="00F5328D">
            <w:pPr>
              <w:jc w:val="right"/>
              <w:rPr>
                <w:rFonts w:cs="Arial"/>
                <w:color w:val="000000"/>
                <w:sz w:val="22"/>
                <w:szCs w:val="22"/>
              </w:rPr>
            </w:pPr>
            <w:r w:rsidRPr="00A96B82">
              <w:rPr>
                <w:rFonts w:cs="Arial"/>
                <w:color w:val="000000"/>
                <w:sz w:val="22"/>
                <w:szCs w:val="22"/>
              </w:rPr>
              <w:t>52.1</w:t>
            </w:r>
          </w:p>
        </w:tc>
        <w:tc>
          <w:tcPr>
            <w:tcW w:w="353" w:type="pct"/>
            <w:shd w:val="clear" w:color="auto" w:fill="auto"/>
            <w:noWrap/>
            <w:vAlign w:val="bottom"/>
            <w:hideMark/>
          </w:tcPr>
          <w:p w14:paraId="06861934" w14:textId="77777777" w:rsidR="00F5328D" w:rsidRPr="00A96B82" w:rsidRDefault="00F5328D" w:rsidP="00F5328D">
            <w:pPr>
              <w:jc w:val="right"/>
              <w:rPr>
                <w:rFonts w:cs="Arial"/>
                <w:color w:val="000000"/>
                <w:sz w:val="22"/>
                <w:szCs w:val="22"/>
              </w:rPr>
            </w:pPr>
            <w:r w:rsidRPr="00A96B82">
              <w:rPr>
                <w:rFonts w:cs="Arial"/>
                <w:color w:val="000000"/>
                <w:sz w:val="22"/>
                <w:szCs w:val="22"/>
              </w:rPr>
              <w:t>12.5</w:t>
            </w:r>
          </w:p>
        </w:tc>
        <w:tc>
          <w:tcPr>
            <w:tcW w:w="353" w:type="pct"/>
            <w:shd w:val="clear" w:color="auto" w:fill="auto"/>
            <w:noWrap/>
            <w:vAlign w:val="bottom"/>
            <w:hideMark/>
          </w:tcPr>
          <w:p w14:paraId="61819730" w14:textId="77777777" w:rsidR="00F5328D" w:rsidRPr="00A96B82" w:rsidRDefault="00F5328D" w:rsidP="00F5328D">
            <w:pPr>
              <w:jc w:val="right"/>
              <w:rPr>
                <w:rFonts w:cs="Arial"/>
                <w:color w:val="000000"/>
                <w:sz w:val="22"/>
                <w:szCs w:val="22"/>
              </w:rPr>
            </w:pPr>
            <w:r w:rsidRPr="00A96B82">
              <w:rPr>
                <w:rFonts w:cs="Arial"/>
                <w:color w:val="000000"/>
                <w:sz w:val="22"/>
                <w:szCs w:val="22"/>
              </w:rPr>
              <w:t>5.0</w:t>
            </w:r>
          </w:p>
        </w:tc>
        <w:tc>
          <w:tcPr>
            <w:tcW w:w="353" w:type="pct"/>
            <w:shd w:val="clear" w:color="auto" w:fill="auto"/>
            <w:noWrap/>
            <w:vAlign w:val="bottom"/>
            <w:hideMark/>
          </w:tcPr>
          <w:p w14:paraId="4391E83A" w14:textId="77777777" w:rsidR="00F5328D" w:rsidRPr="00A96B82" w:rsidRDefault="00F5328D" w:rsidP="00F5328D">
            <w:pPr>
              <w:jc w:val="right"/>
              <w:rPr>
                <w:rFonts w:cs="Arial"/>
                <w:color w:val="000000"/>
                <w:sz w:val="22"/>
                <w:szCs w:val="22"/>
              </w:rPr>
            </w:pPr>
            <w:r w:rsidRPr="00A96B82">
              <w:rPr>
                <w:rFonts w:cs="Arial"/>
                <w:color w:val="000000"/>
                <w:sz w:val="22"/>
                <w:szCs w:val="22"/>
              </w:rPr>
              <w:t>2.7</w:t>
            </w:r>
          </w:p>
        </w:tc>
        <w:tc>
          <w:tcPr>
            <w:tcW w:w="410" w:type="pct"/>
            <w:shd w:val="clear" w:color="auto" w:fill="auto"/>
            <w:noWrap/>
            <w:vAlign w:val="bottom"/>
            <w:hideMark/>
          </w:tcPr>
          <w:p w14:paraId="4F86C01A" w14:textId="77777777" w:rsidR="00F5328D" w:rsidRPr="00A96B82" w:rsidRDefault="00F5328D" w:rsidP="00F5328D">
            <w:pPr>
              <w:jc w:val="right"/>
              <w:rPr>
                <w:rFonts w:cs="Arial"/>
                <w:color w:val="000000"/>
                <w:sz w:val="22"/>
                <w:szCs w:val="22"/>
              </w:rPr>
            </w:pPr>
            <w:r w:rsidRPr="00A96B82">
              <w:rPr>
                <w:rFonts w:cs="Arial"/>
                <w:color w:val="000000"/>
                <w:sz w:val="22"/>
                <w:szCs w:val="22"/>
              </w:rPr>
              <w:t>1.5</w:t>
            </w:r>
          </w:p>
        </w:tc>
        <w:tc>
          <w:tcPr>
            <w:tcW w:w="410" w:type="pct"/>
            <w:shd w:val="clear" w:color="auto" w:fill="auto"/>
            <w:noWrap/>
            <w:vAlign w:val="bottom"/>
            <w:hideMark/>
          </w:tcPr>
          <w:p w14:paraId="7F8486C6" w14:textId="77777777" w:rsidR="00F5328D" w:rsidRPr="00A96B82" w:rsidRDefault="00F5328D" w:rsidP="00F5328D">
            <w:pPr>
              <w:jc w:val="right"/>
              <w:rPr>
                <w:rFonts w:cs="Arial"/>
                <w:color w:val="000000"/>
                <w:sz w:val="22"/>
                <w:szCs w:val="22"/>
              </w:rPr>
            </w:pPr>
            <w:r w:rsidRPr="00A96B82">
              <w:rPr>
                <w:rFonts w:cs="Arial"/>
                <w:color w:val="000000"/>
                <w:sz w:val="22"/>
                <w:szCs w:val="22"/>
              </w:rPr>
              <w:t>2.0</w:t>
            </w:r>
          </w:p>
        </w:tc>
        <w:tc>
          <w:tcPr>
            <w:tcW w:w="410" w:type="pct"/>
            <w:shd w:val="clear" w:color="auto" w:fill="auto"/>
            <w:noWrap/>
            <w:vAlign w:val="bottom"/>
            <w:hideMark/>
          </w:tcPr>
          <w:p w14:paraId="1A335843" w14:textId="77777777" w:rsidR="00F5328D" w:rsidRPr="00A96B82" w:rsidRDefault="00F5328D" w:rsidP="00F5328D">
            <w:pPr>
              <w:jc w:val="right"/>
              <w:rPr>
                <w:rFonts w:cs="Arial"/>
                <w:color w:val="000000"/>
                <w:sz w:val="22"/>
                <w:szCs w:val="22"/>
              </w:rPr>
            </w:pPr>
            <w:r w:rsidRPr="00A96B82">
              <w:rPr>
                <w:rFonts w:cs="Arial"/>
                <w:color w:val="000000"/>
                <w:sz w:val="22"/>
                <w:szCs w:val="22"/>
              </w:rPr>
              <w:t>0.7</w:t>
            </w:r>
          </w:p>
        </w:tc>
        <w:tc>
          <w:tcPr>
            <w:tcW w:w="269" w:type="pct"/>
            <w:shd w:val="clear" w:color="auto" w:fill="auto"/>
            <w:noWrap/>
            <w:vAlign w:val="bottom"/>
            <w:hideMark/>
          </w:tcPr>
          <w:p w14:paraId="3ECDBF68"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7634D40A" w14:textId="77777777" w:rsidR="00F5328D" w:rsidRPr="00A96B82" w:rsidRDefault="00F5328D" w:rsidP="00F5328D">
            <w:pPr>
              <w:jc w:val="right"/>
              <w:rPr>
                <w:rFonts w:cs="Arial"/>
                <w:color w:val="000000"/>
                <w:sz w:val="22"/>
                <w:szCs w:val="22"/>
              </w:rPr>
            </w:pPr>
            <w:r w:rsidRPr="00A96B82">
              <w:rPr>
                <w:rFonts w:cs="Arial"/>
                <w:color w:val="000000"/>
                <w:sz w:val="22"/>
                <w:szCs w:val="22"/>
              </w:rPr>
              <w:t>4,010</w:t>
            </w:r>
          </w:p>
        </w:tc>
      </w:tr>
      <w:tr w:rsidR="00F5328D" w:rsidRPr="00A96B82" w14:paraId="324730AB" w14:textId="77777777" w:rsidTr="00F5328D">
        <w:trPr>
          <w:trHeight w:val="287"/>
        </w:trPr>
        <w:tc>
          <w:tcPr>
            <w:tcW w:w="1026" w:type="pct"/>
            <w:shd w:val="clear" w:color="auto" w:fill="auto"/>
            <w:noWrap/>
            <w:vAlign w:val="bottom"/>
            <w:hideMark/>
          </w:tcPr>
          <w:p w14:paraId="13A82AB7" w14:textId="77777777" w:rsidR="00F5328D" w:rsidRPr="00A96B82" w:rsidRDefault="00F5328D" w:rsidP="00F5328D">
            <w:pPr>
              <w:rPr>
                <w:rFonts w:cs="Arial"/>
                <w:color w:val="000000"/>
                <w:sz w:val="22"/>
                <w:szCs w:val="22"/>
              </w:rPr>
            </w:pPr>
            <w:r w:rsidRPr="00A96B82">
              <w:rPr>
                <w:rFonts w:cs="Arial"/>
                <w:color w:val="000000"/>
                <w:sz w:val="22"/>
                <w:szCs w:val="22"/>
              </w:rPr>
              <w:t>Rainham Central</w:t>
            </w:r>
          </w:p>
        </w:tc>
        <w:tc>
          <w:tcPr>
            <w:tcW w:w="353" w:type="pct"/>
            <w:shd w:val="clear" w:color="auto" w:fill="auto"/>
            <w:noWrap/>
            <w:vAlign w:val="bottom"/>
            <w:hideMark/>
          </w:tcPr>
          <w:p w14:paraId="357B646E" w14:textId="77777777" w:rsidR="00F5328D" w:rsidRPr="00A96B82" w:rsidRDefault="00F5328D" w:rsidP="00F5328D">
            <w:pPr>
              <w:jc w:val="right"/>
              <w:rPr>
                <w:rFonts w:cs="Arial"/>
                <w:color w:val="000000"/>
                <w:sz w:val="22"/>
                <w:szCs w:val="22"/>
              </w:rPr>
            </w:pPr>
            <w:r w:rsidRPr="00A96B82">
              <w:rPr>
                <w:rFonts w:cs="Arial"/>
                <w:color w:val="000000"/>
                <w:sz w:val="22"/>
                <w:szCs w:val="22"/>
              </w:rPr>
              <w:t>0.2</w:t>
            </w:r>
          </w:p>
        </w:tc>
        <w:tc>
          <w:tcPr>
            <w:tcW w:w="353" w:type="pct"/>
            <w:shd w:val="clear" w:color="auto" w:fill="auto"/>
            <w:noWrap/>
            <w:vAlign w:val="bottom"/>
            <w:hideMark/>
          </w:tcPr>
          <w:p w14:paraId="59C8A168" w14:textId="77777777" w:rsidR="00F5328D" w:rsidRPr="00A96B82" w:rsidRDefault="00F5328D" w:rsidP="00F5328D">
            <w:pPr>
              <w:jc w:val="right"/>
              <w:rPr>
                <w:rFonts w:cs="Arial"/>
                <w:color w:val="000000"/>
                <w:sz w:val="22"/>
                <w:szCs w:val="22"/>
              </w:rPr>
            </w:pPr>
            <w:r w:rsidRPr="00A96B82">
              <w:rPr>
                <w:rFonts w:cs="Arial"/>
                <w:color w:val="000000"/>
                <w:sz w:val="22"/>
                <w:szCs w:val="22"/>
              </w:rPr>
              <w:t>5.0</w:t>
            </w:r>
          </w:p>
        </w:tc>
        <w:tc>
          <w:tcPr>
            <w:tcW w:w="353" w:type="pct"/>
            <w:shd w:val="clear" w:color="auto" w:fill="auto"/>
            <w:noWrap/>
            <w:vAlign w:val="bottom"/>
            <w:hideMark/>
          </w:tcPr>
          <w:p w14:paraId="00E4FDA2" w14:textId="77777777" w:rsidR="00F5328D" w:rsidRPr="00A96B82" w:rsidRDefault="00F5328D" w:rsidP="00F5328D">
            <w:pPr>
              <w:jc w:val="right"/>
              <w:rPr>
                <w:rFonts w:cs="Arial"/>
                <w:color w:val="000000"/>
                <w:sz w:val="22"/>
                <w:szCs w:val="22"/>
              </w:rPr>
            </w:pPr>
            <w:r w:rsidRPr="00A96B82">
              <w:rPr>
                <w:rFonts w:cs="Arial"/>
                <w:color w:val="000000"/>
                <w:sz w:val="22"/>
                <w:szCs w:val="22"/>
              </w:rPr>
              <w:t>46.5</w:t>
            </w:r>
          </w:p>
        </w:tc>
        <w:tc>
          <w:tcPr>
            <w:tcW w:w="353" w:type="pct"/>
            <w:shd w:val="clear" w:color="auto" w:fill="auto"/>
            <w:noWrap/>
            <w:vAlign w:val="bottom"/>
            <w:hideMark/>
          </w:tcPr>
          <w:p w14:paraId="6BE2E413" w14:textId="77777777" w:rsidR="00F5328D" w:rsidRPr="00A96B82" w:rsidRDefault="00F5328D" w:rsidP="00F5328D">
            <w:pPr>
              <w:jc w:val="right"/>
              <w:rPr>
                <w:rFonts w:cs="Arial"/>
                <w:color w:val="000000"/>
                <w:sz w:val="22"/>
                <w:szCs w:val="22"/>
              </w:rPr>
            </w:pPr>
            <w:r w:rsidRPr="00A96B82">
              <w:rPr>
                <w:rFonts w:cs="Arial"/>
                <w:color w:val="000000"/>
                <w:sz w:val="22"/>
                <w:szCs w:val="22"/>
              </w:rPr>
              <w:t>18.4</w:t>
            </w:r>
          </w:p>
        </w:tc>
        <w:tc>
          <w:tcPr>
            <w:tcW w:w="353" w:type="pct"/>
            <w:shd w:val="clear" w:color="auto" w:fill="auto"/>
            <w:noWrap/>
            <w:vAlign w:val="bottom"/>
            <w:hideMark/>
          </w:tcPr>
          <w:p w14:paraId="7A549DE4" w14:textId="77777777" w:rsidR="00F5328D" w:rsidRPr="00A96B82" w:rsidRDefault="00F5328D" w:rsidP="00F5328D">
            <w:pPr>
              <w:jc w:val="right"/>
              <w:rPr>
                <w:rFonts w:cs="Arial"/>
                <w:color w:val="000000"/>
                <w:sz w:val="22"/>
                <w:szCs w:val="22"/>
              </w:rPr>
            </w:pPr>
            <w:r w:rsidRPr="00A96B82">
              <w:rPr>
                <w:rFonts w:cs="Arial"/>
                <w:color w:val="000000"/>
                <w:sz w:val="22"/>
                <w:szCs w:val="22"/>
              </w:rPr>
              <w:t>3.4</w:t>
            </w:r>
          </w:p>
        </w:tc>
        <w:tc>
          <w:tcPr>
            <w:tcW w:w="353" w:type="pct"/>
            <w:shd w:val="clear" w:color="auto" w:fill="auto"/>
            <w:noWrap/>
            <w:vAlign w:val="bottom"/>
            <w:hideMark/>
          </w:tcPr>
          <w:p w14:paraId="1B3A3C46" w14:textId="77777777" w:rsidR="00F5328D" w:rsidRPr="00A96B82" w:rsidRDefault="00F5328D" w:rsidP="00F5328D">
            <w:pPr>
              <w:jc w:val="right"/>
              <w:rPr>
                <w:rFonts w:cs="Arial"/>
                <w:color w:val="000000"/>
                <w:sz w:val="22"/>
                <w:szCs w:val="22"/>
              </w:rPr>
            </w:pPr>
            <w:r w:rsidRPr="00A96B82">
              <w:rPr>
                <w:rFonts w:cs="Arial"/>
                <w:color w:val="000000"/>
                <w:sz w:val="22"/>
                <w:szCs w:val="22"/>
              </w:rPr>
              <w:t>2.6</w:t>
            </w:r>
          </w:p>
        </w:tc>
        <w:tc>
          <w:tcPr>
            <w:tcW w:w="410" w:type="pct"/>
            <w:shd w:val="clear" w:color="auto" w:fill="auto"/>
            <w:noWrap/>
            <w:vAlign w:val="bottom"/>
            <w:hideMark/>
          </w:tcPr>
          <w:p w14:paraId="24271A6E" w14:textId="77777777" w:rsidR="00F5328D" w:rsidRPr="00A96B82" w:rsidRDefault="00F5328D" w:rsidP="00F5328D">
            <w:pPr>
              <w:jc w:val="right"/>
              <w:rPr>
                <w:rFonts w:cs="Arial"/>
                <w:color w:val="000000"/>
                <w:sz w:val="22"/>
                <w:szCs w:val="22"/>
              </w:rPr>
            </w:pPr>
            <w:r w:rsidRPr="00A96B82">
              <w:rPr>
                <w:rFonts w:cs="Arial"/>
                <w:color w:val="000000"/>
                <w:sz w:val="22"/>
                <w:szCs w:val="22"/>
              </w:rPr>
              <w:t>2.4</w:t>
            </w:r>
          </w:p>
        </w:tc>
        <w:tc>
          <w:tcPr>
            <w:tcW w:w="410" w:type="pct"/>
            <w:shd w:val="clear" w:color="auto" w:fill="auto"/>
            <w:noWrap/>
            <w:vAlign w:val="bottom"/>
            <w:hideMark/>
          </w:tcPr>
          <w:p w14:paraId="0B2DAF01" w14:textId="77777777" w:rsidR="00F5328D" w:rsidRPr="00A96B82" w:rsidRDefault="00F5328D" w:rsidP="00F5328D">
            <w:pPr>
              <w:jc w:val="right"/>
              <w:rPr>
                <w:rFonts w:cs="Arial"/>
                <w:color w:val="000000"/>
                <w:sz w:val="22"/>
                <w:szCs w:val="22"/>
              </w:rPr>
            </w:pPr>
            <w:r w:rsidRPr="00A96B82">
              <w:rPr>
                <w:rFonts w:cs="Arial"/>
                <w:color w:val="000000"/>
                <w:sz w:val="22"/>
                <w:szCs w:val="22"/>
              </w:rPr>
              <w:t>12.0</w:t>
            </w:r>
          </w:p>
        </w:tc>
        <w:tc>
          <w:tcPr>
            <w:tcW w:w="410" w:type="pct"/>
            <w:shd w:val="clear" w:color="auto" w:fill="auto"/>
            <w:noWrap/>
            <w:vAlign w:val="bottom"/>
            <w:hideMark/>
          </w:tcPr>
          <w:p w14:paraId="729F5FF3" w14:textId="77777777" w:rsidR="00F5328D" w:rsidRPr="00A96B82" w:rsidRDefault="00F5328D" w:rsidP="00F5328D">
            <w:pPr>
              <w:jc w:val="right"/>
              <w:rPr>
                <w:rFonts w:cs="Arial"/>
                <w:color w:val="000000"/>
                <w:sz w:val="22"/>
                <w:szCs w:val="22"/>
              </w:rPr>
            </w:pPr>
            <w:r w:rsidRPr="00A96B82">
              <w:rPr>
                <w:rFonts w:cs="Arial"/>
                <w:color w:val="000000"/>
                <w:sz w:val="22"/>
                <w:szCs w:val="22"/>
              </w:rPr>
              <w:t>9.4</w:t>
            </w:r>
          </w:p>
        </w:tc>
        <w:tc>
          <w:tcPr>
            <w:tcW w:w="269" w:type="pct"/>
            <w:shd w:val="clear" w:color="auto" w:fill="auto"/>
            <w:noWrap/>
            <w:vAlign w:val="bottom"/>
            <w:hideMark/>
          </w:tcPr>
          <w:p w14:paraId="6730DC05"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587597A3" w14:textId="77777777" w:rsidR="00F5328D" w:rsidRPr="00A96B82" w:rsidRDefault="00F5328D" w:rsidP="00F5328D">
            <w:pPr>
              <w:jc w:val="right"/>
              <w:rPr>
                <w:rFonts w:cs="Arial"/>
                <w:color w:val="000000"/>
                <w:sz w:val="22"/>
                <w:szCs w:val="22"/>
              </w:rPr>
            </w:pPr>
            <w:r w:rsidRPr="00A96B82">
              <w:rPr>
                <w:rFonts w:cs="Arial"/>
                <w:color w:val="000000"/>
                <w:sz w:val="22"/>
                <w:szCs w:val="22"/>
              </w:rPr>
              <w:t>4,990</w:t>
            </w:r>
          </w:p>
        </w:tc>
      </w:tr>
      <w:tr w:rsidR="00F5328D" w:rsidRPr="00A96B82" w14:paraId="23EE82FF" w14:textId="77777777" w:rsidTr="00F5328D">
        <w:trPr>
          <w:trHeight w:val="287"/>
        </w:trPr>
        <w:tc>
          <w:tcPr>
            <w:tcW w:w="1026" w:type="pct"/>
            <w:shd w:val="clear" w:color="auto" w:fill="auto"/>
            <w:noWrap/>
            <w:vAlign w:val="bottom"/>
            <w:hideMark/>
          </w:tcPr>
          <w:p w14:paraId="7022CB89" w14:textId="77777777" w:rsidR="00F5328D" w:rsidRPr="00A96B82" w:rsidRDefault="00F5328D" w:rsidP="00F5328D">
            <w:pPr>
              <w:rPr>
                <w:rFonts w:cs="Arial"/>
                <w:color w:val="000000"/>
                <w:sz w:val="22"/>
                <w:szCs w:val="22"/>
              </w:rPr>
            </w:pPr>
            <w:r w:rsidRPr="00A96B82">
              <w:rPr>
                <w:rFonts w:cs="Arial"/>
                <w:color w:val="000000"/>
                <w:sz w:val="22"/>
                <w:szCs w:val="22"/>
              </w:rPr>
              <w:t>Rainham North</w:t>
            </w:r>
          </w:p>
        </w:tc>
        <w:tc>
          <w:tcPr>
            <w:tcW w:w="353" w:type="pct"/>
            <w:shd w:val="clear" w:color="auto" w:fill="auto"/>
            <w:noWrap/>
            <w:vAlign w:val="bottom"/>
            <w:hideMark/>
          </w:tcPr>
          <w:p w14:paraId="01E7488D" w14:textId="77777777" w:rsidR="00F5328D" w:rsidRPr="00A96B82" w:rsidRDefault="00F5328D" w:rsidP="00F5328D">
            <w:pPr>
              <w:jc w:val="right"/>
              <w:rPr>
                <w:rFonts w:cs="Arial"/>
                <w:color w:val="000000"/>
                <w:sz w:val="22"/>
                <w:szCs w:val="22"/>
              </w:rPr>
            </w:pPr>
            <w:r w:rsidRPr="00A96B82">
              <w:rPr>
                <w:rFonts w:cs="Arial"/>
                <w:color w:val="000000"/>
                <w:sz w:val="22"/>
                <w:szCs w:val="22"/>
              </w:rPr>
              <w:t>0.3</w:t>
            </w:r>
          </w:p>
        </w:tc>
        <w:tc>
          <w:tcPr>
            <w:tcW w:w="353" w:type="pct"/>
            <w:shd w:val="clear" w:color="auto" w:fill="auto"/>
            <w:noWrap/>
            <w:vAlign w:val="bottom"/>
            <w:hideMark/>
          </w:tcPr>
          <w:p w14:paraId="20D6ED6A" w14:textId="77777777" w:rsidR="00F5328D" w:rsidRPr="00A96B82" w:rsidRDefault="00F5328D" w:rsidP="00F5328D">
            <w:pPr>
              <w:jc w:val="right"/>
              <w:rPr>
                <w:rFonts w:cs="Arial"/>
                <w:color w:val="000000"/>
                <w:sz w:val="22"/>
                <w:szCs w:val="22"/>
              </w:rPr>
            </w:pPr>
            <w:r w:rsidRPr="00A96B82">
              <w:rPr>
                <w:rFonts w:cs="Arial"/>
                <w:color w:val="000000"/>
                <w:sz w:val="22"/>
                <w:szCs w:val="22"/>
              </w:rPr>
              <w:t>11.5</w:t>
            </w:r>
          </w:p>
        </w:tc>
        <w:tc>
          <w:tcPr>
            <w:tcW w:w="353" w:type="pct"/>
            <w:shd w:val="clear" w:color="auto" w:fill="auto"/>
            <w:noWrap/>
            <w:vAlign w:val="bottom"/>
            <w:hideMark/>
          </w:tcPr>
          <w:p w14:paraId="705ECB15" w14:textId="77777777" w:rsidR="00F5328D" w:rsidRPr="00A96B82" w:rsidRDefault="00F5328D" w:rsidP="00F5328D">
            <w:pPr>
              <w:jc w:val="right"/>
              <w:rPr>
                <w:rFonts w:cs="Arial"/>
                <w:color w:val="000000"/>
                <w:sz w:val="22"/>
                <w:szCs w:val="22"/>
              </w:rPr>
            </w:pPr>
            <w:r w:rsidRPr="00A96B82">
              <w:rPr>
                <w:rFonts w:cs="Arial"/>
                <w:color w:val="000000"/>
                <w:sz w:val="22"/>
                <w:szCs w:val="22"/>
              </w:rPr>
              <w:t>55.6</w:t>
            </w:r>
          </w:p>
        </w:tc>
        <w:tc>
          <w:tcPr>
            <w:tcW w:w="353" w:type="pct"/>
            <w:shd w:val="clear" w:color="auto" w:fill="auto"/>
            <w:noWrap/>
            <w:vAlign w:val="bottom"/>
            <w:hideMark/>
          </w:tcPr>
          <w:p w14:paraId="7FA1D1B9" w14:textId="77777777" w:rsidR="00F5328D" w:rsidRPr="00A96B82" w:rsidRDefault="00F5328D" w:rsidP="00F5328D">
            <w:pPr>
              <w:jc w:val="right"/>
              <w:rPr>
                <w:rFonts w:cs="Arial"/>
                <w:color w:val="000000"/>
                <w:sz w:val="22"/>
                <w:szCs w:val="22"/>
              </w:rPr>
            </w:pPr>
            <w:r w:rsidRPr="00A96B82">
              <w:rPr>
                <w:rFonts w:cs="Arial"/>
                <w:color w:val="000000"/>
                <w:sz w:val="22"/>
                <w:szCs w:val="22"/>
              </w:rPr>
              <w:t>8.2</w:t>
            </w:r>
          </w:p>
        </w:tc>
        <w:tc>
          <w:tcPr>
            <w:tcW w:w="353" w:type="pct"/>
            <w:shd w:val="clear" w:color="auto" w:fill="auto"/>
            <w:noWrap/>
            <w:vAlign w:val="bottom"/>
            <w:hideMark/>
          </w:tcPr>
          <w:p w14:paraId="7DF79207" w14:textId="77777777" w:rsidR="00F5328D" w:rsidRPr="00A96B82" w:rsidRDefault="00F5328D" w:rsidP="00F5328D">
            <w:pPr>
              <w:jc w:val="right"/>
              <w:rPr>
                <w:rFonts w:cs="Arial"/>
                <w:color w:val="000000"/>
                <w:sz w:val="22"/>
                <w:szCs w:val="22"/>
              </w:rPr>
            </w:pPr>
            <w:r w:rsidRPr="00A96B82">
              <w:rPr>
                <w:rFonts w:cs="Arial"/>
                <w:color w:val="000000"/>
                <w:sz w:val="22"/>
                <w:szCs w:val="22"/>
              </w:rPr>
              <w:t>8.2</w:t>
            </w:r>
          </w:p>
        </w:tc>
        <w:tc>
          <w:tcPr>
            <w:tcW w:w="353" w:type="pct"/>
            <w:shd w:val="clear" w:color="auto" w:fill="auto"/>
            <w:noWrap/>
            <w:vAlign w:val="bottom"/>
            <w:hideMark/>
          </w:tcPr>
          <w:p w14:paraId="1DA9FF12" w14:textId="77777777" w:rsidR="00F5328D" w:rsidRPr="00A96B82" w:rsidRDefault="00F5328D" w:rsidP="00F5328D">
            <w:pPr>
              <w:jc w:val="right"/>
              <w:rPr>
                <w:rFonts w:cs="Arial"/>
                <w:color w:val="000000"/>
                <w:sz w:val="22"/>
                <w:szCs w:val="22"/>
              </w:rPr>
            </w:pPr>
            <w:r w:rsidRPr="00A96B82">
              <w:rPr>
                <w:rFonts w:cs="Arial"/>
                <w:color w:val="000000"/>
                <w:sz w:val="22"/>
                <w:szCs w:val="22"/>
              </w:rPr>
              <w:t>4.6</w:t>
            </w:r>
          </w:p>
        </w:tc>
        <w:tc>
          <w:tcPr>
            <w:tcW w:w="410" w:type="pct"/>
            <w:shd w:val="clear" w:color="auto" w:fill="auto"/>
            <w:noWrap/>
            <w:vAlign w:val="bottom"/>
            <w:hideMark/>
          </w:tcPr>
          <w:p w14:paraId="1DAB1801" w14:textId="77777777" w:rsidR="00F5328D" w:rsidRPr="00A96B82" w:rsidRDefault="00F5328D" w:rsidP="00F5328D">
            <w:pPr>
              <w:jc w:val="right"/>
              <w:rPr>
                <w:rFonts w:cs="Arial"/>
                <w:color w:val="000000"/>
                <w:sz w:val="22"/>
                <w:szCs w:val="22"/>
              </w:rPr>
            </w:pPr>
            <w:r w:rsidRPr="00A96B82">
              <w:rPr>
                <w:rFonts w:cs="Arial"/>
                <w:color w:val="000000"/>
                <w:sz w:val="22"/>
                <w:szCs w:val="22"/>
              </w:rPr>
              <w:t>1.0</w:t>
            </w:r>
          </w:p>
        </w:tc>
        <w:tc>
          <w:tcPr>
            <w:tcW w:w="410" w:type="pct"/>
            <w:shd w:val="clear" w:color="auto" w:fill="auto"/>
            <w:noWrap/>
            <w:vAlign w:val="bottom"/>
            <w:hideMark/>
          </w:tcPr>
          <w:p w14:paraId="47C49642" w14:textId="77777777" w:rsidR="00F5328D" w:rsidRPr="00A96B82" w:rsidRDefault="00F5328D" w:rsidP="00F5328D">
            <w:pPr>
              <w:jc w:val="right"/>
              <w:rPr>
                <w:rFonts w:cs="Arial"/>
                <w:color w:val="000000"/>
                <w:sz w:val="22"/>
                <w:szCs w:val="22"/>
              </w:rPr>
            </w:pPr>
            <w:r w:rsidRPr="00A96B82">
              <w:rPr>
                <w:rFonts w:cs="Arial"/>
                <w:color w:val="000000"/>
                <w:sz w:val="22"/>
                <w:szCs w:val="22"/>
              </w:rPr>
              <w:t>7.9</w:t>
            </w:r>
          </w:p>
        </w:tc>
        <w:tc>
          <w:tcPr>
            <w:tcW w:w="410" w:type="pct"/>
            <w:shd w:val="clear" w:color="auto" w:fill="auto"/>
            <w:noWrap/>
            <w:vAlign w:val="bottom"/>
            <w:hideMark/>
          </w:tcPr>
          <w:p w14:paraId="5BC54F25" w14:textId="77777777" w:rsidR="00F5328D" w:rsidRPr="00A96B82" w:rsidRDefault="00F5328D" w:rsidP="00F5328D">
            <w:pPr>
              <w:jc w:val="right"/>
              <w:rPr>
                <w:rFonts w:cs="Arial"/>
                <w:color w:val="000000"/>
                <w:sz w:val="22"/>
                <w:szCs w:val="22"/>
              </w:rPr>
            </w:pPr>
            <w:r w:rsidRPr="00A96B82">
              <w:rPr>
                <w:rFonts w:cs="Arial"/>
                <w:color w:val="000000"/>
                <w:sz w:val="22"/>
                <w:szCs w:val="22"/>
              </w:rPr>
              <w:t>2.6</w:t>
            </w:r>
          </w:p>
        </w:tc>
        <w:tc>
          <w:tcPr>
            <w:tcW w:w="269" w:type="pct"/>
            <w:shd w:val="clear" w:color="auto" w:fill="auto"/>
            <w:noWrap/>
            <w:vAlign w:val="bottom"/>
            <w:hideMark/>
          </w:tcPr>
          <w:p w14:paraId="3B7A313B"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59BF88C3" w14:textId="77777777" w:rsidR="00F5328D" w:rsidRPr="00A96B82" w:rsidRDefault="00F5328D" w:rsidP="00F5328D">
            <w:pPr>
              <w:jc w:val="right"/>
              <w:rPr>
                <w:rFonts w:cs="Arial"/>
                <w:color w:val="000000"/>
                <w:sz w:val="22"/>
                <w:szCs w:val="22"/>
              </w:rPr>
            </w:pPr>
            <w:r w:rsidRPr="00A96B82">
              <w:rPr>
                <w:rFonts w:cs="Arial"/>
                <w:color w:val="000000"/>
                <w:sz w:val="22"/>
                <w:szCs w:val="22"/>
              </w:rPr>
              <w:t>3,900</w:t>
            </w:r>
          </w:p>
        </w:tc>
      </w:tr>
      <w:tr w:rsidR="00F5328D" w:rsidRPr="00A96B82" w14:paraId="7DC9017B" w14:textId="77777777" w:rsidTr="00F5328D">
        <w:trPr>
          <w:trHeight w:val="287"/>
        </w:trPr>
        <w:tc>
          <w:tcPr>
            <w:tcW w:w="1026" w:type="pct"/>
            <w:shd w:val="clear" w:color="auto" w:fill="auto"/>
            <w:noWrap/>
            <w:vAlign w:val="bottom"/>
            <w:hideMark/>
          </w:tcPr>
          <w:p w14:paraId="10244888" w14:textId="77777777" w:rsidR="00F5328D" w:rsidRPr="00A96B82" w:rsidRDefault="00F5328D" w:rsidP="00F5328D">
            <w:pPr>
              <w:rPr>
                <w:rFonts w:cs="Arial"/>
                <w:color w:val="000000"/>
                <w:sz w:val="22"/>
                <w:szCs w:val="22"/>
              </w:rPr>
            </w:pPr>
            <w:r w:rsidRPr="00A96B82">
              <w:rPr>
                <w:rFonts w:cs="Arial"/>
                <w:color w:val="000000"/>
                <w:sz w:val="22"/>
                <w:szCs w:val="22"/>
              </w:rPr>
              <w:t>Rainham South</w:t>
            </w:r>
          </w:p>
        </w:tc>
        <w:tc>
          <w:tcPr>
            <w:tcW w:w="353" w:type="pct"/>
            <w:shd w:val="clear" w:color="auto" w:fill="auto"/>
            <w:noWrap/>
            <w:vAlign w:val="bottom"/>
            <w:hideMark/>
          </w:tcPr>
          <w:p w14:paraId="5AFF3F5A" w14:textId="77777777" w:rsidR="00F5328D" w:rsidRPr="00A96B82" w:rsidRDefault="00F5328D" w:rsidP="00F5328D">
            <w:pPr>
              <w:jc w:val="right"/>
              <w:rPr>
                <w:rFonts w:cs="Arial"/>
                <w:color w:val="000000"/>
                <w:sz w:val="22"/>
                <w:szCs w:val="22"/>
              </w:rPr>
            </w:pPr>
            <w:r w:rsidRPr="00A96B82">
              <w:rPr>
                <w:rFonts w:cs="Arial"/>
                <w:color w:val="000000"/>
                <w:sz w:val="22"/>
                <w:szCs w:val="22"/>
              </w:rPr>
              <w:t>0.9</w:t>
            </w:r>
          </w:p>
        </w:tc>
        <w:tc>
          <w:tcPr>
            <w:tcW w:w="353" w:type="pct"/>
            <w:shd w:val="clear" w:color="auto" w:fill="auto"/>
            <w:noWrap/>
            <w:vAlign w:val="bottom"/>
            <w:hideMark/>
          </w:tcPr>
          <w:p w14:paraId="0D2E5782" w14:textId="77777777" w:rsidR="00F5328D" w:rsidRPr="00A96B82" w:rsidRDefault="00F5328D" w:rsidP="00F5328D">
            <w:pPr>
              <w:jc w:val="right"/>
              <w:rPr>
                <w:rFonts w:cs="Arial"/>
                <w:color w:val="000000"/>
                <w:sz w:val="22"/>
                <w:szCs w:val="22"/>
              </w:rPr>
            </w:pPr>
            <w:r w:rsidRPr="00A96B82">
              <w:rPr>
                <w:rFonts w:cs="Arial"/>
                <w:color w:val="000000"/>
                <w:sz w:val="22"/>
                <w:szCs w:val="22"/>
              </w:rPr>
              <w:t>14.0</w:t>
            </w:r>
          </w:p>
        </w:tc>
        <w:tc>
          <w:tcPr>
            <w:tcW w:w="353" w:type="pct"/>
            <w:shd w:val="clear" w:color="auto" w:fill="auto"/>
            <w:noWrap/>
            <w:vAlign w:val="bottom"/>
            <w:hideMark/>
          </w:tcPr>
          <w:p w14:paraId="45DFDAB6" w14:textId="77777777" w:rsidR="00F5328D" w:rsidRPr="00A96B82" w:rsidRDefault="00F5328D" w:rsidP="00F5328D">
            <w:pPr>
              <w:jc w:val="right"/>
              <w:rPr>
                <w:rFonts w:cs="Arial"/>
                <w:color w:val="000000"/>
                <w:sz w:val="22"/>
                <w:szCs w:val="22"/>
              </w:rPr>
            </w:pPr>
            <w:r w:rsidRPr="00A96B82">
              <w:rPr>
                <w:rFonts w:cs="Arial"/>
                <w:color w:val="000000"/>
                <w:sz w:val="22"/>
                <w:szCs w:val="22"/>
              </w:rPr>
              <w:t>56.3</w:t>
            </w:r>
          </w:p>
        </w:tc>
        <w:tc>
          <w:tcPr>
            <w:tcW w:w="353" w:type="pct"/>
            <w:shd w:val="clear" w:color="auto" w:fill="auto"/>
            <w:noWrap/>
            <w:vAlign w:val="bottom"/>
            <w:hideMark/>
          </w:tcPr>
          <w:p w14:paraId="37D652B5" w14:textId="77777777" w:rsidR="00F5328D" w:rsidRPr="00A96B82" w:rsidRDefault="00F5328D" w:rsidP="00F5328D">
            <w:pPr>
              <w:jc w:val="right"/>
              <w:rPr>
                <w:rFonts w:cs="Arial"/>
                <w:color w:val="000000"/>
                <w:sz w:val="22"/>
                <w:szCs w:val="22"/>
              </w:rPr>
            </w:pPr>
            <w:r w:rsidRPr="00A96B82">
              <w:rPr>
                <w:rFonts w:cs="Arial"/>
                <w:color w:val="000000"/>
                <w:sz w:val="22"/>
                <w:szCs w:val="22"/>
              </w:rPr>
              <w:t>13.4</w:t>
            </w:r>
          </w:p>
        </w:tc>
        <w:tc>
          <w:tcPr>
            <w:tcW w:w="353" w:type="pct"/>
            <w:shd w:val="clear" w:color="auto" w:fill="auto"/>
            <w:noWrap/>
            <w:vAlign w:val="bottom"/>
            <w:hideMark/>
          </w:tcPr>
          <w:p w14:paraId="342FB462" w14:textId="77777777" w:rsidR="00F5328D" w:rsidRPr="00A96B82" w:rsidRDefault="00F5328D" w:rsidP="00F5328D">
            <w:pPr>
              <w:jc w:val="right"/>
              <w:rPr>
                <w:rFonts w:cs="Arial"/>
                <w:color w:val="000000"/>
                <w:sz w:val="22"/>
                <w:szCs w:val="22"/>
              </w:rPr>
            </w:pPr>
            <w:r w:rsidRPr="00A96B82">
              <w:rPr>
                <w:rFonts w:cs="Arial"/>
                <w:color w:val="000000"/>
                <w:sz w:val="22"/>
                <w:szCs w:val="22"/>
              </w:rPr>
              <w:t>4.2</w:t>
            </w:r>
          </w:p>
        </w:tc>
        <w:tc>
          <w:tcPr>
            <w:tcW w:w="353" w:type="pct"/>
            <w:shd w:val="clear" w:color="auto" w:fill="auto"/>
            <w:noWrap/>
            <w:vAlign w:val="bottom"/>
            <w:hideMark/>
          </w:tcPr>
          <w:p w14:paraId="2527EA25" w14:textId="77777777" w:rsidR="00F5328D" w:rsidRPr="00A96B82" w:rsidRDefault="00F5328D" w:rsidP="00F5328D">
            <w:pPr>
              <w:jc w:val="right"/>
              <w:rPr>
                <w:rFonts w:cs="Arial"/>
                <w:color w:val="000000"/>
                <w:sz w:val="22"/>
                <w:szCs w:val="22"/>
              </w:rPr>
            </w:pPr>
            <w:r w:rsidRPr="00A96B82">
              <w:rPr>
                <w:rFonts w:cs="Arial"/>
                <w:color w:val="000000"/>
                <w:sz w:val="22"/>
                <w:szCs w:val="22"/>
              </w:rPr>
              <w:t>5.3</w:t>
            </w:r>
          </w:p>
        </w:tc>
        <w:tc>
          <w:tcPr>
            <w:tcW w:w="410" w:type="pct"/>
            <w:shd w:val="clear" w:color="auto" w:fill="auto"/>
            <w:noWrap/>
            <w:vAlign w:val="bottom"/>
            <w:hideMark/>
          </w:tcPr>
          <w:p w14:paraId="074E5F6B" w14:textId="77777777" w:rsidR="00F5328D" w:rsidRPr="00A96B82" w:rsidRDefault="00F5328D" w:rsidP="00F5328D">
            <w:pPr>
              <w:jc w:val="right"/>
              <w:rPr>
                <w:rFonts w:cs="Arial"/>
                <w:color w:val="000000"/>
                <w:sz w:val="22"/>
                <w:szCs w:val="22"/>
              </w:rPr>
            </w:pPr>
            <w:r w:rsidRPr="00A96B82">
              <w:rPr>
                <w:rFonts w:cs="Arial"/>
                <w:color w:val="000000"/>
                <w:sz w:val="22"/>
                <w:szCs w:val="22"/>
              </w:rPr>
              <w:t>1.1</w:t>
            </w:r>
          </w:p>
        </w:tc>
        <w:tc>
          <w:tcPr>
            <w:tcW w:w="410" w:type="pct"/>
            <w:shd w:val="clear" w:color="auto" w:fill="auto"/>
            <w:noWrap/>
            <w:vAlign w:val="bottom"/>
            <w:hideMark/>
          </w:tcPr>
          <w:p w14:paraId="64AF3468" w14:textId="77777777" w:rsidR="00F5328D" w:rsidRPr="00A96B82" w:rsidRDefault="00F5328D" w:rsidP="00F5328D">
            <w:pPr>
              <w:jc w:val="right"/>
              <w:rPr>
                <w:rFonts w:cs="Arial"/>
                <w:color w:val="000000"/>
                <w:sz w:val="22"/>
                <w:szCs w:val="22"/>
              </w:rPr>
            </w:pPr>
            <w:r w:rsidRPr="00A96B82">
              <w:rPr>
                <w:rFonts w:cs="Arial"/>
                <w:color w:val="000000"/>
                <w:sz w:val="22"/>
                <w:szCs w:val="22"/>
              </w:rPr>
              <w:t>3.5</w:t>
            </w:r>
          </w:p>
        </w:tc>
        <w:tc>
          <w:tcPr>
            <w:tcW w:w="410" w:type="pct"/>
            <w:shd w:val="clear" w:color="auto" w:fill="auto"/>
            <w:noWrap/>
            <w:vAlign w:val="bottom"/>
            <w:hideMark/>
          </w:tcPr>
          <w:p w14:paraId="307A5DE3" w14:textId="77777777" w:rsidR="00F5328D" w:rsidRPr="00A96B82" w:rsidRDefault="00F5328D" w:rsidP="00F5328D">
            <w:pPr>
              <w:jc w:val="right"/>
              <w:rPr>
                <w:rFonts w:cs="Arial"/>
                <w:color w:val="000000"/>
                <w:sz w:val="22"/>
                <w:szCs w:val="22"/>
              </w:rPr>
            </w:pPr>
            <w:r w:rsidRPr="00A96B82">
              <w:rPr>
                <w:rFonts w:cs="Arial"/>
                <w:color w:val="000000"/>
                <w:sz w:val="22"/>
                <w:szCs w:val="22"/>
              </w:rPr>
              <w:t>1.3</w:t>
            </w:r>
          </w:p>
        </w:tc>
        <w:tc>
          <w:tcPr>
            <w:tcW w:w="269" w:type="pct"/>
            <w:shd w:val="clear" w:color="auto" w:fill="auto"/>
            <w:noWrap/>
            <w:vAlign w:val="bottom"/>
            <w:hideMark/>
          </w:tcPr>
          <w:p w14:paraId="61709AB7"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37EC42BC" w14:textId="77777777" w:rsidR="00F5328D" w:rsidRPr="00A96B82" w:rsidRDefault="00F5328D" w:rsidP="00F5328D">
            <w:pPr>
              <w:jc w:val="right"/>
              <w:rPr>
                <w:rFonts w:cs="Arial"/>
                <w:color w:val="000000"/>
                <w:sz w:val="22"/>
                <w:szCs w:val="22"/>
              </w:rPr>
            </w:pPr>
            <w:r w:rsidRPr="00A96B82">
              <w:rPr>
                <w:rFonts w:cs="Arial"/>
                <w:color w:val="000000"/>
                <w:sz w:val="22"/>
                <w:szCs w:val="22"/>
              </w:rPr>
              <w:t>5,440</w:t>
            </w:r>
          </w:p>
        </w:tc>
      </w:tr>
      <w:tr w:rsidR="00F5328D" w:rsidRPr="00A96B82" w14:paraId="111AEC16" w14:textId="77777777" w:rsidTr="00F5328D">
        <w:trPr>
          <w:trHeight w:val="287"/>
        </w:trPr>
        <w:tc>
          <w:tcPr>
            <w:tcW w:w="1026" w:type="pct"/>
            <w:shd w:val="clear" w:color="auto" w:fill="auto"/>
            <w:noWrap/>
            <w:vAlign w:val="bottom"/>
            <w:hideMark/>
          </w:tcPr>
          <w:p w14:paraId="234ACE10" w14:textId="77777777" w:rsidR="00F5328D" w:rsidRPr="00A96B82" w:rsidRDefault="00F5328D" w:rsidP="00F5328D">
            <w:pPr>
              <w:rPr>
                <w:rFonts w:cs="Arial"/>
                <w:color w:val="000000"/>
                <w:sz w:val="22"/>
                <w:szCs w:val="22"/>
              </w:rPr>
            </w:pPr>
            <w:r w:rsidRPr="00A96B82">
              <w:rPr>
                <w:rFonts w:cs="Arial"/>
                <w:color w:val="000000"/>
                <w:sz w:val="22"/>
                <w:szCs w:val="22"/>
              </w:rPr>
              <w:t>River</w:t>
            </w:r>
          </w:p>
        </w:tc>
        <w:tc>
          <w:tcPr>
            <w:tcW w:w="353" w:type="pct"/>
            <w:shd w:val="clear" w:color="auto" w:fill="auto"/>
            <w:noWrap/>
            <w:vAlign w:val="bottom"/>
            <w:hideMark/>
          </w:tcPr>
          <w:p w14:paraId="07CFF164"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353" w:type="pct"/>
            <w:shd w:val="clear" w:color="auto" w:fill="auto"/>
            <w:noWrap/>
            <w:vAlign w:val="bottom"/>
            <w:hideMark/>
          </w:tcPr>
          <w:p w14:paraId="4F6C37EF" w14:textId="77777777" w:rsidR="00F5328D" w:rsidRPr="00A96B82" w:rsidRDefault="00F5328D" w:rsidP="00F5328D">
            <w:pPr>
              <w:jc w:val="right"/>
              <w:rPr>
                <w:rFonts w:cs="Arial"/>
                <w:color w:val="000000"/>
                <w:sz w:val="22"/>
                <w:szCs w:val="22"/>
              </w:rPr>
            </w:pPr>
            <w:r w:rsidRPr="00A96B82">
              <w:rPr>
                <w:rFonts w:cs="Arial"/>
                <w:color w:val="000000"/>
                <w:sz w:val="22"/>
                <w:szCs w:val="22"/>
              </w:rPr>
              <w:t>10.3</w:t>
            </w:r>
          </w:p>
        </w:tc>
        <w:tc>
          <w:tcPr>
            <w:tcW w:w="353" w:type="pct"/>
            <w:shd w:val="clear" w:color="auto" w:fill="auto"/>
            <w:noWrap/>
            <w:vAlign w:val="bottom"/>
            <w:hideMark/>
          </w:tcPr>
          <w:p w14:paraId="05AAA4EB" w14:textId="77777777" w:rsidR="00F5328D" w:rsidRPr="00A96B82" w:rsidRDefault="00F5328D" w:rsidP="00F5328D">
            <w:pPr>
              <w:jc w:val="right"/>
              <w:rPr>
                <w:rFonts w:cs="Arial"/>
                <w:color w:val="000000"/>
                <w:sz w:val="22"/>
                <w:szCs w:val="22"/>
              </w:rPr>
            </w:pPr>
            <w:r w:rsidRPr="00A96B82">
              <w:rPr>
                <w:rFonts w:cs="Arial"/>
                <w:color w:val="000000"/>
                <w:sz w:val="22"/>
                <w:szCs w:val="22"/>
              </w:rPr>
              <w:t>18.7</w:t>
            </w:r>
          </w:p>
        </w:tc>
        <w:tc>
          <w:tcPr>
            <w:tcW w:w="353" w:type="pct"/>
            <w:shd w:val="clear" w:color="auto" w:fill="auto"/>
            <w:noWrap/>
            <w:vAlign w:val="bottom"/>
            <w:hideMark/>
          </w:tcPr>
          <w:p w14:paraId="7E857DB8" w14:textId="77777777" w:rsidR="00F5328D" w:rsidRPr="00A96B82" w:rsidRDefault="00F5328D" w:rsidP="00F5328D">
            <w:pPr>
              <w:jc w:val="right"/>
              <w:rPr>
                <w:rFonts w:cs="Arial"/>
                <w:color w:val="000000"/>
                <w:sz w:val="22"/>
                <w:szCs w:val="22"/>
              </w:rPr>
            </w:pPr>
            <w:r w:rsidRPr="00A96B82">
              <w:rPr>
                <w:rFonts w:cs="Arial"/>
                <w:color w:val="000000"/>
                <w:sz w:val="22"/>
                <w:szCs w:val="22"/>
              </w:rPr>
              <w:t>12.1</w:t>
            </w:r>
          </w:p>
        </w:tc>
        <w:tc>
          <w:tcPr>
            <w:tcW w:w="353" w:type="pct"/>
            <w:shd w:val="clear" w:color="auto" w:fill="auto"/>
            <w:noWrap/>
            <w:vAlign w:val="bottom"/>
            <w:hideMark/>
          </w:tcPr>
          <w:p w14:paraId="6234FE71" w14:textId="77777777" w:rsidR="00F5328D" w:rsidRPr="00A96B82" w:rsidRDefault="00F5328D" w:rsidP="00F5328D">
            <w:pPr>
              <w:jc w:val="right"/>
              <w:rPr>
                <w:rFonts w:cs="Arial"/>
                <w:color w:val="000000"/>
                <w:sz w:val="22"/>
                <w:szCs w:val="22"/>
              </w:rPr>
            </w:pPr>
            <w:r w:rsidRPr="00A96B82">
              <w:rPr>
                <w:rFonts w:cs="Arial"/>
                <w:color w:val="000000"/>
                <w:sz w:val="22"/>
                <w:szCs w:val="22"/>
              </w:rPr>
              <w:t>27.0</w:t>
            </w:r>
          </w:p>
        </w:tc>
        <w:tc>
          <w:tcPr>
            <w:tcW w:w="353" w:type="pct"/>
            <w:shd w:val="clear" w:color="auto" w:fill="auto"/>
            <w:noWrap/>
            <w:vAlign w:val="bottom"/>
            <w:hideMark/>
          </w:tcPr>
          <w:p w14:paraId="261225F8" w14:textId="77777777" w:rsidR="00F5328D" w:rsidRPr="00A96B82" w:rsidRDefault="00F5328D" w:rsidP="00F5328D">
            <w:pPr>
              <w:jc w:val="right"/>
              <w:rPr>
                <w:rFonts w:cs="Arial"/>
                <w:color w:val="000000"/>
                <w:sz w:val="22"/>
                <w:szCs w:val="22"/>
              </w:rPr>
            </w:pPr>
            <w:r w:rsidRPr="00A96B82">
              <w:rPr>
                <w:rFonts w:cs="Arial"/>
                <w:color w:val="000000"/>
                <w:sz w:val="22"/>
                <w:szCs w:val="22"/>
              </w:rPr>
              <w:t>32.0</w:t>
            </w:r>
          </w:p>
        </w:tc>
        <w:tc>
          <w:tcPr>
            <w:tcW w:w="410" w:type="pct"/>
            <w:shd w:val="clear" w:color="auto" w:fill="auto"/>
            <w:noWrap/>
            <w:vAlign w:val="bottom"/>
            <w:hideMark/>
          </w:tcPr>
          <w:p w14:paraId="21476AAB"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410" w:type="pct"/>
            <w:shd w:val="clear" w:color="auto" w:fill="auto"/>
            <w:noWrap/>
            <w:vAlign w:val="bottom"/>
            <w:hideMark/>
          </w:tcPr>
          <w:p w14:paraId="4BD3F837"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410" w:type="pct"/>
            <w:shd w:val="clear" w:color="auto" w:fill="auto"/>
            <w:noWrap/>
            <w:vAlign w:val="bottom"/>
            <w:hideMark/>
          </w:tcPr>
          <w:p w14:paraId="1DE62482"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269" w:type="pct"/>
            <w:shd w:val="clear" w:color="auto" w:fill="auto"/>
            <w:noWrap/>
            <w:vAlign w:val="bottom"/>
            <w:hideMark/>
          </w:tcPr>
          <w:p w14:paraId="2113507E"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7D03AD43" w14:textId="77777777" w:rsidR="00F5328D" w:rsidRPr="00A96B82" w:rsidRDefault="00F5328D" w:rsidP="00F5328D">
            <w:pPr>
              <w:jc w:val="right"/>
              <w:rPr>
                <w:rFonts w:cs="Arial"/>
                <w:color w:val="000000"/>
                <w:sz w:val="22"/>
                <w:szCs w:val="22"/>
              </w:rPr>
            </w:pPr>
            <w:r w:rsidRPr="00A96B82">
              <w:rPr>
                <w:rFonts w:cs="Arial"/>
                <w:color w:val="000000"/>
                <w:sz w:val="22"/>
                <w:szCs w:val="22"/>
              </w:rPr>
              <w:t>5,630</w:t>
            </w:r>
          </w:p>
        </w:tc>
      </w:tr>
      <w:tr w:rsidR="00F5328D" w:rsidRPr="00A96B82" w14:paraId="49EF2041" w14:textId="77777777" w:rsidTr="00F5328D">
        <w:trPr>
          <w:trHeight w:val="287"/>
        </w:trPr>
        <w:tc>
          <w:tcPr>
            <w:tcW w:w="1026" w:type="pct"/>
            <w:shd w:val="clear" w:color="auto" w:fill="auto"/>
            <w:noWrap/>
            <w:vAlign w:val="bottom"/>
            <w:hideMark/>
          </w:tcPr>
          <w:p w14:paraId="50DFCE80" w14:textId="77777777" w:rsidR="00F5328D" w:rsidRPr="00A96B82" w:rsidRDefault="00F5328D" w:rsidP="00F5328D">
            <w:pPr>
              <w:rPr>
                <w:rFonts w:cs="Arial"/>
                <w:color w:val="000000"/>
                <w:sz w:val="22"/>
                <w:szCs w:val="22"/>
              </w:rPr>
            </w:pPr>
            <w:r w:rsidRPr="00A96B82">
              <w:rPr>
                <w:rFonts w:cs="Arial"/>
                <w:color w:val="000000"/>
                <w:sz w:val="22"/>
                <w:szCs w:val="22"/>
              </w:rPr>
              <w:t>Rochester East</w:t>
            </w:r>
          </w:p>
        </w:tc>
        <w:tc>
          <w:tcPr>
            <w:tcW w:w="353" w:type="pct"/>
            <w:shd w:val="clear" w:color="auto" w:fill="auto"/>
            <w:noWrap/>
            <w:vAlign w:val="bottom"/>
            <w:hideMark/>
          </w:tcPr>
          <w:p w14:paraId="3501DB6B"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353" w:type="pct"/>
            <w:shd w:val="clear" w:color="auto" w:fill="auto"/>
            <w:noWrap/>
            <w:vAlign w:val="bottom"/>
            <w:hideMark/>
          </w:tcPr>
          <w:p w14:paraId="234B6653" w14:textId="77777777" w:rsidR="00F5328D" w:rsidRPr="00A96B82" w:rsidRDefault="00F5328D" w:rsidP="00F5328D">
            <w:pPr>
              <w:jc w:val="right"/>
              <w:rPr>
                <w:rFonts w:cs="Arial"/>
                <w:color w:val="000000"/>
                <w:sz w:val="22"/>
                <w:szCs w:val="22"/>
              </w:rPr>
            </w:pPr>
            <w:r w:rsidRPr="00A96B82">
              <w:rPr>
                <w:rFonts w:cs="Arial"/>
                <w:color w:val="000000"/>
                <w:sz w:val="22"/>
                <w:szCs w:val="22"/>
              </w:rPr>
              <w:t>17.6</w:t>
            </w:r>
          </w:p>
        </w:tc>
        <w:tc>
          <w:tcPr>
            <w:tcW w:w="353" w:type="pct"/>
            <w:shd w:val="clear" w:color="auto" w:fill="auto"/>
            <w:noWrap/>
            <w:vAlign w:val="bottom"/>
            <w:hideMark/>
          </w:tcPr>
          <w:p w14:paraId="1EA13873" w14:textId="77777777" w:rsidR="00F5328D" w:rsidRPr="00A96B82" w:rsidRDefault="00F5328D" w:rsidP="00F5328D">
            <w:pPr>
              <w:jc w:val="right"/>
              <w:rPr>
                <w:rFonts w:cs="Arial"/>
                <w:color w:val="000000"/>
                <w:sz w:val="22"/>
                <w:szCs w:val="22"/>
              </w:rPr>
            </w:pPr>
            <w:r w:rsidRPr="00A96B82">
              <w:rPr>
                <w:rFonts w:cs="Arial"/>
                <w:color w:val="000000"/>
                <w:sz w:val="22"/>
                <w:szCs w:val="22"/>
              </w:rPr>
              <w:t>54.5</w:t>
            </w:r>
          </w:p>
        </w:tc>
        <w:tc>
          <w:tcPr>
            <w:tcW w:w="353" w:type="pct"/>
            <w:shd w:val="clear" w:color="auto" w:fill="auto"/>
            <w:noWrap/>
            <w:vAlign w:val="bottom"/>
            <w:hideMark/>
          </w:tcPr>
          <w:p w14:paraId="29FF5365" w14:textId="77777777" w:rsidR="00F5328D" w:rsidRPr="00A96B82" w:rsidRDefault="00F5328D" w:rsidP="00F5328D">
            <w:pPr>
              <w:jc w:val="right"/>
              <w:rPr>
                <w:rFonts w:cs="Arial"/>
                <w:color w:val="000000"/>
                <w:sz w:val="22"/>
                <w:szCs w:val="22"/>
              </w:rPr>
            </w:pPr>
            <w:r w:rsidRPr="00A96B82">
              <w:rPr>
                <w:rFonts w:cs="Arial"/>
                <w:color w:val="000000"/>
                <w:sz w:val="22"/>
                <w:szCs w:val="22"/>
              </w:rPr>
              <w:t>4.6</w:t>
            </w:r>
          </w:p>
        </w:tc>
        <w:tc>
          <w:tcPr>
            <w:tcW w:w="353" w:type="pct"/>
            <w:shd w:val="clear" w:color="auto" w:fill="auto"/>
            <w:noWrap/>
            <w:vAlign w:val="bottom"/>
            <w:hideMark/>
          </w:tcPr>
          <w:p w14:paraId="432F0556" w14:textId="77777777" w:rsidR="00F5328D" w:rsidRPr="00A96B82" w:rsidRDefault="00F5328D" w:rsidP="00F5328D">
            <w:pPr>
              <w:jc w:val="right"/>
              <w:rPr>
                <w:rFonts w:cs="Arial"/>
                <w:color w:val="000000"/>
                <w:sz w:val="22"/>
                <w:szCs w:val="22"/>
              </w:rPr>
            </w:pPr>
            <w:r w:rsidRPr="00A96B82">
              <w:rPr>
                <w:rFonts w:cs="Arial"/>
                <w:color w:val="000000"/>
                <w:sz w:val="22"/>
                <w:szCs w:val="22"/>
              </w:rPr>
              <w:t>11.4</w:t>
            </w:r>
          </w:p>
        </w:tc>
        <w:tc>
          <w:tcPr>
            <w:tcW w:w="353" w:type="pct"/>
            <w:shd w:val="clear" w:color="auto" w:fill="auto"/>
            <w:noWrap/>
            <w:vAlign w:val="bottom"/>
            <w:hideMark/>
          </w:tcPr>
          <w:p w14:paraId="7DEC7E31" w14:textId="77777777" w:rsidR="00F5328D" w:rsidRPr="00A96B82" w:rsidRDefault="00F5328D" w:rsidP="00F5328D">
            <w:pPr>
              <w:jc w:val="right"/>
              <w:rPr>
                <w:rFonts w:cs="Arial"/>
                <w:color w:val="000000"/>
                <w:sz w:val="22"/>
                <w:szCs w:val="22"/>
              </w:rPr>
            </w:pPr>
            <w:r w:rsidRPr="00A96B82">
              <w:rPr>
                <w:rFonts w:cs="Arial"/>
                <w:color w:val="000000"/>
                <w:sz w:val="22"/>
                <w:szCs w:val="22"/>
              </w:rPr>
              <w:t>8.1</w:t>
            </w:r>
          </w:p>
        </w:tc>
        <w:tc>
          <w:tcPr>
            <w:tcW w:w="410" w:type="pct"/>
            <w:shd w:val="clear" w:color="auto" w:fill="auto"/>
            <w:noWrap/>
            <w:vAlign w:val="bottom"/>
            <w:hideMark/>
          </w:tcPr>
          <w:p w14:paraId="74B228B7" w14:textId="77777777" w:rsidR="00F5328D" w:rsidRPr="00A96B82" w:rsidRDefault="00F5328D" w:rsidP="00F5328D">
            <w:pPr>
              <w:jc w:val="right"/>
              <w:rPr>
                <w:rFonts w:cs="Arial"/>
                <w:color w:val="000000"/>
                <w:sz w:val="22"/>
                <w:szCs w:val="22"/>
              </w:rPr>
            </w:pPr>
            <w:r w:rsidRPr="00A96B82">
              <w:rPr>
                <w:rFonts w:cs="Arial"/>
                <w:color w:val="000000"/>
                <w:sz w:val="22"/>
                <w:szCs w:val="22"/>
              </w:rPr>
              <w:t>0.7</w:t>
            </w:r>
          </w:p>
        </w:tc>
        <w:tc>
          <w:tcPr>
            <w:tcW w:w="410" w:type="pct"/>
            <w:shd w:val="clear" w:color="auto" w:fill="auto"/>
            <w:noWrap/>
            <w:vAlign w:val="bottom"/>
            <w:hideMark/>
          </w:tcPr>
          <w:p w14:paraId="71D0EBB0" w14:textId="77777777" w:rsidR="00F5328D" w:rsidRPr="00A96B82" w:rsidRDefault="00F5328D" w:rsidP="00F5328D">
            <w:pPr>
              <w:jc w:val="right"/>
              <w:rPr>
                <w:rFonts w:cs="Arial"/>
                <w:color w:val="000000"/>
                <w:sz w:val="22"/>
                <w:szCs w:val="22"/>
              </w:rPr>
            </w:pPr>
            <w:r w:rsidRPr="00A96B82">
              <w:rPr>
                <w:rFonts w:cs="Arial"/>
                <w:color w:val="000000"/>
                <w:sz w:val="22"/>
                <w:szCs w:val="22"/>
              </w:rPr>
              <w:t>2.4</w:t>
            </w:r>
          </w:p>
        </w:tc>
        <w:tc>
          <w:tcPr>
            <w:tcW w:w="410" w:type="pct"/>
            <w:shd w:val="clear" w:color="auto" w:fill="auto"/>
            <w:noWrap/>
            <w:vAlign w:val="bottom"/>
            <w:hideMark/>
          </w:tcPr>
          <w:p w14:paraId="76EEBED6" w14:textId="77777777" w:rsidR="00F5328D" w:rsidRPr="00A96B82" w:rsidRDefault="00F5328D" w:rsidP="00F5328D">
            <w:pPr>
              <w:jc w:val="right"/>
              <w:rPr>
                <w:rFonts w:cs="Arial"/>
                <w:color w:val="000000"/>
                <w:sz w:val="22"/>
                <w:szCs w:val="22"/>
              </w:rPr>
            </w:pPr>
            <w:r w:rsidRPr="00A96B82">
              <w:rPr>
                <w:rFonts w:cs="Arial"/>
                <w:color w:val="000000"/>
                <w:sz w:val="22"/>
                <w:szCs w:val="22"/>
              </w:rPr>
              <w:t>0.7</w:t>
            </w:r>
          </w:p>
        </w:tc>
        <w:tc>
          <w:tcPr>
            <w:tcW w:w="269" w:type="pct"/>
            <w:shd w:val="clear" w:color="auto" w:fill="auto"/>
            <w:noWrap/>
            <w:vAlign w:val="bottom"/>
            <w:hideMark/>
          </w:tcPr>
          <w:p w14:paraId="401C1A58"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112B6C87" w14:textId="77777777" w:rsidR="00F5328D" w:rsidRPr="00A96B82" w:rsidRDefault="00F5328D" w:rsidP="00F5328D">
            <w:pPr>
              <w:jc w:val="right"/>
              <w:rPr>
                <w:rFonts w:cs="Arial"/>
                <w:color w:val="000000"/>
                <w:sz w:val="22"/>
                <w:szCs w:val="22"/>
              </w:rPr>
            </w:pPr>
            <w:r w:rsidRPr="00A96B82">
              <w:rPr>
                <w:rFonts w:cs="Arial"/>
                <w:color w:val="000000"/>
                <w:sz w:val="22"/>
                <w:szCs w:val="22"/>
              </w:rPr>
              <w:t>4,550</w:t>
            </w:r>
          </w:p>
        </w:tc>
      </w:tr>
      <w:tr w:rsidR="00F5328D" w:rsidRPr="00A96B82" w14:paraId="551F0714" w14:textId="77777777" w:rsidTr="00F5328D">
        <w:trPr>
          <w:trHeight w:val="287"/>
        </w:trPr>
        <w:tc>
          <w:tcPr>
            <w:tcW w:w="1026" w:type="pct"/>
            <w:shd w:val="clear" w:color="auto" w:fill="auto"/>
            <w:noWrap/>
            <w:vAlign w:val="bottom"/>
            <w:hideMark/>
          </w:tcPr>
          <w:p w14:paraId="75B533B4" w14:textId="77777777" w:rsidR="00F5328D" w:rsidRPr="00A96B82" w:rsidRDefault="00F5328D" w:rsidP="00F5328D">
            <w:pPr>
              <w:rPr>
                <w:rFonts w:cs="Arial"/>
                <w:color w:val="000000"/>
                <w:sz w:val="22"/>
                <w:szCs w:val="22"/>
              </w:rPr>
            </w:pPr>
            <w:r w:rsidRPr="00A96B82">
              <w:rPr>
                <w:rFonts w:cs="Arial"/>
                <w:color w:val="000000"/>
                <w:sz w:val="22"/>
                <w:szCs w:val="22"/>
              </w:rPr>
              <w:t xml:space="preserve">Rochester South and </w:t>
            </w:r>
            <w:proofErr w:type="spellStart"/>
            <w:r w:rsidRPr="00A96B82">
              <w:rPr>
                <w:rFonts w:cs="Arial"/>
                <w:color w:val="000000"/>
                <w:sz w:val="22"/>
                <w:szCs w:val="22"/>
              </w:rPr>
              <w:t>Horsted</w:t>
            </w:r>
            <w:proofErr w:type="spellEnd"/>
          </w:p>
        </w:tc>
        <w:tc>
          <w:tcPr>
            <w:tcW w:w="353" w:type="pct"/>
            <w:shd w:val="clear" w:color="auto" w:fill="auto"/>
            <w:noWrap/>
            <w:vAlign w:val="bottom"/>
            <w:hideMark/>
          </w:tcPr>
          <w:p w14:paraId="438D7547" w14:textId="77777777" w:rsidR="00F5328D" w:rsidRPr="00A96B82" w:rsidRDefault="00F5328D" w:rsidP="00F5328D">
            <w:pPr>
              <w:jc w:val="right"/>
              <w:rPr>
                <w:rFonts w:cs="Arial"/>
                <w:color w:val="000000"/>
                <w:sz w:val="22"/>
                <w:szCs w:val="22"/>
              </w:rPr>
            </w:pPr>
            <w:r w:rsidRPr="00A96B82">
              <w:rPr>
                <w:rFonts w:cs="Arial"/>
                <w:color w:val="000000"/>
                <w:sz w:val="22"/>
                <w:szCs w:val="22"/>
              </w:rPr>
              <w:t>0.4</w:t>
            </w:r>
          </w:p>
        </w:tc>
        <w:tc>
          <w:tcPr>
            <w:tcW w:w="353" w:type="pct"/>
            <w:shd w:val="clear" w:color="auto" w:fill="auto"/>
            <w:noWrap/>
            <w:vAlign w:val="bottom"/>
            <w:hideMark/>
          </w:tcPr>
          <w:p w14:paraId="24D90C6C" w14:textId="77777777" w:rsidR="00F5328D" w:rsidRPr="00A96B82" w:rsidRDefault="00F5328D" w:rsidP="00F5328D">
            <w:pPr>
              <w:jc w:val="right"/>
              <w:rPr>
                <w:rFonts w:cs="Arial"/>
                <w:color w:val="000000"/>
                <w:sz w:val="22"/>
                <w:szCs w:val="22"/>
              </w:rPr>
            </w:pPr>
            <w:r w:rsidRPr="00A96B82">
              <w:rPr>
                <w:rFonts w:cs="Arial"/>
                <w:color w:val="000000"/>
                <w:sz w:val="22"/>
                <w:szCs w:val="22"/>
              </w:rPr>
              <w:t>14.5</w:t>
            </w:r>
          </w:p>
        </w:tc>
        <w:tc>
          <w:tcPr>
            <w:tcW w:w="353" w:type="pct"/>
            <w:shd w:val="clear" w:color="auto" w:fill="auto"/>
            <w:noWrap/>
            <w:vAlign w:val="bottom"/>
            <w:hideMark/>
          </w:tcPr>
          <w:p w14:paraId="35BE46BA" w14:textId="77777777" w:rsidR="00F5328D" w:rsidRPr="00A96B82" w:rsidRDefault="00F5328D" w:rsidP="00F5328D">
            <w:pPr>
              <w:jc w:val="right"/>
              <w:rPr>
                <w:rFonts w:cs="Arial"/>
                <w:color w:val="000000"/>
                <w:sz w:val="22"/>
                <w:szCs w:val="22"/>
              </w:rPr>
            </w:pPr>
            <w:r w:rsidRPr="00A96B82">
              <w:rPr>
                <w:rFonts w:cs="Arial"/>
                <w:color w:val="000000"/>
                <w:sz w:val="22"/>
                <w:szCs w:val="22"/>
              </w:rPr>
              <w:t>52.2</w:t>
            </w:r>
          </w:p>
        </w:tc>
        <w:tc>
          <w:tcPr>
            <w:tcW w:w="353" w:type="pct"/>
            <w:shd w:val="clear" w:color="auto" w:fill="auto"/>
            <w:noWrap/>
            <w:vAlign w:val="bottom"/>
            <w:hideMark/>
          </w:tcPr>
          <w:p w14:paraId="5FAC2FF3" w14:textId="77777777" w:rsidR="00F5328D" w:rsidRPr="00A96B82" w:rsidRDefault="00F5328D" w:rsidP="00F5328D">
            <w:pPr>
              <w:jc w:val="right"/>
              <w:rPr>
                <w:rFonts w:cs="Arial"/>
                <w:color w:val="000000"/>
                <w:sz w:val="22"/>
                <w:szCs w:val="22"/>
              </w:rPr>
            </w:pPr>
            <w:r w:rsidRPr="00A96B82">
              <w:rPr>
                <w:rFonts w:cs="Arial"/>
                <w:color w:val="000000"/>
                <w:sz w:val="22"/>
                <w:szCs w:val="22"/>
              </w:rPr>
              <w:t>11.4</w:t>
            </w:r>
          </w:p>
        </w:tc>
        <w:tc>
          <w:tcPr>
            <w:tcW w:w="353" w:type="pct"/>
            <w:shd w:val="clear" w:color="auto" w:fill="auto"/>
            <w:noWrap/>
            <w:vAlign w:val="bottom"/>
            <w:hideMark/>
          </w:tcPr>
          <w:p w14:paraId="6BB86A12" w14:textId="77777777" w:rsidR="00F5328D" w:rsidRPr="00A96B82" w:rsidRDefault="00F5328D" w:rsidP="00F5328D">
            <w:pPr>
              <w:jc w:val="right"/>
              <w:rPr>
                <w:rFonts w:cs="Arial"/>
                <w:color w:val="000000"/>
                <w:sz w:val="22"/>
                <w:szCs w:val="22"/>
              </w:rPr>
            </w:pPr>
            <w:r w:rsidRPr="00A96B82">
              <w:rPr>
                <w:rFonts w:cs="Arial"/>
                <w:color w:val="000000"/>
                <w:sz w:val="22"/>
                <w:szCs w:val="22"/>
              </w:rPr>
              <w:t>5.0</w:t>
            </w:r>
          </w:p>
        </w:tc>
        <w:tc>
          <w:tcPr>
            <w:tcW w:w="353" w:type="pct"/>
            <w:shd w:val="clear" w:color="auto" w:fill="auto"/>
            <w:noWrap/>
            <w:vAlign w:val="bottom"/>
            <w:hideMark/>
          </w:tcPr>
          <w:p w14:paraId="1CCA2ADA" w14:textId="77777777" w:rsidR="00F5328D" w:rsidRPr="00A96B82" w:rsidRDefault="00F5328D" w:rsidP="00F5328D">
            <w:pPr>
              <w:jc w:val="right"/>
              <w:rPr>
                <w:rFonts w:cs="Arial"/>
                <w:color w:val="000000"/>
                <w:sz w:val="22"/>
                <w:szCs w:val="22"/>
              </w:rPr>
            </w:pPr>
            <w:r w:rsidRPr="00A96B82">
              <w:rPr>
                <w:rFonts w:cs="Arial"/>
                <w:color w:val="000000"/>
                <w:sz w:val="22"/>
                <w:szCs w:val="22"/>
              </w:rPr>
              <w:t>5.3</w:t>
            </w:r>
          </w:p>
        </w:tc>
        <w:tc>
          <w:tcPr>
            <w:tcW w:w="410" w:type="pct"/>
            <w:shd w:val="clear" w:color="auto" w:fill="auto"/>
            <w:noWrap/>
            <w:vAlign w:val="bottom"/>
            <w:hideMark/>
          </w:tcPr>
          <w:p w14:paraId="12DABFD8" w14:textId="77777777" w:rsidR="00F5328D" w:rsidRPr="00A96B82" w:rsidRDefault="00F5328D" w:rsidP="00F5328D">
            <w:pPr>
              <w:jc w:val="right"/>
              <w:rPr>
                <w:rFonts w:cs="Arial"/>
                <w:color w:val="000000"/>
                <w:sz w:val="22"/>
                <w:szCs w:val="22"/>
              </w:rPr>
            </w:pPr>
            <w:r w:rsidRPr="00A96B82">
              <w:rPr>
                <w:rFonts w:cs="Arial"/>
                <w:color w:val="000000"/>
                <w:sz w:val="22"/>
                <w:szCs w:val="22"/>
              </w:rPr>
              <w:t>0.8</w:t>
            </w:r>
          </w:p>
        </w:tc>
        <w:tc>
          <w:tcPr>
            <w:tcW w:w="410" w:type="pct"/>
            <w:shd w:val="clear" w:color="auto" w:fill="auto"/>
            <w:noWrap/>
            <w:vAlign w:val="bottom"/>
            <w:hideMark/>
          </w:tcPr>
          <w:p w14:paraId="6CFE825B" w14:textId="77777777" w:rsidR="00F5328D" w:rsidRPr="00A96B82" w:rsidRDefault="00F5328D" w:rsidP="00F5328D">
            <w:pPr>
              <w:jc w:val="right"/>
              <w:rPr>
                <w:rFonts w:cs="Arial"/>
                <w:color w:val="000000"/>
                <w:sz w:val="22"/>
                <w:szCs w:val="22"/>
              </w:rPr>
            </w:pPr>
            <w:r w:rsidRPr="00A96B82">
              <w:rPr>
                <w:rFonts w:cs="Arial"/>
                <w:color w:val="000000"/>
                <w:sz w:val="22"/>
                <w:szCs w:val="22"/>
              </w:rPr>
              <w:t>6.9</w:t>
            </w:r>
          </w:p>
        </w:tc>
        <w:tc>
          <w:tcPr>
            <w:tcW w:w="410" w:type="pct"/>
            <w:shd w:val="clear" w:color="auto" w:fill="auto"/>
            <w:noWrap/>
            <w:vAlign w:val="bottom"/>
            <w:hideMark/>
          </w:tcPr>
          <w:p w14:paraId="7ADBC26F" w14:textId="77777777" w:rsidR="00F5328D" w:rsidRPr="00A96B82" w:rsidRDefault="00F5328D" w:rsidP="00F5328D">
            <w:pPr>
              <w:jc w:val="right"/>
              <w:rPr>
                <w:rFonts w:cs="Arial"/>
                <w:color w:val="000000"/>
                <w:sz w:val="22"/>
                <w:szCs w:val="22"/>
              </w:rPr>
            </w:pPr>
            <w:r w:rsidRPr="00A96B82">
              <w:rPr>
                <w:rFonts w:cs="Arial"/>
                <w:color w:val="000000"/>
                <w:sz w:val="22"/>
                <w:szCs w:val="22"/>
              </w:rPr>
              <w:t>3.6</w:t>
            </w:r>
          </w:p>
        </w:tc>
        <w:tc>
          <w:tcPr>
            <w:tcW w:w="269" w:type="pct"/>
            <w:shd w:val="clear" w:color="auto" w:fill="auto"/>
            <w:noWrap/>
            <w:vAlign w:val="bottom"/>
            <w:hideMark/>
          </w:tcPr>
          <w:p w14:paraId="5BBF1362"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4C578891" w14:textId="77777777" w:rsidR="00F5328D" w:rsidRPr="00A96B82" w:rsidRDefault="00F5328D" w:rsidP="00F5328D">
            <w:pPr>
              <w:jc w:val="right"/>
              <w:rPr>
                <w:rFonts w:cs="Arial"/>
                <w:color w:val="000000"/>
                <w:sz w:val="22"/>
                <w:szCs w:val="22"/>
              </w:rPr>
            </w:pPr>
            <w:r w:rsidRPr="00A96B82">
              <w:rPr>
                <w:rFonts w:cs="Arial"/>
                <w:color w:val="000000"/>
                <w:sz w:val="22"/>
                <w:szCs w:val="22"/>
              </w:rPr>
              <w:t>5,250</w:t>
            </w:r>
          </w:p>
        </w:tc>
      </w:tr>
      <w:tr w:rsidR="00F5328D" w:rsidRPr="00A96B82" w14:paraId="06DA7DF3" w14:textId="77777777" w:rsidTr="00F5328D">
        <w:trPr>
          <w:trHeight w:val="287"/>
        </w:trPr>
        <w:tc>
          <w:tcPr>
            <w:tcW w:w="1026" w:type="pct"/>
            <w:shd w:val="clear" w:color="auto" w:fill="auto"/>
            <w:noWrap/>
            <w:vAlign w:val="bottom"/>
            <w:hideMark/>
          </w:tcPr>
          <w:p w14:paraId="225F7364" w14:textId="77777777" w:rsidR="00F5328D" w:rsidRPr="00A96B82" w:rsidRDefault="00F5328D" w:rsidP="00F5328D">
            <w:pPr>
              <w:rPr>
                <w:rFonts w:cs="Arial"/>
                <w:color w:val="000000"/>
                <w:sz w:val="22"/>
                <w:szCs w:val="22"/>
              </w:rPr>
            </w:pPr>
            <w:r w:rsidRPr="00A96B82">
              <w:rPr>
                <w:rFonts w:cs="Arial"/>
                <w:color w:val="000000"/>
                <w:sz w:val="22"/>
                <w:szCs w:val="22"/>
              </w:rPr>
              <w:t>Rochester West</w:t>
            </w:r>
          </w:p>
        </w:tc>
        <w:tc>
          <w:tcPr>
            <w:tcW w:w="353" w:type="pct"/>
            <w:shd w:val="clear" w:color="auto" w:fill="auto"/>
            <w:noWrap/>
            <w:vAlign w:val="bottom"/>
            <w:hideMark/>
          </w:tcPr>
          <w:p w14:paraId="42DA9719" w14:textId="77777777" w:rsidR="00F5328D" w:rsidRPr="00A96B82" w:rsidRDefault="00F5328D" w:rsidP="00F5328D">
            <w:pPr>
              <w:jc w:val="right"/>
              <w:rPr>
                <w:rFonts w:cs="Arial"/>
                <w:color w:val="000000"/>
                <w:sz w:val="22"/>
                <w:szCs w:val="22"/>
              </w:rPr>
            </w:pPr>
            <w:r w:rsidRPr="00A96B82">
              <w:rPr>
                <w:rFonts w:cs="Arial"/>
                <w:color w:val="000000"/>
                <w:sz w:val="22"/>
                <w:szCs w:val="22"/>
              </w:rPr>
              <w:t>0.2</w:t>
            </w:r>
          </w:p>
        </w:tc>
        <w:tc>
          <w:tcPr>
            <w:tcW w:w="353" w:type="pct"/>
            <w:shd w:val="clear" w:color="auto" w:fill="auto"/>
            <w:noWrap/>
            <w:vAlign w:val="bottom"/>
            <w:hideMark/>
          </w:tcPr>
          <w:p w14:paraId="56E376C4" w14:textId="77777777" w:rsidR="00F5328D" w:rsidRPr="00A96B82" w:rsidRDefault="00F5328D" w:rsidP="00F5328D">
            <w:pPr>
              <w:jc w:val="right"/>
              <w:rPr>
                <w:rFonts w:cs="Arial"/>
                <w:color w:val="000000"/>
                <w:sz w:val="22"/>
                <w:szCs w:val="22"/>
              </w:rPr>
            </w:pPr>
            <w:r w:rsidRPr="00A96B82">
              <w:rPr>
                <w:rFonts w:cs="Arial"/>
                <w:color w:val="000000"/>
                <w:sz w:val="22"/>
                <w:szCs w:val="22"/>
              </w:rPr>
              <w:t>11.4</w:t>
            </w:r>
          </w:p>
        </w:tc>
        <w:tc>
          <w:tcPr>
            <w:tcW w:w="353" w:type="pct"/>
            <w:shd w:val="clear" w:color="auto" w:fill="auto"/>
            <w:noWrap/>
            <w:vAlign w:val="bottom"/>
            <w:hideMark/>
          </w:tcPr>
          <w:p w14:paraId="6F50317D" w14:textId="77777777" w:rsidR="00F5328D" w:rsidRPr="00A96B82" w:rsidRDefault="00F5328D" w:rsidP="00F5328D">
            <w:pPr>
              <w:jc w:val="right"/>
              <w:rPr>
                <w:rFonts w:cs="Arial"/>
                <w:color w:val="000000"/>
                <w:sz w:val="22"/>
                <w:szCs w:val="22"/>
              </w:rPr>
            </w:pPr>
            <w:r w:rsidRPr="00A96B82">
              <w:rPr>
                <w:rFonts w:cs="Arial"/>
                <w:color w:val="000000"/>
                <w:sz w:val="22"/>
                <w:szCs w:val="22"/>
              </w:rPr>
              <w:t>34.8</w:t>
            </w:r>
          </w:p>
        </w:tc>
        <w:tc>
          <w:tcPr>
            <w:tcW w:w="353" w:type="pct"/>
            <w:shd w:val="clear" w:color="auto" w:fill="auto"/>
            <w:noWrap/>
            <w:vAlign w:val="bottom"/>
            <w:hideMark/>
          </w:tcPr>
          <w:p w14:paraId="72878503" w14:textId="77777777" w:rsidR="00F5328D" w:rsidRPr="00A96B82" w:rsidRDefault="00F5328D" w:rsidP="00F5328D">
            <w:pPr>
              <w:jc w:val="right"/>
              <w:rPr>
                <w:rFonts w:cs="Arial"/>
                <w:color w:val="000000"/>
                <w:sz w:val="22"/>
                <w:szCs w:val="22"/>
              </w:rPr>
            </w:pPr>
            <w:r w:rsidRPr="00A96B82">
              <w:rPr>
                <w:rFonts w:cs="Arial"/>
                <w:color w:val="000000"/>
                <w:sz w:val="22"/>
                <w:szCs w:val="22"/>
              </w:rPr>
              <w:t>11.4</w:t>
            </w:r>
          </w:p>
        </w:tc>
        <w:tc>
          <w:tcPr>
            <w:tcW w:w="353" w:type="pct"/>
            <w:shd w:val="clear" w:color="auto" w:fill="auto"/>
            <w:noWrap/>
            <w:vAlign w:val="bottom"/>
            <w:hideMark/>
          </w:tcPr>
          <w:p w14:paraId="5406C6FD" w14:textId="77777777" w:rsidR="00F5328D" w:rsidRPr="00A96B82" w:rsidRDefault="00F5328D" w:rsidP="00F5328D">
            <w:pPr>
              <w:jc w:val="right"/>
              <w:rPr>
                <w:rFonts w:cs="Arial"/>
                <w:color w:val="000000"/>
                <w:sz w:val="22"/>
                <w:szCs w:val="22"/>
              </w:rPr>
            </w:pPr>
            <w:r w:rsidRPr="00A96B82">
              <w:rPr>
                <w:rFonts w:cs="Arial"/>
                <w:color w:val="000000"/>
                <w:sz w:val="22"/>
                <w:szCs w:val="22"/>
              </w:rPr>
              <w:t>15.5</w:t>
            </w:r>
          </w:p>
        </w:tc>
        <w:tc>
          <w:tcPr>
            <w:tcW w:w="353" w:type="pct"/>
            <w:shd w:val="clear" w:color="auto" w:fill="auto"/>
            <w:noWrap/>
            <w:vAlign w:val="bottom"/>
            <w:hideMark/>
          </w:tcPr>
          <w:p w14:paraId="230CBE57" w14:textId="77777777" w:rsidR="00F5328D" w:rsidRPr="00A96B82" w:rsidRDefault="00F5328D" w:rsidP="00F5328D">
            <w:pPr>
              <w:jc w:val="right"/>
              <w:rPr>
                <w:rFonts w:cs="Arial"/>
                <w:color w:val="000000"/>
                <w:sz w:val="22"/>
                <w:szCs w:val="22"/>
              </w:rPr>
            </w:pPr>
            <w:r w:rsidRPr="00A96B82">
              <w:rPr>
                <w:rFonts w:cs="Arial"/>
                <w:color w:val="000000"/>
                <w:sz w:val="22"/>
                <w:szCs w:val="22"/>
              </w:rPr>
              <w:t>24.3</w:t>
            </w:r>
          </w:p>
        </w:tc>
        <w:tc>
          <w:tcPr>
            <w:tcW w:w="410" w:type="pct"/>
            <w:shd w:val="clear" w:color="auto" w:fill="auto"/>
            <w:noWrap/>
            <w:vAlign w:val="bottom"/>
            <w:hideMark/>
          </w:tcPr>
          <w:p w14:paraId="3AEECEB2" w14:textId="77777777" w:rsidR="00F5328D" w:rsidRPr="00A96B82" w:rsidRDefault="00F5328D" w:rsidP="00F5328D">
            <w:pPr>
              <w:jc w:val="right"/>
              <w:rPr>
                <w:rFonts w:cs="Arial"/>
                <w:color w:val="000000"/>
                <w:sz w:val="22"/>
                <w:szCs w:val="22"/>
              </w:rPr>
            </w:pPr>
            <w:r w:rsidRPr="00A96B82">
              <w:rPr>
                <w:rFonts w:cs="Arial"/>
                <w:color w:val="000000"/>
                <w:sz w:val="22"/>
                <w:szCs w:val="22"/>
              </w:rPr>
              <w:t>0.4</w:t>
            </w:r>
          </w:p>
        </w:tc>
        <w:tc>
          <w:tcPr>
            <w:tcW w:w="410" w:type="pct"/>
            <w:shd w:val="clear" w:color="auto" w:fill="auto"/>
            <w:noWrap/>
            <w:vAlign w:val="bottom"/>
            <w:hideMark/>
          </w:tcPr>
          <w:p w14:paraId="767C5A41" w14:textId="77777777" w:rsidR="00F5328D" w:rsidRPr="00A96B82" w:rsidRDefault="00F5328D" w:rsidP="00F5328D">
            <w:pPr>
              <w:jc w:val="right"/>
              <w:rPr>
                <w:rFonts w:cs="Arial"/>
                <w:color w:val="000000"/>
                <w:sz w:val="22"/>
                <w:szCs w:val="22"/>
              </w:rPr>
            </w:pPr>
            <w:r w:rsidRPr="00A96B82">
              <w:rPr>
                <w:rFonts w:cs="Arial"/>
                <w:color w:val="000000"/>
                <w:sz w:val="22"/>
                <w:szCs w:val="22"/>
              </w:rPr>
              <w:t>1.1</w:t>
            </w:r>
          </w:p>
        </w:tc>
        <w:tc>
          <w:tcPr>
            <w:tcW w:w="410" w:type="pct"/>
            <w:shd w:val="clear" w:color="auto" w:fill="auto"/>
            <w:noWrap/>
            <w:vAlign w:val="bottom"/>
            <w:hideMark/>
          </w:tcPr>
          <w:p w14:paraId="1B9F566B" w14:textId="77777777" w:rsidR="00F5328D" w:rsidRPr="00A96B82" w:rsidRDefault="00F5328D" w:rsidP="00F5328D">
            <w:pPr>
              <w:jc w:val="right"/>
              <w:rPr>
                <w:rFonts w:cs="Arial"/>
                <w:color w:val="000000"/>
                <w:sz w:val="22"/>
                <w:szCs w:val="22"/>
              </w:rPr>
            </w:pPr>
            <w:r w:rsidRPr="00A96B82">
              <w:rPr>
                <w:rFonts w:cs="Arial"/>
                <w:color w:val="000000"/>
                <w:sz w:val="22"/>
                <w:szCs w:val="22"/>
              </w:rPr>
              <w:t>0.9</w:t>
            </w:r>
          </w:p>
        </w:tc>
        <w:tc>
          <w:tcPr>
            <w:tcW w:w="269" w:type="pct"/>
            <w:shd w:val="clear" w:color="auto" w:fill="auto"/>
            <w:noWrap/>
            <w:vAlign w:val="bottom"/>
            <w:hideMark/>
          </w:tcPr>
          <w:p w14:paraId="4AC30270"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36416C0A" w14:textId="77777777" w:rsidR="00F5328D" w:rsidRPr="00A96B82" w:rsidRDefault="00F5328D" w:rsidP="00F5328D">
            <w:pPr>
              <w:jc w:val="right"/>
              <w:rPr>
                <w:rFonts w:cs="Arial"/>
                <w:color w:val="000000"/>
                <w:sz w:val="22"/>
                <w:szCs w:val="22"/>
              </w:rPr>
            </w:pPr>
            <w:r w:rsidRPr="00A96B82">
              <w:rPr>
                <w:rFonts w:cs="Arial"/>
                <w:color w:val="000000"/>
                <w:sz w:val="22"/>
                <w:szCs w:val="22"/>
              </w:rPr>
              <w:t>4,650</w:t>
            </w:r>
          </w:p>
        </w:tc>
      </w:tr>
      <w:tr w:rsidR="00F5328D" w:rsidRPr="00A96B82" w14:paraId="148FF8AB" w14:textId="77777777" w:rsidTr="00F5328D">
        <w:trPr>
          <w:trHeight w:val="287"/>
        </w:trPr>
        <w:tc>
          <w:tcPr>
            <w:tcW w:w="1026" w:type="pct"/>
            <w:shd w:val="clear" w:color="auto" w:fill="auto"/>
            <w:noWrap/>
            <w:vAlign w:val="bottom"/>
            <w:hideMark/>
          </w:tcPr>
          <w:p w14:paraId="071E7D3E" w14:textId="77777777" w:rsidR="00F5328D" w:rsidRPr="00A96B82" w:rsidRDefault="00F5328D" w:rsidP="00F5328D">
            <w:pPr>
              <w:rPr>
                <w:rFonts w:cs="Arial"/>
                <w:color w:val="000000"/>
                <w:sz w:val="22"/>
                <w:szCs w:val="22"/>
              </w:rPr>
            </w:pPr>
            <w:r w:rsidRPr="00A96B82">
              <w:rPr>
                <w:rFonts w:cs="Arial"/>
                <w:color w:val="000000"/>
                <w:sz w:val="22"/>
                <w:szCs w:val="22"/>
              </w:rPr>
              <w:t>Strood North</w:t>
            </w:r>
          </w:p>
        </w:tc>
        <w:tc>
          <w:tcPr>
            <w:tcW w:w="353" w:type="pct"/>
            <w:shd w:val="clear" w:color="auto" w:fill="auto"/>
            <w:noWrap/>
            <w:vAlign w:val="bottom"/>
            <w:hideMark/>
          </w:tcPr>
          <w:p w14:paraId="37B75C36"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353" w:type="pct"/>
            <w:shd w:val="clear" w:color="auto" w:fill="auto"/>
            <w:noWrap/>
            <w:vAlign w:val="bottom"/>
            <w:hideMark/>
          </w:tcPr>
          <w:p w14:paraId="10594F4C" w14:textId="77777777" w:rsidR="00F5328D" w:rsidRPr="00A96B82" w:rsidRDefault="00F5328D" w:rsidP="00F5328D">
            <w:pPr>
              <w:jc w:val="right"/>
              <w:rPr>
                <w:rFonts w:cs="Arial"/>
                <w:color w:val="000000"/>
                <w:sz w:val="22"/>
                <w:szCs w:val="22"/>
              </w:rPr>
            </w:pPr>
            <w:r w:rsidRPr="00A96B82">
              <w:rPr>
                <w:rFonts w:cs="Arial"/>
                <w:color w:val="000000"/>
                <w:sz w:val="22"/>
                <w:szCs w:val="22"/>
              </w:rPr>
              <w:t>15.6</w:t>
            </w:r>
          </w:p>
        </w:tc>
        <w:tc>
          <w:tcPr>
            <w:tcW w:w="353" w:type="pct"/>
            <w:shd w:val="clear" w:color="auto" w:fill="auto"/>
            <w:noWrap/>
            <w:vAlign w:val="bottom"/>
            <w:hideMark/>
          </w:tcPr>
          <w:p w14:paraId="4D43DB9E" w14:textId="77777777" w:rsidR="00F5328D" w:rsidRPr="00A96B82" w:rsidRDefault="00F5328D" w:rsidP="00F5328D">
            <w:pPr>
              <w:jc w:val="right"/>
              <w:rPr>
                <w:rFonts w:cs="Arial"/>
                <w:color w:val="000000"/>
                <w:sz w:val="22"/>
                <w:szCs w:val="22"/>
              </w:rPr>
            </w:pPr>
            <w:r w:rsidRPr="00A96B82">
              <w:rPr>
                <w:rFonts w:cs="Arial"/>
                <w:color w:val="000000"/>
                <w:sz w:val="22"/>
                <w:szCs w:val="22"/>
              </w:rPr>
              <w:t>55.9</w:t>
            </w:r>
          </w:p>
        </w:tc>
        <w:tc>
          <w:tcPr>
            <w:tcW w:w="353" w:type="pct"/>
            <w:shd w:val="clear" w:color="auto" w:fill="auto"/>
            <w:noWrap/>
            <w:vAlign w:val="bottom"/>
            <w:hideMark/>
          </w:tcPr>
          <w:p w14:paraId="3F4D2167" w14:textId="77777777" w:rsidR="00F5328D" w:rsidRPr="00A96B82" w:rsidRDefault="00F5328D" w:rsidP="00F5328D">
            <w:pPr>
              <w:jc w:val="right"/>
              <w:rPr>
                <w:rFonts w:cs="Arial"/>
                <w:color w:val="000000"/>
                <w:sz w:val="22"/>
                <w:szCs w:val="22"/>
              </w:rPr>
            </w:pPr>
            <w:r w:rsidRPr="00A96B82">
              <w:rPr>
                <w:rFonts w:cs="Arial"/>
                <w:color w:val="000000"/>
                <w:sz w:val="22"/>
                <w:szCs w:val="22"/>
              </w:rPr>
              <w:t>12.2</w:t>
            </w:r>
          </w:p>
        </w:tc>
        <w:tc>
          <w:tcPr>
            <w:tcW w:w="353" w:type="pct"/>
            <w:shd w:val="clear" w:color="auto" w:fill="auto"/>
            <w:noWrap/>
            <w:vAlign w:val="bottom"/>
            <w:hideMark/>
          </w:tcPr>
          <w:p w14:paraId="0D074091" w14:textId="77777777" w:rsidR="00F5328D" w:rsidRPr="00A96B82" w:rsidRDefault="00F5328D" w:rsidP="00F5328D">
            <w:pPr>
              <w:jc w:val="right"/>
              <w:rPr>
                <w:rFonts w:cs="Arial"/>
                <w:color w:val="000000"/>
                <w:sz w:val="22"/>
                <w:szCs w:val="22"/>
              </w:rPr>
            </w:pPr>
            <w:r w:rsidRPr="00A96B82">
              <w:rPr>
                <w:rFonts w:cs="Arial"/>
                <w:color w:val="000000"/>
                <w:sz w:val="22"/>
                <w:szCs w:val="22"/>
              </w:rPr>
              <w:t>6.4</w:t>
            </w:r>
          </w:p>
        </w:tc>
        <w:tc>
          <w:tcPr>
            <w:tcW w:w="353" w:type="pct"/>
            <w:shd w:val="clear" w:color="auto" w:fill="auto"/>
            <w:noWrap/>
            <w:vAlign w:val="bottom"/>
            <w:hideMark/>
          </w:tcPr>
          <w:p w14:paraId="6A44AD7A" w14:textId="77777777" w:rsidR="00F5328D" w:rsidRPr="00A96B82" w:rsidRDefault="00F5328D" w:rsidP="00F5328D">
            <w:pPr>
              <w:jc w:val="right"/>
              <w:rPr>
                <w:rFonts w:cs="Arial"/>
                <w:color w:val="000000"/>
                <w:sz w:val="22"/>
                <w:szCs w:val="22"/>
              </w:rPr>
            </w:pPr>
            <w:r w:rsidRPr="00A96B82">
              <w:rPr>
                <w:rFonts w:cs="Arial"/>
                <w:color w:val="000000"/>
                <w:sz w:val="22"/>
                <w:szCs w:val="22"/>
              </w:rPr>
              <w:t>4.1</w:t>
            </w:r>
          </w:p>
        </w:tc>
        <w:tc>
          <w:tcPr>
            <w:tcW w:w="410" w:type="pct"/>
            <w:shd w:val="clear" w:color="auto" w:fill="auto"/>
            <w:noWrap/>
            <w:vAlign w:val="bottom"/>
            <w:hideMark/>
          </w:tcPr>
          <w:p w14:paraId="67C00100" w14:textId="77777777" w:rsidR="00F5328D" w:rsidRPr="00A96B82" w:rsidRDefault="00F5328D" w:rsidP="00F5328D">
            <w:pPr>
              <w:jc w:val="right"/>
              <w:rPr>
                <w:rFonts w:cs="Arial"/>
                <w:color w:val="000000"/>
                <w:sz w:val="22"/>
                <w:szCs w:val="22"/>
              </w:rPr>
            </w:pPr>
            <w:r w:rsidRPr="00A96B82">
              <w:rPr>
                <w:rFonts w:cs="Arial"/>
                <w:color w:val="000000"/>
                <w:sz w:val="22"/>
                <w:szCs w:val="22"/>
              </w:rPr>
              <w:t>0.4</w:t>
            </w:r>
          </w:p>
        </w:tc>
        <w:tc>
          <w:tcPr>
            <w:tcW w:w="410" w:type="pct"/>
            <w:shd w:val="clear" w:color="auto" w:fill="auto"/>
            <w:noWrap/>
            <w:vAlign w:val="bottom"/>
            <w:hideMark/>
          </w:tcPr>
          <w:p w14:paraId="4BF35B7B" w14:textId="77777777" w:rsidR="00F5328D" w:rsidRPr="00A96B82" w:rsidRDefault="00F5328D" w:rsidP="00F5328D">
            <w:pPr>
              <w:jc w:val="right"/>
              <w:rPr>
                <w:rFonts w:cs="Arial"/>
                <w:color w:val="000000"/>
                <w:sz w:val="22"/>
                <w:szCs w:val="22"/>
              </w:rPr>
            </w:pPr>
            <w:r w:rsidRPr="00A96B82">
              <w:rPr>
                <w:rFonts w:cs="Arial"/>
                <w:color w:val="000000"/>
                <w:sz w:val="22"/>
                <w:szCs w:val="22"/>
              </w:rPr>
              <w:t>3.4</w:t>
            </w:r>
          </w:p>
        </w:tc>
        <w:tc>
          <w:tcPr>
            <w:tcW w:w="410" w:type="pct"/>
            <w:shd w:val="clear" w:color="auto" w:fill="auto"/>
            <w:noWrap/>
            <w:vAlign w:val="bottom"/>
            <w:hideMark/>
          </w:tcPr>
          <w:p w14:paraId="52094889" w14:textId="77777777" w:rsidR="00F5328D" w:rsidRPr="00A96B82" w:rsidRDefault="00F5328D" w:rsidP="00F5328D">
            <w:pPr>
              <w:jc w:val="right"/>
              <w:rPr>
                <w:rFonts w:cs="Arial"/>
                <w:color w:val="000000"/>
                <w:sz w:val="22"/>
                <w:szCs w:val="22"/>
              </w:rPr>
            </w:pPr>
            <w:r w:rsidRPr="00A96B82">
              <w:rPr>
                <w:rFonts w:cs="Arial"/>
                <w:color w:val="000000"/>
                <w:sz w:val="22"/>
                <w:szCs w:val="22"/>
              </w:rPr>
              <w:t>2.1</w:t>
            </w:r>
          </w:p>
        </w:tc>
        <w:tc>
          <w:tcPr>
            <w:tcW w:w="269" w:type="pct"/>
            <w:shd w:val="clear" w:color="auto" w:fill="auto"/>
            <w:noWrap/>
            <w:vAlign w:val="bottom"/>
            <w:hideMark/>
          </w:tcPr>
          <w:p w14:paraId="49309B37"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68BF78F3" w14:textId="77777777" w:rsidR="00F5328D" w:rsidRPr="00A96B82" w:rsidRDefault="00F5328D" w:rsidP="00F5328D">
            <w:pPr>
              <w:jc w:val="right"/>
              <w:rPr>
                <w:rFonts w:cs="Arial"/>
                <w:color w:val="000000"/>
                <w:sz w:val="22"/>
                <w:szCs w:val="22"/>
              </w:rPr>
            </w:pPr>
            <w:r w:rsidRPr="00A96B82">
              <w:rPr>
                <w:rFonts w:cs="Arial"/>
                <w:color w:val="000000"/>
                <w:sz w:val="22"/>
                <w:szCs w:val="22"/>
              </w:rPr>
              <w:t>5,650</w:t>
            </w:r>
          </w:p>
        </w:tc>
      </w:tr>
      <w:tr w:rsidR="00F5328D" w:rsidRPr="00A96B82" w14:paraId="1B6073B1" w14:textId="77777777" w:rsidTr="00F5328D">
        <w:trPr>
          <w:trHeight w:val="287"/>
        </w:trPr>
        <w:tc>
          <w:tcPr>
            <w:tcW w:w="1026" w:type="pct"/>
            <w:shd w:val="clear" w:color="auto" w:fill="auto"/>
            <w:noWrap/>
            <w:vAlign w:val="bottom"/>
            <w:hideMark/>
          </w:tcPr>
          <w:p w14:paraId="72436B4B" w14:textId="77777777" w:rsidR="00F5328D" w:rsidRPr="00A96B82" w:rsidRDefault="00F5328D" w:rsidP="00F5328D">
            <w:pPr>
              <w:rPr>
                <w:rFonts w:cs="Arial"/>
                <w:color w:val="000000"/>
                <w:sz w:val="22"/>
                <w:szCs w:val="22"/>
              </w:rPr>
            </w:pPr>
            <w:r w:rsidRPr="00A96B82">
              <w:rPr>
                <w:rFonts w:cs="Arial"/>
                <w:color w:val="000000"/>
                <w:sz w:val="22"/>
                <w:szCs w:val="22"/>
              </w:rPr>
              <w:t>Strood Rural</w:t>
            </w:r>
          </w:p>
        </w:tc>
        <w:tc>
          <w:tcPr>
            <w:tcW w:w="353" w:type="pct"/>
            <w:shd w:val="clear" w:color="auto" w:fill="auto"/>
            <w:noWrap/>
            <w:vAlign w:val="bottom"/>
            <w:hideMark/>
          </w:tcPr>
          <w:p w14:paraId="1F781EC6" w14:textId="77777777" w:rsidR="00F5328D" w:rsidRPr="00A96B82" w:rsidRDefault="00F5328D" w:rsidP="00F5328D">
            <w:pPr>
              <w:jc w:val="right"/>
              <w:rPr>
                <w:rFonts w:cs="Arial"/>
                <w:color w:val="000000"/>
                <w:sz w:val="22"/>
                <w:szCs w:val="22"/>
              </w:rPr>
            </w:pPr>
            <w:r w:rsidRPr="00A96B82">
              <w:rPr>
                <w:rFonts w:cs="Arial"/>
                <w:color w:val="000000"/>
                <w:sz w:val="22"/>
                <w:szCs w:val="22"/>
              </w:rPr>
              <w:t>0.5</w:t>
            </w:r>
          </w:p>
        </w:tc>
        <w:tc>
          <w:tcPr>
            <w:tcW w:w="353" w:type="pct"/>
            <w:shd w:val="clear" w:color="auto" w:fill="auto"/>
            <w:noWrap/>
            <w:vAlign w:val="bottom"/>
            <w:hideMark/>
          </w:tcPr>
          <w:p w14:paraId="5E415597" w14:textId="77777777" w:rsidR="00F5328D" w:rsidRPr="00A96B82" w:rsidRDefault="00F5328D" w:rsidP="00F5328D">
            <w:pPr>
              <w:jc w:val="right"/>
              <w:rPr>
                <w:rFonts w:cs="Arial"/>
                <w:color w:val="000000"/>
                <w:sz w:val="22"/>
                <w:szCs w:val="22"/>
              </w:rPr>
            </w:pPr>
            <w:r w:rsidRPr="00A96B82">
              <w:rPr>
                <w:rFonts w:cs="Arial"/>
                <w:color w:val="000000"/>
                <w:sz w:val="22"/>
                <w:szCs w:val="22"/>
              </w:rPr>
              <w:t>11.3</w:t>
            </w:r>
          </w:p>
        </w:tc>
        <w:tc>
          <w:tcPr>
            <w:tcW w:w="353" w:type="pct"/>
            <w:shd w:val="clear" w:color="auto" w:fill="auto"/>
            <w:noWrap/>
            <w:vAlign w:val="bottom"/>
            <w:hideMark/>
          </w:tcPr>
          <w:p w14:paraId="0B7D5C86" w14:textId="77777777" w:rsidR="00F5328D" w:rsidRPr="00A96B82" w:rsidRDefault="00F5328D" w:rsidP="00F5328D">
            <w:pPr>
              <w:jc w:val="right"/>
              <w:rPr>
                <w:rFonts w:cs="Arial"/>
                <w:color w:val="000000"/>
                <w:sz w:val="22"/>
                <w:szCs w:val="22"/>
              </w:rPr>
            </w:pPr>
            <w:r w:rsidRPr="00A96B82">
              <w:rPr>
                <w:rFonts w:cs="Arial"/>
                <w:color w:val="000000"/>
                <w:sz w:val="22"/>
                <w:szCs w:val="22"/>
              </w:rPr>
              <w:t>52.7</w:t>
            </w:r>
          </w:p>
        </w:tc>
        <w:tc>
          <w:tcPr>
            <w:tcW w:w="353" w:type="pct"/>
            <w:shd w:val="clear" w:color="auto" w:fill="auto"/>
            <w:noWrap/>
            <w:vAlign w:val="bottom"/>
            <w:hideMark/>
          </w:tcPr>
          <w:p w14:paraId="63532BE9" w14:textId="77777777" w:rsidR="00F5328D" w:rsidRPr="00A96B82" w:rsidRDefault="00F5328D" w:rsidP="00F5328D">
            <w:pPr>
              <w:jc w:val="right"/>
              <w:rPr>
                <w:rFonts w:cs="Arial"/>
                <w:color w:val="000000"/>
                <w:sz w:val="22"/>
                <w:szCs w:val="22"/>
              </w:rPr>
            </w:pPr>
            <w:r w:rsidRPr="00A96B82">
              <w:rPr>
                <w:rFonts w:cs="Arial"/>
                <w:color w:val="000000"/>
                <w:sz w:val="22"/>
                <w:szCs w:val="22"/>
              </w:rPr>
              <w:t>17.7</w:t>
            </w:r>
          </w:p>
        </w:tc>
        <w:tc>
          <w:tcPr>
            <w:tcW w:w="353" w:type="pct"/>
            <w:shd w:val="clear" w:color="auto" w:fill="auto"/>
            <w:noWrap/>
            <w:vAlign w:val="bottom"/>
            <w:hideMark/>
          </w:tcPr>
          <w:p w14:paraId="08C8826F" w14:textId="77777777" w:rsidR="00F5328D" w:rsidRPr="00A96B82" w:rsidRDefault="00F5328D" w:rsidP="00F5328D">
            <w:pPr>
              <w:jc w:val="right"/>
              <w:rPr>
                <w:rFonts w:cs="Arial"/>
                <w:color w:val="000000"/>
                <w:sz w:val="22"/>
                <w:szCs w:val="22"/>
              </w:rPr>
            </w:pPr>
            <w:r w:rsidRPr="00A96B82">
              <w:rPr>
                <w:rFonts w:cs="Arial"/>
                <w:color w:val="000000"/>
                <w:sz w:val="22"/>
                <w:szCs w:val="22"/>
              </w:rPr>
              <w:t>4.2</w:t>
            </w:r>
          </w:p>
        </w:tc>
        <w:tc>
          <w:tcPr>
            <w:tcW w:w="353" w:type="pct"/>
            <w:shd w:val="clear" w:color="auto" w:fill="auto"/>
            <w:noWrap/>
            <w:vAlign w:val="bottom"/>
            <w:hideMark/>
          </w:tcPr>
          <w:p w14:paraId="0F40884F" w14:textId="77777777" w:rsidR="00F5328D" w:rsidRPr="00A96B82" w:rsidRDefault="00F5328D" w:rsidP="00F5328D">
            <w:pPr>
              <w:jc w:val="right"/>
              <w:rPr>
                <w:rFonts w:cs="Arial"/>
                <w:color w:val="000000"/>
                <w:sz w:val="22"/>
                <w:szCs w:val="22"/>
              </w:rPr>
            </w:pPr>
            <w:r w:rsidRPr="00A96B82">
              <w:rPr>
                <w:rFonts w:cs="Arial"/>
                <w:color w:val="000000"/>
                <w:sz w:val="22"/>
                <w:szCs w:val="22"/>
              </w:rPr>
              <w:t>5.9</w:t>
            </w:r>
          </w:p>
        </w:tc>
        <w:tc>
          <w:tcPr>
            <w:tcW w:w="410" w:type="pct"/>
            <w:shd w:val="clear" w:color="auto" w:fill="auto"/>
            <w:noWrap/>
            <w:vAlign w:val="bottom"/>
            <w:hideMark/>
          </w:tcPr>
          <w:p w14:paraId="39BA0A14" w14:textId="77777777" w:rsidR="00F5328D" w:rsidRPr="00A96B82" w:rsidRDefault="00F5328D" w:rsidP="00F5328D">
            <w:pPr>
              <w:jc w:val="right"/>
              <w:rPr>
                <w:rFonts w:cs="Arial"/>
                <w:color w:val="000000"/>
                <w:sz w:val="22"/>
                <w:szCs w:val="22"/>
              </w:rPr>
            </w:pPr>
            <w:r w:rsidRPr="00A96B82">
              <w:rPr>
                <w:rFonts w:cs="Arial"/>
                <w:color w:val="000000"/>
                <w:sz w:val="22"/>
                <w:szCs w:val="22"/>
              </w:rPr>
              <w:t>0.7</w:t>
            </w:r>
          </w:p>
        </w:tc>
        <w:tc>
          <w:tcPr>
            <w:tcW w:w="410" w:type="pct"/>
            <w:shd w:val="clear" w:color="auto" w:fill="auto"/>
            <w:noWrap/>
            <w:vAlign w:val="bottom"/>
            <w:hideMark/>
          </w:tcPr>
          <w:p w14:paraId="312170C4" w14:textId="77777777" w:rsidR="00F5328D" w:rsidRPr="00A96B82" w:rsidRDefault="00F5328D" w:rsidP="00F5328D">
            <w:pPr>
              <w:jc w:val="right"/>
              <w:rPr>
                <w:rFonts w:cs="Arial"/>
                <w:color w:val="000000"/>
                <w:sz w:val="22"/>
                <w:szCs w:val="22"/>
              </w:rPr>
            </w:pPr>
            <w:r w:rsidRPr="00A96B82">
              <w:rPr>
                <w:rFonts w:cs="Arial"/>
                <w:color w:val="000000"/>
                <w:sz w:val="22"/>
                <w:szCs w:val="22"/>
              </w:rPr>
              <w:t>3.7</w:t>
            </w:r>
          </w:p>
        </w:tc>
        <w:tc>
          <w:tcPr>
            <w:tcW w:w="410" w:type="pct"/>
            <w:shd w:val="clear" w:color="auto" w:fill="auto"/>
            <w:noWrap/>
            <w:vAlign w:val="bottom"/>
            <w:hideMark/>
          </w:tcPr>
          <w:p w14:paraId="6AEFDE53" w14:textId="77777777" w:rsidR="00F5328D" w:rsidRPr="00A96B82" w:rsidRDefault="00F5328D" w:rsidP="00F5328D">
            <w:pPr>
              <w:jc w:val="right"/>
              <w:rPr>
                <w:rFonts w:cs="Arial"/>
                <w:color w:val="000000"/>
                <w:sz w:val="22"/>
                <w:szCs w:val="22"/>
              </w:rPr>
            </w:pPr>
            <w:r w:rsidRPr="00A96B82">
              <w:rPr>
                <w:rFonts w:cs="Arial"/>
                <w:color w:val="000000"/>
                <w:sz w:val="22"/>
                <w:szCs w:val="22"/>
              </w:rPr>
              <w:t>3.4</w:t>
            </w:r>
          </w:p>
        </w:tc>
        <w:tc>
          <w:tcPr>
            <w:tcW w:w="269" w:type="pct"/>
            <w:shd w:val="clear" w:color="auto" w:fill="auto"/>
            <w:noWrap/>
            <w:vAlign w:val="bottom"/>
            <w:hideMark/>
          </w:tcPr>
          <w:p w14:paraId="0F310F2A"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681F7F38" w14:textId="77777777" w:rsidR="00F5328D" w:rsidRPr="00A96B82" w:rsidRDefault="00F5328D" w:rsidP="00F5328D">
            <w:pPr>
              <w:jc w:val="right"/>
              <w:rPr>
                <w:rFonts w:cs="Arial"/>
                <w:color w:val="000000"/>
                <w:sz w:val="22"/>
                <w:szCs w:val="22"/>
              </w:rPr>
            </w:pPr>
            <w:r w:rsidRPr="00A96B82">
              <w:rPr>
                <w:rFonts w:cs="Arial"/>
                <w:color w:val="000000"/>
                <w:sz w:val="22"/>
                <w:szCs w:val="22"/>
              </w:rPr>
              <w:t>5,940</w:t>
            </w:r>
          </w:p>
        </w:tc>
      </w:tr>
      <w:tr w:rsidR="00F5328D" w:rsidRPr="00A96B82" w14:paraId="7783851D" w14:textId="77777777" w:rsidTr="00F5328D">
        <w:trPr>
          <w:trHeight w:val="287"/>
        </w:trPr>
        <w:tc>
          <w:tcPr>
            <w:tcW w:w="1026" w:type="pct"/>
            <w:shd w:val="clear" w:color="auto" w:fill="auto"/>
            <w:noWrap/>
            <w:vAlign w:val="bottom"/>
            <w:hideMark/>
          </w:tcPr>
          <w:p w14:paraId="5E4319CD" w14:textId="77777777" w:rsidR="00F5328D" w:rsidRPr="00A96B82" w:rsidRDefault="00F5328D" w:rsidP="00F5328D">
            <w:pPr>
              <w:rPr>
                <w:rFonts w:cs="Arial"/>
                <w:color w:val="000000"/>
                <w:sz w:val="22"/>
                <w:szCs w:val="22"/>
              </w:rPr>
            </w:pPr>
            <w:r w:rsidRPr="00A96B82">
              <w:rPr>
                <w:rFonts w:cs="Arial"/>
                <w:color w:val="000000"/>
                <w:sz w:val="22"/>
                <w:szCs w:val="22"/>
              </w:rPr>
              <w:t>Strood South</w:t>
            </w:r>
          </w:p>
        </w:tc>
        <w:tc>
          <w:tcPr>
            <w:tcW w:w="353" w:type="pct"/>
            <w:shd w:val="clear" w:color="auto" w:fill="auto"/>
            <w:noWrap/>
            <w:vAlign w:val="bottom"/>
            <w:hideMark/>
          </w:tcPr>
          <w:p w14:paraId="4F41B8C5" w14:textId="77777777" w:rsidR="00F5328D" w:rsidRPr="00A96B82" w:rsidRDefault="00F5328D" w:rsidP="00F5328D">
            <w:pPr>
              <w:jc w:val="right"/>
              <w:rPr>
                <w:rFonts w:cs="Arial"/>
                <w:color w:val="000000"/>
                <w:sz w:val="22"/>
                <w:szCs w:val="22"/>
              </w:rPr>
            </w:pPr>
            <w:r w:rsidRPr="00A96B82">
              <w:rPr>
                <w:rFonts w:cs="Arial"/>
                <w:color w:val="000000"/>
                <w:sz w:val="22"/>
                <w:szCs w:val="22"/>
              </w:rPr>
              <w:t>0.8</w:t>
            </w:r>
          </w:p>
        </w:tc>
        <w:tc>
          <w:tcPr>
            <w:tcW w:w="353" w:type="pct"/>
            <w:shd w:val="clear" w:color="auto" w:fill="auto"/>
            <w:noWrap/>
            <w:vAlign w:val="bottom"/>
            <w:hideMark/>
          </w:tcPr>
          <w:p w14:paraId="275A3B9A" w14:textId="77777777" w:rsidR="00F5328D" w:rsidRPr="00A96B82" w:rsidRDefault="00F5328D" w:rsidP="00F5328D">
            <w:pPr>
              <w:jc w:val="right"/>
              <w:rPr>
                <w:rFonts w:cs="Arial"/>
                <w:color w:val="000000"/>
                <w:sz w:val="22"/>
                <w:szCs w:val="22"/>
              </w:rPr>
            </w:pPr>
            <w:r w:rsidRPr="00A96B82">
              <w:rPr>
                <w:rFonts w:cs="Arial"/>
                <w:color w:val="000000"/>
                <w:sz w:val="22"/>
                <w:szCs w:val="22"/>
              </w:rPr>
              <w:t>15.1</w:t>
            </w:r>
          </w:p>
        </w:tc>
        <w:tc>
          <w:tcPr>
            <w:tcW w:w="353" w:type="pct"/>
            <w:shd w:val="clear" w:color="auto" w:fill="auto"/>
            <w:noWrap/>
            <w:vAlign w:val="bottom"/>
            <w:hideMark/>
          </w:tcPr>
          <w:p w14:paraId="4BAD5B36" w14:textId="77777777" w:rsidR="00F5328D" w:rsidRPr="00A96B82" w:rsidRDefault="00F5328D" w:rsidP="00F5328D">
            <w:pPr>
              <w:jc w:val="right"/>
              <w:rPr>
                <w:rFonts w:cs="Arial"/>
                <w:color w:val="000000"/>
                <w:sz w:val="22"/>
                <w:szCs w:val="22"/>
              </w:rPr>
            </w:pPr>
            <w:r w:rsidRPr="00A96B82">
              <w:rPr>
                <w:rFonts w:cs="Arial"/>
                <w:color w:val="000000"/>
                <w:sz w:val="22"/>
                <w:szCs w:val="22"/>
              </w:rPr>
              <w:t>58.6</w:t>
            </w:r>
          </w:p>
        </w:tc>
        <w:tc>
          <w:tcPr>
            <w:tcW w:w="353" w:type="pct"/>
            <w:shd w:val="clear" w:color="auto" w:fill="auto"/>
            <w:noWrap/>
            <w:vAlign w:val="bottom"/>
            <w:hideMark/>
          </w:tcPr>
          <w:p w14:paraId="5490FF68" w14:textId="77777777" w:rsidR="00F5328D" w:rsidRPr="00A96B82" w:rsidRDefault="00F5328D" w:rsidP="00F5328D">
            <w:pPr>
              <w:jc w:val="right"/>
              <w:rPr>
                <w:rFonts w:cs="Arial"/>
                <w:color w:val="000000"/>
                <w:sz w:val="22"/>
                <w:szCs w:val="22"/>
              </w:rPr>
            </w:pPr>
            <w:r w:rsidRPr="00A96B82">
              <w:rPr>
                <w:rFonts w:cs="Arial"/>
                <w:color w:val="000000"/>
                <w:sz w:val="22"/>
                <w:szCs w:val="22"/>
              </w:rPr>
              <w:t>5.4</w:t>
            </w:r>
          </w:p>
        </w:tc>
        <w:tc>
          <w:tcPr>
            <w:tcW w:w="353" w:type="pct"/>
            <w:shd w:val="clear" w:color="auto" w:fill="auto"/>
            <w:noWrap/>
            <w:vAlign w:val="bottom"/>
            <w:hideMark/>
          </w:tcPr>
          <w:p w14:paraId="59A31BFC" w14:textId="77777777" w:rsidR="00F5328D" w:rsidRPr="00A96B82" w:rsidRDefault="00F5328D" w:rsidP="00F5328D">
            <w:pPr>
              <w:jc w:val="right"/>
              <w:rPr>
                <w:rFonts w:cs="Arial"/>
                <w:color w:val="000000"/>
                <w:sz w:val="22"/>
                <w:szCs w:val="22"/>
              </w:rPr>
            </w:pPr>
            <w:r w:rsidRPr="00A96B82">
              <w:rPr>
                <w:rFonts w:cs="Arial"/>
                <w:color w:val="000000"/>
                <w:sz w:val="22"/>
                <w:szCs w:val="22"/>
              </w:rPr>
              <w:t>6.2</w:t>
            </w:r>
          </w:p>
        </w:tc>
        <w:tc>
          <w:tcPr>
            <w:tcW w:w="353" w:type="pct"/>
            <w:shd w:val="clear" w:color="auto" w:fill="auto"/>
            <w:noWrap/>
            <w:vAlign w:val="bottom"/>
            <w:hideMark/>
          </w:tcPr>
          <w:p w14:paraId="61757F44" w14:textId="77777777" w:rsidR="00F5328D" w:rsidRPr="00A96B82" w:rsidRDefault="00F5328D" w:rsidP="00F5328D">
            <w:pPr>
              <w:jc w:val="right"/>
              <w:rPr>
                <w:rFonts w:cs="Arial"/>
                <w:color w:val="000000"/>
                <w:sz w:val="22"/>
                <w:szCs w:val="22"/>
              </w:rPr>
            </w:pPr>
            <w:r w:rsidRPr="00A96B82">
              <w:rPr>
                <w:rFonts w:cs="Arial"/>
                <w:color w:val="000000"/>
                <w:sz w:val="22"/>
                <w:szCs w:val="22"/>
              </w:rPr>
              <w:t>10.2</w:t>
            </w:r>
          </w:p>
        </w:tc>
        <w:tc>
          <w:tcPr>
            <w:tcW w:w="410" w:type="pct"/>
            <w:shd w:val="clear" w:color="auto" w:fill="auto"/>
            <w:noWrap/>
            <w:vAlign w:val="bottom"/>
            <w:hideMark/>
          </w:tcPr>
          <w:p w14:paraId="73A0430B" w14:textId="77777777" w:rsidR="00F5328D" w:rsidRPr="00A96B82" w:rsidRDefault="00F5328D" w:rsidP="00F5328D">
            <w:pPr>
              <w:jc w:val="right"/>
              <w:rPr>
                <w:rFonts w:cs="Arial"/>
                <w:color w:val="000000"/>
                <w:sz w:val="22"/>
                <w:szCs w:val="22"/>
              </w:rPr>
            </w:pPr>
            <w:r w:rsidRPr="00A96B82">
              <w:rPr>
                <w:rFonts w:cs="Arial"/>
                <w:color w:val="000000"/>
                <w:sz w:val="22"/>
                <w:szCs w:val="22"/>
              </w:rPr>
              <w:t>0.9</w:t>
            </w:r>
          </w:p>
        </w:tc>
        <w:tc>
          <w:tcPr>
            <w:tcW w:w="410" w:type="pct"/>
            <w:shd w:val="clear" w:color="auto" w:fill="auto"/>
            <w:noWrap/>
            <w:vAlign w:val="bottom"/>
            <w:hideMark/>
          </w:tcPr>
          <w:p w14:paraId="6638FA0D" w14:textId="77777777" w:rsidR="00F5328D" w:rsidRPr="00A96B82" w:rsidRDefault="00F5328D" w:rsidP="00F5328D">
            <w:pPr>
              <w:jc w:val="right"/>
              <w:rPr>
                <w:rFonts w:cs="Arial"/>
                <w:color w:val="000000"/>
                <w:sz w:val="22"/>
                <w:szCs w:val="22"/>
              </w:rPr>
            </w:pPr>
            <w:r w:rsidRPr="00A96B82">
              <w:rPr>
                <w:rFonts w:cs="Arial"/>
                <w:color w:val="000000"/>
                <w:sz w:val="22"/>
                <w:szCs w:val="22"/>
              </w:rPr>
              <w:t>2.5</w:t>
            </w:r>
          </w:p>
        </w:tc>
        <w:tc>
          <w:tcPr>
            <w:tcW w:w="410" w:type="pct"/>
            <w:shd w:val="clear" w:color="auto" w:fill="auto"/>
            <w:noWrap/>
            <w:vAlign w:val="bottom"/>
            <w:hideMark/>
          </w:tcPr>
          <w:p w14:paraId="32DDA4B5" w14:textId="77777777" w:rsidR="00F5328D" w:rsidRPr="00A96B82" w:rsidRDefault="00F5328D" w:rsidP="00F5328D">
            <w:pPr>
              <w:jc w:val="right"/>
              <w:rPr>
                <w:rFonts w:cs="Arial"/>
                <w:color w:val="000000"/>
                <w:sz w:val="22"/>
                <w:szCs w:val="22"/>
              </w:rPr>
            </w:pPr>
            <w:r w:rsidRPr="00A96B82">
              <w:rPr>
                <w:rFonts w:cs="Arial"/>
                <w:color w:val="000000"/>
                <w:sz w:val="22"/>
                <w:szCs w:val="22"/>
              </w:rPr>
              <w:t>0.3</w:t>
            </w:r>
          </w:p>
        </w:tc>
        <w:tc>
          <w:tcPr>
            <w:tcW w:w="269" w:type="pct"/>
            <w:shd w:val="clear" w:color="auto" w:fill="auto"/>
            <w:noWrap/>
            <w:vAlign w:val="bottom"/>
            <w:hideMark/>
          </w:tcPr>
          <w:p w14:paraId="7C048160"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53E446F8" w14:textId="77777777" w:rsidR="00F5328D" w:rsidRPr="00A96B82" w:rsidRDefault="00F5328D" w:rsidP="00F5328D">
            <w:pPr>
              <w:jc w:val="right"/>
              <w:rPr>
                <w:rFonts w:cs="Arial"/>
                <w:color w:val="000000"/>
                <w:sz w:val="22"/>
                <w:szCs w:val="22"/>
              </w:rPr>
            </w:pPr>
            <w:r w:rsidRPr="00A96B82">
              <w:rPr>
                <w:rFonts w:cs="Arial"/>
                <w:color w:val="000000"/>
                <w:sz w:val="22"/>
                <w:szCs w:val="22"/>
              </w:rPr>
              <w:t>6,470</w:t>
            </w:r>
          </w:p>
        </w:tc>
      </w:tr>
      <w:tr w:rsidR="00F5328D" w:rsidRPr="00A96B82" w14:paraId="48FEE5F7" w14:textId="77777777" w:rsidTr="00F5328D">
        <w:trPr>
          <w:trHeight w:val="287"/>
        </w:trPr>
        <w:tc>
          <w:tcPr>
            <w:tcW w:w="1026" w:type="pct"/>
            <w:shd w:val="clear" w:color="auto" w:fill="auto"/>
            <w:noWrap/>
            <w:vAlign w:val="bottom"/>
            <w:hideMark/>
          </w:tcPr>
          <w:p w14:paraId="0B968E64" w14:textId="77777777" w:rsidR="00F5328D" w:rsidRPr="00A96B82" w:rsidRDefault="00F5328D" w:rsidP="00F5328D">
            <w:pPr>
              <w:rPr>
                <w:rFonts w:cs="Arial"/>
                <w:color w:val="000000"/>
                <w:sz w:val="22"/>
                <w:szCs w:val="22"/>
              </w:rPr>
            </w:pPr>
            <w:proofErr w:type="spellStart"/>
            <w:r w:rsidRPr="00A96B82">
              <w:rPr>
                <w:rFonts w:cs="Arial"/>
                <w:color w:val="000000"/>
                <w:sz w:val="22"/>
                <w:szCs w:val="22"/>
              </w:rPr>
              <w:t>Twydall</w:t>
            </w:r>
            <w:proofErr w:type="spellEnd"/>
          </w:p>
        </w:tc>
        <w:tc>
          <w:tcPr>
            <w:tcW w:w="353" w:type="pct"/>
            <w:shd w:val="clear" w:color="auto" w:fill="auto"/>
            <w:noWrap/>
            <w:vAlign w:val="bottom"/>
            <w:hideMark/>
          </w:tcPr>
          <w:p w14:paraId="29E158B0" w14:textId="77777777" w:rsidR="00F5328D" w:rsidRPr="00A96B82" w:rsidRDefault="00F5328D" w:rsidP="00F5328D">
            <w:pPr>
              <w:jc w:val="right"/>
              <w:rPr>
                <w:rFonts w:cs="Arial"/>
                <w:color w:val="000000"/>
                <w:sz w:val="22"/>
                <w:szCs w:val="22"/>
              </w:rPr>
            </w:pPr>
            <w:r w:rsidRPr="00A96B82">
              <w:rPr>
                <w:rFonts w:cs="Arial"/>
                <w:color w:val="000000"/>
                <w:sz w:val="22"/>
                <w:szCs w:val="22"/>
              </w:rPr>
              <w:t>0.6</w:t>
            </w:r>
          </w:p>
        </w:tc>
        <w:tc>
          <w:tcPr>
            <w:tcW w:w="353" w:type="pct"/>
            <w:shd w:val="clear" w:color="auto" w:fill="auto"/>
            <w:noWrap/>
            <w:vAlign w:val="bottom"/>
            <w:hideMark/>
          </w:tcPr>
          <w:p w14:paraId="451420EB" w14:textId="77777777" w:rsidR="00F5328D" w:rsidRPr="00A96B82" w:rsidRDefault="00F5328D" w:rsidP="00F5328D">
            <w:pPr>
              <w:jc w:val="right"/>
              <w:rPr>
                <w:rFonts w:cs="Arial"/>
                <w:color w:val="000000"/>
                <w:sz w:val="22"/>
                <w:szCs w:val="22"/>
              </w:rPr>
            </w:pPr>
            <w:r w:rsidRPr="00A96B82">
              <w:rPr>
                <w:rFonts w:cs="Arial"/>
                <w:color w:val="000000"/>
                <w:sz w:val="22"/>
                <w:szCs w:val="22"/>
              </w:rPr>
              <w:t>18.2</w:t>
            </w:r>
          </w:p>
        </w:tc>
        <w:tc>
          <w:tcPr>
            <w:tcW w:w="353" w:type="pct"/>
            <w:shd w:val="clear" w:color="auto" w:fill="auto"/>
            <w:noWrap/>
            <w:vAlign w:val="bottom"/>
            <w:hideMark/>
          </w:tcPr>
          <w:p w14:paraId="303FAE10" w14:textId="77777777" w:rsidR="00F5328D" w:rsidRPr="00A96B82" w:rsidRDefault="00F5328D" w:rsidP="00F5328D">
            <w:pPr>
              <w:jc w:val="right"/>
              <w:rPr>
                <w:rFonts w:cs="Arial"/>
                <w:color w:val="000000"/>
                <w:sz w:val="22"/>
                <w:szCs w:val="22"/>
              </w:rPr>
            </w:pPr>
            <w:r w:rsidRPr="00A96B82">
              <w:rPr>
                <w:rFonts w:cs="Arial"/>
                <w:color w:val="000000"/>
                <w:sz w:val="22"/>
                <w:szCs w:val="22"/>
              </w:rPr>
              <w:t>61.1</w:t>
            </w:r>
          </w:p>
        </w:tc>
        <w:tc>
          <w:tcPr>
            <w:tcW w:w="353" w:type="pct"/>
            <w:shd w:val="clear" w:color="auto" w:fill="auto"/>
            <w:noWrap/>
            <w:vAlign w:val="bottom"/>
            <w:hideMark/>
          </w:tcPr>
          <w:p w14:paraId="16057BB9" w14:textId="77777777" w:rsidR="00F5328D" w:rsidRPr="00A96B82" w:rsidRDefault="00F5328D" w:rsidP="00F5328D">
            <w:pPr>
              <w:jc w:val="right"/>
              <w:rPr>
                <w:rFonts w:cs="Arial"/>
                <w:color w:val="000000"/>
                <w:sz w:val="22"/>
                <w:szCs w:val="22"/>
              </w:rPr>
            </w:pPr>
            <w:r w:rsidRPr="00A96B82">
              <w:rPr>
                <w:rFonts w:cs="Arial"/>
                <w:color w:val="000000"/>
                <w:sz w:val="22"/>
                <w:szCs w:val="22"/>
              </w:rPr>
              <w:t>2.9</w:t>
            </w:r>
          </w:p>
        </w:tc>
        <w:tc>
          <w:tcPr>
            <w:tcW w:w="353" w:type="pct"/>
            <w:shd w:val="clear" w:color="auto" w:fill="auto"/>
            <w:noWrap/>
            <w:vAlign w:val="bottom"/>
            <w:hideMark/>
          </w:tcPr>
          <w:p w14:paraId="6B682EDD" w14:textId="77777777" w:rsidR="00F5328D" w:rsidRPr="00A96B82" w:rsidRDefault="00F5328D" w:rsidP="00F5328D">
            <w:pPr>
              <w:jc w:val="right"/>
              <w:rPr>
                <w:rFonts w:cs="Arial"/>
                <w:color w:val="000000"/>
                <w:sz w:val="22"/>
                <w:szCs w:val="22"/>
              </w:rPr>
            </w:pPr>
            <w:r w:rsidRPr="00A96B82">
              <w:rPr>
                <w:rFonts w:cs="Arial"/>
                <w:color w:val="000000"/>
                <w:sz w:val="22"/>
                <w:szCs w:val="22"/>
              </w:rPr>
              <w:t>7.5</w:t>
            </w:r>
          </w:p>
        </w:tc>
        <w:tc>
          <w:tcPr>
            <w:tcW w:w="353" w:type="pct"/>
            <w:shd w:val="clear" w:color="auto" w:fill="auto"/>
            <w:noWrap/>
            <w:vAlign w:val="bottom"/>
            <w:hideMark/>
          </w:tcPr>
          <w:p w14:paraId="16DAB924" w14:textId="77777777" w:rsidR="00F5328D" w:rsidRPr="00A96B82" w:rsidRDefault="00F5328D" w:rsidP="00F5328D">
            <w:pPr>
              <w:jc w:val="right"/>
              <w:rPr>
                <w:rFonts w:cs="Arial"/>
                <w:color w:val="000000"/>
                <w:sz w:val="22"/>
                <w:szCs w:val="22"/>
              </w:rPr>
            </w:pPr>
            <w:r w:rsidRPr="00A96B82">
              <w:rPr>
                <w:rFonts w:cs="Arial"/>
                <w:color w:val="000000"/>
                <w:sz w:val="22"/>
                <w:szCs w:val="22"/>
              </w:rPr>
              <w:t>3.3</w:t>
            </w:r>
          </w:p>
        </w:tc>
        <w:tc>
          <w:tcPr>
            <w:tcW w:w="410" w:type="pct"/>
            <w:shd w:val="clear" w:color="auto" w:fill="auto"/>
            <w:noWrap/>
            <w:vAlign w:val="bottom"/>
            <w:hideMark/>
          </w:tcPr>
          <w:p w14:paraId="5FFD606F" w14:textId="77777777" w:rsidR="00F5328D" w:rsidRPr="00A96B82" w:rsidRDefault="00F5328D" w:rsidP="00F5328D">
            <w:pPr>
              <w:jc w:val="right"/>
              <w:rPr>
                <w:rFonts w:cs="Arial"/>
                <w:color w:val="000000"/>
                <w:sz w:val="22"/>
                <w:szCs w:val="22"/>
              </w:rPr>
            </w:pPr>
            <w:r w:rsidRPr="00A96B82">
              <w:rPr>
                <w:rFonts w:cs="Arial"/>
                <w:color w:val="000000"/>
                <w:sz w:val="22"/>
                <w:szCs w:val="22"/>
              </w:rPr>
              <w:t>3.1</w:t>
            </w:r>
          </w:p>
        </w:tc>
        <w:tc>
          <w:tcPr>
            <w:tcW w:w="410" w:type="pct"/>
            <w:shd w:val="clear" w:color="auto" w:fill="auto"/>
            <w:noWrap/>
            <w:vAlign w:val="bottom"/>
            <w:hideMark/>
          </w:tcPr>
          <w:p w14:paraId="166971AC" w14:textId="77777777" w:rsidR="00F5328D" w:rsidRPr="00A96B82" w:rsidRDefault="00F5328D" w:rsidP="00F5328D">
            <w:pPr>
              <w:jc w:val="right"/>
              <w:rPr>
                <w:rFonts w:cs="Arial"/>
                <w:color w:val="000000"/>
                <w:sz w:val="22"/>
                <w:szCs w:val="22"/>
              </w:rPr>
            </w:pPr>
            <w:r w:rsidRPr="00A96B82">
              <w:rPr>
                <w:rFonts w:cs="Arial"/>
                <w:color w:val="000000"/>
                <w:sz w:val="22"/>
                <w:szCs w:val="22"/>
              </w:rPr>
              <w:t>2.2</w:t>
            </w:r>
          </w:p>
        </w:tc>
        <w:tc>
          <w:tcPr>
            <w:tcW w:w="410" w:type="pct"/>
            <w:shd w:val="clear" w:color="auto" w:fill="auto"/>
            <w:noWrap/>
            <w:vAlign w:val="bottom"/>
            <w:hideMark/>
          </w:tcPr>
          <w:p w14:paraId="663A83D0" w14:textId="77777777" w:rsidR="00F5328D" w:rsidRPr="00A96B82" w:rsidRDefault="00F5328D" w:rsidP="00F5328D">
            <w:pPr>
              <w:jc w:val="right"/>
              <w:rPr>
                <w:rFonts w:cs="Arial"/>
                <w:color w:val="000000"/>
                <w:sz w:val="22"/>
                <w:szCs w:val="22"/>
              </w:rPr>
            </w:pPr>
            <w:r w:rsidRPr="00A96B82">
              <w:rPr>
                <w:rFonts w:cs="Arial"/>
                <w:color w:val="000000"/>
                <w:sz w:val="22"/>
                <w:szCs w:val="22"/>
              </w:rPr>
              <w:t>1.1</w:t>
            </w:r>
          </w:p>
        </w:tc>
        <w:tc>
          <w:tcPr>
            <w:tcW w:w="269" w:type="pct"/>
            <w:shd w:val="clear" w:color="auto" w:fill="auto"/>
            <w:noWrap/>
            <w:vAlign w:val="bottom"/>
            <w:hideMark/>
          </w:tcPr>
          <w:p w14:paraId="6DDFA278"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3768C29E" w14:textId="77777777" w:rsidR="00F5328D" w:rsidRPr="00A96B82" w:rsidRDefault="00F5328D" w:rsidP="00F5328D">
            <w:pPr>
              <w:jc w:val="right"/>
              <w:rPr>
                <w:rFonts w:cs="Arial"/>
                <w:color w:val="000000"/>
                <w:sz w:val="22"/>
                <w:szCs w:val="22"/>
              </w:rPr>
            </w:pPr>
            <w:r w:rsidRPr="00A96B82">
              <w:rPr>
                <w:rFonts w:cs="Arial"/>
                <w:color w:val="000000"/>
                <w:sz w:val="22"/>
                <w:szCs w:val="22"/>
              </w:rPr>
              <w:t>5,450</w:t>
            </w:r>
          </w:p>
        </w:tc>
      </w:tr>
      <w:tr w:rsidR="00F5328D" w:rsidRPr="00A96B82" w14:paraId="747041A2" w14:textId="77777777" w:rsidTr="00F5328D">
        <w:trPr>
          <w:trHeight w:val="287"/>
        </w:trPr>
        <w:tc>
          <w:tcPr>
            <w:tcW w:w="1026" w:type="pct"/>
            <w:shd w:val="clear" w:color="auto" w:fill="auto"/>
            <w:noWrap/>
            <w:vAlign w:val="bottom"/>
            <w:hideMark/>
          </w:tcPr>
          <w:p w14:paraId="75C901E7" w14:textId="77777777" w:rsidR="00F5328D" w:rsidRPr="00A96B82" w:rsidRDefault="00F5328D" w:rsidP="00F5328D">
            <w:pPr>
              <w:rPr>
                <w:rFonts w:cs="Arial"/>
                <w:color w:val="000000"/>
                <w:sz w:val="22"/>
                <w:szCs w:val="22"/>
              </w:rPr>
            </w:pPr>
            <w:r w:rsidRPr="00A96B82">
              <w:rPr>
                <w:rFonts w:cs="Arial"/>
                <w:color w:val="000000"/>
                <w:sz w:val="22"/>
                <w:szCs w:val="22"/>
              </w:rPr>
              <w:t>Walderslade</w:t>
            </w:r>
          </w:p>
        </w:tc>
        <w:tc>
          <w:tcPr>
            <w:tcW w:w="353" w:type="pct"/>
            <w:shd w:val="clear" w:color="auto" w:fill="auto"/>
            <w:noWrap/>
            <w:vAlign w:val="bottom"/>
            <w:hideMark/>
          </w:tcPr>
          <w:p w14:paraId="3B5AFE91" w14:textId="77777777" w:rsidR="00F5328D" w:rsidRPr="00A96B82" w:rsidRDefault="00F5328D" w:rsidP="00F5328D">
            <w:pPr>
              <w:jc w:val="right"/>
              <w:rPr>
                <w:rFonts w:cs="Arial"/>
                <w:color w:val="000000"/>
                <w:sz w:val="22"/>
                <w:szCs w:val="22"/>
              </w:rPr>
            </w:pPr>
            <w:r w:rsidRPr="00A96B82">
              <w:rPr>
                <w:rFonts w:cs="Arial"/>
                <w:color w:val="000000"/>
                <w:sz w:val="22"/>
                <w:szCs w:val="22"/>
              </w:rPr>
              <w:t>0.3</w:t>
            </w:r>
          </w:p>
        </w:tc>
        <w:tc>
          <w:tcPr>
            <w:tcW w:w="353" w:type="pct"/>
            <w:shd w:val="clear" w:color="auto" w:fill="auto"/>
            <w:noWrap/>
            <w:vAlign w:val="bottom"/>
            <w:hideMark/>
          </w:tcPr>
          <w:p w14:paraId="2CE4E010" w14:textId="77777777" w:rsidR="00F5328D" w:rsidRPr="00A96B82" w:rsidRDefault="00F5328D" w:rsidP="00F5328D">
            <w:pPr>
              <w:jc w:val="right"/>
              <w:rPr>
                <w:rFonts w:cs="Arial"/>
                <w:color w:val="000000"/>
                <w:sz w:val="22"/>
                <w:szCs w:val="22"/>
              </w:rPr>
            </w:pPr>
            <w:r w:rsidRPr="00A96B82">
              <w:rPr>
                <w:rFonts w:cs="Arial"/>
                <w:color w:val="000000"/>
                <w:sz w:val="22"/>
                <w:szCs w:val="22"/>
              </w:rPr>
              <w:t>17.4</w:t>
            </w:r>
          </w:p>
        </w:tc>
        <w:tc>
          <w:tcPr>
            <w:tcW w:w="353" w:type="pct"/>
            <w:shd w:val="clear" w:color="auto" w:fill="auto"/>
            <w:noWrap/>
            <w:vAlign w:val="bottom"/>
            <w:hideMark/>
          </w:tcPr>
          <w:p w14:paraId="6374820E" w14:textId="77777777" w:rsidR="00F5328D" w:rsidRPr="00A96B82" w:rsidRDefault="00F5328D" w:rsidP="00F5328D">
            <w:pPr>
              <w:jc w:val="right"/>
              <w:rPr>
                <w:rFonts w:cs="Arial"/>
                <w:color w:val="000000"/>
                <w:sz w:val="22"/>
                <w:szCs w:val="22"/>
              </w:rPr>
            </w:pPr>
            <w:r w:rsidRPr="00A96B82">
              <w:rPr>
                <w:rFonts w:cs="Arial"/>
                <w:color w:val="000000"/>
                <w:sz w:val="22"/>
                <w:szCs w:val="22"/>
              </w:rPr>
              <w:t>47.2</w:t>
            </w:r>
          </w:p>
        </w:tc>
        <w:tc>
          <w:tcPr>
            <w:tcW w:w="353" w:type="pct"/>
            <w:shd w:val="clear" w:color="auto" w:fill="auto"/>
            <w:noWrap/>
            <w:vAlign w:val="bottom"/>
            <w:hideMark/>
          </w:tcPr>
          <w:p w14:paraId="07AE2E6D" w14:textId="77777777" w:rsidR="00F5328D" w:rsidRPr="00A96B82" w:rsidRDefault="00F5328D" w:rsidP="00F5328D">
            <w:pPr>
              <w:jc w:val="right"/>
              <w:rPr>
                <w:rFonts w:cs="Arial"/>
                <w:color w:val="000000"/>
                <w:sz w:val="22"/>
                <w:szCs w:val="22"/>
              </w:rPr>
            </w:pPr>
            <w:r w:rsidRPr="00A96B82">
              <w:rPr>
                <w:rFonts w:cs="Arial"/>
                <w:color w:val="000000"/>
                <w:sz w:val="22"/>
                <w:szCs w:val="22"/>
              </w:rPr>
              <w:t>10.4</w:t>
            </w:r>
          </w:p>
        </w:tc>
        <w:tc>
          <w:tcPr>
            <w:tcW w:w="353" w:type="pct"/>
            <w:shd w:val="clear" w:color="auto" w:fill="auto"/>
            <w:noWrap/>
            <w:vAlign w:val="bottom"/>
            <w:hideMark/>
          </w:tcPr>
          <w:p w14:paraId="4037CF2F" w14:textId="77777777" w:rsidR="00F5328D" w:rsidRPr="00A96B82" w:rsidRDefault="00F5328D" w:rsidP="00F5328D">
            <w:pPr>
              <w:jc w:val="right"/>
              <w:rPr>
                <w:rFonts w:cs="Arial"/>
                <w:color w:val="000000"/>
                <w:sz w:val="22"/>
                <w:szCs w:val="22"/>
              </w:rPr>
            </w:pPr>
            <w:r w:rsidRPr="00A96B82">
              <w:rPr>
                <w:rFonts w:cs="Arial"/>
                <w:color w:val="000000"/>
                <w:sz w:val="22"/>
                <w:szCs w:val="22"/>
              </w:rPr>
              <w:t>5.2</w:t>
            </w:r>
          </w:p>
        </w:tc>
        <w:tc>
          <w:tcPr>
            <w:tcW w:w="353" w:type="pct"/>
            <w:shd w:val="clear" w:color="auto" w:fill="auto"/>
            <w:noWrap/>
            <w:vAlign w:val="bottom"/>
            <w:hideMark/>
          </w:tcPr>
          <w:p w14:paraId="381411C5" w14:textId="77777777" w:rsidR="00F5328D" w:rsidRPr="00A96B82" w:rsidRDefault="00F5328D" w:rsidP="00F5328D">
            <w:pPr>
              <w:jc w:val="right"/>
              <w:rPr>
                <w:rFonts w:cs="Arial"/>
                <w:color w:val="000000"/>
                <w:sz w:val="22"/>
                <w:szCs w:val="22"/>
              </w:rPr>
            </w:pPr>
            <w:r w:rsidRPr="00A96B82">
              <w:rPr>
                <w:rFonts w:cs="Arial"/>
                <w:color w:val="000000"/>
                <w:sz w:val="22"/>
                <w:szCs w:val="22"/>
              </w:rPr>
              <w:t>7.0</w:t>
            </w:r>
          </w:p>
        </w:tc>
        <w:tc>
          <w:tcPr>
            <w:tcW w:w="410" w:type="pct"/>
            <w:shd w:val="clear" w:color="auto" w:fill="auto"/>
            <w:noWrap/>
            <w:vAlign w:val="bottom"/>
            <w:hideMark/>
          </w:tcPr>
          <w:p w14:paraId="74FA8848" w14:textId="77777777" w:rsidR="00F5328D" w:rsidRPr="00A96B82" w:rsidRDefault="00F5328D" w:rsidP="00F5328D">
            <w:pPr>
              <w:jc w:val="right"/>
              <w:rPr>
                <w:rFonts w:cs="Arial"/>
                <w:color w:val="000000"/>
                <w:sz w:val="22"/>
                <w:szCs w:val="22"/>
              </w:rPr>
            </w:pPr>
            <w:r w:rsidRPr="00A96B82">
              <w:rPr>
                <w:rFonts w:cs="Arial"/>
                <w:color w:val="000000"/>
                <w:sz w:val="22"/>
                <w:szCs w:val="22"/>
              </w:rPr>
              <w:t>1.8</w:t>
            </w:r>
          </w:p>
        </w:tc>
        <w:tc>
          <w:tcPr>
            <w:tcW w:w="410" w:type="pct"/>
            <w:shd w:val="clear" w:color="auto" w:fill="auto"/>
            <w:noWrap/>
            <w:vAlign w:val="bottom"/>
            <w:hideMark/>
          </w:tcPr>
          <w:p w14:paraId="4A4B2A91" w14:textId="77777777" w:rsidR="00F5328D" w:rsidRPr="00A96B82" w:rsidRDefault="00F5328D" w:rsidP="00F5328D">
            <w:pPr>
              <w:jc w:val="right"/>
              <w:rPr>
                <w:rFonts w:cs="Arial"/>
                <w:color w:val="000000"/>
                <w:sz w:val="22"/>
                <w:szCs w:val="22"/>
              </w:rPr>
            </w:pPr>
            <w:r w:rsidRPr="00A96B82">
              <w:rPr>
                <w:rFonts w:cs="Arial"/>
                <w:color w:val="000000"/>
                <w:sz w:val="22"/>
                <w:szCs w:val="22"/>
              </w:rPr>
              <w:t>6.2</w:t>
            </w:r>
          </w:p>
        </w:tc>
        <w:tc>
          <w:tcPr>
            <w:tcW w:w="410" w:type="pct"/>
            <w:shd w:val="clear" w:color="auto" w:fill="auto"/>
            <w:noWrap/>
            <w:vAlign w:val="bottom"/>
            <w:hideMark/>
          </w:tcPr>
          <w:p w14:paraId="40ACD29E" w14:textId="77777777" w:rsidR="00F5328D" w:rsidRPr="00A96B82" w:rsidRDefault="00F5328D" w:rsidP="00F5328D">
            <w:pPr>
              <w:jc w:val="right"/>
              <w:rPr>
                <w:rFonts w:cs="Arial"/>
                <w:color w:val="000000"/>
                <w:sz w:val="22"/>
                <w:szCs w:val="22"/>
              </w:rPr>
            </w:pPr>
            <w:r w:rsidRPr="00A96B82">
              <w:rPr>
                <w:rFonts w:cs="Arial"/>
                <w:color w:val="000000"/>
                <w:sz w:val="22"/>
                <w:szCs w:val="22"/>
              </w:rPr>
              <w:t>4.7</w:t>
            </w:r>
          </w:p>
        </w:tc>
        <w:tc>
          <w:tcPr>
            <w:tcW w:w="269" w:type="pct"/>
            <w:shd w:val="clear" w:color="auto" w:fill="auto"/>
            <w:noWrap/>
            <w:vAlign w:val="bottom"/>
            <w:hideMark/>
          </w:tcPr>
          <w:p w14:paraId="4118DE5A"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7216EC32" w14:textId="77777777" w:rsidR="00F5328D" w:rsidRPr="00A96B82" w:rsidRDefault="00F5328D" w:rsidP="00F5328D">
            <w:pPr>
              <w:jc w:val="right"/>
              <w:rPr>
                <w:rFonts w:cs="Arial"/>
                <w:color w:val="000000"/>
                <w:sz w:val="22"/>
                <w:szCs w:val="22"/>
              </w:rPr>
            </w:pPr>
            <w:r w:rsidRPr="00A96B82">
              <w:rPr>
                <w:rFonts w:cs="Arial"/>
                <w:color w:val="000000"/>
                <w:sz w:val="22"/>
                <w:szCs w:val="22"/>
              </w:rPr>
              <w:t>3,860</w:t>
            </w:r>
          </w:p>
        </w:tc>
      </w:tr>
      <w:tr w:rsidR="00F5328D" w:rsidRPr="00A96B82" w14:paraId="30BE3448" w14:textId="77777777" w:rsidTr="00F5328D">
        <w:trPr>
          <w:trHeight w:val="287"/>
        </w:trPr>
        <w:tc>
          <w:tcPr>
            <w:tcW w:w="1026" w:type="pct"/>
            <w:shd w:val="clear" w:color="auto" w:fill="auto"/>
            <w:noWrap/>
            <w:vAlign w:val="bottom"/>
            <w:hideMark/>
          </w:tcPr>
          <w:p w14:paraId="1192CD47" w14:textId="77777777" w:rsidR="00F5328D" w:rsidRPr="00A96B82" w:rsidRDefault="00F5328D" w:rsidP="00F5328D">
            <w:pPr>
              <w:rPr>
                <w:rFonts w:cs="Arial"/>
                <w:color w:val="000000"/>
                <w:sz w:val="22"/>
                <w:szCs w:val="22"/>
              </w:rPr>
            </w:pPr>
            <w:r w:rsidRPr="00A96B82">
              <w:rPr>
                <w:rFonts w:cs="Arial"/>
                <w:color w:val="000000"/>
                <w:sz w:val="22"/>
                <w:szCs w:val="22"/>
              </w:rPr>
              <w:t>Watling</w:t>
            </w:r>
          </w:p>
        </w:tc>
        <w:tc>
          <w:tcPr>
            <w:tcW w:w="353" w:type="pct"/>
            <w:shd w:val="clear" w:color="auto" w:fill="auto"/>
            <w:noWrap/>
            <w:vAlign w:val="bottom"/>
            <w:hideMark/>
          </w:tcPr>
          <w:p w14:paraId="47D9E626"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353" w:type="pct"/>
            <w:shd w:val="clear" w:color="auto" w:fill="auto"/>
            <w:noWrap/>
            <w:vAlign w:val="bottom"/>
            <w:hideMark/>
          </w:tcPr>
          <w:p w14:paraId="0D5F12FA" w14:textId="77777777" w:rsidR="00F5328D" w:rsidRPr="00A96B82" w:rsidRDefault="00F5328D" w:rsidP="00F5328D">
            <w:pPr>
              <w:jc w:val="right"/>
              <w:rPr>
                <w:rFonts w:cs="Arial"/>
                <w:color w:val="000000"/>
                <w:sz w:val="22"/>
                <w:szCs w:val="22"/>
              </w:rPr>
            </w:pPr>
            <w:r w:rsidRPr="00A96B82">
              <w:rPr>
                <w:rFonts w:cs="Arial"/>
                <w:color w:val="000000"/>
                <w:sz w:val="22"/>
                <w:szCs w:val="22"/>
              </w:rPr>
              <w:t>8.0</w:t>
            </w:r>
          </w:p>
        </w:tc>
        <w:tc>
          <w:tcPr>
            <w:tcW w:w="353" w:type="pct"/>
            <w:shd w:val="clear" w:color="auto" w:fill="auto"/>
            <w:noWrap/>
            <w:vAlign w:val="bottom"/>
            <w:hideMark/>
          </w:tcPr>
          <w:p w14:paraId="1367CC20" w14:textId="77777777" w:rsidR="00F5328D" w:rsidRPr="00A96B82" w:rsidRDefault="00F5328D" w:rsidP="00F5328D">
            <w:pPr>
              <w:jc w:val="right"/>
              <w:rPr>
                <w:rFonts w:cs="Arial"/>
                <w:color w:val="000000"/>
                <w:sz w:val="22"/>
                <w:szCs w:val="22"/>
              </w:rPr>
            </w:pPr>
            <w:r w:rsidRPr="00A96B82">
              <w:rPr>
                <w:rFonts w:cs="Arial"/>
                <w:color w:val="000000"/>
                <w:sz w:val="22"/>
                <w:szCs w:val="22"/>
              </w:rPr>
              <w:t>64.9</w:t>
            </w:r>
          </w:p>
        </w:tc>
        <w:tc>
          <w:tcPr>
            <w:tcW w:w="353" w:type="pct"/>
            <w:shd w:val="clear" w:color="auto" w:fill="auto"/>
            <w:noWrap/>
            <w:vAlign w:val="bottom"/>
            <w:hideMark/>
          </w:tcPr>
          <w:p w14:paraId="100EB029" w14:textId="77777777" w:rsidR="00F5328D" w:rsidRPr="00A96B82" w:rsidRDefault="00F5328D" w:rsidP="00F5328D">
            <w:pPr>
              <w:jc w:val="right"/>
              <w:rPr>
                <w:rFonts w:cs="Arial"/>
                <w:color w:val="000000"/>
                <w:sz w:val="22"/>
                <w:szCs w:val="22"/>
              </w:rPr>
            </w:pPr>
            <w:r w:rsidRPr="00A96B82">
              <w:rPr>
                <w:rFonts w:cs="Arial"/>
                <w:color w:val="000000"/>
                <w:sz w:val="22"/>
                <w:szCs w:val="22"/>
              </w:rPr>
              <w:t>16.9</w:t>
            </w:r>
          </w:p>
        </w:tc>
        <w:tc>
          <w:tcPr>
            <w:tcW w:w="353" w:type="pct"/>
            <w:shd w:val="clear" w:color="auto" w:fill="auto"/>
            <w:noWrap/>
            <w:vAlign w:val="bottom"/>
            <w:hideMark/>
          </w:tcPr>
          <w:p w14:paraId="1E88C1C7" w14:textId="77777777" w:rsidR="00F5328D" w:rsidRPr="00A96B82" w:rsidRDefault="00F5328D" w:rsidP="00F5328D">
            <w:pPr>
              <w:jc w:val="right"/>
              <w:rPr>
                <w:rFonts w:cs="Arial"/>
                <w:color w:val="000000"/>
                <w:sz w:val="22"/>
                <w:szCs w:val="22"/>
              </w:rPr>
            </w:pPr>
            <w:r w:rsidRPr="00A96B82">
              <w:rPr>
                <w:rFonts w:cs="Arial"/>
                <w:color w:val="000000"/>
                <w:sz w:val="22"/>
                <w:szCs w:val="22"/>
              </w:rPr>
              <w:t>4.3</w:t>
            </w:r>
          </w:p>
        </w:tc>
        <w:tc>
          <w:tcPr>
            <w:tcW w:w="353" w:type="pct"/>
            <w:shd w:val="clear" w:color="auto" w:fill="auto"/>
            <w:noWrap/>
            <w:vAlign w:val="bottom"/>
            <w:hideMark/>
          </w:tcPr>
          <w:p w14:paraId="7F7EC190" w14:textId="77777777" w:rsidR="00F5328D" w:rsidRPr="00A96B82" w:rsidRDefault="00F5328D" w:rsidP="00F5328D">
            <w:pPr>
              <w:jc w:val="right"/>
              <w:rPr>
                <w:rFonts w:cs="Arial"/>
                <w:color w:val="000000"/>
                <w:sz w:val="22"/>
                <w:szCs w:val="22"/>
              </w:rPr>
            </w:pPr>
            <w:r w:rsidRPr="00A96B82">
              <w:rPr>
                <w:rFonts w:cs="Arial"/>
                <w:color w:val="000000"/>
                <w:sz w:val="22"/>
                <w:szCs w:val="22"/>
              </w:rPr>
              <w:t>3.4</w:t>
            </w:r>
          </w:p>
        </w:tc>
        <w:tc>
          <w:tcPr>
            <w:tcW w:w="410" w:type="pct"/>
            <w:shd w:val="clear" w:color="auto" w:fill="auto"/>
            <w:noWrap/>
            <w:vAlign w:val="bottom"/>
            <w:hideMark/>
          </w:tcPr>
          <w:p w14:paraId="3CD49C16" w14:textId="77777777" w:rsidR="00F5328D" w:rsidRPr="00A96B82" w:rsidRDefault="00F5328D" w:rsidP="00F5328D">
            <w:pPr>
              <w:jc w:val="right"/>
              <w:rPr>
                <w:rFonts w:cs="Arial"/>
                <w:color w:val="000000"/>
                <w:sz w:val="22"/>
                <w:szCs w:val="22"/>
              </w:rPr>
            </w:pPr>
            <w:r w:rsidRPr="00A96B82">
              <w:rPr>
                <w:rFonts w:cs="Arial"/>
                <w:color w:val="000000"/>
                <w:sz w:val="22"/>
                <w:szCs w:val="22"/>
              </w:rPr>
              <w:t>0.0</w:t>
            </w:r>
          </w:p>
        </w:tc>
        <w:tc>
          <w:tcPr>
            <w:tcW w:w="410" w:type="pct"/>
            <w:shd w:val="clear" w:color="auto" w:fill="auto"/>
            <w:noWrap/>
            <w:vAlign w:val="bottom"/>
            <w:hideMark/>
          </w:tcPr>
          <w:p w14:paraId="4374CBB0" w14:textId="77777777" w:rsidR="00F5328D" w:rsidRPr="00A96B82" w:rsidRDefault="00F5328D" w:rsidP="00F5328D">
            <w:pPr>
              <w:jc w:val="right"/>
              <w:rPr>
                <w:rFonts w:cs="Arial"/>
                <w:color w:val="000000"/>
                <w:sz w:val="22"/>
                <w:szCs w:val="22"/>
              </w:rPr>
            </w:pPr>
            <w:r w:rsidRPr="00A96B82">
              <w:rPr>
                <w:rFonts w:cs="Arial"/>
                <w:color w:val="000000"/>
                <w:sz w:val="22"/>
                <w:szCs w:val="22"/>
              </w:rPr>
              <w:t>2.3</w:t>
            </w:r>
          </w:p>
        </w:tc>
        <w:tc>
          <w:tcPr>
            <w:tcW w:w="410" w:type="pct"/>
            <w:shd w:val="clear" w:color="auto" w:fill="auto"/>
            <w:noWrap/>
            <w:vAlign w:val="bottom"/>
            <w:hideMark/>
          </w:tcPr>
          <w:p w14:paraId="72B6F4A7" w14:textId="77777777" w:rsidR="00F5328D" w:rsidRPr="00A96B82" w:rsidRDefault="00F5328D" w:rsidP="00F5328D">
            <w:pPr>
              <w:jc w:val="right"/>
              <w:rPr>
                <w:rFonts w:cs="Arial"/>
                <w:color w:val="000000"/>
                <w:sz w:val="22"/>
                <w:szCs w:val="22"/>
              </w:rPr>
            </w:pPr>
            <w:r w:rsidRPr="00A96B82">
              <w:rPr>
                <w:rFonts w:cs="Arial"/>
                <w:color w:val="000000"/>
                <w:sz w:val="22"/>
                <w:szCs w:val="22"/>
              </w:rPr>
              <w:t>0.3</w:t>
            </w:r>
          </w:p>
        </w:tc>
        <w:tc>
          <w:tcPr>
            <w:tcW w:w="269" w:type="pct"/>
            <w:shd w:val="clear" w:color="auto" w:fill="auto"/>
            <w:noWrap/>
            <w:vAlign w:val="bottom"/>
            <w:hideMark/>
          </w:tcPr>
          <w:p w14:paraId="6FD4A313" w14:textId="77777777" w:rsidR="00F5328D" w:rsidRPr="00A96B82" w:rsidRDefault="00F5328D" w:rsidP="00F5328D">
            <w:pPr>
              <w:jc w:val="right"/>
              <w:rPr>
                <w:rFonts w:cs="Arial"/>
                <w:color w:val="000000"/>
                <w:sz w:val="22"/>
                <w:szCs w:val="22"/>
              </w:rPr>
            </w:pPr>
            <w:r w:rsidRPr="00A96B82">
              <w:rPr>
                <w:rFonts w:cs="Arial"/>
                <w:color w:val="000000"/>
                <w:sz w:val="22"/>
                <w:szCs w:val="22"/>
              </w:rPr>
              <w:t>100.0</w:t>
            </w:r>
          </w:p>
        </w:tc>
        <w:tc>
          <w:tcPr>
            <w:tcW w:w="357" w:type="pct"/>
            <w:shd w:val="clear" w:color="auto" w:fill="auto"/>
            <w:noWrap/>
            <w:vAlign w:val="bottom"/>
            <w:hideMark/>
          </w:tcPr>
          <w:p w14:paraId="4B810C35" w14:textId="77777777" w:rsidR="00F5328D" w:rsidRPr="00A96B82" w:rsidRDefault="00F5328D" w:rsidP="00F5328D">
            <w:pPr>
              <w:jc w:val="right"/>
              <w:rPr>
                <w:rFonts w:cs="Arial"/>
                <w:color w:val="000000"/>
                <w:sz w:val="22"/>
                <w:szCs w:val="22"/>
              </w:rPr>
            </w:pPr>
            <w:r w:rsidRPr="00A96B82">
              <w:rPr>
                <w:rFonts w:cs="Arial"/>
                <w:color w:val="000000"/>
                <w:sz w:val="22"/>
                <w:szCs w:val="22"/>
              </w:rPr>
              <w:t>3,500</w:t>
            </w:r>
          </w:p>
        </w:tc>
      </w:tr>
      <w:tr w:rsidR="00F5328D" w:rsidRPr="00A96B82" w14:paraId="224372E4" w14:textId="77777777" w:rsidTr="00F5328D">
        <w:trPr>
          <w:trHeight w:val="287"/>
        </w:trPr>
        <w:tc>
          <w:tcPr>
            <w:tcW w:w="1026" w:type="pct"/>
            <w:shd w:val="clear" w:color="auto" w:fill="auto"/>
            <w:noWrap/>
            <w:vAlign w:val="bottom"/>
            <w:hideMark/>
          </w:tcPr>
          <w:p w14:paraId="0BE87EA2" w14:textId="77777777" w:rsidR="00F5328D" w:rsidRPr="00F5328D" w:rsidRDefault="00F5328D" w:rsidP="00F5328D">
            <w:pPr>
              <w:rPr>
                <w:rFonts w:cs="Arial"/>
                <w:color w:val="000000"/>
                <w:sz w:val="22"/>
                <w:szCs w:val="22"/>
              </w:rPr>
            </w:pPr>
            <w:r w:rsidRPr="00F5328D">
              <w:rPr>
                <w:rFonts w:cs="Arial"/>
                <w:color w:val="000000"/>
                <w:sz w:val="22"/>
                <w:szCs w:val="22"/>
              </w:rPr>
              <w:t>Medway Total</w:t>
            </w:r>
          </w:p>
        </w:tc>
        <w:tc>
          <w:tcPr>
            <w:tcW w:w="353" w:type="pct"/>
            <w:shd w:val="clear" w:color="auto" w:fill="auto"/>
            <w:noWrap/>
            <w:vAlign w:val="bottom"/>
            <w:hideMark/>
          </w:tcPr>
          <w:p w14:paraId="714EC379" w14:textId="77777777" w:rsidR="00F5328D" w:rsidRPr="00F5328D" w:rsidRDefault="00F5328D" w:rsidP="00F5328D">
            <w:pPr>
              <w:jc w:val="right"/>
              <w:rPr>
                <w:rFonts w:cs="Arial"/>
                <w:color w:val="000000"/>
                <w:sz w:val="22"/>
                <w:szCs w:val="22"/>
              </w:rPr>
            </w:pPr>
            <w:r w:rsidRPr="00F5328D">
              <w:rPr>
                <w:rFonts w:cs="Arial"/>
                <w:color w:val="000000"/>
                <w:sz w:val="22"/>
                <w:szCs w:val="22"/>
              </w:rPr>
              <w:t>0.6</w:t>
            </w:r>
          </w:p>
        </w:tc>
        <w:tc>
          <w:tcPr>
            <w:tcW w:w="353" w:type="pct"/>
            <w:shd w:val="clear" w:color="auto" w:fill="auto"/>
            <w:noWrap/>
            <w:vAlign w:val="bottom"/>
            <w:hideMark/>
          </w:tcPr>
          <w:p w14:paraId="75ADE2C1" w14:textId="77777777" w:rsidR="00F5328D" w:rsidRPr="00F5328D" w:rsidRDefault="00F5328D" w:rsidP="00F5328D">
            <w:pPr>
              <w:jc w:val="right"/>
              <w:rPr>
                <w:rFonts w:cs="Arial"/>
                <w:color w:val="000000"/>
                <w:sz w:val="22"/>
                <w:szCs w:val="22"/>
              </w:rPr>
            </w:pPr>
            <w:r w:rsidRPr="00F5328D">
              <w:rPr>
                <w:rFonts w:cs="Arial"/>
                <w:color w:val="000000"/>
                <w:sz w:val="22"/>
                <w:szCs w:val="22"/>
              </w:rPr>
              <w:t>14.8</w:t>
            </w:r>
          </w:p>
        </w:tc>
        <w:tc>
          <w:tcPr>
            <w:tcW w:w="353" w:type="pct"/>
            <w:shd w:val="clear" w:color="auto" w:fill="auto"/>
            <w:noWrap/>
            <w:vAlign w:val="bottom"/>
            <w:hideMark/>
          </w:tcPr>
          <w:p w14:paraId="2AE0F23D" w14:textId="77777777" w:rsidR="00F5328D" w:rsidRPr="00F5328D" w:rsidRDefault="00F5328D" w:rsidP="00F5328D">
            <w:pPr>
              <w:jc w:val="right"/>
              <w:rPr>
                <w:rFonts w:cs="Arial"/>
                <w:color w:val="000000"/>
                <w:sz w:val="22"/>
                <w:szCs w:val="22"/>
              </w:rPr>
            </w:pPr>
            <w:r w:rsidRPr="00F5328D">
              <w:rPr>
                <w:rFonts w:cs="Arial"/>
                <w:color w:val="000000"/>
                <w:sz w:val="22"/>
                <w:szCs w:val="22"/>
              </w:rPr>
              <w:t>50.2</w:t>
            </w:r>
          </w:p>
        </w:tc>
        <w:tc>
          <w:tcPr>
            <w:tcW w:w="353" w:type="pct"/>
            <w:shd w:val="clear" w:color="auto" w:fill="auto"/>
            <w:noWrap/>
            <w:vAlign w:val="bottom"/>
            <w:hideMark/>
          </w:tcPr>
          <w:p w14:paraId="12B9C5D6" w14:textId="77777777" w:rsidR="00F5328D" w:rsidRPr="00F5328D" w:rsidRDefault="00F5328D" w:rsidP="00F5328D">
            <w:pPr>
              <w:jc w:val="right"/>
              <w:rPr>
                <w:rFonts w:cs="Arial"/>
                <w:color w:val="000000"/>
                <w:sz w:val="22"/>
                <w:szCs w:val="22"/>
              </w:rPr>
            </w:pPr>
            <w:r w:rsidRPr="00F5328D">
              <w:rPr>
                <w:rFonts w:cs="Arial"/>
                <w:color w:val="000000"/>
                <w:sz w:val="22"/>
                <w:szCs w:val="22"/>
              </w:rPr>
              <w:t>10.2</w:t>
            </w:r>
          </w:p>
        </w:tc>
        <w:tc>
          <w:tcPr>
            <w:tcW w:w="353" w:type="pct"/>
            <w:shd w:val="clear" w:color="auto" w:fill="auto"/>
            <w:noWrap/>
            <w:vAlign w:val="bottom"/>
            <w:hideMark/>
          </w:tcPr>
          <w:p w14:paraId="7BE754A4" w14:textId="77777777" w:rsidR="00F5328D" w:rsidRPr="00F5328D" w:rsidRDefault="00F5328D" w:rsidP="00F5328D">
            <w:pPr>
              <w:jc w:val="right"/>
              <w:rPr>
                <w:rFonts w:cs="Arial"/>
                <w:color w:val="000000"/>
                <w:sz w:val="22"/>
                <w:szCs w:val="22"/>
              </w:rPr>
            </w:pPr>
            <w:r w:rsidRPr="00F5328D">
              <w:rPr>
                <w:rFonts w:cs="Arial"/>
                <w:color w:val="000000"/>
                <w:sz w:val="22"/>
                <w:szCs w:val="22"/>
              </w:rPr>
              <w:t>9.6</w:t>
            </w:r>
          </w:p>
        </w:tc>
        <w:tc>
          <w:tcPr>
            <w:tcW w:w="353" w:type="pct"/>
            <w:shd w:val="clear" w:color="auto" w:fill="auto"/>
            <w:noWrap/>
            <w:vAlign w:val="bottom"/>
            <w:hideMark/>
          </w:tcPr>
          <w:p w14:paraId="74A716BB" w14:textId="77777777" w:rsidR="00F5328D" w:rsidRPr="00F5328D" w:rsidRDefault="00F5328D" w:rsidP="00F5328D">
            <w:pPr>
              <w:jc w:val="right"/>
              <w:rPr>
                <w:rFonts w:cs="Arial"/>
                <w:color w:val="000000"/>
                <w:sz w:val="22"/>
                <w:szCs w:val="22"/>
              </w:rPr>
            </w:pPr>
            <w:r w:rsidRPr="00F5328D">
              <w:rPr>
                <w:rFonts w:cs="Arial"/>
                <w:color w:val="000000"/>
                <w:sz w:val="22"/>
                <w:szCs w:val="22"/>
              </w:rPr>
              <w:t>8.2</w:t>
            </w:r>
          </w:p>
        </w:tc>
        <w:tc>
          <w:tcPr>
            <w:tcW w:w="410" w:type="pct"/>
            <w:shd w:val="clear" w:color="auto" w:fill="auto"/>
            <w:noWrap/>
            <w:vAlign w:val="bottom"/>
            <w:hideMark/>
          </w:tcPr>
          <w:p w14:paraId="491FE737" w14:textId="77777777" w:rsidR="00F5328D" w:rsidRPr="00F5328D" w:rsidRDefault="00F5328D" w:rsidP="00F5328D">
            <w:pPr>
              <w:jc w:val="right"/>
              <w:rPr>
                <w:rFonts w:cs="Arial"/>
                <w:color w:val="000000"/>
                <w:sz w:val="22"/>
                <w:szCs w:val="22"/>
              </w:rPr>
            </w:pPr>
            <w:r w:rsidRPr="00F5328D">
              <w:rPr>
                <w:rFonts w:cs="Arial"/>
                <w:color w:val="000000"/>
                <w:sz w:val="22"/>
                <w:szCs w:val="22"/>
              </w:rPr>
              <w:t>1.0</w:t>
            </w:r>
          </w:p>
        </w:tc>
        <w:tc>
          <w:tcPr>
            <w:tcW w:w="410" w:type="pct"/>
            <w:shd w:val="clear" w:color="auto" w:fill="auto"/>
            <w:noWrap/>
            <w:vAlign w:val="bottom"/>
            <w:hideMark/>
          </w:tcPr>
          <w:p w14:paraId="67F5F661" w14:textId="77777777" w:rsidR="00F5328D" w:rsidRPr="00F5328D" w:rsidRDefault="00F5328D" w:rsidP="00F5328D">
            <w:pPr>
              <w:jc w:val="right"/>
              <w:rPr>
                <w:rFonts w:cs="Arial"/>
                <w:color w:val="000000"/>
                <w:sz w:val="22"/>
                <w:szCs w:val="22"/>
              </w:rPr>
            </w:pPr>
            <w:r w:rsidRPr="00F5328D">
              <w:rPr>
                <w:rFonts w:cs="Arial"/>
                <w:color w:val="000000"/>
                <w:sz w:val="22"/>
                <w:szCs w:val="22"/>
              </w:rPr>
              <w:t>3.5</w:t>
            </w:r>
          </w:p>
        </w:tc>
        <w:tc>
          <w:tcPr>
            <w:tcW w:w="410" w:type="pct"/>
            <w:shd w:val="clear" w:color="auto" w:fill="auto"/>
            <w:noWrap/>
            <w:vAlign w:val="bottom"/>
            <w:hideMark/>
          </w:tcPr>
          <w:p w14:paraId="61F9D96D" w14:textId="77777777" w:rsidR="00F5328D" w:rsidRPr="00F5328D" w:rsidRDefault="00F5328D" w:rsidP="00F5328D">
            <w:pPr>
              <w:jc w:val="right"/>
              <w:rPr>
                <w:rFonts w:cs="Arial"/>
                <w:color w:val="000000"/>
                <w:sz w:val="22"/>
                <w:szCs w:val="22"/>
              </w:rPr>
            </w:pPr>
            <w:r w:rsidRPr="00F5328D">
              <w:rPr>
                <w:rFonts w:cs="Arial"/>
                <w:color w:val="000000"/>
                <w:sz w:val="22"/>
                <w:szCs w:val="22"/>
              </w:rPr>
              <w:t>2.0</w:t>
            </w:r>
          </w:p>
        </w:tc>
        <w:tc>
          <w:tcPr>
            <w:tcW w:w="269" w:type="pct"/>
            <w:shd w:val="clear" w:color="auto" w:fill="auto"/>
            <w:noWrap/>
            <w:vAlign w:val="bottom"/>
            <w:hideMark/>
          </w:tcPr>
          <w:p w14:paraId="491723E8" w14:textId="77777777" w:rsidR="00F5328D" w:rsidRPr="00F5328D" w:rsidRDefault="00F5328D" w:rsidP="00F5328D">
            <w:pPr>
              <w:jc w:val="right"/>
              <w:rPr>
                <w:rFonts w:cs="Arial"/>
                <w:color w:val="000000"/>
                <w:sz w:val="22"/>
                <w:szCs w:val="22"/>
              </w:rPr>
            </w:pPr>
            <w:r w:rsidRPr="00F5328D">
              <w:rPr>
                <w:rFonts w:cs="Arial"/>
                <w:color w:val="000000"/>
                <w:sz w:val="22"/>
                <w:szCs w:val="22"/>
              </w:rPr>
              <w:t>100.0</w:t>
            </w:r>
          </w:p>
        </w:tc>
        <w:tc>
          <w:tcPr>
            <w:tcW w:w="357" w:type="pct"/>
            <w:shd w:val="clear" w:color="auto" w:fill="auto"/>
            <w:noWrap/>
            <w:vAlign w:val="bottom"/>
            <w:hideMark/>
          </w:tcPr>
          <w:p w14:paraId="17C9580C" w14:textId="77777777" w:rsidR="00F5328D" w:rsidRPr="00F5328D" w:rsidRDefault="00F5328D" w:rsidP="00F5328D">
            <w:pPr>
              <w:jc w:val="right"/>
              <w:rPr>
                <w:rFonts w:cs="Arial"/>
                <w:color w:val="000000"/>
                <w:sz w:val="22"/>
                <w:szCs w:val="22"/>
              </w:rPr>
            </w:pPr>
            <w:r w:rsidRPr="00F5328D">
              <w:rPr>
                <w:rFonts w:cs="Arial"/>
                <w:color w:val="000000"/>
                <w:sz w:val="22"/>
                <w:szCs w:val="22"/>
              </w:rPr>
              <w:t>112,450</w:t>
            </w:r>
          </w:p>
        </w:tc>
      </w:tr>
    </w:tbl>
    <w:p w14:paraId="3037A64A" w14:textId="69DA5A59" w:rsidR="00A96B82" w:rsidRPr="00FA4DC7" w:rsidRDefault="00A96B82" w:rsidP="00A96B82">
      <w:pPr>
        <w:rPr>
          <w:rFonts w:cs="Arial"/>
          <w:sz w:val="22"/>
          <w:szCs w:val="22"/>
        </w:rPr>
      </w:pPr>
      <w:r w:rsidRPr="00FA4DC7">
        <w:rPr>
          <w:rFonts w:cs="Arial"/>
          <w:sz w:val="22"/>
          <w:szCs w:val="22"/>
        </w:rPr>
        <w:t>Source: VOA 2020</w:t>
      </w:r>
    </w:p>
    <w:p w14:paraId="4B5B22E8" w14:textId="77777777" w:rsidR="00A96B82" w:rsidRDefault="00A96B82" w:rsidP="00CE1BDB">
      <w:pPr>
        <w:rPr>
          <w:rFonts w:cs="Arial"/>
          <w:sz w:val="22"/>
          <w:szCs w:val="22"/>
        </w:rPr>
      </w:pPr>
    </w:p>
    <w:tbl>
      <w:tblPr>
        <w:tblW w:w="5000" w:type="pct"/>
        <w:tblLayout w:type="fixed"/>
        <w:tblLook w:val="04A0" w:firstRow="1" w:lastRow="0" w:firstColumn="1" w:lastColumn="0" w:noHBand="0" w:noVBand="1"/>
      </w:tblPr>
      <w:tblGrid>
        <w:gridCol w:w="3536"/>
        <w:gridCol w:w="992"/>
        <w:gridCol w:w="995"/>
        <w:gridCol w:w="991"/>
        <w:gridCol w:w="991"/>
        <w:gridCol w:w="991"/>
        <w:gridCol w:w="994"/>
        <w:gridCol w:w="991"/>
        <w:gridCol w:w="991"/>
        <w:gridCol w:w="1000"/>
        <w:gridCol w:w="852"/>
        <w:gridCol w:w="920"/>
      </w:tblGrid>
      <w:tr w:rsidR="00A96B82" w:rsidRPr="00A96B82" w14:paraId="11C9B309" w14:textId="77777777" w:rsidTr="00F5328D">
        <w:trPr>
          <w:trHeight w:val="305"/>
        </w:trPr>
        <w:tc>
          <w:tcPr>
            <w:tcW w:w="5000" w:type="pct"/>
            <w:gridSpan w:val="12"/>
            <w:tcBorders>
              <w:top w:val="single" w:sz="8" w:space="0" w:color="auto"/>
              <w:left w:val="single" w:sz="8" w:space="0" w:color="auto"/>
              <w:bottom w:val="single" w:sz="8" w:space="0" w:color="auto"/>
              <w:right w:val="single" w:sz="8" w:space="0" w:color="auto"/>
            </w:tcBorders>
            <w:shd w:val="clear" w:color="auto" w:fill="006666"/>
            <w:vAlign w:val="center"/>
          </w:tcPr>
          <w:p w14:paraId="799CDCA6" w14:textId="0998AA8E" w:rsidR="00A96B82" w:rsidRPr="00A96B82" w:rsidRDefault="00A96B82" w:rsidP="00F5328D">
            <w:pPr>
              <w:pStyle w:val="Tableheading1"/>
              <w:rPr>
                <w:rFonts w:ascii="Calibri" w:hAnsi="Calibri"/>
                <w:b w:val="0"/>
                <w:bCs w:val="0"/>
                <w:color w:val="FFFFFF"/>
              </w:rPr>
            </w:pPr>
            <w:bookmarkStart w:id="151" w:name="_Toc83036057"/>
            <w:r w:rsidRPr="00FA4DC7">
              <w:rPr>
                <w:rFonts w:cs="Arial"/>
              </w:rPr>
              <w:lastRenderedPageBreak/>
              <w:t>Table</w:t>
            </w:r>
            <w:r w:rsidRPr="00FA4DC7">
              <w:rPr>
                <w:rFonts w:cs="Arial"/>
                <w:color w:val="FFFFFF"/>
                <w:szCs w:val="22"/>
              </w:rPr>
              <w:t xml:space="preserve"> 2.5</w:t>
            </w:r>
            <w:r>
              <w:rPr>
                <w:rFonts w:cs="Arial"/>
                <w:color w:val="FFFFFF"/>
                <w:szCs w:val="22"/>
              </w:rPr>
              <w:t>b</w:t>
            </w:r>
            <w:r w:rsidRPr="00FA4DC7">
              <w:rPr>
                <w:rFonts w:cs="Arial"/>
                <w:color w:val="FFFFFF"/>
                <w:szCs w:val="22"/>
              </w:rPr>
              <w:tab/>
              <w:t xml:space="preserve">Summary of existing dwelling type and number of bedrooms by </w:t>
            </w:r>
            <w:r w:rsidR="00F519C1">
              <w:rPr>
                <w:rFonts w:cs="Arial"/>
                <w:color w:val="FFFFFF"/>
                <w:szCs w:val="22"/>
              </w:rPr>
              <w:t>Key Development Location and Neighbourhood Planning Area</w:t>
            </w:r>
            <w:bookmarkEnd w:id="151"/>
          </w:p>
        </w:tc>
      </w:tr>
      <w:tr w:rsidR="00F5328D" w:rsidRPr="00A96B82" w14:paraId="3FC51A19" w14:textId="77777777" w:rsidTr="00F5328D">
        <w:trPr>
          <w:trHeight w:val="305"/>
        </w:trPr>
        <w:tc>
          <w:tcPr>
            <w:tcW w:w="1241" w:type="pct"/>
            <w:vMerge w:val="restart"/>
            <w:tcBorders>
              <w:top w:val="single" w:sz="8" w:space="0" w:color="auto"/>
              <w:left w:val="single" w:sz="8" w:space="0" w:color="auto"/>
              <w:right w:val="single" w:sz="8" w:space="0" w:color="auto"/>
            </w:tcBorders>
            <w:shd w:val="clear" w:color="auto" w:fill="006666"/>
            <w:vAlign w:val="bottom"/>
            <w:hideMark/>
          </w:tcPr>
          <w:p w14:paraId="01E62356" w14:textId="6BB28DCC" w:rsidR="00F5328D" w:rsidRPr="00F5328D" w:rsidRDefault="00F5328D" w:rsidP="00F5328D">
            <w:pPr>
              <w:rPr>
                <w:rFonts w:cs="Arial"/>
                <w:b/>
                <w:bCs/>
                <w:color w:val="FFFFFF"/>
                <w:sz w:val="20"/>
                <w:szCs w:val="20"/>
              </w:rPr>
            </w:pPr>
            <w:r w:rsidRPr="00F5328D">
              <w:rPr>
                <w:rFonts w:cs="Arial"/>
                <w:b/>
                <w:bCs/>
                <w:color w:val="FFFFFF"/>
                <w:sz w:val="20"/>
                <w:szCs w:val="20"/>
              </w:rPr>
              <w:t>Locality</w:t>
            </w:r>
          </w:p>
        </w:tc>
        <w:tc>
          <w:tcPr>
            <w:tcW w:w="3136" w:type="pct"/>
            <w:gridSpan w:val="9"/>
            <w:tcBorders>
              <w:top w:val="single" w:sz="8" w:space="0" w:color="auto"/>
              <w:left w:val="single" w:sz="8" w:space="0" w:color="auto"/>
              <w:bottom w:val="single" w:sz="8" w:space="0" w:color="auto"/>
              <w:right w:val="single" w:sz="8" w:space="0" w:color="auto"/>
            </w:tcBorders>
            <w:shd w:val="clear" w:color="auto" w:fill="006666"/>
            <w:noWrap/>
            <w:tcMar>
              <w:left w:w="0" w:type="dxa"/>
              <w:right w:w="0" w:type="dxa"/>
            </w:tcMar>
            <w:vAlign w:val="bottom"/>
            <w:hideMark/>
          </w:tcPr>
          <w:p w14:paraId="169B17BE"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Dwelling type and number of bedrooms</w:t>
            </w:r>
          </w:p>
        </w:tc>
        <w:tc>
          <w:tcPr>
            <w:tcW w:w="299" w:type="pct"/>
            <w:vMerge w:val="restart"/>
            <w:tcBorders>
              <w:top w:val="single" w:sz="8" w:space="0" w:color="auto"/>
              <w:left w:val="single" w:sz="8" w:space="0" w:color="auto"/>
              <w:right w:val="single" w:sz="8" w:space="0" w:color="auto"/>
            </w:tcBorders>
            <w:shd w:val="clear" w:color="auto" w:fill="006666"/>
            <w:tcMar>
              <w:left w:w="0" w:type="dxa"/>
              <w:right w:w="0" w:type="dxa"/>
            </w:tcMar>
            <w:vAlign w:val="bottom"/>
          </w:tcPr>
          <w:p w14:paraId="56EAA35F" w14:textId="2EC9CAAF" w:rsidR="00F5328D" w:rsidRPr="00F5328D" w:rsidRDefault="00F5328D" w:rsidP="00F5328D">
            <w:pPr>
              <w:jc w:val="center"/>
              <w:rPr>
                <w:rFonts w:cs="Arial"/>
                <w:b/>
                <w:bCs/>
                <w:color w:val="FFFFFF"/>
                <w:sz w:val="20"/>
                <w:szCs w:val="20"/>
              </w:rPr>
            </w:pPr>
            <w:r w:rsidRPr="00F5328D">
              <w:rPr>
                <w:rFonts w:cs="Arial"/>
                <w:b/>
                <w:bCs/>
                <w:color w:val="FFFFFF"/>
                <w:sz w:val="20"/>
                <w:szCs w:val="20"/>
              </w:rPr>
              <w:t>Total</w:t>
            </w:r>
          </w:p>
        </w:tc>
        <w:tc>
          <w:tcPr>
            <w:tcW w:w="324" w:type="pct"/>
            <w:vMerge w:val="restart"/>
            <w:tcBorders>
              <w:top w:val="single" w:sz="8" w:space="0" w:color="auto"/>
              <w:left w:val="single" w:sz="8" w:space="0" w:color="auto"/>
              <w:right w:val="single" w:sz="8" w:space="0" w:color="auto"/>
            </w:tcBorders>
            <w:shd w:val="clear" w:color="auto" w:fill="006666"/>
            <w:tcMar>
              <w:left w:w="0" w:type="dxa"/>
              <w:right w:w="0" w:type="dxa"/>
            </w:tcMar>
            <w:vAlign w:val="bottom"/>
          </w:tcPr>
          <w:p w14:paraId="74E63D28" w14:textId="1CAC6BBE" w:rsidR="00F5328D" w:rsidRPr="00F5328D" w:rsidRDefault="00F5328D" w:rsidP="00F5328D">
            <w:pPr>
              <w:jc w:val="center"/>
              <w:rPr>
                <w:rFonts w:cs="Arial"/>
                <w:b/>
                <w:bCs/>
                <w:color w:val="FFFFFF"/>
                <w:sz w:val="20"/>
                <w:szCs w:val="20"/>
              </w:rPr>
            </w:pPr>
            <w:r w:rsidRPr="00F5328D">
              <w:rPr>
                <w:rFonts w:cs="Arial"/>
                <w:b/>
                <w:bCs/>
                <w:color w:val="FFFFFF"/>
                <w:sz w:val="20"/>
                <w:szCs w:val="20"/>
              </w:rPr>
              <w:t>Base</w:t>
            </w:r>
          </w:p>
        </w:tc>
      </w:tr>
      <w:tr w:rsidR="00F5328D" w:rsidRPr="00A96B82" w14:paraId="2BDB48C4" w14:textId="77777777" w:rsidTr="00F5328D">
        <w:trPr>
          <w:trHeight w:val="827"/>
        </w:trPr>
        <w:tc>
          <w:tcPr>
            <w:tcW w:w="1241" w:type="pct"/>
            <w:vMerge/>
            <w:tcBorders>
              <w:left w:val="single" w:sz="8" w:space="0" w:color="auto"/>
              <w:bottom w:val="nil"/>
              <w:right w:val="single" w:sz="8" w:space="0" w:color="auto"/>
            </w:tcBorders>
            <w:shd w:val="clear" w:color="auto" w:fill="006666"/>
            <w:vAlign w:val="bottom"/>
            <w:hideMark/>
          </w:tcPr>
          <w:p w14:paraId="07871783" w14:textId="09274FFA" w:rsidR="00F5328D" w:rsidRPr="00A96B82" w:rsidRDefault="00F5328D" w:rsidP="00F5328D">
            <w:pPr>
              <w:jc w:val="center"/>
              <w:rPr>
                <w:rFonts w:cs="Arial"/>
                <w:b/>
                <w:bCs/>
                <w:color w:val="FFFFFF"/>
                <w:sz w:val="20"/>
                <w:szCs w:val="20"/>
              </w:rPr>
            </w:pPr>
          </w:p>
        </w:tc>
        <w:tc>
          <w:tcPr>
            <w:tcW w:w="348"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649DBBAD" w14:textId="3BF6AD44" w:rsidR="00F5328D" w:rsidRPr="00A96B82" w:rsidRDefault="00F5328D" w:rsidP="00F5328D">
            <w:pPr>
              <w:jc w:val="center"/>
              <w:rPr>
                <w:rFonts w:cs="Arial"/>
                <w:b/>
                <w:bCs/>
                <w:color w:val="FFFFFF"/>
                <w:sz w:val="20"/>
                <w:szCs w:val="20"/>
              </w:rPr>
            </w:pPr>
            <w:r w:rsidRPr="00A96B82">
              <w:rPr>
                <w:rFonts w:cs="Arial"/>
                <w:b/>
                <w:bCs/>
                <w:color w:val="FFFFFF"/>
                <w:sz w:val="20"/>
                <w:szCs w:val="20"/>
              </w:rPr>
              <w:t>1-bedroom house</w:t>
            </w:r>
          </w:p>
        </w:tc>
        <w:tc>
          <w:tcPr>
            <w:tcW w:w="349"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1235D9CE" w14:textId="0161E1BF" w:rsidR="00F5328D" w:rsidRPr="00F5328D" w:rsidRDefault="00F5328D" w:rsidP="00F5328D">
            <w:pPr>
              <w:jc w:val="center"/>
              <w:rPr>
                <w:rFonts w:cs="Arial"/>
                <w:b/>
                <w:bCs/>
                <w:color w:val="FFFFFF"/>
                <w:sz w:val="20"/>
                <w:szCs w:val="20"/>
              </w:rPr>
            </w:pPr>
            <w:r w:rsidRPr="00F5328D">
              <w:rPr>
                <w:rFonts w:cs="Arial"/>
                <w:b/>
                <w:bCs/>
                <w:color w:val="FFFFFF"/>
                <w:sz w:val="20"/>
                <w:szCs w:val="20"/>
              </w:rPr>
              <w:t>2-bedroom house</w:t>
            </w:r>
          </w:p>
        </w:tc>
        <w:tc>
          <w:tcPr>
            <w:tcW w:w="348"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36F17446" w14:textId="231E2046" w:rsidR="00F5328D" w:rsidRPr="00F5328D" w:rsidRDefault="00F5328D" w:rsidP="00F5328D">
            <w:pPr>
              <w:jc w:val="center"/>
              <w:rPr>
                <w:rFonts w:cs="Arial"/>
                <w:b/>
                <w:bCs/>
                <w:color w:val="FFFFFF"/>
                <w:sz w:val="20"/>
                <w:szCs w:val="20"/>
              </w:rPr>
            </w:pPr>
            <w:r w:rsidRPr="00F5328D">
              <w:rPr>
                <w:rFonts w:cs="Arial"/>
                <w:b/>
                <w:bCs/>
                <w:color w:val="FFFFFF"/>
                <w:sz w:val="20"/>
                <w:szCs w:val="20"/>
              </w:rPr>
              <w:t>3-bedroom house</w:t>
            </w:r>
          </w:p>
        </w:tc>
        <w:tc>
          <w:tcPr>
            <w:tcW w:w="348"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6806835C" w14:textId="55C8E6A3" w:rsidR="00F5328D" w:rsidRPr="00F5328D" w:rsidRDefault="00F5328D" w:rsidP="00F5328D">
            <w:pPr>
              <w:jc w:val="center"/>
              <w:rPr>
                <w:rFonts w:cs="Arial"/>
                <w:b/>
                <w:bCs/>
                <w:color w:val="FFFFFF"/>
                <w:sz w:val="20"/>
                <w:szCs w:val="20"/>
              </w:rPr>
            </w:pPr>
            <w:r w:rsidRPr="00F5328D">
              <w:rPr>
                <w:rFonts w:cs="Arial"/>
                <w:b/>
                <w:bCs/>
                <w:color w:val="FFFFFF"/>
                <w:sz w:val="20"/>
                <w:szCs w:val="20"/>
              </w:rPr>
              <w:t>4-bedroom house</w:t>
            </w:r>
          </w:p>
        </w:tc>
        <w:tc>
          <w:tcPr>
            <w:tcW w:w="348"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5CEA49C5"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1-bedroom flat</w:t>
            </w:r>
          </w:p>
        </w:tc>
        <w:tc>
          <w:tcPr>
            <w:tcW w:w="349"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231CF33E"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2 or more-bedroom flat</w:t>
            </w:r>
          </w:p>
        </w:tc>
        <w:tc>
          <w:tcPr>
            <w:tcW w:w="348"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28AC61D9"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1-bedroom bungalow</w:t>
            </w:r>
          </w:p>
        </w:tc>
        <w:tc>
          <w:tcPr>
            <w:tcW w:w="348"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783290E1"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2-bedroom bungalow</w:t>
            </w:r>
          </w:p>
        </w:tc>
        <w:tc>
          <w:tcPr>
            <w:tcW w:w="351" w:type="pct"/>
            <w:tcBorders>
              <w:top w:val="nil"/>
              <w:left w:val="nil"/>
              <w:bottom w:val="single" w:sz="8" w:space="0" w:color="auto"/>
              <w:right w:val="single" w:sz="8" w:space="0" w:color="auto"/>
            </w:tcBorders>
            <w:shd w:val="clear" w:color="auto" w:fill="006666"/>
            <w:tcMar>
              <w:left w:w="0" w:type="dxa"/>
              <w:right w:w="0" w:type="dxa"/>
            </w:tcMar>
            <w:vAlign w:val="bottom"/>
            <w:hideMark/>
          </w:tcPr>
          <w:p w14:paraId="46ECF9C7" w14:textId="77777777" w:rsidR="00F5328D" w:rsidRPr="00F5328D" w:rsidRDefault="00F5328D" w:rsidP="00F5328D">
            <w:pPr>
              <w:jc w:val="center"/>
              <w:rPr>
                <w:rFonts w:cs="Arial"/>
                <w:b/>
                <w:bCs/>
                <w:color w:val="FFFFFF"/>
                <w:sz w:val="20"/>
                <w:szCs w:val="20"/>
              </w:rPr>
            </w:pPr>
            <w:r w:rsidRPr="00F5328D">
              <w:rPr>
                <w:rFonts w:cs="Arial"/>
                <w:b/>
                <w:bCs/>
                <w:color w:val="FFFFFF"/>
                <w:sz w:val="20"/>
                <w:szCs w:val="20"/>
              </w:rPr>
              <w:t>3 or more-bedroom bungalow</w:t>
            </w:r>
          </w:p>
        </w:tc>
        <w:tc>
          <w:tcPr>
            <w:tcW w:w="299" w:type="pct"/>
            <w:vMerge/>
            <w:tcBorders>
              <w:left w:val="single" w:sz="8" w:space="0" w:color="auto"/>
              <w:bottom w:val="nil"/>
              <w:right w:val="single" w:sz="8" w:space="0" w:color="auto"/>
            </w:tcBorders>
            <w:shd w:val="clear" w:color="auto" w:fill="006666"/>
            <w:tcMar>
              <w:left w:w="0" w:type="dxa"/>
              <w:right w:w="0" w:type="dxa"/>
            </w:tcMar>
            <w:vAlign w:val="bottom"/>
            <w:hideMark/>
          </w:tcPr>
          <w:p w14:paraId="0C3732D2" w14:textId="17EE5F46" w:rsidR="00F5328D" w:rsidRPr="00F5328D" w:rsidRDefault="00F5328D" w:rsidP="00F5328D">
            <w:pPr>
              <w:jc w:val="center"/>
              <w:rPr>
                <w:rFonts w:cs="Arial"/>
                <w:b/>
                <w:bCs/>
                <w:color w:val="FFFFFF"/>
                <w:sz w:val="20"/>
                <w:szCs w:val="20"/>
              </w:rPr>
            </w:pPr>
          </w:p>
        </w:tc>
        <w:tc>
          <w:tcPr>
            <w:tcW w:w="324" w:type="pct"/>
            <w:vMerge/>
            <w:tcBorders>
              <w:left w:val="single" w:sz="8" w:space="0" w:color="auto"/>
              <w:bottom w:val="nil"/>
              <w:right w:val="single" w:sz="8" w:space="0" w:color="auto"/>
            </w:tcBorders>
            <w:shd w:val="clear" w:color="auto" w:fill="006666"/>
            <w:tcMar>
              <w:left w:w="0" w:type="dxa"/>
              <w:right w:w="0" w:type="dxa"/>
            </w:tcMar>
            <w:vAlign w:val="bottom"/>
            <w:hideMark/>
          </w:tcPr>
          <w:p w14:paraId="3CA54881" w14:textId="2D9DE023" w:rsidR="00F5328D" w:rsidRPr="00F5328D" w:rsidRDefault="00F5328D" w:rsidP="00F5328D">
            <w:pPr>
              <w:jc w:val="center"/>
              <w:rPr>
                <w:rFonts w:cs="Arial"/>
                <w:b/>
                <w:bCs/>
                <w:color w:val="FFFFFF"/>
                <w:sz w:val="20"/>
                <w:szCs w:val="20"/>
              </w:rPr>
            </w:pPr>
          </w:p>
        </w:tc>
      </w:tr>
      <w:tr w:rsidR="00F519C1" w:rsidRPr="00A96B82" w14:paraId="45F799AA" w14:textId="77777777" w:rsidTr="00F5328D">
        <w:trPr>
          <w:trHeight w:val="28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031E8C43" w14:textId="5257D287" w:rsidR="00F519C1" w:rsidRPr="00F5328D" w:rsidRDefault="00F519C1" w:rsidP="00F5328D">
            <w:pPr>
              <w:rPr>
                <w:rFonts w:cs="Arial"/>
                <w:color w:val="000000"/>
                <w:sz w:val="22"/>
                <w:szCs w:val="22"/>
              </w:rPr>
            </w:pPr>
            <w:r w:rsidRPr="00F5328D">
              <w:rPr>
                <w:rFonts w:cs="Arial"/>
                <w:b/>
                <w:bCs/>
                <w:color w:val="000000"/>
                <w:sz w:val="22"/>
                <w:szCs w:val="22"/>
              </w:rPr>
              <w:t>Key Development Area</w:t>
            </w:r>
          </w:p>
        </w:tc>
      </w:tr>
      <w:tr w:rsidR="00F5328D" w:rsidRPr="00A96B82" w14:paraId="7F3010CC"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46CEF8DC" w14:textId="7477B6E8" w:rsidR="00F519C1" w:rsidRPr="00F5328D" w:rsidRDefault="00F519C1" w:rsidP="00F5328D">
            <w:pPr>
              <w:rPr>
                <w:rFonts w:cs="Arial"/>
                <w:color w:val="000000"/>
                <w:sz w:val="22"/>
                <w:szCs w:val="22"/>
              </w:rPr>
            </w:pPr>
            <w:r w:rsidRPr="00F5328D">
              <w:rPr>
                <w:rFonts w:cs="Arial"/>
                <w:color w:val="000000"/>
                <w:sz w:val="22"/>
                <w:szCs w:val="22"/>
              </w:rPr>
              <w:t>Chatham</w:t>
            </w:r>
          </w:p>
        </w:tc>
        <w:tc>
          <w:tcPr>
            <w:tcW w:w="348" w:type="pct"/>
            <w:tcBorders>
              <w:top w:val="nil"/>
              <w:left w:val="nil"/>
              <w:bottom w:val="single" w:sz="4" w:space="0" w:color="auto"/>
              <w:right w:val="single" w:sz="4" w:space="0" w:color="auto"/>
            </w:tcBorders>
            <w:shd w:val="clear" w:color="auto" w:fill="auto"/>
            <w:noWrap/>
            <w:vAlign w:val="center"/>
          </w:tcPr>
          <w:p w14:paraId="0D2DE232" w14:textId="5A03D460" w:rsidR="00F519C1" w:rsidRPr="00F5328D" w:rsidRDefault="00F519C1" w:rsidP="00F5328D">
            <w:pPr>
              <w:jc w:val="right"/>
              <w:rPr>
                <w:rFonts w:cs="Arial"/>
                <w:color w:val="000000"/>
                <w:sz w:val="22"/>
                <w:szCs w:val="22"/>
              </w:rPr>
            </w:pPr>
            <w:r w:rsidRPr="00F5328D">
              <w:rPr>
                <w:rFonts w:cs="Arial"/>
                <w:color w:val="000000"/>
                <w:sz w:val="22"/>
                <w:szCs w:val="22"/>
              </w:rPr>
              <w:t>0.5</w:t>
            </w:r>
          </w:p>
        </w:tc>
        <w:tc>
          <w:tcPr>
            <w:tcW w:w="349" w:type="pct"/>
            <w:tcBorders>
              <w:top w:val="nil"/>
              <w:left w:val="nil"/>
              <w:bottom w:val="single" w:sz="4" w:space="0" w:color="auto"/>
              <w:right w:val="single" w:sz="4" w:space="0" w:color="auto"/>
            </w:tcBorders>
            <w:shd w:val="clear" w:color="auto" w:fill="auto"/>
            <w:noWrap/>
            <w:vAlign w:val="center"/>
          </w:tcPr>
          <w:p w14:paraId="344B5C93" w14:textId="5FF75A6A" w:rsidR="00F519C1" w:rsidRPr="00F5328D" w:rsidRDefault="00F519C1" w:rsidP="00F5328D">
            <w:pPr>
              <w:jc w:val="right"/>
              <w:rPr>
                <w:rFonts w:cs="Arial"/>
                <w:color w:val="000000"/>
                <w:sz w:val="22"/>
                <w:szCs w:val="22"/>
              </w:rPr>
            </w:pPr>
            <w:r w:rsidRPr="00F5328D">
              <w:rPr>
                <w:rFonts w:cs="Arial"/>
                <w:color w:val="000000"/>
                <w:sz w:val="22"/>
                <w:szCs w:val="22"/>
              </w:rPr>
              <w:t>14.0</w:t>
            </w:r>
          </w:p>
        </w:tc>
        <w:tc>
          <w:tcPr>
            <w:tcW w:w="348" w:type="pct"/>
            <w:tcBorders>
              <w:top w:val="nil"/>
              <w:left w:val="nil"/>
              <w:bottom w:val="single" w:sz="4" w:space="0" w:color="auto"/>
              <w:right w:val="single" w:sz="4" w:space="0" w:color="auto"/>
            </w:tcBorders>
            <w:shd w:val="clear" w:color="auto" w:fill="auto"/>
            <w:noWrap/>
            <w:vAlign w:val="center"/>
          </w:tcPr>
          <w:p w14:paraId="4A2B4706" w14:textId="2F5471CB" w:rsidR="00F519C1" w:rsidRPr="00F5328D" w:rsidRDefault="00F519C1" w:rsidP="00F5328D">
            <w:pPr>
              <w:jc w:val="right"/>
              <w:rPr>
                <w:rFonts w:cs="Arial"/>
                <w:color w:val="000000"/>
                <w:sz w:val="22"/>
                <w:szCs w:val="22"/>
              </w:rPr>
            </w:pPr>
            <w:r w:rsidRPr="00F5328D">
              <w:rPr>
                <w:rFonts w:cs="Arial"/>
                <w:color w:val="000000"/>
                <w:sz w:val="22"/>
                <w:szCs w:val="22"/>
              </w:rPr>
              <w:t>47.0</w:t>
            </w:r>
          </w:p>
        </w:tc>
        <w:tc>
          <w:tcPr>
            <w:tcW w:w="348" w:type="pct"/>
            <w:tcBorders>
              <w:top w:val="nil"/>
              <w:left w:val="nil"/>
              <w:bottom w:val="single" w:sz="4" w:space="0" w:color="auto"/>
              <w:right w:val="single" w:sz="4" w:space="0" w:color="auto"/>
            </w:tcBorders>
            <w:shd w:val="clear" w:color="auto" w:fill="auto"/>
            <w:noWrap/>
            <w:vAlign w:val="center"/>
          </w:tcPr>
          <w:p w14:paraId="79507FED" w14:textId="559E580E" w:rsidR="00F519C1" w:rsidRPr="00F5328D" w:rsidRDefault="00F519C1" w:rsidP="00F5328D">
            <w:pPr>
              <w:jc w:val="right"/>
              <w:rPr>
                <w:rFonts w:cs="Arial"/>
                <w:color w:val="000000"/>
                <w:sz w:val="22"/>
                <w:szCs w:val="22"/>
              </w:rPr>
            </w:pPr>
            <w:r w:rsidRPr="00F5328D">
              <w:rPr>
                <w:rFonts w:cs="Arial"/>
                <w:color w:val="000000"/>
                <w:sz w:val="22"/>
                <w:szCs w:val="22"/>
              </w:rPr>
              <w:t>4.7</w:t>
            </w:r>
          </w:p>
        </w:tc>
        <w:tc>
          <w:tcPr>
            <w:tcW w:w="348" w:type="pct"/>
            <w:tcBorders>
              <w:top w:val="nil"/>
              <w:left w:val="nil"/>
              <w:bottom w:val="single" w:sz="4" w:space="0" w:color="auto"/>
              <w:right w:val="single" w:sz="4" w:space="0" w:color="auto"/>
            </w:tcBorders>
            <w:shd w:val="clear" w:color="auto" w:fill="auto"/>
            <w:noWrap/>
            <w:vAlign w:val="center"/>
          </w:tcPr>
          <w:p w14:paraId="2048A3A1" w14:textId="36A4ECB9" w:rsidR="00F519C1" w:rsidRPr="00F5328D" w:rsidRDefault="00F519C1" w:rsidP="00F5328D">
            <w:pPr>
              <w:jc w:val="right"/>
              <w:rPr>
                <w:rFonts w:cs="Arial"/>
                <w:color w:val="000000"/>
                <w:sz w:val="22"/>
                <w:szCs w:val="22"/>
              </w:rPr>
            </w:pPr>
            <w:r w:rsidRPr="00F5328D">
              <w:rPr>
                <w:rFonts w:cs="Arial"/>
                <w:color w:val="000000"/>
                <w:sz w:val="22"/>
                <w:szCs w:val="22"/>
              </w:rPr>
              <w:t>17.9</w:t>
            </w:r>
          </w:p>
        </w:tc>
        <w:tc>
          <w:tcPr>
            <w:tcW w:w="349" w:type="pct"/>
            <w:tcBorders>
              <w:top w:val="nil"/>
              <w:left w:val="nil"/>
              <w:bottom w:val="single" w:sz="4" w:space="0" w:color="auto"/>
              <w:right w:val="single" w:sz="4" w:space="0" w:color="auto"/>
            </w:tcBorders>
            <w:shd w:val="clear" w:color="auto" w:fill="auto"/>
            <w:noWrap/>
            <w:vAlign w:val="center"/>
          </w:tcPr>
          <w:p w14:paraId="1DBA2D22" w14:textId="701A54AA" w:rsidR="00F519C1" w:rsidRPr="00F5328D" w:rsidRDefault="00F519C1" w:rsidP="00F5328D">
            <w:pPr>
              <w:jc w:val="right"/>
              <w:rPr>
                <w:rFonts w:cs="Arial"/>
                <w:color w:val="000000"/>
                <w:sz w:val="22"/>
                <w:szCs w:val="22"/>
              </w:rPr>
            </w:pPr>
            <w:r w:rsidRPr="00F5328D">
              <w:rPr>
                <w:rFonts w:cs="Arial"/>
                <w:color w:val="000000"/>
                <w:sz w:val="22"/>
                <w:szCs w:val="22"/>
              </w:rPr>
              <w:t>14.0</w:t>
            </w:r>
          </w:p>
        </w:tc>
        <w:tc>
          <w:tcPr>
            <w:tcW w:w="348" w:type="pct"/>
            <w:tcBorders>
              <w:top w:val="nil"/>
              <w:left w:val="nil"/>
              <w:bottom w:val="single" w:sz="4" w:space="0" w:color="auto"/>
              <w:right w:val="single" w:sz="4" w:space="0" w:color="auto"/>
            </w:tcBorders>
            <w:shd w:val="clear" w:color="auto" w:fill="auto"/>
            <w:noWrap/>
            <w:vAlign w:val="center"/>
          </w:tcPr>
          <w:p w14:paraId="0A623C6F" w14:textId="3D2EE755" w:rsidR="00F519C1" w:rsidRPr="00F5328D" w:rsidRDefault="00F519C1" w:rsidP="00F5328D">
            <w:pPr>
              <w:jc w:val="right"/>
              <w:rPr>
                <w:rFonts w:cs="Arial"/>
                <w:color w:val="000000"/>
                <w:sz w:val="22"/>
                <w:szCs w:val="22"/>
              </w:rPr>
            </w:pPr>
            <w:r w:rsidRPr="00F5328D">
              <w:rPr>
                <w:rFonts w:cs="Arial"/>
                <w:color w:val="000000"/>
                <w:sz w:val="22"/>
                <w:szCs w:val="22"/>
              </w:rPr>
              <w:t>1.0</w:t>
            </w:r>
          </w:p>
        </w:tc>
        <w:tc>
          <w:tcPr>
            <w:tcW w:w="348" w:type="pct"/>
            <w:tcBorders>
              <w:top w:val="nil"/>
              <w:left w:val="nil"/>
              <w:bottom w:val="single" w:sz="4" w:space="0" w:color="auto"/>
              <w:right w:val="single" w:sz="4" w:space="0" w:color="auto"/>
            </w:tcBorders>
            <w:shd w:val="clear" w:color="auto" w:fill="auto"/>
            <w:noWrap/>
            <w:vAlign w:val="center"/>
          </w:tcPr>
          <w:p w14:paraId="75B521F2" w14:textId="4B6D7F2C" w:rsidR="00F519C1" w:rsidRPr="00F5328D" w:rsidRDefault="00F519C1" w:rsidP="00F5328D">
            <w:pPr>
              <w:jc w:val="right"/>
              <w:rPr>
                <w:rFonts w:cs="Arial"/>
                <w:color w:val="000000"/>
                <w:sz w:val="22"/>
                <w:szCs w:val="22"/>
              </w:rPr>
            </w:pPr>
            <w:r w:rsidRPr="00F5328D">
              <w:rPr>
                <w:rFonts w:cs="Arial"/>
                <w:color w:val="000000"/>
                <w:sz w:val="22"/>
                <w:szCs w:val="22"/>
              </w:rPr>
              <w:t>1.0</w:t>
            </w:r>
          </w:p>
        </w:tc>
        <w:tc>
          <w:tcPr>
            <w:tcW w:w="351" w:type="pct"/>
            <w:tcBorders>
              <w:top w:val="nil"/>
              <w:left w:val="nil"/>
              <w:bottom w:val="single" w:sz="4" w:space="0" w:color="auto"/>
              <w:right w:val="single" w:sz="4" w:space="0" w:color="auto"/>
            </w:tcBorders>
            <w:shd w:val="clear" w:color="auto" w:fill="auto"/>
            <w:noWrap/>
            <w:vAlign w:val="center"/>
          </w:tcPr>
          <w:p w14:paraId="40E446E3" w14:textId="42B485EA" w:rsidR="00F519C1" w:rsidRPr="00F5328D" w:rsidRDefault="00F519C1" w:rsidP="00F5328D">
            <w:pPr>
              <w:jc w:val="right"/>
              <w:rPr>
                <w:rFonts w:cs="Arial"/>
                <w:color w:val="000000"/>
                <w:sz w:val="22"/>
                <w:szCs w:val="22"/>
              </w:rPr>
            </w:pPr>
            <w:r w:rsidRPr="00F5328D">
              <w:rPr>
                <w:rFonts w:cs="Arial"/>
                <w:color w:val="000000"/>
                <w:sz w:val="22"/>
                <w:szCs w:val="22"/>
              </w:rPr>
              <w:t>0.0</w:t>
            </w:r>
          </w:p>
        </w:tc>
        <w:tc>
          <w:tcPr>
            <w:tcW w:w="299" w:type="pct"/>
            <w:tcBorders>
              <w:top w:val="nil"/>
              <w:left w:val="nil"/>
              <w:bottom w:val="single" w:sz="4" w:space="0" w:color="auto"/>
              <w:right w:val="single" w:sz="4" w:space="0" w:color="auto"/>
            </w:tcBorders>
            <w:shd w:val="clear" w:color="auto" w:fill="auto"/>
            <w:noWrap/>
            <w:vAlign w:val="center"/>
          </w:tcPr>
          <w:p w14:paraId="1080439E" w14:textId="22822E10"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center"/>
          </w:tcPr>
          <w:p w14:paraId="23AEAD03" w14:textId="772DDD4C" w:rsidR="00F519C1" w:rsidRPr="00F5328D" w:rsidRDefault="00F519C1" w:rsidP="00F5328D">
            <w:pPr>
              <w:jc w:val="right"/>
              <w:rPr>
                <w:rFonts w:cs="Arial"/>
                <w:color w:val="000000"/>
                <w:sz w:val="22"/>
                <w:szCs w:val="22"/>
              </w:rPr>
            </w:pPr>
            <w:r w:rsidRPr="00F5328D">
              <w:rPr>
                <w:rFonts w:cs="Arial"/>
                <w:color w:val="000000"/>
                <w:sz w:val="22"/>
                <w:szCs w:val="22"/>
              </w:rPr>
              <w:t>8,220</w:t>
            </w:r>
          </w:p>
        </w:tc>
      </w:tr>
      <w:tr w:rsidR="00F5328D" w:rsidRPr="00A96B82" w14:paraId="3D8D74EF"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7201519A" w14:textId="2C474AE7" w:rsidR="00F519C1" w:rsidRPr="00F5328D" w:rsidRDefault="00F519C1" w:rsidP="00F5328D">
            <w:pPr>
              <w:rPr>
                <w:rFonts w:cs="Arial"/>
                <w:color w:val="000000"/>
                <w:sz w:val="22"/>
                <w:szCs w:val="22"/>
              </w:rPr>
            </w:pPr>
            <w:r w:rsidRPr="00F5328D">
              <w:rPr>
                <w:rFonts w:cs="Arial"/>
                <w:color w:val="000000"/>
                <w:sz w:val="22"/>
                <w:szCs w:val="22"/>
              </w:rPr>
              <w:t>Chatham Maritime and Gillingham (</w:t>
            </w:r>
            <w:proofErr w:type="spellStart"/>
            <w:r w:rsidRPr="00F5328D">
              <w:rPr>
                <w:rFonts w:cs="Arial"/>
                <w:color w:val="000000"/>
                <w:sz w:val="22"/>
                <w:szCs w:val="22"/>
              </w:rPr>
              <w:t>inc</w:t>
            </w:r>
            <w:proofErr w:type="spellEnd"/>
            <w:r w:rsidRPr="00F5328D">
              <w:rPr>
                <w:rFonts w:cs="Arial"/>
                <w:color w:val="000000"/>
                <w:sz w:val="22"/>
                <w:szCs w:val="22"/>
              </w:rPr>
              <w:t xml:space="preserve"> St Mary’s Island &amp; Brompton) </w:t>
            </w:r>
          </w:p>
        </w:tc>
        <w:tc>
          <w:tcPr>
            <w:tcW w:w="348" w:type="pct"/>
            <w:tcBorders>
              <w:top w:val="nil"/>
              <w:left w:val="nil"/>
              <w:bottom w:val="single" w:sz="4" w:space="0" w:color="auto"/>
              <w:right w:val="single" w:sz="4" w:space="0" w:color="auto"/>
            </w:tcBorders>
            <w:shd w:val="clear" w:color="auto" w:fill="auto"/>
            <w:noWrap/>
            <w:vAlign w:val="center"/>
          </w:tcPr>
          <w:p w14:paraId="37A46593" w14:textId="358FA35F" w:rsidR="00F519C1" w:rsidRPr="00F5328D" w:rsidRDefault="00F519C1" w:rsidP="00F5328D">
            <w:pPr>
              <w:jc w:val="right"/>
              <w:rPr>
                <w:rFonts w:cs="Arial"/>
                <w:color w:val="000000"/>
                <w:sz w:val="22"/>
                <w:szCs w:val="22"/>
              </w:rPr>
            </w:pPr>
            <w:r w:rsidRPr="00F5328D">
              <w:rPr>
                <w:rFonts w:cs="Arial"/>
                <w:color w:val="000000"/>
                <w:sz w:val="22"/>
                <w:szCs w:val="22"/>
              </w:rPr>
              <w:t>0.2</w:t>
            </w:r>
          </w:p>
        </w:tc>
        <w:tc>
          <w:tcPr>
            <w:tcW w:w="349" w:type="pct"/>
            <w:tcBorders>
              <w:top w:val="nil"/>
              <w:left w:val="nil"/>
              <w:bottom w:val="single" w:sz="4" w:space="0" w:color="auto"/>
              <w:right w:val="single" w:sz="4" w:space="0" w:color="auto"/>
            </w:tcBorders>
            <w:shd w:val="clear" w:color="auto" w:fill="auto"/>
            <w:noWrap/>
            <w:vAlign w:val="center"/>
          </w:tcPr>
          <w:p w14:paraId="38D99025" w14:textId="627B499A" w:rsidR="00F519C1" w:rsidRPr="00F5328D" w:rsidRDefault="00F519C1" w:rsidP="00F5328D">
            <w:pPr>
              <w:jc w:val="right"/>
              <w:rPr>
                <w:rFonts w:cs="Arial"/>
                <w:color w:val="000000"/>
                <w:sz w:val="22"/>
                <w:szCs w:val="22"/>
              </w:rPr>
            </w:pPr>
            <w:r w:rsidRPr="00F5328D">
              <w:rPr>
                <w:rFonts w:cs="Arial"/>
                <w:color w:val="000000"/>
                <w:sz w:val="22"/>
                <w:szCs w:val="22"/>
              </w:rPr>
              <w:t>15.6</w:t>
            </w:r>
          </w:p>
        </w:tc>
        <w:tc>
          <w:tcPr>
            <w:tcW w:w="348" w:type="pct"/>
            <w:tcBorders>
              <w:top w:val="nil"/>
              <w:left w:val="nil"/>
              <w:bottom w:val="single" w:sz="4" w:space="0" w:color="auto"/>
              <w:right w:val="single" w:sz="4" w:space="0" w:color="auto"/>
            </w:tcBorders>
            <w:shd w:val="clear" w:color="auto" w:fill="auto"/>
            <w:noWrap/>
            <w:vAlign w:val="center"/>
          </w:tcPr>
          <w:p w14:paraId="0D7BA9D2" w14:textId="2EC38DD6" w:rsidR="00F519C1" w:rsidRPr="00F5328D" w:rsidRDefault="00F519C1" w:rsidP="00F5328D">
            <w:pPr>
              <w:jc w:val="right"/>
              <w:rPr>
                <w:rFonts w:cs="Arial"/>
                <w:color w:val="000000"/>
                <w:sz w:val="22"/>
                <w:szCs w:val="22"/>
              </w:rPr>
            </w:pPr>
            <w:r w:rsidRPr="00F5328D">
              <w:rPr>
                <w:rFonts w:cs="Arial"/>
                <w:color w:val="000000"/>
                <w:sz w:val="22"/>
                <w:szCs w:val="22"/>
              </w:rPr>
              <w:t>47.6</w:t>
            </w:r>
          </w:p>
        </w:tc>
        <w:tc>
          <w:tcPr>
            <w:tcW w:w="348" w:type="pct"/>
            <w:tcBorders>
              <w:top w:val="nil"/>
              <w:left w:val="nil"/>
              <w:bottom w:val="single" w:sz="4" w:space="0" w:color="auto"/>
              <w:right w:val="single" w:sz="4" w:space="0" w:color="auto"/>
            </w:tcBorders>
            <w:shd w:val="clear" w:color="auto" w:fill="auto"/>
            <w:noWrap/>
            <w:vAlign w:val="center"/>
          </w:tcPr>
          <w:p w14:paraId="5C2E909D" w14:textId="1F250C02" w:rsidR="00F519C1" w:rsidRPr="00F5328D" w:rsidRDefault="00F519C1" w:rsidP="00F5328D">
            <w:pPr>
              <w:jc w:val="right"/>
              <w:rPr>
                <w:rFonts w:cs="Arial"/>
                <w:color w:val="000000"/>
                <w:sz w:val="22"/>
                <w:szCs w:val="22"/>
              </w:rPr>
            </w:pPr>
            <w:r w:rsidRPr="00F5328D">
              <w:rPr>
                <w:rFonts w:cs="Arial"/>
                <w:color w:val="000000"/>
                <w:sz w:val="22"/>
                <w:szCs w:val="22"/>
              </w:rPr>
              <w:t>6.3</w:t>
            </w:r>
          </w:p>
        </w:tc>
        <w:tc>
          <w:tcPr>
            <w:tcW w:w="348" w:type="pct"/>
            <w:tcBorders>
              <w:top w:val="nil"/>
              <w:left w:val="nil"/>
              <w:bottom w:val="single" w:sz="4" w:space="0" w:color="auto"/>
              <w:right w:val="single" w:sz="4" w:space="0" w:color="auto"/>
            </w:tcBorders>
            <w:shd w:val="clear" w:color="auto" w:fill="auto"/>
            <w:noWrap/>
            <w:vAlign w:val="center"/>
          </w:tcPr>
          <w:p w14:paraId="016EC123" w14:textId="6B4A6438" w:rsidR="00F519C1" w:rsidRPr="00F5328D" w:rsidRDefault="00F519C1" w:rsidP="00F5328D">
            <w:pPr>
              <w:jc w:val="right"/>
              <w:rPr>
                <w:rFonts w:cs="Arial"/>
                <w:color w:val="000000"/>
                <w:sz w:val="22"/>
                <w:szCs w:val="22"/>
              </w:rPr>
            </w:pPr>
            <w:r w:rsidRPr="00F5328D">
              <w:rPr>
                <w:rFonts w:cs="Arial"/>
                <w:color w:val="000000"/>
                <w:sz w:val="22"/>
                <w:szCs w:val="22"/>
              </w:rPr>
              <w:t>15.2</w:t>
            </w:r>
          </w:p>
        </w:tc>
        <w:tc>
          <w:tcPr>
            <w:tcW w:w="349" w:type="pct"/>
            <w:tcBorders>
              <w:top w:val="nil"/>
              <w:left w:val="nil"/>
              <w:bottom w:val="single" w:sz="4" w:space="0" w:color="auto"/>
              <w:right w:val="single" w:sz="4" w:space="0" w:color="auto"/>
            </w:tcBorders>
            <w:shd w:val="clear" w:color="auto" w:fill="auto"/>
            <w:noWrap/>
            <w:vAlign w:val="center"/>
          </w:tcPr>
          <w:p w14:paraId="10F416FC" w14:textId="1FF39ABA" w:rsidR="00F519C1" w:rsidRPr="00F5328D" w:rsidRDefault="00F519C1" w:rsidP="00F5328D">
            <w:pPr>
              <w:jc w:val="right"/>
              <w:rPr>
                <w:rFonts w:cs="Arial"/>
                <w:color w:val="000000"/>
                <w:sz w:val="22"/>
                <w:szCs w:val="22"/>
              </w:rPr>
            </w:pPr>
            <w:r w:rsidRPr="00F5328D">
              <w:rPr>
                <w:rFonts w:cs="Arial"/>
                <w:color w:val="000000"/>
                <w:sz w:val="22"/>
                <w:szCs w:val="22"/>
              </w:rPr>
              <w:t>13.2</w:t>
            </w:r>
          </w:p>
        </w:tc>
        <w:tc>
          <w:tcPr>
            <w:tcW w:w="348" w:type="pct"/>
            <w:tcBorders>
              <w:top w:val="nil"/>
              <w:left w:val="nil"/>
              <w:bottom w:val="single" w:sz="4" w:space="0" w:color="auto"/>
              <w:right w:val="single" w:sz="4" w:space="0" w:color="auto"/>
            </w:tcBorders>
            <w:shd w:val="clear" w:color="auto" w:fill="auto"/>
            <w:noWrap/>
            <w:vAlign w:val="center"/>
          </w:tcPr>
          <w:p w14:paraId="7F228F05" w14:textId="5F839814" w:rsidR="00F519C1" w:rsidRPr="00F5328D" w:rsidRDefault="00F519C1" w:rsidP="00F5328D">
            <w:pPr>
              <w:jc w:val="right"/>
              <w:rPr>
                <w:rFonts w:cs="Arial"/>
                <w:color w:val="000000"/>
                <w:sz w:val="22"/>
                <w:szCs w:val="22"/>
              </w:rPr>
            </w:pPr>
            <w:r w:rsidRPr="00F5328D">
              <w:rPr>
                <w:rFonts w:cs="Arial"/>
                <w:color w:val="000000"/>
                <w:sz w:val="22"/>
                <w:szCs w:val="22"/>
              </w:rPr>
              <w:t>0.6</w:t>
            </w:r>
          </w:p>
        </w:tc>
        <w:tc>
          <w:tcPr>
            <w:tcW w:w="348" w:type="pct"/>
            <w:tcBorders>
              <w:top w:val="nil"/>
              <w:left w:val="nil"/>
              <w:bottom w:val="single" w:sz="4" w:space="0" w:color="auto"/>
              <w:right w:val="single" w:sz="4" w:space="0" w:color="auto"/>
            </w:tcBorders>
            <w:shd w:val="clear" w:color="auto" w:fill="auto"/>
            <w:noWrap/>
            <w:vAlign w:val="center"/>
          </w:tcPr>
          <w:p w14:paraId="6BD5B779" w14:textId="566E0E2E" w:rsidR="00F519C1" w:rsidRPr="00F5328D" w:rsidRDefault="00F519C1" w:rsidP="00F5328D">
            <w:pPr>
              <w:jc w:val="right"/>
              <w:rPr>
                <w:rFonts w:cs="Arial"/>
                <w:color w:val="000000"/>
                <w:sz w:val="22"/>
                <w:szCs w:val="22"/>
              </w:rPr>
            </w:pPr>
            <w:r w:rsidRPr="00F5328D">
              <w:rPr>
                <w:rFonts w:cs="Arial"/>
                <w:color w:val="000000"/>
                <w:sz w:val="22"/>
                <w:szCs w:val="22"/>
              </w:rPr>
              <w:t>1.0</w:t>
            </w:r>
          </w:p>
        </w:tc>
        <w:tc>
          <w:tcPr>
            <w:tcW w:w="351" w:type="pct"/>
            <w:tcBorders>
              <w:top w:val="nil"/>
              <w:left w:val="nil"/>
              <w:bottom w:val="single" w:sz="4" w:space="0" w:color="auto"/>
              <w:right w:val="single" w:sz="4" w:space="0" w:color="auto"/>
            </w:tcBorders>
            <w:shd w:val="clear" w:color="auto" w:fill="auto"/>
            <w:noWrap/>
            <w:vAlign w:val="center"/>
          </w:tcPr>
          <w:p w14:paraId="00ECA0E9" w14:textId="5722EF86" w:rsidR="00F519C1" w:rsidRPr="00F5328D" w:rsidRDefault="00F519C1" w:rsidP="00F5328D">
            <w:pPr>
              <w:jc w:val="right"/>
              <w:rPr>
                <w:rFonts w:cs="Arial"/>
                <w:color w:val="000000"/>
                <w:sz w:val="22"/>
                <w:szCs w:val="22"/>
              </w:rPr>
            </w:pPr>
            <w:r w:rsidRPr="00F5328D">
              <w:rPr>
                <w:rFonts w:cs="Arial"/>
                <w:color w:val="000000"/>
                <w:sz w:val="22"/>
                <w:szCs w:val="22"/>
              </w:rPr>
              <w:t>0.1</w:t>
            </w:r>
          </w:p>
        </w:tc>
        <w:tc>
          <w:tcPr>
            <w:tcW w:w="299" w:type="pct"/>
            <w:tcBorders>
              <w:top w:val="nil"/>
              <w:left w:val="nil"/>
              <w:bottom w:val="single" w:sz="4" w:space="0" w:color="auto"/>
              <w:right w:val="single" w:sz="4" w:space="0" w:color="auto"/>
            </w:tcBorders>
            <w:shd w:val="clear" w:color="auto" w:fill="auto"/>
            <w:noWrap/>
            <w:vAlign w:val="center"/>
          </w:tcPr>
          <w:p w14:paraId="10E5B92E" w14:textId="724BC856"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center"/>
          </w:tcPr>
          <w:p w14:paraId="57FDC578" w14:textId="60517138" w:rsidR="00F519C1" w:rsidRPr="00F5328D" w:rsidRDefault="00F519C1" w:rsidP="00F5328D">
            <w:pPr>
              <w:jc w:val="right"/>
              <w:rPr>
                <w:rFonts w:cs="Arial"/>
                <w:color w:val="000000"/>
                <w:sz w:val="22"/>
                <w:szCs w:val="22"/>
              </w:rPr>
            </w:pPr>
            <w:r w:rsidRPr="00F5328D">
              <w:rPr>
                <w:rFonts w:cs="Arial"/>
                <w:color w:val="000000"/>
                <w:sz w:val="22"/>
                <w:szCs w:val="22"/>
              </w:rPr>
              <w:t>21,260</w:t>
            </w:r>
          </w:p>
        </w:tc>
      </w:tr>
      <w:tr w:rsidR="00F5328D" w:rsidRPr="00A96B82" w14:paraId="085CB47A"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76CBB902" w14:textId="1E7189E8" w:rsidR="00F519C1" w:rsidRPr="00F5328D" w:rsidRDefault="00F519C1" w:rsidP="00F5328D">
            <w:pPr>
              <w:rPr>
                <w:rFonts w:cs="Arial"/>
                <w:color w:val="000000"/>
                <w:sz w:val="22"/>
                <w:szCs w:val="22"/>
              </w:rPr>
            </w:pPr>
            <w:r w:rsidRPr="00F5328D">
              <w:rPr>
                <w:rFonts w:cs="Arial"/>
                <w:color w:val="000000"/>
                <w:sz w:val="22"/>
                <w:szCs w:val="22"/>
              </w:rPr>
              <w:t>Rainham</w:t>
            </w:r>
          </w:p>
        </w:tc>
        <w:tc>
          <w:tcPr>
            <w:tcW w:w="348" w:type="pct"/>
            <w:tcBorders>
              <w:top w:val="nil"/>
              <w:left w:val="nil"/>
              <w:bottom w:val="single" w:sz="4" w:space="0" w:color="auto"/>
              <w:right w:val="single" w:sz="4" w:space="0" w:color="auto"/>
            </w:tcBorders>
            <w:shd w:val="clear" w:color="auto" w:fill="auto"/>
            <w:noWrap/>
            <w:vAlign w:val="center"/>
          </w:tcPr>
          <w:p w14:paraId="008566CF" w14:textId="2F71536D" w:rsidR="00F519C1" w:rsidRPr="00F5328D" w:rsidRDefault="00F519C1" w:rsidP="00F5328D">
            <w:pPr>
              <w:jc w:val="right"/>
              <w:rPr>
                <w:rFonts w:cs="Arial"/>
                <w:color w:val="000000"/>
                <w:sz w:val="22"/>
                <w:szCs w:val="22"/>
              </w:rPr>
            </w:pPr>
            <w:r w:rsidRPr="00F5328D">
              <w:rPr>
                <w:rFonts w:cs="Arial"/>
                <w:color w:val="000000"/>
                <w:sz w:val="22"/>
                <w:szCs w:val="22"/>
              </w:rPr>
              <w:t>0.4</w:t>
            </w:r>
          </w:p>
        </w:tc>
        <w:tc>
          <w:tcPr>
            <w:tcW w:w="349" w:type="pct"/>
            <w:tcBorders>
              <w:top w:val="nil"/>
              <w:left w:val="nil"/>
              <w:bottom w:val="single" w:sz="4" w:space="0" w:color="auto"/>
              <w:right w:val="single" w:sz="4" w:space="0" w:color="auto"/>
            </w:tcBorders>
            <w:shd w:val="clear" w:color="auto" w:fill="auto"/>
            <w:noWrap/>
            <w:vAlign w:val="center"/>
          </w:tcPr>
          <w:p w14:paraId="18C5C807" w14:textId="299A4D86" w:rsidR="00F519C1" w:rsidRPr="00F5328D" w:rsidRDefault="00F519C1" w:rsidP="00F5328D">
            <w:pPr>
              <w:jc w:val="right"/>
              <w:rPr>
                <w:rFonts w:cs="Arial"/>
                <w:color w:val="000000"/>
                <w:sz w:val="22"/>
                <w:szCs w:val="22"/>
              </w:rPr>
            </w:pPr>
            <w:r w:rsidRPr="00F5328D">
              <w:rPr>
                <w:rFonts w:cs="Arial"/>
                <w:color w:val="000000"/>
                <w:sz w:val="22"/>
                <w:szCs w:val="22"/>
              </w:rPr>
              <w:t>12.7</w:t>
            </w:r>
          </w:p>
        </w:tc>
        <w:tc>
          <w:tcPr>
            <w:tcW w:w="348" w:type="pct"/>
            <w:tcBorders>
              <w:top w:val="nil"/>
              <w:left w:val="nil"/>
              <w:bottom w:val="single" w:sz="4" w:space="0" w:color="auto"/>
              <w:right w:val="single" w:sz="4" w:space="0" w:color="auto"/>
            </w:tcBorders>
            <w:shd w:val="clear" w:color="auto" w:fill="auto"/>
            <w:noWrap/>
            <w:vAlign w:val="center"/>
          </w:tcPr>
          <w:p w14:paraId="76976A31" w14:textId="1F9CC7C0" w:rsidR="00F519C1" w:rsidRPr="00F5328D" w:rsidRDefault="00F519C1" w:rsidP="00F5328D">
            <w:pPr>
              <w:jc w:val="right"/>
              <w:rPr>
                <w:rFonts w:cs="Arial"/>
                <w:color w:val="000000"/>
                <w:sz w:val="22"/>
                <w:szCs w:val="22"/>
              </w:rPr>
            </w:pPr>
            <w:r w:rsidRPr="00F5328D">
              <w:rPr>
                <w:rFonts w:cs="Arial"/>
                <w:color w:val="000000"/>
                <w:sz w:val="22"/>
                <w:szCs w:val="22"/>
              </w:rPr>
              <w:t>53.1</w:t>
            </w:r>
          </w:p>
        </w:tc>
        <w:tc>
          <w:tcPr>
            <w:tcW w:w="348" w:type="pct"/>
            <w:tcBorders>
              <w:top w:val="nil"/>
              <w:left w:val="nil"/>
              <w:bottom w:val="single" w:sz="4" w:space="0" w:color="auto"/>
              <w:right w:val="single" w:sz="4" w:space="0" w:color="auto"/>
            </w:tcBorders>
            <w:shd w:val="clear" w:color="auto" w:fill="auto"/>
            <w:noWrap/>
            <w:vAlign w:val="center"/>
          </w:tcPr>
          <w:p w14:paraId="29D1C13E" w14:textId="5CA7E1D2" w:rsidR="00F519C1" w:rsidRPr="00F5328D" w:rsidRDefault="00F519C1" w:rsidP="00F5328D">
            <w:pPr>
              <w:jc w:val="right"/>
              <w:rPr>
                <w:rFonts w:cs="Arial"/>
                <w:color w:val="000000"/>
                <w:sz w:val="22"/>
                <w:szCs w:val="22"/>
              </w:rPr>
            </w:pPr>
            <w:r w:rsidRPr="00F5328D">
              <w:rPr>
                <w:rFonts w:cs="Arial"/>
                <w:color w:val="000000"/>
                <w:sz w:val="22"/>
                <w:szCs w:val="22"/>
              </w:rPr>
              <w:t>9.9</w:t>
            </w:r>
          </w:p>
        </w:tc>
        <w:tc>
          <w:tcPr>
            <w:tcW w:w="348" w:type="pct"/>
            <w:tcBorders>
              <w:top w:val="nil"/>
              <w:left w:val="nil"/>
              <w:bottom w:val="single" w:sz="4" w:space="0" w:color="auto"/>
              <w:right w:val="single" w:sz="4" w:space="0" w:color="auto"/>
            </w:tcBorders>
            <w:shd w:val="clear" w:color="auto" w:fill="auto"/>
            <w:noWrap/>
            <w:vAlign w:val="center"/>
          </w:tcPr>
          <w:p w14:paraId="6EEF24E3" w14:textId="2F8F23A9" w:rsidR="00F519C1" w:rsidRPr="00F5328D" w:rsidRDefault="00F519C1" w:rsidP="00F5328D">
            <w:pPr>
              <w:jc w:val="right"/>
              <w:rPr>
                <w:rFonts w:cs="Arial"/>
                <w:color w:val="000000"/>
                <w:sz w:val="22"/>
                <w:szCs w:val="22"/>
              </w:rPr>
            </w:pPr>
            <w:r w:rsidRPr="00F5328D">
              <w:rPr>
                <w:rFonts w:cs="Arial"/>
                <w:color w:val="000000"/>
                <w:sz w:val="22"/>
                <w:szCs w:val="22"/>
              </w:rPr>
              <w:t>7.1</w:t>
            </w:r>
          </w:p>
        </w:tc>
        <w:tc>
          <w:tcPr>
            <w:tcW w:w="349" w:type="pct"/>
            <w:tcBorders>
              <w:top w:val="nil"/>
              <w:left w:val="nil"/>
              <w:bottom w:val="single" w:sz="4" w:space="0" w:color="auto"/>
              <w:right w:val="single" w:sz="4" w:space="0" w:color="auto"/>
            </w:tcBorders>
            <w:shd w:val="clear" w:color="auto" w:fill="auto"/>
            <w:noWrap/>
            <w:vAlign w:val="center"/>
          </w:tcPr>
          <w:p w14:paraId="67670F99" w14:textId="2157D33A" w:rsidR="00F519C1" w:rsidRPr="00F5328D" w:rsidRDefault="00F519C1" w:rsidP="00F5328D">
            <w:pPr>
              <w:jc w:val="right"/>
              <w:rPr>
                <w:rFonts w:cs="Arial"/>
                <w:color w:val="000000"/>
                <w:sz w:val="22"/>
                <w:szCs w:val="22"/>
              </w:rPr>
            </w:pPr>
            <w:r w:rsidRPr="00F5328D">
              <w:rPr>
                <w:rFonts w:cs="Arial"/>
                <w:color w:val="000000"/>
                <w:sz w:val="22"/>
                <w:szCs w:val="22"/>
              </w:rPr>
              <w:t>3.5</w:t>
            </w:r>
          </w:p>
        </w:tc>
        <w:tc>
          <w:tcPr>
            <w:tcW w:w="348" w:type="pct"/>
            <w:tcBorders>
              <w:top w:val="nil"/>
              <w:left w:val="nil"/>
              <w:bottom w:val="single" w:sz="4" w:space="0" w:color="auto"/>
              <w:right w:val="single" w:sz="4" w:space="0" w:color="auto"/>
            </w:tcBorders>
            <w:shd w:val="clear" w:color="auto" w:fill="auto"/>
            <w:noWrap/>
            <w:vAlign w:val="center"/>
          </w:tcPr>
          <w:p w14:paraId="77CE5997" w14:textId="414F20D3" w:rsidR="00F519C1" w:rsidRPr="00F5328D" w:rsidRDefault="00F519C1" w:rsidP="00F5328D">
            <w:pPr>
              <w:jc w:val="right"/>
              <w:rPr>
                <w:rFonts w:cs="Arial"/>
                <w:color w:val="000000"/>
                <w:sz w:val="22"/>
                <w:szCs w:val="22"/>
              </w:rPr>
            </w:pPr>
            <w:r w:rsidRPr="00F5328D">
              <w:rPr>
                <w:rFonts w:cs="Arial"/>
                <w:color w:val="000000"/>
                <w:sz w:val="22"/>
                <w:szCs w:val="22"/>
              </w:rPr>
              <w:t>2.3</w:t>
            </w:r>
          </w:p>
        </w:tc>
        <w:tc>
          <w:tcPr>
            <w:tcW w:w="348" w:type="pct"/>
            <w:tcBorders>
              <w:top w:val="nil"/>
              <w:left w:val="nil"/>
              <w:bottom w:val="single" w:sz="4" w:space="0" w:color="auto"/>
              <w:right w:val="single" w:sz="4" w:space="0" w:color="auto"/>
            </w:tcBorders>
            <w:shd w:val="clear" w:color="auto" w:fill="auto"/>
            <w:noWrap/>
            <w:vAlign w:val="center"/>
          </w:tcPr>
          <w:p w14:paraId="424FDD1B" w14:textId="13AB26CE" w:rsidR="00F519C1" w:rsidRPr="00F5328D" w:rsidRDefault="00F519C1" w:rsidP="00F5328D">
            <w:pPr>
              <w:jc w:val="right"/>
              <w:rPr>
                <w:rFonts w:cs="Arial"/>
                <w:color w:val="000000"/>
                <w:sz w:val="22"/>
                <w:szCs w:val="22"/>
              </w:rPr>
            </w:pPr>
            <w:r w:rsidRPr="00F5328D">
              <w:rPr>
                <w:rFonts w:cs="Arial"/>
                <w:color w:val="000000"/>
                <w:sz w:val="22"/>
                <w:szCs w:val="22"/>
              </w:rPr>
              <w:t>6.3</w:t>
            </w:r>
          </w:p>
        </w:tc>
        <w:tc>
          <w:tcPr>
            <w:tcW w:w="351" w:type="pct"/>
            <w:tcBorders>
              <w:top w:val="nil"/>
              <w:left w:val="nil"/>
              <w:bottom w:val="single" w:sz="4" w:space="0" w:color="auto"/>
              <w:right w:val="single" w:sz="4" w:space="0" w:color="auto"/>
            </w:tcBorders>
            <w:shd w:val="clear" w:color="auto" w:fill="auto"/>
            <w:noWrap/>
            <w:vAlign w:val="center"/>
          </w:tcPr>
          <w:p w14:paraId="0CE23A57" w14:textId="27FC72BF" w:rsidR="00F519C1" w:rsidRPr="00F5328D" w:rsidRDefault="00F519C1" w:rsidP="00F5328D">
            <w:pPr>
              <w:jc w:val="right"/>
              <w:rPr>
                <w:rFonts w:cs="Arial"/>
                <w:color w:val="000000"/>
                <w:sz w:val="22"/>
                <w:szCs w:val="22"/>
              </w:rPr>
            </w:pPr>
            <w:r w:rsidRPr="00F5328D">
              <w:rPr>
                <w:rFonts w:cs="Arial"/>
                <w:color w:val="000000"/>
                <w:sz w:val="22"/>
                <w:szCs w:val="22"/>
              </w:rPr>
              <w:t>4.7</w:t>
            </w:r>
          </w:p>
        </w:tc>
        <w:tc>
          <w:tcPr>
            <w:tcW w:w="299" w:type="pct"/>
            <w:tcBorders>
              <w:top w:val="nil"/>
              <w:left w:val="nil"/>
              <w:bottom w:val="single" w:sz="4" w:space="0" w:color="auto"/>
              <w:right w:val="single" w:sz="4" w:space="0" w:color="auto"/>
            </w:tcBorders>
            <w:shd w:val="clear" w:color="auto" w:fill="auto"/>
            <w:noWrap/>
            <w:vAlign w:val="center"/>
          </w:tcPr>
          <w:p w14:paraId="5DE4D3CD" w14:textId="1ACACEEC"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center"/>
          </w:tcPr>
          <w:p w14:paraId="2E9E4228" w14:textId="7170FCC9" w:rsidR="00F519C1" w:rsidRPr="00F5328D" w:rsidRDefault="00F519C1" w:rsidP="00F5328D">
            <w:pPr>
              <w:jc w:val="right"/>
              <w:rPr>
                <w:rFonts w:cs="Arial"/>
                <w:color w:val="000000"/>
                <w:sz w:val="22"/>
                <w:szCs w:val="22"/>
              </w:rPr>
            </w:pPr>
            <w:r w:rsidRPr="00F5328D">
              <w:rPr>
                <w:rFonts w:cs="Arial"/>
                <w:color w:val="000000"/>
                <w:sz w:val="22"/>
                <w:szCs w:val="22"/>
              </w:rPr>
              <w:t>12,410</w:t>
            </w:r>
          </w:p>
        </w:tc>
      </w:tr>
      <w:tr w:rsidR="00F5328D" w:rsidRPr="00A96B82" w14:paraId="3FA4B880"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67846BC8" w14:textId="7A276FF1" w:rsidR="00F519C1" w:rsidRPr="00F5328D" w:rsidRDefault="00F519C1" w:rsidP="00F5328D">
            <w:pPr>
              <w:rPr>
                <w:rFonts w:cs="Arial"/>
                <w:color w:val="000000"/>
                <w:sz w:val="22"/>
                <w:szCs w:val="22"/>
              </w:rPr>
            </w:pPr>
            <w:r w:rsidRPr="00F5328D">
              <w:rPr>
                <w:rFonts w:cs="Arial"/>
                <w:color w:val="000000"/>
                <w:sz w:val="22"/>
                <w:szCs w:val="22"/>
              </w:rPr>
              <w:t>Rochester</w:t>
            </w:r>
          </w:p>
        </w:tc>
        <w:tc>
          <w:tcPr>
            <w:tcW w:w="348" w:type="pct"/>
            <w:tcBorders>
              <w:top w:val="nil"/>
              <w:left w:val="nil"/>
              <w:bottom w:val="single" w:sz="4" w:space="0" w:color="auto"/>
              <w:right w:val="single" w:sz="4" w:space="0" w:color="auto"/>
            </w:tcBorders>
            <w:shd w:val="clear" w:color="auto" w:fill="auto"/>
            <w:noWrap/>
            <w:vAlign w:val="center"/>
          </w:tcPr>
          <w:p w14:paraId="5E27D216" w14:textId="169EAF0C" w:rsidR="00F519C1" w:rsidRPr="00F5328D" w:rsidRDefault="00F519C1" w:rsidP="00F5328D">
            <w:pPr>
              <w:jc w:val="right"/>
              <w:rPr>
                <w:rFonts w:cs="Arial"/>
                <w:color w:val="000000"/>
                <w:sz w:val="22"/>
                <w:szCs w:val="22"/>
              </w:rPr>
            </w:pPr>
            <w:r w:rsidRPr="00F5328D">
              <w:rPr>
                <w:rFonts w:cs="Arial"/>
                <w:color w:val="000000"/>
                <w:sz w:val="22"/>
                <w:szCs w:val="22"/>
              </w:rPr>
              <w:t>0.3</w:t>
            </w:r>
          </w:p>
        </w:tc>
        <w:tc>
          <w:tcPr>
            <w:tcW w:w="349" w:type="pct"/>
            <w:tcBorders>
              <w:top w:val="nil"/>
              <w:left w:val="nil"/>
              <w:bottom w:val="single" w:sz="4" w:space="0" w:color="auto"/>
              <w:right w:val="single" w:sz="4" w:space="0" w:color="auto"/>
            </w:tcBorders>
            <w:shd w:val="clear" w:color="auto" w:fill="auto"/>
            <w:noWrap/>
            <w:vAlign w:val="center"/>
          </w:tcPr>
          <w:p w14:paraId="38B38E8D" w14:textId="60AE14EE" w:rsidR="00F519C1" w:rsidRPr="00F5328D" w:rsidRDefault="00F519C1" w:rsidP="00F5328D">
            <w:pPr>
              <w:jc w:val="right"/>
              <w:rPr>
                <w:rFonts w:cs="Arial"/>
                <w:color w:val="000000"/>
                <w:sz w:val="22"/>
                <w:szCs w:val="22"/>
              </w:rPr>
            </w:pPr>
            <w:r w:rsidRPr="00F5328D">
              <w:rPr>
                <w:rFonts w:cs="Arial"/>
                <w:color w:val="000000"/>
                <w:sz w:val="22"/>
                <w:szCs w:val="22"/>
              </w:rPr>
              <w:t>13.4</w:t>
            </w:r>
          </w:p>
        </w:tc>
        <w:tc>
          <w:tcPr>
            <w:tcW w:w="348" w:type="pct"/>
            <w:tcBorders>
              <w:top w:val="nil"/>
              <w:left w:val="nil"/>
              <w:bottom w:val="single" w:sz="4" w:space="0" w:color="auto"/>
              <w:right w:val="single" w:sz="4" w:space="0" w:color="auto"/>
            </w:tcBorders>
            <w:shd w:val="clear" w:color="auto" w:fill="auto"/>
            <w:noWrap/>
            <w:vAlign w:val="center"/>
          </w:tcPr>
          <w:p w14:paraId="5B709B07" w14:textId="1165E9CC" w:rsidR="00F519C1" w:rsidRPr="00F5328D" w:rsidRDefault="00F519C1" w:rsidP="00F5328D">
            <w:pPr>
              <w:jc w:val="right"/>
              <w:rPr>
                <w:rFonts w:cs="Arial"/>
                <w:color w:val="000000"/>
                <w:sz w:val="22"/>
                <w:szCs w:val="22"/>
              </w:rPr>
            </w:pPr>
            <w:r w:rsidRPr="00F5328D">
              <w:rPr>
                <w:rFonts w:cs="Arial"/>
                <w:color w:val="000000"/>
                <w:sz w:val="22"/>
                <w:szCs w:val="22"/>
              </w:rPr>
              <w:t>48.4</w:t>
            </w:r>
          </w:p>
        </w:tc>
        <w:tc>
          <w:tcPr>
            <w:tcW w:w="348" w:type="pct"/>
            <w:tcBorders>
              <w:top w:val="nil"/>
              <w:left w:val="nil"/>
              <w:bottom w:val="single" w:sz="4" w:space="0" w:color="auto"/>
              <w:right w:val="single" w:sz="4" w:space="0" w:color="auto"/>
            </w:tcBorders>
            <w:shd w:val="clear" w:color="auto" w:fill="auto"/>
            <w:noWrap/>
            <w:vAlign w:val="center"/>
          </w:tcPr>
          <w:p w14:paraId="09F8334A" w14:textId="0DC6E9D7" w:rsidR="00F519C1" w:rsidRPr="00F5328D" w:rsidRDefault="00F519C1" w:rsidP="00F5328D">
            <w:pPr>
              <w:jc w:val="right"/>
              <w:rPr>
                <w:rFonts w:cs="Arial"/>
                <w:color w:val="000000"/>
                <w:sz w:val="22"/>
                <w:szCs w:val="22"/>
              </w:rPr>
            </w:pPr>
            <w:r w:rsidRPr="00F5328D">
              <w:rPr>
                <w:rFonts w:cs="Arial"/>
                <w:color w:val="000000"/>
                <w:sz w:val="22"/>
                <w:szCs w:val="22"/>
              </w:rPr>
              <w:t>9.6</w:t>
            </w:r>
          </w:p>
        </w:tc>
        <w:tc>
          <w:tcPr>
            <w:tcW w:w="348" w:type="pct"/>
            <w:tcBorders>
              <w:top w:val="nil"/>
              <w:left w:val="nil"/>
              <w:bottom w:val="single" w:sz="4" w:space="0" w:color="auto"/>
              <w:right w:val="single" w:sz="4" w:space="0" w:color="auto"/>
            </w:tcBorders>
            <w:shd w:val="clear" w:color="auto" w:fill="auto"/>
            <w:noWrap/>
            <w:vAlign w:val="center"/>
          </w:tcPr>
          <w:p w14:paraId="11D445E6" w14:textId="23058F76" w:rsidR="00F519C1" w:rsidRPr="00F5328D" w:rsidRDefault="00F519C1" w:rsidP="00F5328D">
            <w:pPr>
              <w:jc w:val="right"/>
              <w:rPr>
                <w:rFonts w:cs="Arial"/>
                <w:color w:val="000000"/>
                <w:sz w:val="22"/>
                <w:szCs w:val="22"/>
              </w:rPr>
            </w:pPr>
            <w:r w:rsidRPr="00F5328D">
              <w:rPr>
                <w:rFonts w:cs="Arial"/>
                <w:color w:val="000000"/>
                <w:sz w:val="22"/>
                <w:szCs w:val="22"/>
              </w:rPr>
              <w:t>11.5</w:t>
            </w:r>
          </w:p>
        </w:tc>
        <w:tc>
          <w:tcPr>
            <w:tcW w:w="349" w:type="pct"/>
            <w:tcBorders>
              <w:top w:val="nil"/>
              <w:left w:val="nil"/>
              <w:bottom w:val="single" w:sz="4" w:space="0" w:color="auto"/>
              <w:right w:val="single" w:sz="4" w:space="0" w:color="auto"/>
            </w:tcBorders>
            <w:shd w:val="clear" w:color="auto" w:fill="auto"/>
            <w:noWrap/>
            <w:vAlign w:val="center"/>
          </w:tcPr>
          <w:p w14:paraId="178A3BE2" w14:textId="275D57BE" w:rsidR="00F519C1" w:rsidRPr="00F5328D" w:rsidRDefault="00F519C1" w:rsidP="00F5328D">
            <w:pPr>
              <w:jc w:val="right"/>
              <w:rPr>
                <w:rFonts w:cs="Arial"/>
                <w:color w:val="000000"/>
                <w:sz w:val="22"/>
                <w:szCs w:val="22"/>
              </w:rPr>
            </w:pPr>
            <w:r w:rsidRPr="00F5328D">
              <w:rPr>
                <w:rFonts w:cs="Arial"/>
                <w:color w:val="000000"/>
                <w:sz w:val="22"/>
                <w:szCs w:val="22"/>
              </w:rPr>
              <w:t>12.7</w:t>
            </w:r>
          </w:p>
        </w:tc>
        <w:tc>
          <w:tcPr>
            <w:tcW w:w="348" w:type="pct"/>
            <w:tcBorders>
              <w:top w:val="nil"/>
              <w:left w:val="nil"/>
              <w:bottom w:val="single" w:sz="4" w:space="0" w:color="auto"/>
              <w:right w:val="single" w:sz="4" w:space="0" w:color="auto"/>
            </w:tcBorders>
            <w:shd w:val="clear" w:color="auto" w:fill="auto"/>
            <w:noWrap/>
            <w:vAlign w:val="center"/>
          </w:tcPr>
          <w:p w14:paraId="2D2810D7" w14:textId="42FBDE81" w:rsidR="00F519C1" w:rsidRPr="00F5328D" w:rsidRDefault="00F519C1" w:rsidP="00F5328D">
            <w:pPr>
              <w:jc w:val="right"/>
              <w:rPr>
                <w:rFonts w:cs="Arial"/>
                <w:color w:val="000000"/>
                <w:sz w:val="22"/>
                <w:szCs w:val="22"/>
              </w:rPr>
            </w:pPr>
            <w:r w:rsidRPr="00F5328D">
              <w:rPr>
                <w:rFonts w:cs="Arial"/>
                <w:color w:val="000000"/>
                <w:sz w:val="22"/>
                <w:szCs w:val="22"/>
              </w:rPr>
              <w:t>0.6</w:t>
            </w:r>
          </w:p>
        </w:tc>
        <w:tc>
          <w:tcPr>
            <w:tcW w:w="348" w:type="pct"/>
            <w:tcBorders>
              <w:top w:val="nil"/>
              <w:left w:val="nil"/>
              <w:bottom w:val="single" w:sz="4" w:space="0" w:color="auto"/>
              <w:right w:val="single" w:sz="4" w:space="0" w:color="auto"/>
            </w:tcBorders>
            <w:shd w:val="clear" w:color="auto" w:fill="auto"/>
            <w:noWrap/>
            <w:vAlign w:val="center"/>
          </w:tcPr>
          <w:p w14:paraId="751AC35F" w14:textId="5393C378" w:rsidR="00F519C1" w:rsidRPr="00F5328D" w:rsidRDefault="00F519C1" w:rsidP="00F5328D">
            <w:pPr>
              <w:jc w:val="right"/>
              <w:rPr>
                <w:rFonts w:cs="Arial"/>
                <w:color w:val="000000"/>
                <w:sz w:val="22"/>
                <w:szCs w:val="22"/>
              </w:rPr>
            </w:pPr>
            <w:r w:rsidRPr="00F5328D">
              <w:rPr>
                <w:rFonts w:cs="Arial"/>
                <w:color w:val="000000"/>
                <w:sz w:val="22"/>
                <w:szCs w:val="22"/>
              </w:rPr>
              <w:t>2.4</w:t>
            </w:r>
          </w:p>
        </w:tc>
        <w:tc>
          <w:tcPr>
            <w:tcW w:w="351" w:type="pct"/>
            <w:tcBorders>
              <w:top w:val="nil"/>
              <w:left w:val="nil"/>
              <w:bottom w:val="single" w:sz="4" w:space="0" w:color="auto"/>
              <w:right w:val="single" w:sz="4" w:space="0" w:color="auto"/>
            </w:tcBorders>
            <w:shd w:val="clear" w:color="auto" w:fill="auto"/>
            <w:noWrap/>
            <w:vAlign w:val="center"/>
          </w:tcPr>
          <w:p w14:paraId="1EC6075A" w14:textId="66BEACCE" w:rsidR="00F519C1" w:rsidRPr="00F5328D" w:rsidRDefault="00F519C1" w:rsidP="00F5328D">
            <w:pPr>
              <w:jc w:val="right"/>
              <w:rPr>
                <w:rFonts w:cs="Arial"/>
                <w:color w:val="000000"/>
                <w:sz w:val="22"/>
                <w:szCs w:val="22"/>
              </w:rPr>
            </w:pPr>
            <w:r w:rsidRPr="00F5328D">
              <w:rPr>
                <w:rFonts w:cs="Arial"/>
                <w:color w:val="000000"/>
                <w:sz w:val="22"/>
                <w:szCs w:val="22"/>
              </w:rPr>
              <w:t>1.2</w:t>
            </w:r>
          </w:p>
        </w:tc>
        <w:tc>
          <w:tcPr>
            <w:tcW w:w="299" w:type="pct"/>
            <w:tcBorders>
              <w:top w:val="nil"/>
              <w:left w:val="nil"/>
              <w:bottom w:val="single" w:sz="4" w:space="0" w:color="auto"/>
              <w:right w:val="single" w:sz="4" w:space="0" w:color="auto"/>
            </w:tcBorders>
            <w:shd w:val="clear" w:color="auto" w:fill="auto"/>
            <w:noWrap/>
            <w:vAlign w:val="center"/>
          </w:tcPr>
          <w:p w14:paraId="2E14DAA4" w14:textId="3BF84F5A"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center"/>
          </w:tcPr>
          <w:p w14:paraId="7114A256" w14:textId="4008F47B" w:rsidR="00F519C1" w:rsidRPr="00F5328D" w:rsidRDefault="00F519C1" w:rsidP="00F5328D">
            <w:pPr>
              <w:jc w:val="right"/>
              <w:rPr>
                <w:rFonts w:cs="Arial"/>
                <w:color w:val="000000"/>
                <w:sz w:val="22"/>
                <w:szCs w:val="22"/>
              </w:rPr>
            </w:pPr>
            <w:r w:rsidRPr="00F5328D">
              <w:rPr>
                <w:rFonts w:cs="Arial"/>
                <w:color w:val="000000"/>
                <w:sz w:val="22"/>
                <w:szCs w:val="22"/>
              </w:rPr>
              <w:t>11,660</w:t>
            </w:r>
          </w:p>
        </w:tc>
      </w:tr>
      <w:tr w:rsidR="00F5328D" w:rsidRPr="00A96B82" w14:paraId="0E889E58"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2D46D8B3" w14:textId="1E99FE08" w:rsidR="00F519C1" w:rsidRPr="00F5328D" w:rsidRDefault="00F519C1" w:rsidP="00F5328D">
            <w:pPr>
              <w:rPr>
                <w:rFonts w:cs="Arial"/>
                <w:color w:val="000000"/>
                <w:sz w:val="22"/>
                <w:szCs w:val="22"/>
              </w:rPr>
            </w:pPr>
            <w:r w:rsidRPr="00F5328D">
              <w:rPr>
                <w:rFonts w:cs="Arial"/>
                <w:color w:val="000000"/>
                <w:sz w:val="22"/>
                <w:szCs w:val="22"/>
              </w:rPr>
              <w:t>Strood</w:t>
            </w:r>
          </w:p>
        </w:tc>
        <w:tc>
          <w:tcPr>
            <w:tcW w:w="348" w:type="pct"/>
            <w:tcBorders>
              <w:top w:val="nil"/>
              <w:left w:val="nil"/>
              <w:bottom w:val="single" w:sz="4" w:space="0" w:color="auto"/>
              <w:right w:val="single" w:sz="4" w:space="0" w:color="auto"/>
            </w:tcBorders>
            <w:shd w:val="clear" w:color="auto" w:fill="auto"/>
            <w:noWrap/>
            <w:vAlign w:val="center"/>
          </w:tcPr>
          <w:p w14:paraId="11F40879" w14:textId="3297E2C8" w:rsidR="00F519C1" w:rsidRPr="00F5328D" w:rsidRDefault="00F519C1" w:rsidP="00F5328D">
            <w:pPr>
              <w:jc w:val="right"/>
              <w:rPr>
                <w:rFonts w:cs="Arial"/>
                <w:color w:val="000000"/>
                <w:sz w:val="22"/>
                <w:szCs w:val="22"/>
              </w:rPr>
            </w:pPr>
            <w:r w:rsidRPr="00F5328D">
              <w:rPr>
                <w:rFonts w:cs="Arial"/>
                <w:color w:val="000000"/>
                <w:sz w:val="22"/>
                <w:szCs w:val="22"/>
              </w:rPr>
              <w:t>0.4</w:t>
            </w:r>
          </w:p>
        </w:tc>
        <w:tc>
          <w:tcPr>
            <w:tcW w:w="349" w:type="pct"/>
            <w:tcBorders>
              <w:top w:val="nil"/>
              <w:left w:val="nil"/>
              <w:bottom w:val="single" w:sz="4" w:space="0" w:color="auto"/>
              <w:right w:val="single" w:sz="4" w:space="0" w:color="auto"/>
            </w:tcBorders>
            <w:shd w:val="clear" w:color="auto" w:fill="auto"/>
            <w:noWrap/>
            <w:vAlign w:val="center"/>
          </w:tcPr>
          <w:p w14:paraId="59F5BB55" w14:textId="07E3F32B" w:rsidR="00F519C1" w:rsidRPr="00F5328D" w:rsidRDefault="00F519C1" w:rsidP="00F5328D">
            <w:pPr>
              <w:jc w:val="right"/>
              <w:rPr>
                <w:rFonts w:cs="Arial"/>
                <w:color w:val="000000"/>
                <w:sz w:val="22"/>
                <w:szCs w:val="22"/>
              </w:rPr>
            </w:pPr>
            <w:r w:rsidRPr="00F5328D">
              <w:rPr>
                <w:rFonts w:cs="Arial"/>
                <w:color w:val="000000"/>
                <w:sz w:val="22"/>
                <w:szCs w:val="22"/>
              </w:rPr>
              <w:t>15.3</w:t>
            </w:r>
          </w:p>
        </w:tc>
        <w:tc>
          <w:tcPr>
            <w:tcW w:w="348" w:type="pct"/>
            <w:tcBorders>
              <w:top w:val="nil"/>
              <w:left w:val="nil"/>
              <w:bottom w:val="single" w:sz="4" w:space="0" w:color="auto"/>
              <w:right w:val="single" w:sz="4" w:space="0" w:color="auto"/>
            </w:tcBorders>
            <w:shd w:val="clear" w:color="auto" w:fill="auto"/>
            <w:noWrap/>
            <w:vAlign w:val="center"/>
          </w:tcPr>
          <w:p w14:paraId="4320A09E" w14:textId="4EF46A4C" w:rsidR="00F519C1" w:rsidRPr="00F5328D" w:rsidRDefault="00F519C1" w:rsidP="00F5328D">
            <w:pPr>
              <w:jc w:val="right"/>
              <w:rPr>
                <w:rFonts w:cs="Arial"/>
                <w:color w:val="000000"/>
                <w:sz w:val="22"/>
                <w:szCs w:val="22"/>
              </w:rPr>
            </w:pPr>
            <w:r w:rsidRPr="00F5328D">
              <w:rPr>
                <w:rFonts w:cs="Arial"/>
                <w:color w:val="000000"/>
                <w:sz w:val="22"/>
                <w:szCs w:val="22"/>
              </w:rPr>
              <w:t>57.3</w:t>
            </w:r>
          </w:p>
        </w:tc>
        <w:tc>
          <w:tcPr>
            <w:tcW w:w="348" w:type="pct"/>
            <w:tcBorders>
              <w:top w:val="nil"/>
              <w:left w:val="nil"/>
              <w:bottom w:val="single" w:sz="4" w:space="0" w:color="auto"/>
              <w:right w:val="single" w:sz="4" w:space="0" w:color="auto"/>
            </w:tcBorders>
            <w:shd w:val="clear" w:color="auto" w:fill="auto"/>
            <w:noWrap/>
            <w:vAlign w:val="center"/>
          </w:tcPr>
          <w:p w14:paraId="55BEA716" w14:textId="119ECFDC" w:rsidR="00F519C1" w:rsidRPr="00F5328D" w:rsidRDefault="00F519C1" w:rsidP="00F5328D">
            <w:pPr>
              <w:jc w:val="right"/>
              <w:rPr>
                <w:rFonts w:cs="Arial"/>
                <w:color w:val="000000"/>
                <w:sz w:val="22"/>
                <w:szCs w:val="22"/>
              </w:rPr>
            </w:pPr>
            <w:r w:rsidRPr="00F5328D">
              <w:rPr>
                <w:rFonts w:cs="Arial"/>
                <w:color w:val="000000"/>
                <w:sz w:val="22"/>
                <w:szCs w:val="22"/>
              </w:rPr>
              <w:t>8.6</w:t>
            </w:r>
          </w:p>
        </w:tc>
        <w:tc>
          <w:tcPr>
            <w:tcW w:w="348" w:type="pct"/>
            <w:tcBorders>
              <w:top w:val="nil"/>
              <w:left w:val="nil"/>
              <w:bottom w:val="single" w:sz="4" w:space="0" w:color="auto"/>
              <w:right w:val="single" w:sz="4" w:space="0" w:color="auto"/>
            </w:tcBorders>
            <w:shd w:val="clear" w:color="auto" w:fill="auto"/>
            <w:noWrap/>
            <w:vAlign w:val="center"/>
          </w:tcPr>
          <w:p w14:paraId="0E1CE118" w14:textId="1498F421" w:rsidR="00F519C1" w:rsidRPr="00F5328D" w:rsidRDefault="00F519C1" w:rsidP="00F5328D">
            <w:pPr>
              <w:jc w:val="right"/>
              <w:rPr>
                <w:rFonts w:cs="Arial"/>
                <w:color w:val="000000"/>
                <w:sz w:val="22"/>
                <w:szCs w:val="22"/>
              </w:rPr>
            </w:pPr>
            <w:r w:rsidRPr="00F5328D">
              <w:rPr>
                <w:rFonts w:cs="Arial"/>
                <w:color w:val="000000"/>
                <w:sz w:val="22"/>
                <w:szCs w:val="22"/>
              </w:rPr>
              <w:t>6.3</w:t>
            </w:r>
          </w:p>
        </w:tc>
        <w:tc>
          <w:tcPr>
            <w:tcW w:w="349" w:type="pct"/>
            <w:tcBorders>
              <w:top w:val="nil"/>
              <w:left w:val="nil"/>
              <w:bottom w:val="single" w:sz="4" w:space="0" w:color="auto"/>
              <w:right w:val="single" w:sz="4" w:space="0" w:color="auto"/>
            </w:tcBorders>
            <w:shd w:val="clear" w:color="auto" w:fill="auto"/>
            <w:noWrap/>
            <w:vAlign w:val="center"/>
          </w:tcPr>
          <w:p w14:paraId="04F410FE" w14:textId="4ADA5B39" w:rsidR="00F519C1" w:rsidRPr="00F5328D" w:rsidRDefault="00F519C1" w:rsidP="00F5328D">
            <w:pPr>
              <w:jc w:val="right"/>
              <w:rPr>
                <w:rFonts w:cs="Arial"/>
                <w:color w:val="000000"/>
                <w:sz w:val="22"/>
                <w:szCs w:val="22"/>
              </w:rPr>
            </w:pPr>
            <w:r w:rsidRPr="00F5328D">
              <w:rPr>
                <w:rFonts w:cs="Arial"/>
                <w:color w:val="000000"/>
                <w:sz w:val="22"/>
                <w:szCs w:val="22"/>
              </w:rPr>
              <w:t>7.3</w:t>
            </w:r>
          </w:p>
        </w:tc>
        <w:tc>
          <w:tcPr>
            <w:tcW w:w="348" w:type="pct"/>
            <w:tcBorders>
              <w:top w:val="nil"/>
              <w:left w:val="nil"/>
              <w:bottom w:val="single" w:sz="4" w:space="0" w:color="auto"/>
              <w:right w:val="single" w:sz="4" w:space="0" w:color="auto"/>
            </w:tcBorders>
            <w:shd w:val="clear" w:color="auto" w:fill="auto"/>
            <w:noWrap/>
            <w:vAlign w:val="center"/>
          </w:tcPr>
          <w:p w14:paraId="223C8763" w14:textId="35EA6D41" w:rsidR="00F519C1" w:rsidRPr="00F5328D" w:rsidRDefault="00F519C1" w:rsidP="00F5328D">
            <w:pPr>
              <w:jc w:val="right"/>
              <w:rPr>
                <w:rFonts w:cs="Arial"/>
                <w:color w:val="000000"/>
                <w:sz w:val="22"/>
                <w:szCs w:val="22"/>
              </w:rPr>
            </w:pPr>
            <w:r w:rsidRPr="00F5328D">
              <w:rPr>
                <w:rFonts w:cs="Arial"/>
                <w:color w:val="000000"/>
                <w:sz w:val="22"/>
                <w:szCs w:val="22"/>
              </w:rPr>
              <w:t>0.7</w:t>
            </w:r>
          </w:p>
        </w:tc>
        <w:tc>
          <w:tcPr>
            <w:tcW w:w="348" w:type="pct"/>
            <w:tcBorders>
              <w:top w:val="nil"/>
              <w:left w:val="nil"/>
              <w:bottom w:val="single" w:sz="4" w:space="0" w:color="auto"/>
              <w:right w:val="single" w:sz="4" w:space="0" w:color="auto"/>
            </w:tcBorders>
            <w:shd w:val="clear" w:color="auto" w:fill="auto"/>
            <w:noWrap/>
            <w:vAlign w:val="center"/>
          </w:tcPr>
          <w:p w14:paraId="0722B3C4" w14:textId="7D6E1E64" w:rsidR="00F519C1" w:rsidRPr="00F5328D" w:rsidRDefault="00F519C1" w:rsidP="00F5328D">
            <w:pPr>
              <w:jc w:val="right"/>
              <w:rPr>
                <w:rFonts w:cs="Arial"/>
                <w:color w:val="000000"/>
                <w:sz w:val="22"/>
                <w:szCs w:val="22"/>
              </w:rPr>
            </w:pPr>
            <w:r w:rsidRPr="00F5328D">
              <w:rPr>
                <w:rFonts w:cs="Arial"/>
                <w:color w:val="000000"/>
                <w:sz w:val="22"/>
                <w:szCs w:val="22"/>
              </w:rPr>
              <w:t>2.9</w:t>
            </w:r>
          </w:p>
        </w:tc>
        <w:tc>
          <w:tcPr>
            <w:tcW w:w="351" w:type="pct"/>
            <w:tcBorders>
              <w:top w:val="nil"/>
              <w:left w:val="nil"/>
              <w:bottom w:val="single" w:sz="4" w:space="0" w:color="auto"/>
              <w:right w:val="single" w:sz="4" w:space="0" w:color="auto"/>
            </w:tcBorders>
            <w:shd w:val="clear" w:color="auto" w:fill="auto"/>
            <w:noWrap/>
            <w:vAlign w:val="center"/>
          </w:tcPr>
          <w:p w14:paraId="59570EAA" w14:textId="0490E2FC" w:rsidR="00F519C1" w:rsidRPr="00F5328D" w:rsidRDefault="00F519C1" w:rsidP="00F5328D">
            <w:pPr>
              <w:jc w:val="right"/>
              <w:rPr>
                <w:rFonts w:cs="Arial"/>
                <w:color w:val="000000"/>
                <w:sz w:val="22"/>
                <w:szCs w:val="22"/>
              </w:rPr>
            </w:pPr>
            <w:r w:rsidRPr="00F5328D">
              <w:rPr>
                <w:rFonts w:cs="Arial"/>
                <w:color w:val="000000"/>
                <w:sz w:val="22"/>
                <w:szCs w:val="22"/>
              </w:rPr>
              <w:t>1.2</w:t>
            </w:r>
          </w:p>
        </w:tc>
        <w:tc>
          <w:tcPr>
            <w:tcW w:w="299" w:type="pct"/>
            <w:tcBorders>
              <w:top w:val="nil"/>
              <w:left w:val="nil"/>
              <w:bottom w:val="single" w:sz="4" w:space="0" w:color="auto"/>
              <w:right w:val="single" w:sz="4" w:space="0" w:color="auto"/>
            </w:tcBorders>
            <w:shd w:val="clear" w:color="auto" w:fill="auto"/>
            <w:noWrap/>
            <w:vAlign w:val="center"/>
          </w:tcPr>
          <w:p w14:paraId="7BDA6CE4" w14:textId="45608C61"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center"/>
          </w:tcPr>
          <w:p w14:paraId="05905E91" w14:textId="23F62CDF" w:rsidR="00F519C1" w:rsidRPr="00F5328D" w:rsidRDefault="00F519C1" w:rsidP="00F5328D">
            <w:pPr>
              <w:jc w:val="right"/>
              <w:rPr>
                <w:rFonts w:cs="Arial"/>
                <w:color w:val="000000"/>
                <w:sz w:val="22"/>
                <w:szCs w:val="22"/>
              </w:rPr>
            </w:pPr>
            <w:r w:rsidRPr="00F5328D">
              <w:rPr>
                <w:rFonts w:cs="Arial"/>
                <w:color w:val="000000"/>
                <w:sz w:val="22"/>
                <w:szCs w:val="22"/>
              </w:rPr>
              <w:t>12,120</w:t>
            </w:r>
          </w:p>
        </w:tc>
      </w:tr>
      <w:tr w:rsidR="00F519C1" w:rsidRPr="00A96B82" w14:paraId="7444CE99" w14:textId="77777777" w:rsidTr="00F5328D">
        <w:trPr>
          <w:trHeight w:val="287"/>
        </w:trPr>
        <w:tc>
          <w:tcPr>
            <w:tcW w:w="5000" w:type="pct"/>
            <w:gridSpan w:val="12"/>
            <w:tcBorders>
              <w:top w:val="nil"/>
              <w:left w:val="single" w:sz="4" w:space="0" w:color="auto"/>
              <w:bottom w:val="single" w:sz="4" w:space="0" w:color="auto"/>
              <w:right w:val="single" w:sz="4" w:space="0" w:color="auto"/>
            </w:tcBorders>
            <w:shd w:val="clear" w:color="auto" w:fill="auto"/>
            <w:noWrap/>
            <w:vAlign w:val="center"/>
          </w:tcPr>
          <w:p w14:paraId="51318840" w14:textId="216494A2" w:rsidR="00F519C1" w:rsidRPr="00F5328D" w:rsidRDefault="00F519C1" w:rsidP="00F5328D">
            <w:pPr>
              <w:rPr>
                <w:rFonts w:cs="Arial"/>
                <w:color w:val="000000"/>
                <w:sz w:val="22"/>
                <w:szCs w:val="22"/>
              </w:rPr>
            </w:pPr>
            <w:r w:rsidRPr="00F5328D">
              <w:rPr>
                <w:rFonts w:cs="Arial"/>
                <w:b/>
                <w:bCs/>
                <w:color w:val="000000"/>
                <w:sz w:val="22"/>
                <w:szCs w:val="22"/>
              </w:rPr>
              <w:t>Neighbourhood Planning Area</w:t>
            </w:r>
          </w:p>
        </w:tc>
      </w:tr>
      <w:tr w:rsidR="00F5328D" w:rsidRPr="00A96B82" w14:paraId="25B1B741"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0EB6AB23" w14:textId="5F6F4020" w:rsidR="00F519C1" w:rsidRPr="00F5328D" w:rsidRDefault="00F519C1" w:rsidP="00F5328D">
            <w:pPr>
              <w:rPr>
                <w:rFonts w:cs="Arial"/>
                <w:color w:val="000000"/>
                <w:sz w:val="22"/>
                <w:szCs w:val="22"/>
              </w:rPr>
            </w:pPr>
            <w:r w:rsidRPr="00F5328D">
              <w:rPr>
                <w:rFonts w:cs="Arial"/>
                <w:color w:val="000000"/>
                <w:sz w:val="22"/>
                <w:szCs w:val="22"/>
              </w:rPr>
              <w:t>Cliffe and Cliffe Wood</w:t>
            </w:r>
          </w:p>
        </w:tc>
        <w:tc>
          <w:tcPr>
            <w:tcW w:w="348" w:type="pct"/>
            <w:tcBorders>
              <w:top w:val="nil"/>
              <w:left w:val="nil"/>
              <w:bottom w:val="single" w:sz="4" w:space="0" w:color="auto"/>
              <w:right w:val="single" w:sz="4" w:space="0" w:color="auto"/>
            </w:tcBorders>
            <w:shd w:val="clear" w:color="auto" w:fill="auto"/>
            <w:noWrap/>
            <w:vAlign w:val="bottom"/>
          </w:tcPr>
          <w:p w14:paraId="10D01265" w14:textId="4035CCCC" w:rsidR="00F519C1" w:rsidRPr="00F5328D" w:rsidRDefault="00F519C1" w:rsidP="00F5328D">
            <w:pPr>
              <w:jc w:val="right"/>
              <w:rPr>
                <w:rFonts w:cs="Arial"/>
                <w:color w:val="000000"/>
                <w:sz w:val="22"/>
                <w:szCs w:val="22"/>
              </w:rPr>
            </w:pPr>
            <w:r w:rsidRPr="00F5328D">
              <w:rPr>
                <w:rFonts w:cs="Arial"/>
                <w:color w:val="000000"/>
                <w:sz w:val="22"/>
                <w:szCs w:val="22"/>
              </w:rPr>
              <w:t>1.0</w:t>
            </w:r>
          </w:p>
        </w:tc>
        <w:tc>
          <w:tcPr>
            <w:tcW w:w="349" w:type="pct"/>
            <w:tcBorders>
              <w:top w:val="nil"/>
              <w:left w:val="nil"/>
              <w:bottom w:val="single" w:sz="4" w:space="0" w:color="auto"/>
              <w:right w:val="single" w:sz="4" w:space="0" w:color="auto"/>
            </w:tcBorders>
            <w:shd w:val="clear" w:color="auto" w:fill="auto"/>
            <w:noWrap/>
            <w:vAlign w:val="bottom"/>
          </w:tcPr>
          <w:p w14:paraId="195E5468" w14:textId="6AFE810D" w:rsidR="00F519C1" w:rsidRPr="00F5328D" w:rsidRDefault="00F519C1" w:rsidP="00F5328D">
            <w:pPr>
              <w:jc w:val="right"/>
              <w:rPr>
                <w:rFonts w:cs="Arial"/>
                <w:color w:val="000000"/>
                <w:sz w:val="22"/>
                <w:szCs w:val="22"/>
              </w:rPr>
            </w:pPr>
            <w:r w:rsidRPr="00F5328D">
              <w:rPr>
                <w:rFonts w:cs="Arial"/>
                <w:color w:val="000000"/>
                <w:sz w:val="22"/>
                <w:szCs w:val="22"/>
              </w:rPr>
              <w:t>10.1</w:t>
            </w:r>
          </w:p>
        </w:tc>
        <w:tc>
          <w:tcPr>
            <w:tcW w:w="348" w:type="pct"/>
            <w:tcBorders>
              <w:top w:val="nil"/>
              <w:left w:val="nil"/>
              <w:bottom w:val="single" w:sz="4" w:space="0" w:color="auto"/>
              <w:right w:val="single" w:sz="4" w:space="0" w:color="auto"/>
            </w:tcBorders>
            <w:shd w:val="clear" w:color="auto" w:fill="auto"/>
            <w:noWrap/>
            <w:vAlign w:val="bottom"/>
          </w:tcPr>
          <w:p w14:paraId="52D8D799" w14:textId="40A9D2D9" w:rsidR="00F519C1" w:rsidRPr="00F5328D" w:rsidRDefault="00F519C1" w:rsidP="00F5328D">
            <w:pPr>
              <w:jc w:val="right"/>
              <w:rPr>
                <w:rFonts w:cs="Arial"/>
                <w:color w:val="000000"/>
                <w:sz w:val="22"/>
                <w:szCs w:val="22"/>
              </w:rPr>
            </w:pPr>
            <w:r w:rsidRPr="00F5328D">
              <w:rPr>
                <w:rFonts w:cs="Arial"/>
                <w:color w:val="000000"/>
                <w:sz w:val="22"/>
                <w:szCs w:val="22"/>
              </w:rPr>
              <w:t>55.6</w:t>
            </w:r>
          </w:p>
        </w:tc>
        <w:tc>
          <w:tcPr>
            <w:tcW w:w="348" w:type="pct"/>
            <w:tcBorders>
              <w:top w:val="nil"/>
              <w:left w:val="nil"/>
              <w:bottom w:val="single" w:sz="4" w:space="0" w:color="auto"/>
              <w:right w:val="single" w:sz="4" w:space="0" w:color="auto"/>
            </w:tcBorders>
            <w:shd w:val="clear" w:color="auto" w:fill="auto"/>
            <w:noWrap/>
            <w:vAlign w:val="bottom"/>
          </w:tcPr>
          <w:p w14:paraId="63D3DCCD" w14:textId="4E0AA3E0" w:rsidR="00F519C1" w:rsidRPr="00F5328D" w:rsidRDefault="00F519C1" w:rsidP="00F5328D">
            <w:pPr>
              <w:jc w:val="right"/>
              <w:rPr>
                <w:rFonts w:cs="Arial"/>
                <w:color w:val="000000"/>
                <w:sz w:val="22"/>
                <w:szCs w:val="22"/>
              </w:rPr>
            </w:pPr>
            <w:r w:rsidRPr="00F5328D">
              <w:rPr>
                <w:rFonts w:cs="Arial"/>
                <w:color w:val="000000"/>
                <w:sz w:val="22"/>
                <w:szCs w:val="22"/>
              </w:rPr>
              <w:t>20.3</w:t>
            </w:r>
          </w:p>
        </w:tc>
        <w:tc>
          <w:tcPr>
            <w:tcW w:w="348" w:type="pct"/>
            <w:tcBorders>
              <w:top w:val="nil"/>
              <w:left w:val="nil"/>
              <w:bottom w:val="single" w:sz="4" w:space="0" w:color="auto"/>
              <w:right w:val="single" w:sz="4" w:space="0" w:color="auto"/>
            </w:tcBorders>
            <w:shd w:val="clear" w:color="auto" w:fill="auto"/>
            <w:noWrap/>
            <w:vAlign w:val="bottom"/>
          </w:tcPr>
          <w:p w14:paraId="51CA849B" w14:textId="093DA870" w:rsidR="00F519C1" w:rsidRPr="00F5328D" w:rsidRDefault="00F519C1" w:rsidP="00F5328D">
            <w:pPr>
              <w:jc w:val="right"/>
              <w:rPr>
                <w:rFonts w:cs="Arial"/>
                <w:color w:val="000000"/>
                <w:sz w:val="22"/>
                <w:szCs w:val="22"/>
              </w:rPr>
            </w:pPr>
            <w:r w:rsidRPr="00F5328D">
              <w:rPr>
                <w:rFonts w:cs="Arial"/>
                <w:color w:val="000000"/>
                <w:sz w:val="22"/>
                <w:szCs w:val="22"/>
              </w:rPr>
              <w:t>3.4</w:t>
            </w:r>
          </w:p>
        </w:tc>
        <w:tc>
          <w:tcPr>
            <w:tcW w:w="349" w:type="pct"/>
            <w:tcBorders>
              <w:top w:val="nil"/>
              <w:left w:val="nil"/>
              <w:bottom w:val="single" w:sz="4" w:space="0" w:color="auto"/>
              <w:right w:val="single" w:sz="4" w:space="0" w:color="auto"/>
            </w:tcBorders>
            <w:shd w:val="clear" w:color="auto" w:fill="auto"/>
            <w:noWrap/>
            <w:vAlign w:val="bottom"/>
          </w:tcPr>
          <w:p w14:paraId="614E09DF" w14:textId="1D737EEC" w:rsidR="00F519C1" w:rsidRPr="00F5328D" w:rsidRDefault="00F519C1" w:rsidP="00F5328D">
            <w:pPr>
              <w:jc w:val="right"/>
              <w:rPr>
                <w:rFonts w:cs="Arial"/>
                <w:color w:val="000000"/>
                <w:sz w:val="22"/>
                <w:szCs w:val="22"/>
              </w:rPr>
            </w:pPr>
            <w:r w:rsidRPr="00F5328D">
              <w:rPr>
                <w:rFonts w:cs="Arial"/>
                <w:color w:val="000000"/>
                <w:sz w:val="22"/>
                <w:szCs w:val="22"/>
              </w:rPr>
              <w:t>0.5</w:t>
            </w:r>
          </w:p>
        </w:tc>
        <w:tc>
          <w:tcPr>
            <w:tcW w:w="348" w:type="pct"/>
            <w:tcBorders>
              <w:top w:val="nil"/>
              <w:left w:val="nil"/>
              <w:bottom w:val="single" w:sz="4" w:space="0" w:color="auto"/>
              <w:right w:val="single" w:sz="4" w:space="0" w:color="auto"/>
            </w:tcBorders>
            <w:shd w:val="clear" w:color="auto" w:fill="auto"/>
            <w:noWrap/>
            <w:vAlign w:val="bottom"/>
          </w:tcPr>
          <w:p w14:paraId="09DD8881" w14:textId="72D8D9FB" w:rsidR="00F519C1" w:rsidRPr="00F5328D" w:rsidRDefault="00F519C1" w:rsidP="00F5328D">
            <w:pPr>
              <w:jc w:val="right"/>
              <w:rPr>
                <w:rFonts w:cs="Arial"/>
                <w:color w:val="000000"/>
                <w:sz w:val="22"/>
                <w:szCs w:val="22"/>
              </w:rPr>
            </w:pPr>
            <w:r w:rsidRPr="00F5328D">
              <w:rPr>
                <w:rFonts w:cs="Arial"/>
                <w:color w:val="000000"/>
                <w:sz w:val="22"/>
                <w:szCs w:val="22"/>
              </w:rPr>
              <w:t>0.5</w:t>
            </w:r>
          </w:p>
        </w:tc>
        <w:tc>
          <w:tcPr>
            <w:tcW w:w="348" w:type="pct"/>
            <w:tcBorders>
              <w:top w:val="nil"/>
              <w:left w:val="nil"/>
              <w:bottom w:val="single" w:sz="4" w:space="0" w:color="auto"/>
              <w:right w:val="single" w:sz="4" w:space="0" w:color="auto"/>
            </w:tcBorders>
            <w:shd w:val="clear" w:color="auto" w:fill="auto"/>
            <w:noWrap/>
            <w:vAlign w:val="bottom"/>
          </w:tcPr>
          <w:p w14:paraId="12CA8433" w14:textId="042F5F82" w:rsidR="00F519C1" w:rsidRPr="00F5328D" w:rsidRDefault="00F519C1" w:rsidP="00F5328D">
            <w:pPr>
              <w:jc w:val="right"/>
              <w:rPr>
                <w:rFonts w:cs="Arial"/>
                <w:color w:val="000000"/>
                <w:sz w:val="22"/>
                <w:szCs w:val="22"/>
              </w:rPr>
            </w:pPr>
            <w:r w:rsidRPr="00F5328D">
              <w:rPr>
                <w:rFonts w:cs="Arial"/>
                <w:color w:val="000000"/>
                <w:sz w:val="22"/>
                <w:szCs w:val="22"/>
              </w:rPr>
              <w:t>2.4</w:t>
            </w:r>
          </w:p>
        </w:tc>
        <w:tc>
          <w:tcPr>
            <w:tcW w:w="351" w:type="pct"/>
            <w:tcBorders>
              <w:top w:val="nil"/>
              <w:left w:val="nil"/>
              <w:bottom w:val="single" w:sz="4" w:space="0" w:color="auto"/>
              <w:right w:val="single" w:sz="4" w:space="0" w:color="auto"/>
            </w:tcBorders>
            <w:shd w:val="clear" w:color="auto" w:fill="auto"/>
            <w:noWrap/>
            <w:vAlign w:val="bottom"/>
          </w:tcPr>
          <w:p w14:paraId="7E3E4901" w14:textId="286FB24E" w:rsidR="00F519C1" w:rsidRPr="00F5328D" w:rsidRDefault="00F519C1" w:rsidP="00F5328D">
            <w:pPr>
              <w:jc w:val="right"/>
              <w:rPr>
                <w:rFonts w:cs="Arial"/>
                <w:color w:val="000000"/>
                <w:sz w:val="22"/>
                <w:szCs w:val="22"/>
              </w:rPr>
            </w:pPr>
            <w:r w:rsidRPr="00F5328D">
              <w:rPr>
                <w:rFonts w:cs="Arial"/>
                <w:color w:val="000000"/>
                <w:sz w:val="22"/>
                <w:szCs w:val="22"/>
              </w:rPr>
              <w:t>6.3</w:t>
            </w:r>
          </w:p>
        </w:tc>
        <w:tc>
          <w:tcPr>
            <w:tcW w:w="299" w:type="pct"/>
            <w:tcBorders>
              <w:top w:val="nil"/>
              <w:left w:val="nil"/>
              <w:bottom w:val="single" w:sz="4" w:space="0" w:color="auto"/>
              <w:right w:val="single" w:sz="4" w:space="0" w:color="auto"/>
            </w:tcBorders>
            <w:shd w:val="clear" w:color="auto" w:fill="auto"/>
            <w:noWrap/>
            <w:vAlign w:val="bottom"/>
          </w:tcPr>
          <w:p w14:paraId="36839936" w14:textId="60181707"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bottom"/>
          </w:tcPr>
          <w:p w14:paraId="71996B2E" w14:textId="17384654" w:rsidR="00F519C1" w:rsidRPr="00F5328D" w:rsidRDefault="00F519C1" w:rsidP="00F5328D">
            <w:pPr>
              <w:jc w:val="right"/>
              <w:rPr>
                <w:rFonts w:cs="Arial"/>
                <w:color w:val="000000"/>
                <w:sz w:val="22"/>
                <w:szCs w:val="22"/>
              </w:rPr>
            </w:pPr>
            <w:r w:rsidRPr="00F5328D">
              <w:rPr>
                <w:rFonts w:cs="Arial"/>
                <w:color w:val="000000"/>
                <w:sz w:val="22"/>
                <w:szCs w:val="22"/>
              </w:rPr>
              <w:t>2,070</w:t>
            </w:r>
          </w:p>
        </w:tc>
      </w:tr>
      <w:tr w:rsidR="00F5328D" w:rsidRPr="00A96B82" w14:paraId="07878F06"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2DCFEFB0" w14:textId="49FBE1DE" w:rsidR="00F519C1" w:rsidRPr="00F5328D" w:rsidRDefault="00F519C1" w:rsidP="00F5328D">
            <w:pPr>
              <w:rPr>
                <w:rFonts w:cs="Arial"/>
                <w:color w:val="000000"/>
                <w:sz w:val="22"/>
                <w:szCs w:val="22"/>
              </w:rPr>
            </w:pPr>
            <w:proofErr w:type="spellStart"/>
            <w:r w:rsidRPr="00F5328D">
              <w:rPr>
                <w:rFonts w:cs="Arial"/>
                <w:color w:val="000000"/>
                <w:sz w:val="22"/>
                <w:szCs w:val="22"/>
              </w:rPr>
              <w:t>Frindsbury</w:t>
            </w:r>
            <w:proofErr w:type="spellEnd"/>
            <w:r w:rsidRPr="00F5328D">
              <w:rPr>
                <w:rFonts w:cs="Arial"/>
                <w:color w:val="000000"/>
                <w:sz w:val="22"/>
                <w:szCs w:val="22"/>
              </w:rPr>
              <w:t xml:space="preserve"> Extra</w:t>
            </w:r>
          </w:p>
        </w:tc>
        <w:tc>
          <w:tcPr>
            <w:tcW w:w="348" w:type="pct"/>
            <w:tcBorders>
              <w:top w:val="nil"/>
              <w:left w:val="nil"/>
              <w:bottom w:val="single" w:sz="4" w:space="0" w:color="auto"/>
              <w:right w:val="single" w:sz="4" w:space="0" w:color="auto"/>
            </w:tcBorders>
            <w:shd w:val="clear" w:color="auto" w:fill="auto"/>
            <w:noWrap/>
            <w:vAlign w:val="bottom"/>
          </w:tcPr>
          <w:p w14:paraId="1D2AF9D2" w14:textId="64EED5BC" w:rsidR="00F519C1" w:rsidRPr="00F5328D" w:rsidRDefault="00F519C1" w:rsidP="00F5328D">
            <w:pPr>
              <w:jc w:val="right"/>
              <w:rPr>
                <w:rFonts w:cs="Arial"/>
                <w:color w:val="000000"/>
                <w:sz w:val="22"/>
                <w:szCs w:val="22"/>
              </w:rPr>
            </w:pPr>
            <w:r w:rsidRPr="00F5328D">
              <w:rPr>
                <w:rFonts w:cs="Arial"/>
                <w:color w:val="000000"/>
                <w:sz w:val="22"/>
                <w:szCs w:val="22"/>
              </w:rPr>
              <w:t>0.0</w:t>
            </w:r>
          </w:p>
        </w:tc>
        <w:tc>
          <w:tcPr>
            <w:tcW w:w="349" w:type="pct"/>
            <w:tcBorders>
              <w:top w:val="nil"/>
              <w:left w:val="nil"/>
              <w:bottom w:val="single" w:sz="4" w:space="0" w:color="auto"/>
              <w:right w:val="single" w:sz="4" w:space="0" w:color="auto"/>
            </w:tcBorders>
            <w:shd w:val="clear" w:color="auto" w:fill="auto"/>
            <w:noWrap/>
            <w:vAlign w:val="bottom"/>
          </w:tcPr>
          <w:p w14:paraId="14BEC0B0" w14:textId="398A899B" w:rsidR="00F519C1" w:rsidRPr="00F5328D" w:rsidRDefault="00F519C1" w:rsidP="00F5328D">
            <w:pPr>
              <w:jc w:val="right"/>
              <w:rPr>
                <w:rFonts w:cs="Arial"/>
                <w:color w:val="000000"/>
                <w:sz w:val="22"/>
                <w:szCs w:val="22"/>
              </w:rPr>
            </w:pPr>
            <w:r w:rsidRPr="00F5328D">
              <w:rPr>
                <w:rFonts w:cs="Arial"/>
                <w:color w:val="000000"/>
                <w:sz w:val="22"/>
                <w:szCs w:val="22"/>
              </w:rPr>
              <w:t>10.5</w:t>
            </w:r>
          </w:p>
        </w:tc>
        <w:tc>
          <w:tcPr>
            <w:tcW w:w="348" w:type="pct"/>
            <w:tcBorders>
              <w:top w:val="nil"/>
              <w:left w:val="nil"/>
              <w:bottom w:val="single" w:sz="4" w:space="0" w:color="auto"/>
              <w:right w:val="single" w:sz="4" w:space="0" w:color="auto"/>
            </w:tcBorders>
            <w:shd w:val="clear" w:color="auto" w:fill="auto"/>
            <w:noWrap/>
            <w:vAlign w:val="bottom"/>
          </w:tcPr>
          <w:p w14:paraId="74F2D9C7" w14:textId="12CDBFE6" w:rsidR="00F519C1" w:rsidRPr="00F5328D" w:rsidRDefault="00F519C1" w:rsidP="00F5328D">
            <w:pPr>
              <w:jc w:val="right"/>
              <w:rPr>
                <w:rFonts w:cs="Arial"/>
                <w:color w:val="000000"/>
                <w:sz w:val="22"/>
                <w:szCs w:val="22"/>
              </w:rPr>
            </w:pPr>
            <w:r w:rsidRPr="00F5328D">
              <w:rPr>
                <w:rFonts w:cs="Arial"/>
                <w:color w:val="000000"/>
                <w:sz w:val="22"/>
                <w:szCs w:val="22"/>
              </w:rPr>
              <w:t>53.8</w:t>
            </w:r>
          </w:p>
        </w:tc>
        <w:tc>
          <w:tcPr>
            <w:tcW w:w="348" w:type="pct"/>
            <w:tcBorders>
              <w:top w:val="nil"/>
              <w:left w:val="nil"/>
              <w:bottom w:val="single" w:sz="4" w:space="0" w:color="auto"/>
              <w:right w:val="single" w:sz="4" w:space="0" w:color="auto"/>
            </w:tcBorders>
            <w:shd w:val="clear" w:color="auto" w:fill="auto"/>
            <w:noWrap/>
            <w:vAlign w:val="bottom"/>
          </w:tcPr>
          <w:p w14:paraId="2399B030" w14:textId="7A47A40E" w:rsidR="00F519C1" w:rsidRPr="00F5328D" w:rsidRDefault="00F519C1" w:rsidP="00F5328D">
            <w:pPr>
              <w:jc w:val="right"/>
              <w:rPr>
                <w:rFonts w:cs="Arial"/>
                <w:color w:val="000000"/>
                <w:sz w:val="22"/>
                <w:szCs w:val="22"/>
              </w:rPr>
            </w:pPr>
            <w:r w:rsidRPr="00F5328D">
              <w:rPr>
                <w:rFonts w:cs="Arial"/>
                <w:color w:val="000000"/>
                <w:sz w:val="22"/>
                <w:szCs w:val="22"/>
              </w:rPr>
              <w:t>16.4</w:t>
            </w:r>
          </w:p>
        </w:tc>
        <w:tc>
          <w:tcPr>
            <w:tcW w:w="348" w:type="pct"/>
            <w:tcBorders>
              <w:top w:val="nil"/>
              <w:left w:val="nil"/>
              <w:bottom w:val="single" w:sz="4" w:space="0" w:color="auto"/>
              <w:right w:val="single" w:sz="4" w:space="0" w:color="auto"/>
            </w:tcBorders>
            <w:shd w:val="clear" w:color="auto" w:fill="auto"/>
            <w:noWrap/>
            <w:vAlign w:val="bottom"/>
          </w:tcPr>
          <w:p w14:paraId="5A08F5E1" w14:textId="296DB48F" w:rsidR="00F519C1" w:rsidRPr="00F5328D" w:rsidRDefault="00F519C1" w:rsidP="00F5328D">
            <w:pPr>
              <w:jc w:val="right"/>
              <w:rPr>
                <w:rFonts w:cs="Arial"/>
                <w:color w:val="000000"/>
                <w:sz w:val="22"/>
                <w:szCs w:val="22"/>
              </w:rPr>
            </w:pPr>
            <w:r w:rsidRPr="00F5328D">
              <w:rPr>
                <w:rFonts w:cs="Arial"/>
                <w:color w:val="000000"/>
                <w:sz w:val="22"/>
                <w:szCs w:val="22"/>
              </w:rPr>
              <w:t>2.9</w:t>
            </w:r>
          </w:p>
        </w:tc>
        <w:tc>
          <w:tcPr>
            <w:tcW w:w="349" w:type="pct"/>
            <w:tcBorders>
              <w:top w:val="nil"/>
              <w:left w:val="nil"/>
              <w:bottom w:val="single" w:sz="4" w:space="0" w:color="auto"/>
              <w:right w:val="single" w:sz="4" w:space="0" w:color="auto"/>
            </w:tcBorders>
            <w:shd w:val="clear" w:color="auto" w:fill="auto"/>
            <w:noWrap/>
            <w:vAlign w:val="bottom"/>
          </w:tcPr>
          <w:p w14:paraId="24CDADC7" w14:textId="70B49502" w:rsidR="00F519C1" w:rsidRPr="00F5328D" w:rsidRDefault="00F519C1" w:rsidP="00F5328D">
            <w:pPr>
              <w:jc w:val="right"/>
              <w:rPr>
                <w:rFonts w:cs="Arial"/>
                <w:color w:val="000000"/>
                <w:sz w:val="22"/>
                <w:szCs w:val="22"/>
              </w:rPr>
            </w:pPr>
            <w:r w:rsidRPr="00F5328D">
              <w:rPr>
                <w:rFonts w:cs="Arial"/>
                <w:color w:val="000000"/>
                <w:sz w:val="22"/>
                <w:szCs w:val="22"/>
              </w:rPr>
              <w:t>9.8</w:t>
            </w:r>
          </w:p>
        </w:tc>
        <w:tc>
          <w:tcPr>
            <w:tcW w:w="348" w:type="pct"/>
            <w:tcBorders>
              <w:top w:val="nil"/>
              <w:left w:val="nil"/>
              <w:bottom w:val="single" w:sz="4" w:space="0" w:color="auto"/>
              <w:right w:val="single" w:sz="4" w:space="0" w:color="auto"/>
            </w:tcBorders>
            <w:shd w:val="clear" w:color="auto" w:fill="auto"/>
            <w:noWrap/>
            <w:vAlign w:val="bottom"/>
          </w:tcPr>
          <w:p w14:paraId="01907A7F" w14:textId="5AC55D5E" w:rsidR="00F519C1" w:rsidRPr="00F5328D" w:rsidRDefault="00F519C1" w:rsidP="00F5328D">
            <w:pPr>
              <w:jc w:val="right"/>
              <w:rPr>
                <w:rFonts w:cs="Arial"/>
                <w:color w:val="000000"/>
                <w:sz w:val="22"/>
                <w:szCs w:val="22"/>
              </w:rPr>
            </w:pPr>
            <w:r w:rsidRPr="00F5328D">
              <w:rPr>
                <w:rFonts w:cs="Arial"/>
                <w:color w:val="000000"/>
                <w:sz w:val="22"/>
                <w:szCs w:val="22"/>
              </w:rPr>
              <w:t>0.7</w:t>
            </w:r>
          </w:p>
        </w:tc>
        <w:tc>
          <w:tcPr>
            <w:tcW w:w="348" w:type="pct"/>
            <w:tcBorders>
              <w:top w:val="nil"/>
              <w:left w:val="nil"/>
              <w:bottom w:val="single" w:sz="4" w:space="0" w:color="auto"/>
              <w:right w:val="single" w:sz="4" w:space="0" w:color="auto"/>
            </w:tcBorders>
            <w:shd w:val="clear" w:color="auto" w:fill="auto"/>
            <w:noWrap/>
            <w:vAlign w:val="bottom"/>
          </w:tcPr>
          <w:p w14:paraId="1EB80D64" w14:textId="609BD1DD" w:rsidR="00F519C1" w:rsidRPr="00F5328D" w:rsidRDefault="00F519C1" w:rsidP="00F5328D">
            <w:pPr>
              <w:jc w:val="right"/>
              <w:rPr>
                <w:rFonts w:cs="Arial"/>
                <w:color w:val="000000"/>
                <w:sz w:val="22"/>
                <w:szCs w:val="22"/>
              </w:rPr>
            </w:pPr>
            <w:r w:rsidRPr="00F5328D">
              <w:rPr>
                <w:rFonts w:cs="Arial"/>
                <w:color w:val="000000"/>
                <w:sz w:val="22"/>
                <w:szCs w:val="22"/>
              </w:rPr>
              <w:t>4.4</w:t>
            </w:r>
          </w:p>
        </w:tc>
        <w:tc>
          <w:tcPr>
            <w:tcW w:w="351" w:type="pct"/>
            <w:tcBorders>
              <w:top w:val="nil"/>
              <w:left w:val="nil"/>
              <w:bottom w:val="single" w:sz="4" w:space="0" w:color="auto"/>
              <w:right w:val="single" w:sz="4" w:space="0" w:color="auto"/>
            </w:tcBorders>
            <w:shd w:val="clear" w:color="auto" w:fill="auto"/>
            <w:noWrap/>
            <w:vAlign w:val="bottom"/>
          </w:tcPr>
          <w:p w14:paraId="15E67219" w14:textId="54CEE8A5" w:rsidR="00F519C1" w:rsidRPr="00F5328D" w:rsidRDefault="00F519C1" w:rsidP="00F5328D">
            <w:pPr>
              <w:jc w:val="right"/>
              <w:rPr>
                <w:rFonts w:cs="Arial"/>
                <w:color w:val="000000"/>
                <w:sz w:val="22"/>
                <w:szCs w:val="22"/>
              </w:rPr>
            </w:pPr>
            <w:r w:rsidRPr="00F5328D">
              <w:rPr>
                <w:rFonts w:cs="Arial"/>
                <w:color w:val="000000"/>
                <w:sz w:val="22"/>
                <w:szCs w:val="22"/>
              </w:rPr>
              <w:t>1.5</w:t>
            </w:r>
          </w:p>
        </w:tc>
        <w:tc>
          <w:tcPr>
            <w:tcW w:w="299" w:type="pct"/>
            <w:tcBorders>
              <w:top w:val="nil"/>
              <w:left w:val="nil"/>
              <w:bottom w:val="single" w:sz="4" w:space="0" w:color="auto"/>
              <w:right w:val="single" w:sz="4" w:space="0" w:color="auto"/>
            </w:tcBorders>
            <w:shd w:val="clear" w:color="auto" w:fill="auto"/>
            <w:noWrap/>
            <w:vAlign w:val="bottom"/>
          </w:tcPr>
          <w:p w14:paraId="44B3F3F9" w14:textId="20BFE839"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bottom"/>
          </w:tcPr>
          <w:p w14:paraId="46A37335" w14:textId="7D3C83DB" w:rsidR="00F519C1" w:rsidRPr="00F5328D" w:rsidRDefault="00F519C1" w:rsidP="00F5328D">
            <w:pPr>
              <w:jc w:val="right"/>
              <w:rPr>
                <w:rFonts w:cs="Arial"/>
                <w:color w:val="000000"/>
                <w:sz w:val="22"/>
                <w:szCs w:val="22"/>
              </w:rPr>
            </w:pPr>
            <w:r w:rsidRPr="00F5328D">
              <w:rPr>
                <w:rFonts w:cs="Arial"/>
                <w:color w:val="000000"/>
                <w:sz w:val="22"/>
                <w:szCs w:val="22"/>
              </w:rPr>
              <w:t>2,750</w:t>
            </w:r>
          </w:p>
        </w:tc>
      </w:tr>
      <w:tr w:rsidR="00F5328D" w:rsidRPr="00A96B82" w14:paraId="4D86C679"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768699B1" w14:textId="5F14DE1C" w:rsidR="00F519C1" w:rsidRPr="00F5328D" w:rsidRDefault="00F519C1" w:rsidP="00F5328D">
            <w:pPr>
              <w:rPr>
                <w:rFonts w:cs="Arial"/>
                <w:color w:val="000000"/>
                <w:sz w:val="22"/>
                <w:szCs w:val="22"/>
              </w:rPr>
            </w:pPr>
            <w:r w:rsidRPr="00F5328D">
              <w:rPr>
                <w:rFonts w:cs="Arial"/>
                <w:color w:val="000000"/>
                <w:sz w:val="22"/>
                <w:szCs w:val="22"/>
              </w:rPr>
              <w:t xml:space="preserve">High </w:t>
            </w:r>
            <w:proofErr w:type="spellStart"/>
            <w:r w:rsidRPr="00F5328D">
              <w:rPr>
                <w:rFonts w:cs="Arial"/>
                <w:color w:val="000000"/>
                <w:sz w:val="22"/>
                <w:szCs w:val="22"/>
              </w:rPr>
              <w:t>Halstow</w:t>
            </w:r>
            <w:proofErr w:type="spellEnd"/>
          </w:p>
        </w:tc>
        <w:tc>
          <w:tcPr>
            <w:tcW w:w="348" w:type="pct"/>
            <w:tcBorders>
              <w:top w:val="nil"/>
              <w:left w:val="nil"/>
              <w:bottom w:val="single" w:sz="4" w:space="0" w:color="auto"/>
              <w:right w:val="single" w:sz="4" w:space="0" w:color="auto"/>
            </w:tcBorders>
            <w:shd w:val="clear" w:color="auto" w:fill="auto"/>
            <w:noWrap/>
            <w:vAlign w:val="bottom"/>
          </w:tcPr>
          <w:p w14:paraId="24C30434" w14:textId="159B6EC2" w:rsidR="00F519C1" w:rsidRPr="00F5328D" w:rsidRDefault="00F519C1" w:rsidP="00F5328D">
            <w:pPr>
              <w:jc w:val="right"/>
              <w:rPr>
                <w:rFonts w:cs="Arial"/>
                <w:color w:val="000000"/>
                <w:sz w:val="22"/>
                <w:szCs w:val="22"/>
              </w:rPr>
            </w:pPr>
            <w:r w:rsidRPr="00F5328D">
              <w:rPr>
                <w:rFonts w:cs="Arial"/>
                <w:color w:val="000000"/>
                <w:sz w:val="22"/>
                <w:szCs w:val="22"/>
              </w:rPr>
              <w:t>0.0</w:t>
            </w:r>
          </w:p>
        </w:tc>
        <w:tc>
          <w:tcPr>
            <w:tcW w:w="349" w:type="pct"/>
            <w:tcBorders>
              <w:top w:val="nil"/>
              <w:left w:val="nil"/>
              <w:bottom w:val="single" w:sz="4" w:space="0" w:color="auto"/>
              <w:right w:val="single" w:sz="4" w:space="0" w:color="auto"/>
            </w:tcBorders>
            <w:shd w:val="clear" w:color="auto" w:fill="auto"/>
            <w:noWrap/>
            <w:vAlign w:val="bottom"/>
          </w:tcPr>
          <w:p w14:paraId="6884FDC1" w14:textId="06F4C83F" w:rsidR="00F519C1" w:rsidRPr="00F5328D" w:rsidRDefault="00F519C1" w:rsidP="00F5328D">
            <w:pPr>
              <w:jc w:val="right"/>
              <w:rPr>
                <w:rFonts w:cs="Arial"/>
                <w:color w:val="000000"/>
                <w:sz w:val="22"/>
                <w:szCs w:val="22"/>
              </w:rPr>
            </w:pPr>
            <w:r w:rsidRPr="00F5328D">
              <w:rPr>
                <w:rFonts w:cs="Arial"/>
                <w:color w:val="000000"/>
                <w:sz w:val="22"/>
                <w:szCs w:val="22"/>
              </w:rPr>
              <w:t>7.9</w:t>
            </w:r>
          </w:p>
        </w:tc>
        <w:tc>
          <w:tcPr>
            <w:tcW w:w="348" w:type="pct"/>
            <w:tcBorders>
              <w:top w:val="nil"/>
              <w:left w:val="nil"/>
              <w:bottom w:val="single" w:sz="4" w:space="0" w:color="auto"/>
              <w:right w:val="single" w:sz="4" w:space="0" w:color="auto"/>
            </w:tcBorders>
            <w:shd w:val="clear" w:color="auto" w:fill="auto"/>
            <w:noWrap/>
            <w:vAlign w:val="bottom"/>
          </w:tcPr>
          <w:p w14:paraId="5107BE29" w14:textId="77B2BC1A" w:rsidR="00F519C1" w:rsidRPr="00F5328D" w:rsidRDefault="00F519C1" w:rsidP="00F5328D">
            <w:pPr>
              <w:jc w:val="right"/>
              <w:rPr>
                <w:rFonts w:cs="Arial"/>
                <w:color w:val="000000"/>
                <w:sz w:val="22"/>
                <w:szCs w:val="22"/>
              </w:rPr>
            </w:pPr>
            <w:r w:rsidRPr="00F5328D">
              <w:rPr>
                <w:rFonts w:cs="Arial"/>
                <w:color w:val="000000"/>
                <w:sz w:val="22"/>
                <w:szCs w:val="22"/>
              </w:rPr>
              <w:t>38.2</w:t>
            </w:r>
          </w:p>
        </w:tc>
        <w:tc>
          <w:tcPr>
            <w:tcW w:w="348" w:type="pct"/>
            <w:tcBorders>
              <w:top w:val="nil"/>
              <w:left w:val="nil"/>
              <w:bottom w:val="single" w:sz="4" w:space="0" w:color="auto"/>
              <w:right w:val="single" w:sz="4" w:space="0" w:color="auto"/>
            </w:tcBorders>
            <w:shd w:val="clear" w:color="auto" w:fill="auto"/>
            <w:noWrap/>
            <w:vAlign w:val="bottom"/>
          </w:tcPr>
          <w:p w14:paraId="31171E10" w14:textId="1EE71986" w:rsidR="00F519C1" w:rsidRPr="00F5328D" w:rsidRDefault="00F519C1" w:rsidP="00F5328D">
            <w:pPr>
              <w:jc w:val="right"/>
              <w:rPr>
                <w:rFonts w:cs="Arial"/>
                <w:color w:val="000000"/>
                <w:sz w:val="22"/>
                <w:szCs w:val="22"/>
              </w:rPr>
            </w:pPr>
            <w:r w:rsidRPr="00F5328D">
              <w:rPr>
                <w:rFonts w:cs="Arial"/>
                <w:color w:val="000000"/>
                <w:sz w:val="22"/>
                <w:szCs w:val="22"/>
              </w:rPr>
              <w:t>35.5</w:t>
            </w:r>
          </w:p>
        </w:tc>
        <w:tc>
          <w:tcPr>
            <w:tcW w:w="348" w:type="pct"/>
            <w:tcBorders>
              <w:top w:val="nil"/>
              <w:left w:val="nil"/>
              <w:bottom w:val="single" w:sz="4" w:space="0" w:color="auto"/>
              <w:right w:val="single" w:sz="4" w:space="0" w:color="auto"/>
            </w:tcBorders>
            <w:shd w:val="clear" w:color="auto" w:fill="auto"/>
            <w:noWrap/>
            <w:vAlign w:val="bottom"/>
          </w:tcPr>
          <w:p w14:paraId="5EE90641" w14:textId="22CAE8B2" w:rsidR="00F519C1" w:rsidRPr="00F5328D" w:rsidRDefault="00F519C1" w:rsidP="00F5328D">
            <w:pPr>
              <w:jc w:val="right"/>
              <w:rPr>
                <w:rFonts w:cs="Arial"/>
                <w:color w:val="000000"/>
                <w:sz w:val="22"/>
                <w:szCs w:val="22"/>
              </w:rPr>
            </w:pPr>
            <w:r w:rsidRPr="00F5328D">
              <w:rPr>
                <w:rFonts w:cs="Arial"/>
                <w:color w:val="000000"/>
                <w:sz w:val="22"/>
                <w:szCs w:val="22"/>
              </w:rPr>
              <w:t>2.6</w:t>
            </w:r>
          </w:p>
        </w:tc>
        <w:tc>
          <w:tcPr>
            <w:tcW w:w="349" w:type="pct"/>
            <w:tcBorders>
              <w:top w:val="nil"/>
              <w:left w:val="nil"/>
              <w:bottom w:val="single" w:sz="4" w:space="0" w:color="auto"/>
              <w:right w:val="single" w:sz="4" w:space="0" w:color="auto"/>
            </w:tcBorders>
            <w:shd w:val="clear" w:color="auto" w:fill="auto"/>
            <w:noWrap/>
            <w:vAlign w:val="bottom"/>
          </w:tcPr>
          <w:p w14:paraId="2CA1DF87" w14:textId="5D4DC549" w:rsidR="00F519C1" w:rsidRPr="00F5328D" w:rsidRDefault="00F519C1" w:rsidP="00F5328D">
            <w:pPr>
              <w:jc w:val="right"/>
              <w:rPr>
                <w:rFonts w:cs="Arial"/>
                <w:color w:val="000000"/>
                <w:sz w:val="22"/>
                <w:szCs w:val="22"/>
              </w:rPr>
            </w:pPr>
            <w:r w:rsidRPr="00F5328D">
              <w:rPr>
                <w:rFonts w:cs="Arial"/>
                <w:color w:val="000000"/>
                <w:sz w:val="22"/>
                <w:szCs w:val="22"/>
              </w:rPr>
              <w:t>0.0</w:t>
            </w:r>
          </w:p>
        </w:tc>
        <w:tc>
          <w:tcPr>
            <w:tcW w:w="348" w:type="pct"/>
            <w:tcBorders>
              <w:top w:val="nil"/>
              <w:left w:val="nil"/>
              <w:bottom w:val="single" w:sz="4" w:space="0" w:color="auto"/>
              <w:right w:val="single" w:sz="4" w:space="0" w:color="auto"/>
            </w:tcBorders>
            <w:shd w:val="clear" w:color="auto" w:fill="auto"/>
            <w:noWrap/>
            <w:vAlign w:val="bottom"/>
          </w:tcPr>
          <w:p w14:paraId="590917CE" w14:textId="0B966C72" w:rsidR="00F519C1" w:rsidRPr="00F5328D" w:rsidRDefault="00F519C1" w:rsidP="00F5328D">
            <w:pPr>
              <w:jc w:val="right"/>
              <w:rPr>
                <w:rFonts w:cs="Arial"/>
                <w:color w:val="000000"/>
                <w:sz w:val="22"/>
                <w:szCs w:val="22"/>
              </w:rPr>
            </w:pPr>
            <w:r w:rsidRPr="00F5328D">
              <w:rPr>
                <w:rFonts w:cs="Arial"/>
                <w:color w:val="000000"/>
                <w:sz w:val="22"/>
                <w:szCs w:val="22"/>
              </w:rPr>
              <w:t>0.0</w:t>
            </w:r>
          </w:p>
        </w:tc>
        <w:tc>
          <w:tcPr>
            <w:tcW w:w="348" w:type="pct"/>
            <w:tcBorders>
              <w:top w:val="nil"/>
              <w:left w:val="nil"/>
              <w:bottom w:val="single" w:sz="4" w:space="0" w:color="auto"/>
              <w:right w:val="single" w:sz="4" w:space="0" w:color="auto"/>
            </w:tcBorders>
            <w:shd w:val="clear" w:color="auto" w:fill="auto"/>
            <w:noWrap/>
            <w:vAlign w:val="bottom"/>
          </w:tcPr>
          <w:p w14:paraId="4CE32AE7" w14:textId="24CB0C9C" w:rsidR="00F519C1" w:rsidRPr="00F5328D" w:rsidRDefault="00F519C1" w:rsidP="00F5328D">
            <w:pPr>
              <w:jc w:val="right"/>
              <w:rPr>
                <w:rFonts w:cs="Arial"/>
                <w:color w:val="000000"/>
                <w:sz w:val="22"/>
                <w:szCs w:val="22"/>
              </w:rPr>
            </w:pPr>
            <w:r w:rsidRPr="00F5328D">
              <w:rPr>
                <w:rFonts w:cs="Arial"/>
                <w:color w:val="000000"/>
                <w:sz w:val="22"/>
                <w:szCs w:val="22"/>
              </w:rPr>
              <w:t>7.9</w:t>
            </w:r>
          </w:p>
        </w:tc>
        <w:tc>
          <w:tcPr>
            <w:tcW w:w="351" w:type="pct"/>
            <w:tcBorders>
              <w:top w:val="nil"/>
              <w:left w:val="nil"/>
              <w:bottom w:val="single" w:sz="4" w:space="0" w:color="auto"/>
              <w:right w:val="single" w:sz="4" w:space="0" w:color="auto"/>
            </w:tcBorders>
            <w:shd w:val="clear" w:color="auto" w:fill="auto"/>
            <w:noWrap/>
            <w:vAlign w:val="bottom"/>
          </w:tcPr>
          <w:p w14:paraId="41F1BD6E" w14:textId="1CAF832F" w:rsidR="00F519C1" w:rsidRPr="00F5328D" w:rsidRDefault="00F519C1" w:rsidP="00F5328D">
            <w:pPr>
              <w:jc w:val="right"/>
              <w:rPr>
                <w:rFonts w:cs="Arial"/>
                <w:color w:val="000000"/>
                <w:sz w:val="22"/>
                <w:szCs w:val="22"/>
              </w:rPr>
            </w:pPr>
            <w:r w:rsidRPr="00F5328D">
              <w:rPr>
                <w:rFonts w:cs="Arial"/>
                <w:color w:val="000000"/>
                <w:sz w:val="22"/>
                <w:szCs w:val="22"/>
              </w:rPr>
              <w:t>7.9</w:t>
            </w:r>
          </w:p>
        </w:tc>
        <w:tc>
          <w:tcPr>
            <w:tcW w:w="299" w:type="pct"/>
            <w:tcBorders>
              <w:top w:val="nil"/>
              <w:left w:val="nil"/>
              <w:bottom w:val="single" w:sz="4" w:space="0" w:color="auto"/>
              <w:right w:val="single" w:sz="4" w:space="0" w:color="auto"/>
            </w:tcBorders>
            <w:shd w:val="clear" w:color="auto" w:fill="auto"/>
            <w:noWrap/>
            <w:vAlign w:val="bottom"/>
          </w:tcPr>
          <w:p w14:paraId="71FCF2CF" w14:textId="144852A1"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bottom"/>
          </w:tcPr>
          <w:p w14:paraId="0FFBE4D7" w14:textId="3596B8F0" w:rsidR="00F519C1" w:rsidRPr="00F5328D" w:rsidRDefault="00F519C1" w:rsidP="00F5328D">
            <w:pPr>
              <w:jc w:val="right"/>
              <w:rPr>
                <w:rFonts w:cs="Arial"/>
                <w:color w:val="000000"/>
                <w:sz w:val="22"/>
                <w:szCs w:val="22"/>
              </w:rPr>
            </w:pPr>
            <w:r w:rsidRPr="00F5328D">
              <w:rPr>
                <w:rFonts w:cs="Arial"/>
                <w:color w:val="000000"/>
                <w:sz w:val="22"/>
                <w:szCs w:val="22"/>
              </w:rPr>
              <w:t>760</w:t>
            </w:r>
          </w:p>
        </w:tc>
      </w:tr>
      <w:tr w:rsidR="00F5328D" w:rsidRPr="00A96B82" w14:paraId="4CDF22E4"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4678FCE7" w14:textId="3E99B78E" w:rsidR="00F519C1" w:rsidRPr="00F5328D" w:rsidRDefault="00F519C1" w:rsidP="00F5328D">
            <w:pPr>
              <w:rPr>
                <w:rFonts w:cs="Arial"/>
                <w:color w:val="000000"/>
                <w:sz w:val="22"/>
                <w:szCs w:val="22"/>
              </w:rPr>
            </w:pPr>
            <w:proofErr w:type="spellStart"/>
            <w:r w:rsidRPr="00F5328D">
              <w:rPr>
                <w:rFonts w:cs="Arial"/>
                <w:color w:val="000000" w:themeColor="text1"/>
                <w:sz w:val="22"/>
                <w:szCs w:val="22"/>
              </w:rPr>
              <w:t>Hoo</w:t>
            </w:r>
            <w:proofErr w:type="spellEnd"/>
            <w:r w:rsidRPr="00F5328D">
              <w:rPr>
                <w:rFonts w:cs="Arial"/>
                <w:color w:val="000000" w:themeColor="text1"/>
                <w:sz w:val="22"/>
                <w:szCs w:val="22"/>
              </w:rPr>
              <w:t xml:space="preserve"> St </w:t>
            </w:r>
            <w:proofErr w:type="spellStart"/>
            <w:r w:rsidRPr="00F5328D">
              <w:rPr>
                <w:rFonts w:cs="Arial"/>
                <w:color w:val="000000" w:themeColor="text1"/>
                <w:sz w:val="22"/>
                <w:szCs w:val="22"/>
              </w:rPr>
              <w:t>Werburgh</w:t>
            </w:r>
            <w:proofErr w:type="spellEnd"/>
            <w:r w:rsidRPr="00F5328D">
              <w:rPr>
                <w:rFonts w:cs="Arial"/>
                <w:color w:val="000000" w:themeColor="text1"/>
                <w:sz w:val="22"/>
                <w:szCs w:val="22"/>
              </w:rPr>
              <w:t>/Rural Town</w:t>
            </w:r>
          </w:p>
        </w:tc>
        <w:tc>
          <w:tcPr>
            <w:tcW w:w="348" w:type="pct"/>
            <w:tcBorders>
              <w:top w:val="nil"/>
              <w:left w:val="nil"/>
              <w:bottom w:val="single" w:sz="4" w:space="0" w:color="auto"/>
              <w:right w:val="single" w:sz="4" w:space="0" w:color="auto"/>
            </w:tcBorders>
            <w:shd w:val="clear" w:color="auto" w:fill="auto"/>
            <w:noWrap/>
            <w:vAlign w:val="bottom"/>
          </w:tcPr>
          <w:p w14:paraId="2A8B07CE" w14:textId="7241AFD8" w:rsidR="00F519C1" w:rsidRPr="00F5328D" w:rsidRDefault="00F519C1" w:rsidP="00F5328D">
            <w:pPr>
              <w:jc w:val="right"/>
              <w:rPr>
                <w:rFonts w:cs="Arial"/>
                <w:color w:val="000000"/>
                <w:sz w:val="22"/>
                <w:szCs w:val="22"/>
              </w:rPr>
            </w:pPr>
            <w:r w:rsidRPr="00F5328D">
              <w:rPr>
                <w:rFonts w:cs="Arial"/>
                <w:color w:val="000000"/>
                <w:sz w:val="22"/>
                <w:szCs w:val="22"/>
              </w:rPr>
              <w:t>0.5</w:t>
            </w:r>
          </w:p>
        </w:tc>
        <w:tc>
          <w:tcPr>
            <w:tcW w:w="349" w:type="pct"/>
            <w:tcBorders>
              <w:top w:val="nil"/>
              <w:left w:val="nil"/>
              <w:bottom w:val="single" w:sz="4" w:space="0" w:color="auto"/>
              <w:right w:val="single" w:sz="4" w:space="0" w:color="auto"/>
            </w:tcBorders>
            <w:shd w:val="clear" w:color="auto" w:fill="auto"/>
            <w:noWrap/>
            <w:vAlign w:val="bottom"/>
          </w:tcPr>
          <w:p w14:paraId="32B7342A" w14:textId="5D03D772" w:rsidR="00F519C1" w:rsidRPr="00F5328D" w:rsidRDefault="00F519C1" w:rsidP="00F5328D">
            <w:pPr>
              <w:jc w:val="right"/>
              <w:rPr>
                <w:rFonts w:cs="Arial"/>
                <w:color w:val="000000"/>
                <w:sz w:val="22"/>
                <w:szCs w:val="22"/>
              </w:rPr>
            </w:pPr>
            <w:r w:rsidRPr="00F5328D">
              <w:rPr>
                <w:rFonts w:cs="Arial"/>
                <w:color w:val="000000"/>
                <w:sz w:val="22"/>
                <w:szCs w:val="22"/>
              </w:rPr>
              <w:t>13.5</w:t>
            </w:r>
          </w:p>
        </w:tc>
        <w:tc>
          <w:tcPr>
            <w:tcW w:w="348" w:type="pct"/>
            <w:tcBorders>
              <w:top w:val="nil"/>
              <w:left w:val="nil"/>
              <w:bottom w:val="single" w:sz="4" w:space="0" w:color="auto"/>
              <w:right w:val="single" w:sz="4" w:space="0" w:color="auto"/>
            </w:tcBorders>
            <w:shd w:val="clear" w:color="auto" w:fill="auto"/>
            <w:noWrap/>
            <w:vAlign w:val="bottom"/>
          </w:tcPr>
          <w:p w14:paraId="3959104A" w14:textId="776D127E" w:rsidR="00F519C1" w:rsidRPr="00F5328D" w:rsidRDefault="00F519C1" w:rsidP="00F5328D">
            <w:pPr>
              <w:jc w:val="right"/>
              <w:rPr>
                <w:rFonts w:cs="Arial"/>
                <w:color w:val="000000"/>
                <w:sz w:val="22"/>
                <w:szCs w:val="22"/>
              </w:rPr>
            </w:pPr>
            <w:r w:rsidRPr="00F5328D">
              <w:rPr>
                <w:rFonts w:cs="Arial"/>
                <w:color w:val="000000"/>
                <w:sz w:val="22"/>
                <w:szCs w:val="22"/>
              </w:rPr>
              <w:t>51.8</w:t>
            </w:r>
          </w:p>
        </w:tc>
        <w:tc>
          <w:tcPr>
            <w:tcW w:w="348" w:type="pct"/>
            <w:tcBorders>
              <w:top w:val="nil"/>
              <w:left w:val="nil"/>
              <w:bottom w:val="single" w:sz="4" w:space="0" w:color="auto"/>
              <w:right w:val="single" w:sz="4" w:space="0" w:color="auto"/>
            </w:tcBorders>
            <w:shd w:val="clear" w:color="auto" w:fill="auto"/>
            <w:noWrap/>
            <w:vAlign w:val="bottom"/>
          </w:tcPr>
          <w:p w14:paraId="28D2C957" w14:textId="2E6B6310" w:rsidR="00F519C1" w:rsidRPr="00F5328D" w:rsidRDefault="00F519C1" w:rsidP="00F5328D">
            <w:pPr>
              <w:jc w:val="right"/>
              <w:rPr>
                <w:rFonts w:cs="Arial"/>
                <w:color w:val="000000"/>
                <w:sz w:val="22"/>
                <w:szCs w:val="22"/>
              </w:rPr>
            </w:pPr>
            <w:r w:rsidRPr="00F5328D">
              <w:rPr>
                <w:rFonts w:cs="Arial"/>
                <w:color w:val="000000"/>
                <w:sz w:val="22"/>
                <w:szCs w:val="22"/>
              </w:rPr>
              <w:t>14.2</w:t>
            </w:r>
          </w:p>
        </w:tc>
        <w:tc>
          <w:tcPr>
            <w:tcW w:w="348" w:type="pct"/>
            <w:tcBorders>
              <w:top w:val="nil"/>
              <w:left w:val="nil"/>
              <w:bottom w:val="single" w:sz="4" w:space="0" w:color="auto"/>
              <w:right w:val="single" w:sz="4" w:space="0" w:color="auto"/>
            </w:tcBorders>
            <w:shd w:val="clear" w:color="auto" w:fill="auto"/>
            <w:noWrap/>
            <w:vAlign w:val="bottom"/>
          </w:tcPr>
          <w:p w14:paraId="3982DC02" w14:textId="68C416E1" w:rsidR="00F519C1" w:rsidRPr="00F5328D" w:rsidRDefault="00F519C1" w:rsidP="00F5328D">
            <w:pPr>
              <w:jc w:val="right"/>
              <w:rPr>
                <w:rFonts w:cs="Arial"/>
                <w:color w:val="000000"/>
                <w:sz w:val="22"/>
                <w:szCs w:val="22"/>
              </w:rPr>
            </w:pPr>
            <w:r w:rsidRPr="00F5328D">
              <w:rPr>
                <w:rFonts w:cs="Arial"/>
                <w:color w:val="000000"/>
                <w:sz w:val="22"/>
                <w:szCs w:val="22"/>
              </w:rPr>
              <w:t>6.7</w:t>
            </w:r>
          </w:p>
        </w:tc>
        <w:tc>
          <w:tcPr>
            <w:tcW w:w="349" w:type="pct"/>
            <w:tcBorders>
              <w:top w:val="nil"/>
              <w:left w:val="nil"/>
              <w:bottom w:val="single" w:sz="4" w:space="0" w:color="auto"/>
              <w:right w:val="single" w:sz="4" w:space="0" w:color="auto"/>
            </w:tcBorders>
            <w:shd w:val="clear" w:color="auto" w:fill="auto"/>
            <w:noWrap/>
            <w:vAlign w:val="bottom"/>
          </w:tcPr>
          <w:p w14:paraId="6C3F048D" w14:textId="45AEAD2D" w:rsidR="00F519C1" w:rsidRPr="00F5328D" w:rsidRDefault="00F519C1" w:rsidP="00F5328D">
            <w:pPr>
              <w:jc w:val="right"/>
              <w:rPr>
                <w:rFonts w:cs="Arial"/>
                <w:color w:val="000000"/>
                <w:sz w:val="22"/>
                <w:szCs w:val="22"/>
              </w:rPr>
            </w:pPr>
            <w:r w:rsidRPr="00F5328D">
              <w:rPr>
                <w:rFonts w:cs="Arial"/>
                <w:color w:val="000000"/>
                <w:sz w:val="22"/>
                <w:szCs w:val="22"/>
              </w:rPr>
              <w:t>7.0</w:t>
            </w:r>
          </w:p>
        </w:tc>
        <w:tc>
          <w:tcPr>
            <w:tcW w:w="348" w:type="pct"/>
            <w:tcBorders>
              <w:top w:val="nil"/>
              <w:left w:val="nil"/>
              <w:bottom w:val="single" w:sz="4" w:space="0" w:color="auto"/>
              <w:right w:val="single" w:sz="4" w:space="0" w:color="auto"/>
            </w:tcBorders>
            <w:shd w:val="clear" w:color="auto" w:fill="auto"/>
            <w:noWrap/>
            <w:vAlign w:val="bottom"/>
          </w:tcPr>
          <w:p w14:paraId="489E8E88" w14:textId="59365F5A" w:rsidR="00F519C1" w:rsidRPr="00F5328D" w:rsidRDefault="00F519C1" w:rsidP="00F5328D">
            <w:pPr>
              <w:jc w:val="right"/>
              <w:rPr>
                <w:rFonts w:cs="Arial"/>
                <w:color w:val="000000"/>
                <w:sz w:val="22"/>
                <w:szCs w:val="22"/>
              </w:rPr>
            </w:pPr>
            <w:r w:rsidRPr="00F5328D">
              <w:rPr>
                <w:rFonts w:cs="Arial"/>
                <w:color w:val="000000"/>
                <w:sz w:val="22"/>
                <w:szCs w:val="22"/>
              </w:rPr>
              <w:t>0.5</w:t>
            </w:r>
          </w:p>
        </w:tc>
        <w:tc>
          <w:tcPr>
            <w:tcW w:w="348" w:type="pct"/>
            <w:tcBorders>
              <w:top w:val="nil"/>
              <w:left w:val="nil"/>
              <w:bottom w:val="single" w:sz="4" w:space="0" w:color="auto"/>
              <w:right w:val="single" w:sz="4" w:space="0" w:color="auto"/>
            </w:tcBorders>
            <w:shd w:val="clear" w:color="auto" w:fill="auto"/>
            <w:noWrap/>
            <w:vAlign w:val="bottom"/>
          </w:tcPr>
          <w:p w14:paraId="05CED43F" w14:textId="15F4EEE4" w:rsidR="00F519C1" w:rsidRPr="00F5328D" w:rsidRDefault="00F519C1" w:rsidP="00F5328D">
            <w:pPr>
              <w:jc w:val="right"/>
              <w:rPr>
                <w:rFonts w:cs="Arial"/>
                <w:color w:val="000000"/>
                <w:sz w:val="22"/>
                <w:szCs w:val="22"/>
              </w:rPr>
            </w:pPr>
            <w:r w:rsidRPr="00F5328D">
              <w:rPr>
                <w:rFonts w:cs="Arial"/>
                <w:color w:val="000000"/>
                <w:sz w:val="22"/>
                <w:szCs w:val="22"/>
              </w:rPr>
              <w:t>3.6</w:t>
            </w:r>
          </w:p>
        </w:tc>
        <w:tc>
          <w:tcPr>
            <w:tcW w:w="351" w:type="pct"/>
            <w:tcBorders>
              <w:top w:val="nil"/>
              <w:left w:val="nil"/>
              <w:bottom w:val="single" w:sz="4" w:space="0" w:color="auto"/>
              <w:right w:val="single" w:sz="4" w:space="0" w:color="auto"/>
            </w:tcBorders>
            <w:shd w:val="clear" w:color="auto" w:fill="auto"/>
            <w:noWrap/>
            <w:vAlign w:val="bottom"/>
          </w:tcPr>
          <w:p w14:paraId="6AB12A62" w14:textId="707D6995" w:rsidR="00F519C1" w:rsidRPr="00F5328D" w:rsidRDefault="00F519C1" w:rsidP="00F5328D">
            <w:pPr>
              <w:jc w:val="right"/>
              <w:rPr>
                <w:rFonts w:cs="Arial"/>
                <w:color w:val="000000"/>
                <w:sz w:val="22"/>
                <w:szCs w:val="22"/>
              </w:rPr>
            </w:pPr>
            <w:r w:rsidRPr="00F5328D">
              <w:rPr>
                <w:rFonts w:cs="Arial"/>
                <w:color w:val="000000"/>
                <w:sz w:val="22"/>
                <w:szCs w:val="22"/>
              </w:rPr>
              <w:t>2.2</w:t>
            </w:r>
          </w:p>
        </w:tc>
        <w:tc>
          <w:tcPr>
            <w:tcW w:w="299" w:type="pct"/>
            <w:tcBorders>
              <w:top w:val="nil"/>
              <w:left w:val="nil"/>
              <w:bottom w:val="single" w:sz="4" w:space="0" w:color="auto"/>
              <w:right w:val="single" w:sz="4" w:space="0" w:color="auto"/>
            </w:tcBorders>
            <w:shd w:val="clear" w:color="auto" w:fill="auto"/>
            <w:noWrap/>
            <w:vAlign w:val="bottom"/>
          </w:tcPr>
          <w:p w14:paraId="29B3E5F8" w14:textId="16486148"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bottom"/>
          </w:tcPr>
          <w:p w14:paraId="758A11F0" w14:textId="71C8CD36" w:rsidR="00F519C1" w:rsidRPr="00F5328D" w:rsidRDefault="00F519C1" w:rsidP="00F5328D">
            <w:pPr>
              <w:jc w:val="right"/>
              <w:rPr>
                <w:rFonts w:cs="Arial"/>
                <w:color w:val="000000"/>
                <w:sz w:val="22"/>
                <w:szCs w:val="22"/>
              </w:rPr>
            </w:pPr>
            <w:r w:rsidRPr="00F5328D">
              <w:rPr>
                <w:rFonts w:cs="Arial"/>
                <w:color w:val="000000"/>
                <w:sz w:val="22"/>
                <w:szCs w:val="22"/>
              </w:rPr>
              <w:t>4,150</w:t>
            </w:r>
          </w:p>
        </w:tc>
      </w:tr>
      <w:tr w:rsidR="00F5328D" w:rsidRPr="00A96B82" w14:paraId="324C8837" w14:textId="77777777" w:rsidTr="00F5328D">
        <w:trPr>
          <w:trHeight w:val="287"/>
        </w:trPr>
        <w:tc>
          <w:tcPr>
            <w:tcW w:w="1241" w:type="pct"/>
            <w:tcBorders>
              <w:top w:val="nil"/>
              <w:left w:val="single" w:sz="4" w:space="0" w:color="auto"/>
              <w:bottom w:val="single" w:sz="4" w:space="0" w:color="auto"/>
              <w:right w:val="single" w:sz="4" w:space="0" w:color="auto"/>
            </w:tcBorders>
            <w:shd w:val="clear" w:color="auto" w:fill="auto"/>
            <w:noWrap/>
            <w:vAlign w:val="center"/>
          </w:tcPr>
          <w:p w14:paraId="274A64AA" w14:textId="2A23A531" w:rsidR="00F519C1" w:rsidRPr="00F5328D" w:rsidRDefault="00F519C1" w:rsidP="00F5328D">
            <w:pPr>
              <w:rPr>
                <w:rFonts w:cs="Arial"/>
                <w:color w:val="000000"/>
                <w:sz w:val="22"/>
                <w:szCs w:val="22"/>
              </w:rPr>
            </w:pPr>
            <w:r w:rsidRPr="00F5328D">
              <w:rPr>
                <w:rFonts w:cs="Arial"/>
                <w:color w:val="000000"/>
                <w:sz w:val="22"/>
                <w:szCs w:val="22"/>
              </w:rPr>
              <w:t>Arches (Chatham)</w:t>
            </w:r>
          </w:p>
        </w:tc>
        <w:tc>
          <w:tcPr>
            <w:tcW w:w="348" w:type="pct"/>
            <w:tcBorders>
              <w:top w:val="nil"/>
              <w:left w:val="nil"/>
              <w:bottom w:val="single" w:sz="4" w:space="0" w:color="auto"/>
              <w:right w:val="single" w:sz="4" w:space="0" w:color="auto"/>
            </w:tcBorders>
            <w:shd w:val="clear" w:color="auto" w:fill="auto"/>
            <w:noWrap/>
            <w:vAlign w:val="bottom"/>
          </w:tcPr>
          <w:p w14:paraId="6C048D72" w14:textId="3F758A73" w:rsidR="00F519C1" w:rsidRPr="00F5328D" w:rsidRDefault="00F519C1" w:rsidP="00F5328D">
            <w:pPr>
              <w:jc w:val="right"/>
              <w:rPr>
                <w:rFonts w:cs="Arial"/>
                <w:color w:val="000000"/>
                <w:sz w:val="22"/>
                <w:szCs w:val="22"/>
              </w:rPr>
            </w:pPr>
            <w:r w:rsidRPr="00F5328D">
              <w:rPr>
                <w:rFonts w:cs="Arial"/>
                <w:color w:val="000000"/>
                <w:sz w:val="22"/>
                <w:szCs w:val="22"/>
              </w:rPr>
              <w:t>0.4</w:t>
            </w:r>
          </w:p>
        </w:tc>
        <w:tc>
          <w:tcPr>
            <w:tcW w:w="349" w:type="pct"/>
            <w:tcBorders>
              <w:top w:val="nil"/>
              <w:left w:val="nil"/>
              <w:bottom w:val="single" w:sz="4" w:space="0" w:color="auto"/>
              <w:right w:val="single" w:sz="4" w:space="0" w:color="auto"/>
            </w:tcBorders>
            <w:shd w:val="clear" w:color="auto" w:fill="auto"/>
            <w:noWrap/>
            <w:vAlign w:val="bottom"/>
          </w:tcPr>
          <w:p w14:paraId="05B33764" w14:textId="1B4D451B" w:rsidR="00F519C1" w:rsidRPr="00F5328D" w:rsidRDefault="00F519C1" w:rsidP="00F5328D">
            <w:pPr>
              <w:jc w:val="right"/>
              <w:rPr>
                <w:rFonts w:cs="Arial"/>
                <w:color w:val="000000"/>
                <w:sz w:val="22"/>
                <w:szCs w:val="22"/>
              </w:rPr>
            </w:pPr>
            <w:r w:rsidRPr="00F5328D">
              <w:rPr>
                <w:rFonts w:cs="Arial"/>
                <w:color w:val="000000"/>
                <w:sz w:val="22"/>
                <w:szCs w:val="22"/>
              </w:rPr>
              <w:t>23.2</w:t>
            </w:r>
          </w:p>
        </w:tc>
        <w:tc>
          <w:tcPr>
            <w:tcW w:w="348" w:type="pct"/>
            <w:tcBorders>
              <w:top w:val="nil"/>
              <w:left w:val="nil"/>
              <w:bottom w:val="single" w:sz="4" w:space="0" w:color="auto"/>
              <w:right w:val="single" w:sz="4" w:space="0" w:color="auto"/>
            </w:tcBorders>
            <w:shd w:val="clear" w:color="auto" w:fill="auto"/>
            <w:noWrap/>
            <w:vAlign w:val="bottom"/>
          </w:tcPr>
          <w:p w14:paraId="4760BD3C" w14:textId="7E60E2CA" w:rsidR="00F519C1" w:rsidRPr="00F5328D" w:rsidRDefault="00F519C1" w:rsidP="00F5328D">
            <w:pPr>
              <w:jc w:val="right"/>
              <w:rPr>
                <w:rFonts w:cs="Arial"/>
                <w:color w:val="000000"/>
                <w:sz w:val="22"/>
                <w:szCs w:val="22"/>
              </w:rPr>
            </w:pPr>
            <w:r w:rsidRPr="00F5328D">
              <w:rPr>
                <w:rFonts w:cs="Arial"/>
                <w:color w:val="000000"/>
                <w:sz w:val="22"/>
                <w:szCs w:val="22"/>
              </w:rPr>
              <w:t>41.6</w:t>
            </w:r>
          </w:p>
        </w:tc>
        <w:tc>
          <w:tcPr>
            <w:tcW w:w="348" w:type="pct"/>
            <w:tcBorders>
              <w:top w:val="nil"/>
              <w:left w:val="nil"/>
              <w:bottom w:val="single" w:sz="4" w:space="0" w:color="auto"/>
              <w:right w:val="single" w:sz="4" w:space="0" w:color="auto"/>
            </w:tcBorders>
            <w:shd w:val="clear" w:color="auto" w:fill="auto"/>
            <w:noWrap/>
            <w:vAlign w:val="bottom"/>
          </w:tcPr>
          <w:p w14:paraId="654892B1" w14:textId="65E9523F" w:rsidR="00F519C1" w:rsidRPr="00F5328D" w:rsidRDefault="00F519C1" w:rsidP="00F5328D">
            <w:pPr>
              <w:jc w:val="right"/>
              <w:rPr>
                <w:rFonts w:cs="Arial"/>
                <w:color w:val="000000"/>
                <w:sz w:val="22"/>
                <w:szCs w:val="22"/>
              </w:rPr>
            </w:pPr>
            <w:r w:rsidRPr="00F5328D">
              <w:rPr>
                <w:rFonts w:cs="Arial"/>
                <w:color w:val="000000"/>
                <w:sz w:val="22"/>
                <w:szCs w:val="22"/>
              </w:rPr>
              <w:t>2.7</w:t>
            </w:r>
          </w:p>
        </w:tc>
        <w:tc>
          <w:tcPr>
            <w:tcW w:w="348" w:type="pct"/>
            <w:tcBorders>
              <w:top w:val="nil"/>
              <w:left w:val="nil"/>
              <w:bottom w:val="single" w:sz="4" w:space="0" w:color="auto"/>
              <w:right w:val="single" w:sz="4" w:space="0" w:color="auto"/>
            </w:tcBorders>
            <w:shd w:val="clear" w:color="auto" w:fill="auto"/>
            <w:noWrap/>
            <w:vAlign w:val="bottom"/>
          </w:tcPr>
          <w:p w14:paraId="2C307FB8" w14:textId="43052642" w:rsidR="00F519C1" w:rsidRPr="00F5328D" w:rsidRDefault="00F519C1" w:rsidP="00F5328D">
            <w:pPr>
              <w:jc w:val="right"/>
              <w:rPr>
                <w:rFonts w:cs="Arial"/>
                <w:color w:val="000000"/>
                <w:sz w:val="22"/>
                <w:szCs w:val="22"/>
              </w:rPr>
            </w:pPr>
            <w:r w:rsidRPr="00F5328D">
              <w:rPr>
                <w:rFonts w:cs="Arial"/>
                <w:color w:val="000000"/>
                <w:sz w:val="22"/>
                <w:szCs w:val="22"/>
              </w:rPr>
              <w:t>21.6</w:t>
            </w:r>
          </w:p>
        </w:tc>
        <w:tc>
          <w:tcPr>
            <w:tcW w:w="349" w:type="pct"/>
            <w:tcBorders>
              <w:top w:val="nil"/>
              <w:left w:val="nil"/>
              <w:bottom w:val="single" w:sz="4" w:space="0" w:color="auto"/>
              <w:right w:val="single" w:sz="4" w:space="0" w:color="auto"/>
            </w:tcBorders>
            <w:shd w:val="clear" w:color="auto" w:fill="auto"/>
            <w:noWrap/>
            <w:vAlign w:val="bottom"/>
          </w:tcPr>
          <w:p w14:paraId="5BA09381" w14:textId="379996FB" w:rsidR="00F519C1" w:rsidRPr="00F5328D" w:rsidRDefault="00F519C1" w:rsidP="00F5328D">
            <w:pPr>
              <w:jc w:val="right"/>
              <w:rPr>
                <w:rFonts w:cs="Arial"/>
                <w:color w:val="000000"/>
                <w:sz w:val="22"/>
                <w:szCs w:val="22"/>
              </w:rPr>
            </w:pPr>
            <w:r w:rsidRPr="00F5328D">
              <w:rPr>
                <w:rFonts w:cs="Arial"/>
                <w:color w:val="000000"/>
                <w:sz w:val="22"/>
                <w:szCs w:val="22"/>
              </w:rPr>
              <w:t>9.4</w:t>
            </w:r>
          </w:p>
        </w:tc>
        <w:tc>
          <w:tcPr>
            <w:tcW w:w="348" w:type="pct"/>
            <w:tcBorders>
              <w:top w:val="nil"/>
              <w:left w:val="nil"/>
              <w:bottom w:val="single" w:sz="4" w:space="0" w:color="auto"/>
              <w:right w:val="single" w:sz="4" w:space="0" w:color="auto"/>
            </w:tcBorders>
            <w:shd w:val="clear" w:color="auto" w:fill="auto"/>
            <w:noWrap/>
            <w:vAlign w:val="bottom"/>
          </w:tcPr>
          <w:p w14:paraId="3A4797A7" w14:textId="1A41EF55" w:rsidR="00F519C1" w:rsidRPr="00F5328D" w:rsidRDefault="00F519C1" w:rsidP="00F5328D">
            <w:pPr>
              <w:jc w:val="right"/>
              <w:rPr>
                <w:rFonts w:cs="Arial"/>
                <w:color w:val="000000"/>
                <w:sz w:val="22"/>
                <w:szCs w:val="22"/>
              </w:rPr>
            </w:pPr>
            <w:r w:rsidRPr="00F5328D">
              <w:rPr>
                <w:rFonts w:cs="Arial"/>
                <w:color w:val="000000"/>
                <w:sz w:val="22"/>
                <w:szCs w:val="22"/>
              </w:rPr>
              <w:t>0.2</w:t>
            </w:r>
          </w:p>
        </w:tc>
        <w:tc>
          <w:tcPr>
            <w:tcW w:w="348" w:type="pct"/>
            <w:tcBorders>
              <w:top w:val="nil"/>
              <w:left w:val="nil"/>
              <w:bottom w:val="single" w:sz="4" w:space="0" w:color="auto"/>
              <w:right w:val="single" w:sz="4" w:space="0" w:color="auto"/>
            </w:tcBorders>
            <w:shd w:val="clear" w:color="auto" w:fill="auto"/>
            <w:noWrap/>
            <w:vAlign w:val="bottom"/>
          </w:tcPr>
          <w:p w14:paraId="6791A8B3" w14:textId="6E8742AE" w:rsidR="00F519C1" w:rsidRPr="00F5328D" w:rsidRDefault="00F519C1" w:rsidP="00F5328D">
            <w:pPr>
              <w:jc w:val="right"/>
              <w:rPr>
                <w:rFonts w:cs="Arial"/>
                <w:color w:val="000000"/>
                <w:sz w:val="22"/>
                <w:szCs w:val="22"/>
              </w:rPr>
            </w:pPr>
            <w:r w:rsidRPr="00F5328D">
              <w:rPr>
                <w:rFonts w:cs="Arial"/>
                <w:color w:val="000000"/>
                <w:sz w:val="22"/>
                <w:szCs w:val="22"/>
              </w:rPr>
              <w:t>0.9</w:t>
            </w:r>
          </w:p>
        </w:tc>
        <w:tc>
          <w:tcPr>
            <w:tcW w:w="351" w:type="pct"/>
            <w:tcBorders>
              <w:top w:val="nil"/>
              <w:left w:val="nil"/>
              <w:bottom w:val="single" w:sz="4" w:space="0" w:color="auto"/>
              <w:right w:val="single" w:sz="4" w:space="0" w:color="auto"/>
            </w:tcBorders>
            <w:shd w:val="clear" w:color="auto" w:fill="auto"/>
            <w:noWrap/>
            <w:vAlign w:val="bottom"/>
          </w:tcPr>
          <w:p w14:paraId="5A01BC5C" w14:textId="5615ECE5" w:rsidR="00F519C1" w:rsidRPr="00F5328D" w:rsidRDefault="00F519C1" w:rsidP="00F5328D">
            <w:pPr>
              <w:jc w:val="right"/>
              <w:rPr>
                <w:rFonts w:cs="Arial"/>
                <w:color w:val="000000"/>
                <w:sz w:val="22"/>
                <w:szCs w:val="22"/>
              </w:rPr>
            </w:pPr>
            <w:r w:rsidRPr="00F5328D">
              <w:rPr>
                <w:rFonts w:cs="Arial"/>
                <w:color w:val="000000"/>
                <w:sz w:val="22"/>
                <w:szCs w:val="22"/>
              </w:rPr>
              <w:t>0.0</w:t>
            </w:r>
          </w:p>
        </w:tc>
        <w:tc>
          <w:tcPr>
            <w:tcW w:w="299" w:type="pct"/>
            <w:tcBorders>
              <w:top w:val="nil"/>
              <w:left w:val="nil"/>
              <w:bottom w:val="single" w:sz="4" w:space="0" w:color="auto"/>
              <w:right w:val="single" w:sz="4" w:space="0" w:color="auto"/>
            </w:tcBorders>
            <w:shd w:val="clear" w:color="auto" w:fill="auto"/>
            <w:noWrap/>
            <w:vAlign w:val="bottom"/>
          </w:tcPr>
          <w:p w14:paraId="0FA3ED64" w14:textId="222DE562" w:rsidR="00F519C1" w:rsidRPr="00F5328D" w:rsidRDefault="00F519C1" w:rsidP="00F5328D">
            <w:pPr>
              <w:jc w:val="right"/>
              <w:rPr>
                <w:rFonts w:cs="Arial"/>
                <w:color w:val="000000"/>
                <w:sz w:val="22"/>
                <w:szCs w:val="22"/>
              </w:rPr>
            </w:pPr>
            <w:r w:rsidRPr="00F5328D">
              <w:rPr>
                <w:rFonts w:cs="Arial"/>
                <w:color w:val="000000"/>
                <w:sz w:val="22"/>
                <w:szCs w:val="22"/>
              </w:rPr>
              <w:t>100.0</w:t>
            </w:r>
          </w:p>
        </w:tc>
        <w:tc>
          <w:tcPr>
            <w:tcW w:w="324" w:type="pct"/>
            <w:tcBorders>
              <w:top w:val="nil"/>
              <w:left w:val="nil"/>
              <w:bottom w:val="single" w:sz="4" w:space="0" w:color="auto"/>
              <w:right w:val="single" w:sz="4" w:space="0" w:color="auto"/>
            </w:tcBorders>
            <w:shd w:val="clear" w:color="auto" w:fill="auto"/>
            <w:noWrap/>
            <w:vAlign w:val="bottom"/>
          </w:tcPr>
          <w:p w14:paraId="1ED6D23F" w14:textId="55C5B26C" w:rsidR="00F519C1" w:rsidRPr="00F5328D" w:rsidRDefault="00F519C1" w:rsidP="00F5328D">
            <w:pPr>
              <w:jc w:val="right"/>
              <w:rPr>
                <w:rFonts w:cs="Arial"/>
                <w:color w:val="000000"/>
                <w:sz w:val="22"/>
                <w:szCs w:val="22"/>
              </w:rPr>
            </w:pPr>
            <w:r w:rsidRPr="00F5328D">
              <w:rPr>
                <w:rFonts w:cs="Arial"/>
                <w:color w:val="000000"/>
                <w:sz w:val="22"/>
                <w:szCs w:val="22"/>
              </w:rPr>
              <w:t>4,490</w:t>
            </w:r>
          </w:p>
        </w:tc>
      </w:tr>
    </w:tbl>
    <w:p w14:paraId="0E6D779C" w14:textId="77777777" w:rsidR="00A96B82" w:rsidRDefault="00A96B82" w:rsidP="00CE1BDB">
      <w:pPr>
        <w:rPr>
          <w:rFonts w:cs="Arial"/>
          <w:sz w:val="22"/>
          <w:szCs w:val="22"/>
        </w:rPr>
      </w:pPr>
    </w:p>
    <w:p w14:paraId="3E696832" w14:textId="77777777" w:rsidR="00A96B82" w:rsidRDefault="00A96B82" w:rsidP="00CE1BDB">
      <w:pPr>
        <w:rPr>
          <w:rFonts w:cs="Arial"/>
          <w:sz w:val="22"/>
          <w:szCs w:val="22"/>
        </w:rPr>
      </w:pPr>
    </w:p>
    <w:p w14:paraId="5F598B90" w14:textId="77777777" w:rsidR="00A96B82" w:rsidRDefault="00A96B82" w:rsidP="00CE1BDB">
      <w:pPr>
        <w:rPr>
          <w:rFonts w:cs="Arial"/>
          <w:sz w:val="22"/>
          <w:szCs w:val="22"/>
        </w:rPr>
      </w:pPr>
    </w:p>
    <w:p w14:paraId="207E63C4" w14:textId="77777777" w:rsidR="00CE1BDB" w:rsidRPr="00FA4DC7" w:rsidRDefault="00CE1BDB" w:rsidP="00CE1BDB">
      <w:pPr>
        <w:rPr>
          <w:rFonts w:cs="Arial"/>
          <w:highlight w:val="yellow"/>
        </w:rPr>
        <w:sectPr w:rsidR="00CE1BDB" w:rsidRPr="00FA4DC7" w:rsidSect="00A96B82">
          <w:headerReference w:type="default" r:id="rId20"/>
          <w:pgSz w:w="16838" w:h="11906" w:orient="landscape"/>
          <w:pgMar w:top="955" w:right="1134" w:bottom="1440" w:left="1440" w:header="708" w:footer="708" w:gutter="0"/>
          <w:cols w:space="708"/>
          <w:docGrid w:linePitch="360"/>
        </w:sectPr>
      </w:pPr>
    </w:p>
    <w:p w14:paraId="675CEAA8" w14:textId="5210F91E" w:rsidR="00CE1BDB" w:rsidRDefault="00CE1BDB" w:rsidP="00F5328D">
      <w:pPr>
        <w:pStyle w:val="Reporttext"/>
      </w:pPr>
      <w:r w:rsidRPr="0035224C">
        <w:lastRenderedPageBreak/>
        <w:t xml:space="preserve">There are an </w:t>
      </w:r>
      <w:r w:rsidRPr="00F5328D">
        <w:t>estimated</w:t>
      </w:r>
      <w:r w:rsidRPr="0035224C">
        <w:t xml:space="preserve"> 313 houses in multiple occupancy (HMOs) in Medway according to Local Authority Housing Statistics 2019/20.  </w:t>
      </w:r>
      <w:r w:rsidR="0035224C" w:rsidRPr="0035224C">
        <w:t xml:space="preserve">The council has data on the location of 204 larger HMOs (Table 2.6) of which around two-thirds are in the Chatham and Gillingham areas. </w:t>
      </w:r>
    </w:p>
    <w:p w14:paraId="7031CC16" w14:textId="77777777" w:rsidR="00F5328D" w:rsidRDefault="00F5328D" w:rsidP="00F5328D">
      <w:pPr>
        <w:pStyle w:val="Reporttext"/>
        <w:numPr>
          <w:ilvl w:val="0"/>
          <w:numId w:val="0"/>
        </w:numPr>
        <w:ind w:left="709"/>
      </w:pPr>
    </w:p>
    <w:tbl>
      <w:tblPr>
        <w:tblW w:w="7732" w:type="dxa"/>
        <w:tblInd w:w="607" w:type="dxa"/>
        <w:tblLook w:val="04A0" w:firstRow="1" w:lastRow="0" w:firstColumn="1" w:lastColumn="0" w:noHBand="0" w:noVBand="1"/>
      </w:tblPr>
      <w:tblGrid>
        <w:gridCol w:w="3641"/>
        <w:gridCol w:w="2268"/>
        <w:gridCol w:w="1823"/>
      </w:tblGrid>
      <w:tr w:rsidR="00F5328D" w:rsidRPr="00F5328D" w14:paraId="7076CD81" w14:textId="77777777" w:rsidTr="001F3B5A">
        <w:trPr>
          <w:trHeight w:val="320"/>
        </w:trPr>
        <w:tc>
          <w:tcPr>
            <w:tcW w:w="7732" w:type="dxa"/>
            <w:gridSpan w:val="3"/>
            <w:tcBorders>
              <w:top w:val="single" w:sz="4" w:space="0" w:color="auto"/>
              <w:left w:val="single" w:sz="4" w:space="0" w:color="auto"/>
              <w:bottom w:val="single" w:sz="4" w:space="0" w:color="auto"/>
              <w:right w:val="single" w:sz="4" w:space="0" w:color="auto"/>
            </w:tcBorders>
            <w:shd w:val="clear" w:color="auto" w:fill="006666"/>
            <w:noWrap/>
            <w:vAlign w:val="bottom"/>
          </w:tcPr>
          <w:p w14:paraId="317F01DA" w14:textId="77777777" w:rsidR="00F5328D" w:rsidRPr="00F5328D" w:rsidRDefault="00F5328D" w:rsidP="001F3B5A">
            <w:pPr>
              <w:pStyle w:val="Tableheading1"/>
              <w:rPr>
                <w:rFonts w:cs="Arial"/>
                <w:color w:val="000000"/>
                <w:szCs w:val="22"/>
              </w:rPr>
            </w:pPr>
            <w:bookmarkStart w:id="152" w:name="_Toc83036058"/>
            <w:r w:rsidRPr="00F5328D">
              <w:rPr>
                <w:rFonts w:cs="Arial"/>
                <w:szCs w:val="22"/>
              </w:rPr>
              <w:t>Table 2.6</w:t>
            </w:r>
            <w:r w:rsidRPr="00F5328D">
              <w:rPr>
                <w:rFonts w:cs="Arial"/>
                <w:szCs w:val="22"/>
              </w:rPr>
              <w:tab/>
              <w:t>HMO conversion applications 2016 – June 2021 by ward, Key Development Location and Neighbourhood Planning Area</w:t>
            </w:r>
            <w:bookmarkEnd w:id="152"/>
          </w:p>
        </w:tc>
      </w:tr>
      <w:tr w:rsidR="00F5328D" w:rsidRPr="00F5328D" w14:paraId="3D334003" w14:textId="77777777" w:rsidTr="001F3B5A">
        <w:trPr>
          <w:trHeight w:val="320"/>
        </w:trPr>
        <w:tc>
          <w:tcPr>
            <w:tcW w:w="3641" w:type="dxa"/>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18B6B3E2" w14:textId="77777777" w:rsidR="00F5328D" w:rsidRPr="00F5328D" w:rsidRDefault="00F5328D" w:rsidP="001F3B5A">
            <w:pPr>
              <w:rPr>
                <w:rFonts w:cs="Arial"/>
                <w:b/>
                <w:bCs/>
                <w:color w:val="FFFFFF" w:themeColor="background1"/>
                <w:sz w:val="22"/>
                <w:szCs w:val="22"/>
              </w:rPr>
            </w:pPr>
            <w:r w:rsidRPr="00F5328D">
              <w:rPr>
                <w:rFonts w:cs="Arial"/>
                <w:b/>
                <w:bCs/>
                <w:color w:val="FFFFFF" w:themeColor="background1"/>
                <w:sz w:val="22"/>
                <w:szCs w:val="22"/>
              </w:rPr>
              <w:t>Ward</w:t>
            </w:r>
          </w:p>
        </w:tc>
        <w:tc>
          <w:tcPr>
            <w:tcW w:w="2268" w:type="dxa"/>
            <w:tcBorders>
              <w:top w:val="single" w:sz="4" w:space="0" w:color="auto"/>
              <w:left w:val="nil"/>
              <w:bottom w:val="single" w:sz="4" w:space="0" w:color="auto"/>
              <w:right w:val="single" w:sz="4" w:space="0" w:color="auto"/>
            </w:tcBorders>
            <w:shd w:val="clear" w:color="auto" w:fill="006666"/>
            <w:noWrap/>
            <w:vAlign w:val="bottom"/>
            <w:hideMark/>
          </w:tcPr>
          <w:p w14:paraId="341F9116"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Number of HMOs</w:t>
            </w:r>
          </w:p>
        </w:tc>
        <w:tc>
          <w:tcPr>
            <w:tcW w:w="1823" w:type="dxa"/>
            <w:tcBorders>
              <w:top w:val="single" w:sz="4" w:space="0" w:color="auto"/>
              <w:left w:val="nil"/>
              <w:bottom w:val="single" w:sz="4" w:space="0" w:color="auto"/>
              <w:right w:val="single" w:sz="4" w:space="0" w:color="auto"/>
            </w:tcBorders>
            <w:shd w:val="clear" w:color="auto" w:fill="006666"/>
            <w:noWrap/>
            <w:vAlign w:val="bottom"/>
            <w:hideMark/>
          </w:tcPr>
          <w:p w14:paraId="3A0DC45F"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 xml:space="preserve">% </w:t>
            </w:r>
            <w:proofErr w:type="gramStart"/>
            <w:r w:rsidRPr="00F5328D">
              <w:rPr>
                <w:rFonts w:cs="Arial"/>
                <w:b/>
                <w:bCs/>
                <w:color w:val="FFFFFF" w:themeColor="background1"/>
                <w:sz w:val="22"/>
                <w:szCs w:val="22"/>
              </w:rPr>
              <w:t>of</w:t>
            </w:r>
            <w:proofErr w:type="gramEnd"/>
            <w:r w:rsidRPr="00F5328D">
              <w:rPr>
                <w:rFonts w:cs="Arial"/>
                <w:b/>
                <w:bCs/>
                <w:color w:val="FFFFFF" w:themeColor="background1"/>
                <w:sz w:val="22"/>
                <w:szCs w:val="22"/>
              </w:rPr>
              <w:t xml:space="preserve"> HMOs</w:t>
            </w:r>
          </w:p>
        </w:tc>
      </w:tr>
      <w:tr w:rsidR="00F5328D" w:rsidRPr="00F5328D" w14:paraId="0FACFF20"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722B8236" w14:textId="77777777" w:rsidR="00F5328D" w:rsidRPr="00F5328D" w:rsidRDefault="00F5328D" w:rsidP="001F3B5A">
            <w:pPr>
              <w:rPr>
                <w:rFonts w:cs="Arial"/>
                <w:color w:val="000000"/>
                <w:sz w:val="22"/>
                <w:szCs w:val="22"/>
              </w:rPr>
            </w:pPr>
            <w:r w:rsidRPr="00F5328D">
              <w:rPr>
                <w:rFonts w:cs="Arial"/>
                <w:color w:val="000000"/>
                <w:sz w:val="22"/>
                <w:szCs w:val="22"/>
              </w:rPr>
              <w:t>Chatham Central</w:t>
            </w:r>
          </w:p>
        </w:tc>
        <w:tc>
          <w:tcPr>
            <w:tcW w:w="2268" w:type="dxa"/>
            <w:tcBorders>
              <w:top w:val="nil"/>
              <w:left w:val="nil"/>
              <w:bottom w:val="single" w:sz="4" w:space="0" w:color="auto"/>
              <w:right w:val="single" w:sz="4" w:space="0" w:color="auto"/>
            </w:tcBorders>
            <w:shd w:val="clear" w:color="auto" w:fill="auto"/>
            <w:noWrap/>
            <w:vAlign w:val="bottom"/>
            <w:hideMark/>
          </w:tcPr>
          <w:p w14:paraId="0A2F4AA1" w14:textId="77777777" w:rsidR="00F5328D" w:rsidRPr="00F5328D" w:rsidRDefault="00F5328D" w:rsidP="001F3B5A">
            <w:pPr>
              <w:jc w:val="right"/>
              <w:rPr>
                <w:rFonts w:cs="Arial"/>
                <w:color w:val="000000"/>
                <w:sz w:val="22"/>
                <w:szCs w:val="22"/>
              </w:rPr>
            </w:pPr>
            <w:r w:rsidRPr="00F5328D">
              <w:rPr>
                <w:rFonts w:cs="Arial"/>
                <w:color w:val="000000"/>
                <w:sz w:val="22"/>
                <w:szCs w:val="22"/>
              </w:rPr>
              <w:t>36</w:t>
            </w:r>
          </w:p>
        </w:tc>
        <w:tc>
          <w:tcPr>
            <w:tcW w:w="1823" w:type="dxa"/>
            <w:tcBorders>
              <w:top w:val="nil"/>
              <w:left w:val="nil"/>
              <w:bottom w:val="single" w:sz="4" w:space="0" w:color="auto"/>
              <w:right w:val="single" w:sz="4" w:space="0" w:color="auto"/>
            </w:tcBorders>
            <w:shd w:val="clear" w:color="auto" w:fill="auto"/>
            <w:noWrap/>
            <w:vAlign w:val="bottom"/>
            <w:hideMark/>
          </w:tcPr>
          <w:p w14:paraId="534EC373" w14:textId="77777777" w:rsidR="00F5328D" w:rsidRPr="00F5328D" w:rsidRDefault="00F5328D" w:rsidP="001F3B5A">
            <w:pPr>
              <w:jc w:val="right"/>
              <w:rPr>
                <w:rFonts w:cs="Arial"/>
                <w:color w:val="000000"/>
                <w:sz w:val="22"/>
                <w:szCs w:val="22"/>
              </w:rPr>
            </w:pPr>
            <w:r w:rsidRPr="00F5328D">
              <w:rPr>
                <w:rFonts w:cs="Arial"/>
                <w:color w:val="000000"/>
                <w:sz w:val="22"/>
                <w:szCs w:val="22"/>
              </w:rPr>
              <w:t>17.8</w:t>
            </w:r>
          </w:p>
        </w:tc>
      </w:tr>
      <w:tr w:rsidR="00F5328D" w:rsidRPr="00F5328D" w14:paraId="17A4D9D6"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7AC43B20" w14:textId="77777777" w:rsidR="00F5328D" w:rsidRPr="00F5328D" w:rsidRDefault="00F5328D" w:rsidP="001F3B5A">
            <w:pPr>
              <w:rPr>
                <w:rFonts w:cs="Arial"/>
                <w:color w:val="000000"/>
                <w:sz w:val="22"/>
                <w:szCs w:val="22"/>
              </w:rPr>
            </w:pPr>
            <w:r w:rsidRPr="00F5328D">
              <w:rPr>
                <w:rFonts w:cs="Arial"/>
                <w:color w:val="000000"/>
                <w:sz w:val="22"/>
                <w:szCs w:val="22"/>
              </w:rPr>
              <w:t>Gillingham North</w:t>
            </w:r>
          </w:p>
        </w:tc>
        <w:tc>
          <w:tcPr>
            <w:tcW w:w="2268" w:type="dxa"/>
            <w:tcBorders>
              <w:top w:val="nil"/>
              <w:left w:val="nil"/>
              <w:bottom w:val="single" w:sz="4" w:space="0" w:color="auto"/>
              <w:right w:val="single" w:sz="4" w:space="0" w:color="auto"/>
            </w:tcBorders>
            <w:shd w:val="clear" w:color="auto" w:fill="auto"/>
            <w:noWrap/>
            <w:vAlign w:val="bottom"/>
            <w:hideMark/>
          </w:tcPr>
          <w:p w14:paraId="551D25EC" w14:textId="77777777" w:rsidR="00F5328D" w:rsidRPr="00F5328D" w:rsidRDefault="00F5328D" w:rsidP="001F3B5A">
            <w:pPr>
              <w:jc w:val="right"/>
              <w:rPr>
                <w:rFonts w:cs="Arial"/>
                <w:color w:val="000000"/>
                <w:sz w:val="22"/>
                <w:szCs w:val="22"/>
              </w:rPr>
            </w:pPr>
            <w:r w:rsidRPr="00F5328D">
              <w:rPr>
                <w:rFonts w:cs="Arial"/>
                <w:color w:val="000000"/>
                <w:sz w:val="22"/>
                <w:szCs w:val="22"/>
              </w:rPr>
              <w:t>39</w:t>
            </w:r>
          </w:p>
        </w:tc>
        <w:tc>
          <w:tcPr>
            <w:tcW w:w="1823" w:type="dxa"/>
            <w:tcBorders>
              <w:top w:val="nil"/>
              <w:left w:val="nil"/>
              <w:bottom w:val="single" w:sz="4" w:space="0" w:color="auto"/>
              <w:right w:val="single" w:sz="4" w:space="0" w:color="auto"/>
            </w:tcBorders>
            <w:shd w:val="clear" w:color="auto" w:fill="auto"/>
            <w:noWrap/>
            <w:vAlign w:val="bottom"/>
            <w:hideMark/>
          </w:tcPr>
          <w:p w14:paraId="5A44ACC5" w14:textId="77777777" w:rsidR="00F5328D" w:rsidRPr="00F5328D" w:rsidRDefault="00F5328D" w:rsidP="001F3B5A">
            <w:pPr>
              <w:jc w:val="right"/>
              <w:rPr>
                <w:rFonts w:cs="Arial"/>
                <w:color w:val="000000"/>
                <w:sz w:val="22"/>
                <w:szCs w:val="22"/>
              </w:rPr>
            </w:pPr>
            <w:r w:rsidRPr="00F5328D">
              <w:rPr>
                <w:rFonts w:cs="Arial"/>
                <w:color w:val="000000"/>
                <w:sz w:val="22"/>
                <w:szCs w:val="22"/>
              </w:rPr>
              <w:t>19.3</w:t>
            </w:r>
          </w:p>
        </w:tc>
      </w:tr>
      <w:tr w:rsidR="00F5328D" w:rsidRPr="00F5328D" w14:paraId="18009BDC"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2A45992C" w14:textId="77777777" w:rsidR="00F5328D" w:rsidRPr="00F5328D" w:rsidRDefault="00F5328D" w:rsidP="001F3B5A">
            <w:pPr>
              <w:rPr>
                <w:rFonts w:cs="Arial"/>
                <w:color w:val="000000"/>
                <w:sz w:val="22"/>
                <w:szCs w:val="22"/>
              </w:rPr>
            </w:pPr>
            <w:r w:rsidRPr="00F5328D">
              <w:rPr>
                <w:rFonts w:cs="Arial"/>
                <w:color w:val="000000"/>
                <w:sz w:val="22"/>
                <w:szCs w:val="22"/>
              </w:rPr>
              <w:t>Gillingham South</w:t>
            </w:r>
          </w:p>
        </w:tc>
        <w:tc>
          <w:tcPr>
            <w:tcW w:w="2268" w:type="dxa"/>
            <w:tcBorders>
              <w:top w:val="nil"/>
              <w:left w:val="nil"/>
              <w:bottom w:val="single" w:sz="4" w:space="0" w:color="auto"/>
              <w:right w:val="single" w:sz="4" w:space="0" w:color="auto"/>
            </w:tcBorders>
            <w:shd w:val="clear" w:color="auto" w:fill="auto"/>
            <w:noWrap/>
            <w:vAlign w:val="bottom"/>
            <w:hideMark/>
          </w:tcPr>
          <w:p w14:paraId="4B11E9D3" w14:textId="77777777" w:rsidR="00F5328D" w:rsidRPr="00F5328D" w:rsidRDefault="00F5328D" w:rsidP="001F3B5A">
            <w:pPr>
              <w:jc w:val="right"/>
              <w:rPr>
                <w:rFonts w:cs="Arial"/>
                <w:color w:val="000000"/>
                <w:sz w:val="22"/>
                <w:szCs w:val="22"/>
              </w:rPr>
            </w:pPr>
            <w:r w:rsidRPr="00F5328D">
              <w:rPr>
                <w:rFonts w:cs="Arial"/>
                <w:color w:val="000000"/>
                <w:sz w:val="22"/>
                <w:szCs w:val="22"/>
              </w:rPr>
              <w:t>60</w:t>
            </w:r>
          </w:p>
        </w:tc>
        <w:tc>
          <w:tcPr>
            <w:tcW w:w="1823" w:type="dxa"/>
            <w:tcBorders>
              <w:top w:val="nil"/>
              <w:left w:val="nil"/>
              <w:bottom w:val="single" w:sz="4" w:space="0" w:color="auto"/>
              <w:right w:val="single" w:sz="4" w:space="0" w:color="auto"/>
            </w:tcBorders>
            <w:shd w:val="clear" w:color="auto" w:fill="auto"/>
            <w:noWrap/>
            <w:vAlign w:val="bottom"/>
            <w:hideMark/>
          </w:tcPr>
          <w:p w14:paraId="09443061" w14:textId="77777777" w:rsidR="00F5328D" w:rsidRPr="00F5328D" w:rsidRDefault="00F5328D" w:rsidP="001F3B5A">
            <w:pPr>
              <w:jc w:val="right"/>
              <w:rPr>
                <w:rFonts w:cs="Arial"/>
                <w:color w:val="000000"/>
                <w:sz w:val="22"/>
                <w:szCs w:val="22"/>
              </w:rPr>
            </w:pPr>
            <w:r w:rsidRPr="00F5328D">
              <w:rPr>
                <w:rFonts w:cs="Arial"/>
                <w:color w:val="000000"/>
                <w:sz w:val="22"/>
                <w:szCs w:val="22"/>
              </w:rPr>
              <w:t>29.7</w:t>
            </w:r>
          </w:p>
        </w:tc>
      </w:tr>
      <w:tr w:rsidR="00F5328D" w:rsidRPr="00F5328D" w14:paraId="4561A713"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6A67F740" w14:textId="77777777" w:rsidR="00F5328D" w:rsidRPr="00F5328D" w:rsidRDefault="00F5328D" w:rsidP="001F3B5A">
            <w:pPr>
              <w:rPr>
                <w:rFonts w:cs="Arial"/>
                <w:color w:val="000000"/>
                <w:sz w:val="22"/>
                <w:szCs w:val="22"/>
              </w:rPr>
            </w:pPr>
            <w:r w:rsidRPr="00F5328D">
              <w:rPr>
                <w:rFonts w:cs="Arial"/>
                <w:color w:val="000000"/>
                <w:sz w:val="22"/>
                <w:szCs w:val="22"/>
              </w:rPr>
              <w:t xml:space="preserve">Luton and </w:t>
            </w:r>
            <w:proofErr w:type="spellStart"/>
            <w:r w:rsidRPr="00F5328D">
              <w:rPr>
                <w:rFonts w:cs="Arial"/>
                <w:color w:val="000000"/>
                <w:sz w:val="22"/>
                <w:szCs w:val="22"/>
              </w:rPr>
              <w:t>Wayfield</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31853229" w14:textId="77777777" w:rsidR="00F5328D" w:rsidRPr="00F5328D" w:rsidRDefault="00F5328D" w:rsidP="001F3B5A">
            <w:pPr>
              <w:jc w:val="right"/>
              <w:rPr>
                <w:rFonts w:cs="Arial"/>
                <w:color w:val="000000"/>
                <w:sz w:val="22"/>
                <w:szCs w:val="22"/>
              </w:rPr>
            </w:pPr>
            <w:r w:rsidRPr="00F5328D">
              <w:rPr>
                <w:rFonts w:cs="Arial"/>
                <w:color w:val="000000"/>
                <w:sz w:val="22"/>
                <w:szCs w:val="22"/>
              </w:rPr>
              <w:t>11</w:t>
            </w:r>
          </w:p>
        </w:tc>
        <w:tc>
          <w:tcPr>
            <w:tcW w:w="1823" w:type="dxa"/>
            <w:tcBorders>
              <w:top w:val="nil"/>
              <w:left w:val="nil"/>
              <w:bottom w:val="single" w:sz="4" w:space="0" w:color="auto"/>
              <w:right w:val="single" w:sz="4" w:space="0" w:color="auto"/>
            </w:tcBorders>
            <w:shd w:val="clear" w:color="auto" w:fill="auto"/>
            <w:noWrap/>
            <w:vAlign w:val="bottom"/>
            <w:hideMark/>
          </w:tcPr>
          <w:p w14:paraId="5DE2158D" w14:textId="77777777" w:rsidR="00F5328D" w:rsidRPr="00F5328D" w:rsidRDefault="00F5328D" w:rsidP="001F3B5A">
            <w:pPr>
              <w:jc w:val="right"/>
              <w:rPr>
                <w:rFonts w:cs="Arial"/>
                <w:color w:val="000000"/>
                <w:sz w:val="22"/>
                <w:szCs w:val="22"/>
              </w:rPr>
            </w:pPr>
            <w:r w:rsidRPr="00F5328D">
              <w:rPr>
                <w:rFonts w:cs="Arial"/>
                <w:color w:val="000000"/>
                <w:sz w:val="22"/>
                <w:szCs w:val="22"/>
              </w:rPr>
              <w:t>5.4</w:t>
            </w:r>
          </w:p>
        </w:tc>
      </w:tr>
      <w:tr w:rsidR="00F5328D" w:rsidRPr="00F5328D" w14:paraId="632AD313"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tcPr>
          <w:p w14:paraId="4E537079" w14:textId="77777777" w:rsidR="00F5328D" w:rsidRPr="00F5328D" w:rsidRDefault="00F5328D" w:rsidP="001F3B5A">
            <w:pPr>
              <w:rPr>
                <w:rFonts w:cs="Arial"/>
                <w:color w:val="000000"/>
                <w:sz w:val="22"/>
                <w:szCs w:val="22"/>
              </w:rPr>
            </w:pPr>
            <w:r w:rsidRPr="00F5328D">
              <w:rPr>
                <w:rFonts w:cs="Arial"/>
                <w:color w:val="000000"/>
                <w:sz w:val="22"/>
                <w:szCs w:val="22"/>
              </w:rPr>
              <w:t>Rainham North</w:t>
            </w:r>
          </w:p>
        </w:tc>
        <w:tc>
          <w:tcPr>
            <w:tcW w:w="2268" w:type="dxa"/>
            <w:tcBorders>
              <w:top w:val="nil"/>
              <w:left w:val="nil"/>
              <w:bottom w:val="single" w:sz="4" w:space="0" w:color="auto"/>
              <w:right w:val="single" w:sz="4" w:space="0" w:color="auto"/>
            </w:tcBorders>
            <w:shd w:val="clear" w:color="auto" w:fill="auto"/>
            <w:noWrap/>
            <w:vAlign w:val="bottom"/>
          </w:tcPr>
          <w:p w14:paraId="720EB35C" w14:textId="77777777" w:rsidR="00F5328D" w:rsidRPr="00F5328D" w:rsidRDefault="00F5328D" w:rsidP="001F3B5A">
            <w:pPr>
              <w:jc w:val="right"/>
              <w:rPr>
                <w:rFonts w:cs="Arial"/>
                <w:color w:val="000000"/>
                <w:sz w:val="22"/>
                <w:szCs w:val="22"/>
              </w:rPr>
            </w:pPr>
            <w:r w:rsidRPr="00F5328D">
              <w:rPr>
                <w:rFonts w:cs="Arial"/>
                <w:color w:val="000000"/>
                <w:sz w:val="22"/>
                <w:szCs w:val="22"/>
              </w:rPr>
              <w:t>1</w:t>
            </w:r>
          </w:p>
        </w:tc>
        <w:tc>
          <w:tcPr>
            <w:tcW w:w="1823" w:type="dxa"/>
            <w:tcBorders>
              <w:top w:val="nil"/>
              <w:left w:val="nil"/>
              <w:bottom w:val="single" w:sz="4" w:space="0" w:color="auto"/>
              <w:right w:val="single" w:sz="4" w:space="0" w:color="auto"/>
            </w:tcBorders>
            <w:shd w:val="clear" w:color="auto" w:fill="auto"/>
            <w:noWrap/>
            <w:vAlign w:val="bottom"/>
          </w:tcPr>
          <w:p w14:paraId="3903D5B8" w14:textId="77777777" w:rsidR="00F5328D" w:rsidRPr="00F5328D" w:rsidRDefault="00F5328D" w:rsidP="001F3B5A">
            <w:pPr>
              <w:jc w:val="right"/>
              <w:rPr>
                <w:rFonts w:cs="Arial"/>
                <w:color w:val="000000"/>
                <w:sz w:val="22"/>
                <w:szCs w:val="22"/>
              </w:rPr>
            </w:pPr>
            <w:r w:rsidRPr="00F5328D">
              <w:rPr>
                <w:rFonts w:cs="Arial"/>
                <w:color w:val="000000"/>
                <w:sz w:val="22"/>
                <w:szCs w:val="22"/>
              </w:rPr>
              <w:t>0.5</w:t>
            </w:r>
          </w:p>
        </w:tc>
      </w:tr>
      <w:tr w:rsidR="00F5328D" w:rsidRPr="00F5328D" w14:paraId="21A71602"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tcPr>
          <w:p w14:paraId="7CF07AEE" w14:textId="77777777" w:rsidR="00F5328D" w:rsidRPr="00F5328D" w:rsidRDefault="00F5328D" w:rsidP="001F3B5A">
            <w:pPr>
              <w:rPr>
                <w:rFonts w:cs="Arial"/>
                <w:color w:val="000000"/>
                <w:sz w:val="22"/>
                <w:szCs w:val="22"/>
              </w:rPr>
            </w:pPr>
            <w:r w:rsidRPr="00F5328D">
              <w:rPr>
                <w:rFonts w:cs="Arial"/>
                <w:color w:val="000000"/>
                <w:sz w:val="22"/>
                <w:szCs w:val="22"/>
              </w:rPr>
              <w:t>Rainham South</w:t>
            </w:r>
          </w:p>
        </w:tc>
        <w:tc>
          <w:tcPr>
            <w:tcW w:w="2268" w:type="dxa"/>
            <w:tcBorders>
              <w:top w:val="nil"/>
              <w:left w:val="nil"/>
              <w:bottom w:val="single" w:sz="4" w:space="0" w:color="auto"/>
              <w:right w:val="single" w:sz="4" w:space="0" w:color="auto"/>
            </w:tcBorders>
            <w:shd w:val="clear" w:color="auto" w:fill="auto"/>
            <w:noWrap/>
            <w:vAlign w:val="bottom"/>
          </w:tcPr>
          <w:p w14:paraId="30A90668" w14:textId="77777777" w:rsidR="00F5328D" w:rsidRPr="00F5328D" w:rsidRDefault="00F5328D" w:rsidP="001F3B5A">
            <w:pPr>
              <w:jc w:val="right"/>
              <w:rPr>
                <w:rFonts w:cs="Arial"/>
                <w:color w:val="000000"/>
                <w:sz w:val="22"/>
                <w:szCs w:val="22"/>
              </w:rPr>
            </w:pPr>
            <w:r w:rsidRPr="00F5328D">
              <w:rPr>
                <w:rFonts w:cs="Arial"/>
                <w:color w:val="000000"/>
                <w:sz w:val="22"/>
                <w:szCs w:val="22"/>
              </w:rPr>
              <w:t>1</w:t>
            </w:r>
          </w:p>
        </w:tc>
        <w:tc>
          <w:tcPr>
            <w:tcW w:w="1823" w:type="dxa"/>
            <w:tcBorders>
              <w:top w:val="nil"/>
              <w:left w:val="nil"/>
              <w:bottom w:val="single" w:sz="4" w:space="0" w:color="auto"/>
              <w:right w:val="single" w:sz="4" w:space="0" w:color="auto"/>
            </w:tcBorders>
            <w:shd w:val="clear" w:color="auto" w:fill="auto"/>
            <w:noWrap/>
            <w:vAlign w:val="bottom"/>
          </w:tcPr>
          <w:p w14:paraId="5F6786B1" w14:textId="77777777" w:rsidR="00F5328D" w:rsidRPr="00F5328D" w:rsidRDefault="00F5328D" w:rsidP="001F3B5A">
            <w:pPr>
              <w:jc w:val="right"/>
              <w:rPr>
                <w:rFonts w:cs="Arial"/>
                <w:color w:val="000000"/>
                <w:sz w:val="22"/>
                <w:szCs w:val="22"/>
              </w:rPr>
            </w:pPr>
            <w:r w:rsidRPr="00F5328D">
              <w:rPr>
                <w:rFonts w:cs="Arial"/>
                <w:color w:val="000000"/>
                <w:sz w:val="22"/>
                <w:szCs w:val="22"/>
              </w:rPr>
              <w:t>0.5</w:t>
            </w:r>
          </w:p>
        </w:tc>
      </w:tr>
      <w:tr w:rsidR="00F5328D" w:rsidRPr="00F5328D" w14:paraId="3EDFABD5"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tcPr>
          <w:p w14:paraId="22041F2C" w14:textId="77777777" w:rsidR="00F5328D" w:rsidRPr="00F5328D" w:rsidRDefault="00F5328D" w:rsidP="001F3B5A">
            <w:pPr>
              <w:rPr>
                <w:rFonts w:cs="Arial"/>
                <w:color w:val="000000"/>
                <w:sz w:val="22"/>
                <w:szCs w:val="22"/>
              </w:rPr>
            </w:pPr>
            <w:r w:rsidRPr="00F5328D">
              <w:rPr>
                <w:rFonts w:cs="Arial"/>
                <w:color w:val="000000"/>
                <w:sz w:val="22"/>
                <w:szCs w:val="22"/>
              </w:rPr>
              <w:t>River</w:t>
            </w:r>
          </w:p>
        </w:tc>
        <w:tc>
          <w:tcPr>
            <w:tcW w:w="2268" w:type="dxa"/>
            <w:tcBorders>
              <w:top w:val="nil"/>
              <w:left w:val="nil"/>
              <w:bottom w:val="single" w:sz="4" w:space="0" w:color="auto"/>
              <w:right w:val="single" w:sz="4" w:space="0" w:color="auto"/>
            </w:tcBorders>
            <w:shd w:val="clear" w:color="auto" w:fill="auto"/>
            <w:noWrap/>
            <w:vAlign w:val="bottom"/>
          </w:tcPr>
          <w:p w14:paraId="132CA9AA" w14:textId="77777777" w:rsidR="00F5328D" w:rsidRPr="00F5328D" w:rsidRDefault="00F5328D" w:rsidP="001F3B5A">
            <w:pPr>
              <w:jc w:val="right"/>
              <w:rPr>
                <w:rFonts w:cs="Arial"/>
                <w:color w:val="000000"/>
                <w:sz w:val="22"/>
                <w:szCs w:val="22"/>
              </w:rPr>
            </w:pPr>
            <w:r w:rsidRPr="00F5328D">
              <w:rPr>
                <w:rFonts w:cs="Arial"/>
                <w:color w:val="000000"/>
                <w:sz w:val="22"/>
                <w:szCs w:val="22"/>
              </w:rPr>
              <w:t>16</w:t>
            </w:r>
          </w:p>
        </w:tc>
        <w:tc>
          <w:tcPr>
            <w:tcW w:w="1823" w:type="dxa"/>
            <w:tcBorders>
              <w:top w:val="nil"/>
              <w:left w:val="nil"/>
              <w:bottom w:val="single" w:sz="4" w:space="0" w:color="auto"/>
              <w:right w:val="single" w:sz="4" w:space="0" w:color="auto"/>
            </w:tcBorders>
            <w:shd w:val="clear" w:color="auto" w:fill="auto"/>
            <w:noWrap/>
            <w:vAlign w:val="bottom"/>
          </w:tcPr>
          <w:p w14:paraId="33758798" w14:textId="77777777" w:rsidR="00F5328D" w:rsidRPr="00F5328D" w:rsidRDefault="00F5328D" w:rsidP="001F3B5A">
            <w:pPr>
              <w:jc w:val="right"/>
              <w:rPr>
                <w:rFonts w:cs="Arial"/>
                <w:color w:val="000000"/>
                <w:sz w:val="22"/>
                <w:szCs w:val="22"/>
              </w:rPr>
            </w:pPr>
            <w:r w:rsidRPr="00F5328D">
              <w:rPr>
                <w:rFonts w:cs="Arial"/>
                <w:color w:val="000000"/>
                <w:sz w:val="22"/>
                <w:szCs w:val="22"/>
              </w:rPr>
              <w:t>7.9</w:t>
            </w:r>
          </w:p>
        </w:tc>
      </w:tr>
      <w:tr w:rsidR="00F5328D" w:rsidRPr="00F5328D" w14:paraId="50A749D6"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tcPr>
          <w:p w14:paraId="25CFED83" w14:textId="77777777" w:rsidR="00F5328D" w:rsidRPr="00F5328D" w:rsidRDefault="00F5328D" w:rsidP="001F3B5A">
            <w:pPr>
              <w:rPr>
                <w:rFonts w:cs="Arial"/>
                <w:color w:val="000000"/>
                <w:sz w:val="22"/>
                <w:szCs w:val="22"/>
              </w:rPr>
            </w:pPr>
            <w:r w:rsidRPr="00F5328D">
              <w:rPr>
                <w:rFonts w:cs="Arial"/>
                <w:color w:val="000000"/>
                <w:sz w:val="22"/>
                <w:szCs w:val="22"/>
              </w:rPr>
              <w:t>Rochester East</w:t>
            </w:r>
          </w:p>
        </w:tc>
        <w:tc>
          <w:tcPr>
            <w:tcW w:w="2268" w:type="dxa"/>
            <w:tcBorders>
              <w:top w:val="nil"/>
              <w:left w:val="nil"/>
              <w:bottom w:val="single" w:sz="4" w:space="0" w:color="auto"/>
              <w:right w:val="single" w:sz="4" w:space="0" w:color="auto"/>
            </w:tcBorders>
            <w:shd w:val="clear" w:color="auto" w:fill="auto"/>
            <w:noWrap/>
            <w:vAlign w:val="bottom"/>
          </w:tcPr>
          <w:p w14:paraId="34D779FB" w14:textId="77777777" w:rsidR="00F5328D" w:rsidRPr="00F5328D" w:rsidRDefault="00F5328D" w:rsidP="001F3B5A">
            <w:pPr>
              <w:jc w:val="right"/>
              <w:rPr>
                <w:rFonts w:cs="Arial"/>
                <w:color w:val="000000"/>
                <w:sz w:val="22"/>
                <w:szCs w:val="22"/>
              </w:rPr>
            </w:pPr>
            <w:r w:rsidRPr="00F5328D">
              <w:rPr>
                <w:rFonts w:cs="Arial"/>
                <w:color w:val="000000"/>
                <w:sz w:val="22"/>
                <w:szCs w:val="22"/>
              </w:rPr>
              <w:t>5</w:t>
            </w:r>
          </w:p>
        </w:tc>
        <w:tc>
          <w:tcPr>
            <w:tcW w:w="1823" w:type="dxa"/>
            <w:tcBorders>
              <w:top w:val="nil"/>
              <w:left w:val="nil"/>
              <w:bottom w:val="single" w:sz="4" w:space="0" w:color="auto"/>
              <w:right w:val="single" w:sz="4" w:space="0" w:color="auto"/>
            </w:tcBorders>
            <w:shd w:val="clear" w:color="auto" w:fill="auto"/>
            <w:noWrap/>
            <w:vAlign w:val="bottom"/>
          </w:tcPr>
          <w:p w14:paraId="496F5F49" w14:textId="77777777" w:rsidR="00F5328D" w:rsidRPr="00F5328D" w:rsidRDefault="00F5328D" w:rsidP="001F3B5A">
            <w:pPr>
              <w:jc w:val="right"/>
              <w:rPr>
                <w:rFonts w:cs="Arial"/>
                <w:color w:val="000000"/>
                <w:sz w:val="22"/>
                <w:szCs w:val="22"/>
              </w:rPr>
            </w:pPr>
            <w:r w:rsidRPr="00F5328D">
              <w:rPr>
                <w:rFonts w:cs="Arial"/>
                <w:color w:val="000000"/>
                <w:sz w:val="22"/>
                <w:szCs w:val="22"/>
              </w:rPr>
              <w:t>2.5</w:t>
            </w:r>
          </w:p>
        </w:tc>
      </w:tr>
      <w:tr w:rsidR="00F5328D" w:rsidRPr="00F5328D" w14:paraId="0B02F08B"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3CC87A2C" w14:textId="77777777" w:rsidR="00F5328D" w:rsidRPr="00F5328D" w:rsidRDefault="00F5328D" w:rsidP="001F3B5A">
            <w:pPr>
              <w:rPr>
                <w:rFonts w:cs="Arial"/>
                <w:color w:val="000000"/>
                <w:sz w:val="22"/>
                <w:szCs w:val="22"/>
              </w:rPr>
            </w:pPr>
            <w:r w:rsidRPr="00F5328D">
              <w:rPr>
                <w:rFonts w:cs="Arial"/>
                <w:color w:val="000000"/>
                <w:sz w:val="22"/>
                <w:szCs w:val="22"/>
              </w:rPr>
              <w:t>Rochester South</w:t>
            </w:r>
          </w:p>
        </w:tc>
        <w:tc>
          <w:tcPr>
            <w:tcW w:w="2268" w:type="dxa"/>
            <w:tcBorders>
              <w:top w:val="nil"/>
              <w:left w:val="nil"/>
              <w:bottom w:val="single" w:sz="4" w:space="0" w:color="auto"/>
              <w:right w:val="single" w:sz="4" w:space="0" w:color="auto"/>
            </w:tcBorders>
            <w:shd w:val="clear" w:color="auto" w:fill="auto"/>
            <w:noWrap/>
            <w:vAlign w:val="bottom"/>
            <w:hideMark/>
          </w:tcPr>
          <w:p w14:paraId="7203C53F" w14:textId="77777777" w:rsidR="00F5328D" w:rsidRPr="00F5328D" w:rsidRDefault="00F5328D" w:rsidP="001F3B5A">
            <w:pPr>
              <w:jc w:val="right"/>
              <w:rPr>
                <w:rFonts w:cs="Arial"/>
                <w:color w:val="000000"/>
                <w:sz w:val="22"/>
                <w:szCs w:val="22"/>
              </w:rPr>
            </w:pPr>
            <w:r w:rsidRPr="00F5328D">
              <w:rPr>
                <w:rFonts w:cs="Arial"/>
                <w:color w:val="000000"/>
                <w:sz w:val="22"/>
                <w:szCs w:val="22"/>
              </w:rPr>
              <w:t>4</w:t>
            </w:r>
          </w:p>
        </w:tc>
        <w:tc>
          <w:tcPr>
            <w:tcW w:w="1823" w:type="dxa"/>
            <w:tcBorders>
              <w:top w:val="nil"/>
              <w:left w:val="nil"/>
              <w:bottom w:val="single" w:sz="4" w:space="0" w:color="auto"/>
              <w:right w:val="single" w:sz="4" w:space="0" w:color="auto"/>
            </w:tcBorders>
            <w:shd w:val="clear" w:color="auto" w:fill="auto"/>
            <w:noWrap/>
            <w:vAlign w:val="bottom"/>
            <w:hideMark/>
          </w:tcPr>
          <w:p w14:paraId="15B2E4DF" w14:textId="77777777" w:rsidR="00F5328D" w:rsidRPr="00F5328D" w:rsidRDefault="00F5328D" w:rsidP="001F3B5A">
            <w:pPr>
              <w:jc w:val="right"/>
              <w:rPr>
                <w:rFonts w:cs="Arial"/>
                <w:color w:val="000000"/>
                <w:sz w:val="22"/>
                <w:szCs w:val="22"/>
              </w:rPr>
            </w:pPr>
            <w:r w:rsidRPr="00F5328D">
              <w:rPr>
                <w:rFonts w:cs="Arial"/>
                <w:color w:val="000000"/>
                <w:sz w:val="22"/>
                <w:szCs w:val="22"/>
              </w:rPr>
              <w:t>2.0</w:t>
            </w:r>
          </w:p>
        </w:tc>
      </w:tr>
      <w:tr w:rsidR="00F5328D" w:rsidRPr="00F5328D" w14:paraId="6716B227"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0AD2BA73" w14:textId="77777777" w:rsidR="00F5328D" w:rsidRPr="00F5328D" w:rsidRDefault="00F5328D" w:rsidP="001F3B5A">
            <w:pPr>
              <w:rPr>
                <w:rFonts w:cs="Arial"/>
                <w:color w:val="000000"/>
                <w:sz w:val="22"/>
                <w:szCs w:val="22"/>
              </w:rPr>
            </w:pPr>
            <w:r w:rsidRPr="00F5328D">
              <w:rPr>
                <w:rFonts w:cs="Arial"/>
                <w:color w:val="000000"/>
                <w:sz w:val="22"/>
                <w:szCs w:val="22"/>
              </w:rPr>
              <w:t>Rochester West</w:t>
            </w:r>
          </w:p>
        </w:tc>
        <w:tc>
          <w:tcPr>
            <w:tcW w:w="2268" w:type="dxa"/>
            <w:tcBorders>
              <w:top w:val="nil"/>
              <w:left w:val="nil"/>
              <w:bottom w:val="single" w:sz="4" w:space="0" w:color="auto"/>
              <w:right w:val="single" w:sz="4" w:space="0" w:color="auto"/>
            </w:tcBorders>
            <w:shd w:val="clear" w:color="auto" w:fill="auto"/>
            <w:noWrap/>
            <w:vAlign w:val="bottom"/>
            <w:hideMark/>
          </w:tcPr>
          <w:p w14:paraId="514778DC" w14:textId="77777777" w:rsidR="00F5328D" w:rsidRPr="00F5328D" w:rsidRDefault="00F5328D" w:rsidP="001F3B5A">
            <w:pPr>
              <w:jc w:val="right"/>
              <w:rPr>
                <w:rFonts w:cs="Arial"/>
                <w:color w:val="000000"/>
                <w:sz w:val="22"/>
                <w:szCs w:val="22"/>
              </w:rPr>
            </w:pPr>
            <w:r w:rsidRPr="00F5328D">
              <w:rPr>
                <w:rFonts w:cs="Arial"/>
                <w:color w:val="000000"/>
                <w:sz w:val="22"/>
                <w:szCs w:val="22"/>
              </w:rPr>
              <w:t>7</w:t>
            </w:r>
          </w:p>
        </w:tc>
        <w:tc>
          <w:tcPr>
            <w:tcW w:w="1823" w:type="dxa"/>
            <w:tcBorders>
              <w:top w:val="nil"/>
              <w:left w:val="nil"/>
              <w:bottom w:val="single" w:sz="4" w:space="0" w:color="auto"/>
              <w:right w:val="single" w:sz="4" w:space="0" w:color="auto"/>
            </w:tcBorders>
            <w:shd w:val="clear" w:color="auto" w:fill="auto"/>
            <w:noWrap/>
            <w:vAlign w:val="bottom"/>
            <w:hideMark/>
          </w:tcPr>
          <w:p w14:paraId="3DF47AC5" w14:textId="77777777" w:rsidR="00F5328D" w:rsidRPr="00F5328D" w:rsidRDefault="00F5328D" w:rsidP="001F3B5A">
            <w:pPr>
              <w:jc w:val="right"/>
              <w:rPr>
                <w:rFonts w:cs="Arial"/>
                <w:color w:val="000000"/>
                <w:sz w:val="22"/>
                <w:szCs w:val="22"/>
              </w:rPr>
            </w:pPr>
            <w:r w:rsidRPr="00F5328D">
              <w:rPr>
                <w:rFonts w:cs="Arial"/>
                <w:color w:val="000000"/>
                <w:sz w:val="22"/>
                <w:szCs w:val="22"/>
              </w:rPr>
              <w:t>3.5</w:t>
            </w:r>
          </w:p>
        </w:tc>
      </w:tr>
      <w:tr w:rsidR="00F5328D" w:rsidRPr="00F5328D" w14:paraId="4E87462A"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6CBD7328" w14:textId="77777777" w:rsidR="00F5328D" w:rsidRPr="00F5328D" w:rsidRDefault="00F5328D" w:rsidP="001F3B5A">
            <w:pPr>
              <w:rPr>
                <w:rFonts w:cs="Arial"/>
                <w:color w:val="000000"/>
                <w:sz w:val="22"/>
                <w:szCs w:val="22"/>
              </w:rPr>
            </w:pPr>
            <w:r w:rsidRPr="00F5328D">
              <w:rPr>
                <w:rFonts w:cs="Arial"/>
                <w:color w:val="000000"/>
                <w:sz w:val="22"/>
                <w:szCs w:val="22"/>
              </w:rPr>
              <w:t>Strood North</w:t>
            </w:r>
          </w:p>
        </w:tc>
        <w:tc>
          <w:tcPr>
            <w:tcW w:w="2268" w:type="dxa"/>
            <w:tcBorders>
              <w:top w:val="nil"/>
              <w:left w:val="nil"/>
              <w:bottom w:val="single" w:sz="4" w:space="0" w:color="auto"/>
              <w:right w:val="single" w:sz="4" w:space="0" w:color="auto"/>
            </w:tcBorders>
            <w:shd w:val="clear" w:color="auto" w:fill="auto"/>
            <w:noWrap/>
            <w:vAlign w:val="bottom"/>
            <w:hideMark/>
          </w:tcPr>
          <w:p w14:paraId="3AF7C270" w14:textId="77777777" w:rsidR="00F5328D" w:rsidRPr="00F5328D" w:rsidRDefault="00F5328D" w:rsidP="001F3B5A">
            <w:pPr>
              <w:jc w:val="right"/>
              <w:rPr>
                <w:rFonts w:cs="Arial"/>
                <w:color w:val="000000"/>
                <w:sz w:val="22"/>
                <w:szCs w:val="22"/>
              </w:rPr>
            </w:pPr>
            <w:r w:rsidRPr="00F5328D">
              <w:rPr>
                <w:rFonts w:cs="Arial"/>
                <w:color w:val="000000"/>
                <w:sz w:val="22"/>
                <w:szCs w:val="22"/>
              </w:rPr>
              <w:t>7</w:t>
            </w:r>
          </w:p>
        </w:tc>
        <w:tc>
          <w:tcPr>
            <w:tcW w:w="1823" w:type="dxa"/>
            <w:tcBorders>
              <w:top w:val="nil"/>
              <w:left w:val="nil"/>
              <w:bottom w:val="single" w:sz="4" w:space="0" w:color="auto"/>
              <w:right w:val="single" w:sz="4" w:space="0" w:color="auto"/>
            </w:tcBorders>
            <w:shd w:val="clear" w:color="auto" w:fill="auto"/>
            <w:noWrap/>
            <w:vAlign w:val="bottom"/>
            <w:hideMark/>
          </w:tcPr>
          <w:p w14:paraId="4DEB14BC" w14:textId="77777777" w:rsidR="00F5328D" w:rsidRPr="00F5328D" w:rsidRDefault="00F5328D" w:rsidP="001F3B5A">
            <w:pPr>
              <w:jc w:val="right"/>
              <w:rPr>
                <w:rFonts w:cs="Arial"/>
                <w:color w:val="000000"/>
                <w:sz w:val="22"/>
                <w:szCs w:val="22"/>
              </w:rPr>
            </w:pPr>
            <w:r w:rsidRPr="00F5328D">
              <w:rPr>
                <w:rFonts w:cs="Arial"/>
                <w:color w:val="000000"/>
                <w:sz w:val="22"/>
                <w:szCs w:val="22"/>
              </w:rPr>
              <w:t>3.5</w:t>
            </w:r>
          </w:p>
        </w:tc>
      </w:tr>
      <w:tr w:rsidR="00F5328D" w:rsidRPr="00F5328D" w14:paraId="6A2F53B7"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369B993E" w14:textId="77777777" w:rsidR="00F5328D" w:rsidRPr="00F5328D" w:rsidRDefault="00F5328D" w:rsidP="001F3B5A">
            <w:pPr>
              <w:rPr>
                <w:rFonts w:cs="Arial"/>
                <w:color w:val="000000"/>
                <w:sz w:val="22"/>
                <w:szCs w:val="22"/>
              </w:rPr>
            </w:pPr>
            <w:r w:rsidRPr="00F5328D">
              <w:rPr>
                <w:rFonts w:cs="Arial"/>
                <w:color w:val="000000"/>
                <w:sz w:val="22"/>
                <w:szCs w:val="22"/>
              </w:rPr>
              <w:t>Strood Rural</w:t>
            </w:r>
          </w:p>
        </w:tc>
        <w:tc>
          <w:tcPr>
            <w:tcW w:w="2268" w:type="dxa"/>
            <w:tcBorders>
              <w:top w:val="nil"/>
              <w:left w:val="nil"/>
              <w:bottom w:val="single" w:sz="4" w:space="0" w:color="auto"/>
              <w:right w:val="single" w:sz="4" w:space="0" w:color="auto"/>
            </w:tcBorders>
            <w:shd w:val="clear" w:color="auto" w:fill="auto"/>
            <w:noWrap/>
            <w:vAlign w:val="bottom"/>
            <w:hideMark/>
          </w:tcPr>
          <w:p w14:paraId="0A52AD27" w14:textId="77777777" w:rsidR="00F5328D" w:rsidRPr="00F5328D" w:rsidRDefault="00F5328D" w:rsidP="001F3B5A">
            <w:pPr>
              <w:jc w:val="right"/>
              <w:rPr>
                <w:rFonts w:cs="Arial"/>
                <w:color w:val="000000"/>
                <w:sz w:val="22"/>
                <w:szCs w:val="22"/>
              </w:rPr>
            </w:pPr>
            <w:r w:rsidRPr="00F5328D">
              <w:rPr>
                <w:rFonts w:cs="Arial"/>
                <w:color w:val="000000"/>
                <w:sz w:val="22"/>
                <w:szCs w:val="22"/>
              </w:rPr>
              <w:t>1</w:t>
            </w:r>
          </w:p>
        </w:tc>
        <w:tc>
          <w:tcPr>
            <w:tcW w:w="1823" w:type="dxa"/>
            <w:tcBorders>
              <w:top w:val="nil"/>
              <w:left w:val="nil"/>
              <w:bottom w:val="single" w:sz="4" w:space="0" w:color="auto"/>
              <w:right w:val="single" w:sz="4" w:space="0" w:color="auto"/>
            </w:tcBorders>
            <w:shd w:val="clear" w:color="auto" w:fill="auto"/>
            <w:noWrap/>
            <w:vAlign w:val="bottom"/>
            <w:hideMark/>
          </w:tcPr>
          <w:p w14:paraId="20C96B8A" w14:textId="77777777" w:rsidR="00F5328D" w:rsidRPr="00F5328D" w:rsidRDefault="00F5328D" w:rsidP="001F3B5A">
            <w:pPr>
              <w:jc w:val="right"/>
              <w:rPr>
                <w:rFonts w:cs="Arial"/>
                <w:color w:val="000000"/>
                <w:sz w:val="22"/>
                <w:szCs w:val="22"/>
              </w:rPr>
            </w:pPr>
            <w:r w:rsidRPr="00F5328D">
              <w:rPr>
                <w:rFonts w:cs="Arial"/>
                <w:color w:val="000000"/>
                <w:sz w:val="22"/>
                <w:szCs w:val="22"/>
              </w:rPr>
              <w:t>0.5</w:t>
            </w:r>
          </w:p>
        </w:tc>
      </w:tr>
      <w:tr w:rsidR="00F5328D" w:rsidRPr="00F5328D" w14:paraId="6F9D5926"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34AB715E" w14:textId="77777777" w:rsidR="00F5328D" w:rsidRPr="00F5328D" w:rsidRDefault="00F5328D" w:rsidP="001F3B5A">
            <w:pPr>
              <w:rPr>
                <w:rFonts w:cs="Arial"/>
                <w:color w:val="000000"/>
                <w:sz w:val="22"/>
                <w:szCs w:val="22"/>
              </w:rPr>
            </w:pPr>
            <w:r w:rsidRPr="00F5328D">
              <w:rPr>
                <w:rFonts w:cs="Arial"/>
                <w:color w:val="000000"/>
                <w:sz w:val="22"/>
                <w:szCs w:val="22"/>
              </w:rPr>
              <w:t>Strood South</w:t>
            </w:r>
          </w:p>
        </w:tc>
        <w:tc>
          <w:tcPr>
            <w:tcW w:w="2268" w:type="dxa"/>
            <w:tcBorders>
              <w:top w:val="nil"/>
              <w:left w:val="nil"/>
              <w:bottom w:val="single" w:sz="4" w:space="0" w:color="auto"/>
              <w:right w:val="single" w:sz="4" w:space="0" w:color="auto"/>
            </w:tcBorders>
            <w:shd w:val="clear" w:color="auto" w:fill="auto"/>
            <w:noWrap/>
            <w:vAlign w:val="bottom"/>
            <w:hideMark/>
          </w:tcPr>
          <w:p w14:paraId="3028ED7B" w14:textId="77777777" w:rsidR="00F5328D" w:rsidRPr="00F5328D" w:rsidRDefault="00F5328D" w:rsidP="001F3B5A">
            <w:pPr>
              <w:jc w:val="right"/>
              <w:rPr>
                <w:rFonts w:cs="Arial"/>
                <w:color w:val="000000"/>
                <w:sz w:val="22"/>
                <w:szCs w:val="22"/>
              </w:rPr>
            </w:pPr>
            <w:r w:rsidRPr="00F5328D">
              <w:rPr>
                <w:rFonts w:cs="Arial"/>
                <w:color w:val="000000"/>
                <w:sz w:val="22"/>
                <w:szCs w:val="22"/>
              </w:rPr>
              <w:t>4</w:t>
            </w:r>
          </w:p>
        </w:tc>
        <w:tc>
          <w:tcPr>
            <w:tcW w:w="1823" w:type="dxa"/>
            <w:tcBorders>
              <w:top w:val="nil"/>
              <w:left w:val="nil"/>
              <w:bottom w:val="single" w:sz="4" w:space="0" w:color="auto"/>
              <w:right w:val="single" w:sz="4" w:space="0" w:color="auto"/>
            </w:tcBorders>
            <w:shd w:val="clear" w:color="auto" w:fill="auto"/>
            <w:noWrap/>
            <w:vAlign w:val="bottom"/>
            <w:hideMark/>
          </w:tcPr>
          <w:p w14:paraId="2D2B425B" w14:textId="77777777" w:rsidR="00F5328D" w:rsidRPr="00F5328D" w:rsidRDefault="00F5328D" w:rsidP="001F3B5A">
            <w:pPr>
              <w:jc w:val="right"/>
              <w:rPr>
                <w:rFonts w:cs="Arial"/>
                <w:color w:val="000000"/>
                <w:sz w:val="22"/>
                <w:szCs w:val="22"/>
              </w:rPr>
            </w:pPr>
            <w:r w:rsidRPr="00F5328D">
              <w:rPr>
                <w:rFonts w:cs="Arial"/>
                <w:color w:val="000000"/>
                <w:sz w:val="22"/>
                <w:szCs w:val="22"/>
              </w:rPr>
              <w:t>2.0</w:t>
            </w:r>
          </w:p>
        </w:tc>
      </w:tr>
      <w:tr w:rsidR="00F5328D" w:rsidRPr="00F5328D" w14:paraId="21516DE0"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0271FA93" w14:textId="77777777" w:rsidR="00F5328D" w:rsidRPr="00F5328D" w:rsidRDefault="00F5328D" w:rsidP="001F3B5A">
            <w:pPr>
              <w:rPr>
                <w:rFonts w:cs="Arial"/>
                <w:color w:val="000000"/>
                <w:sz w:val="22"/>
                <w:szCs w:val="22"/>
              </w:rPr>
            </w:pPr>
            <w:r w:rsidRPr="00F5328D">
              <w:rPr>
                <w:rFonts w:cs="Arial"/>
                <w:color w:val="000000"/>
                <w:sz w:val="22"/>
                <w:szCs w:val="22"/>
              </w:rPr>
              <w:t>Watling</w:t>
            </w:r>
          </w:p>
        </w:tc>
        <w:tc>
          <w:tcPr>
            <w:tcW w:w="2268" w:type="dxa"/>
            <w:tcBorders>
              <w:top w:val="nil"/>
              <w:left w:val="nil"/>
              <w:bottom w:val="single" w:sz="4" w:space="0" w:color="auto"/>
              <w:right w:val="single" w:sz="4" w:space="0" w:color="auto"/>
            </w:tcBorders>
            <w:shd w:val="clear" w:color="auto" w:fill="auto"/>
            <w:noWrap/>
            <w:vAlign w:val="bottom"/>
            <w:hideMark/>
          </w:tcPr>
          <w:p w14:paraId="69A67EF0" w14:textId="77777777" w:rsidR="00F5328D" w:rsidRPr="00F5328D" w:rsidRDefault="00F5328D" w:rsidP="001F3B5A">
            <w:pPr>
              <w:jc w:val="right"/>
              <w:rPr>
                <w:rFonts w:cs="Arial"/>
                <w:color w:val="000000"/>
                <w:sz w:val="22"/>
                <w:szCs w:val="22"/>
              </w:rPr>
            </w:pPr>
            <w:r w:rsidRPr="00F5328D">
              <w:rPr>
                <w:rFonts w:cs="Arial"/>
                <w:color w:val="000000"/>
                <w:sz w:val="22"/>
                <w:szCs w:val="22"/>
              </w:rPr>
              <w:t>10</w:t>
            </w:r>
          </w:p>
        </w:tc>
        <w:tc>
          <w:tcPr>
            <w:tcW w:w="1823" w:type="dxa"/>
            <w:tcBorders>
              <w:top w:val="nil"/>
              <w:left w:val="nil"/>
              <w:bottom w:val="single" w:sz="4" w:space="0" w:color="auto"/>
              <w:right w:val="single" w:sz="4" w:space="0" w:color="auto"/>
            </w:tcBorders>
            <w:shd w:val="clear" w:color="auto" w:fill="auto"/>
            <w:noWrap/>
            <w:vAlign w:val="bottom"/>
            <w:hideMark/>
          </w:tcPr>
          <w:p w14:paraId="3360BD78" w14:textId="77777777" w:rsidR="00F5328D" w:rsidRPr="00F5328D" w:rsidRDefault="00F5328D" w:rsidP="001F3B5A">
            <w:pPr>
              <w:jc w:val="right"/>
              <w:rPr>
                <w:rFonts w:cs="Arial"/>
                <w:color w:val="000000"/>
                <w:sz w:val="22"/>
                <w:szCs w:val="22"/>
              </w:rPr>
            </w:pPr>
            <w:r w:rsidRPr="00F5328D">
              <w:rPr>
                <w:rFonts w:cs="Arial"/>
                <w:color w:val="000000"/>
                <w:sz w:val="22"/>
                <w:szCs w:val="22"/>
              </w:rPr>
              <w:t>5.0</w:t>
            </w:r>
          </w:p>
        </w:tc>
      </w:tr>
      <w:tr w:rsidR="00F5328D" w:rsidRPr="00F5328D" w14:paraId="524143D8"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4BF0F694" w14:textId="77777777" w:rsidR="00F5328D" w:rsidRPr="00F5328D" w:rsidRDefault="00F5328D" w:rsidP="001F3B5A">
            <w:pPr>
              <w:rPr>
                <w:rFonts w:cs="Arial"/>
                <w:color w:val="000000"/>
                <w:sz w:val="22"/>
                <w:szCs w:val="22"/>
              </w:rPr>
            </w:pPr>
            <w:r w:rsidRPr="00F5328D">
              <w:rPr>
                <w:rFonts w:cs="Arial"/>
                <w:color w:val="000000"/>
                <w:sz w:val="22"/>
                <w:szCs w:val="22"/>
              </w:rPr>
              <w:t>Not known</w:t>
            </w:r>
          </w:p>
        </w:tc>
        <w:tc>
          <w:tcPr>
            <w:tcW w:w="2268" w:type="dxa"/>
            <w:tcBorders>
              <w:top w:val="nil"/>
              <w:left w:val="nil"/>
              <w:bottom w:val="single" w:sz="4" w:space="0" w:color="auto"/>
              <w:right w:val="single" w:sz="4" w:space="0" w:color="auto"/>
            </w:tcBorders>
            <w:shd w:val="clear" w:color="auto" w:fill="auto"/>
            <w:noWrap/>
            <w:vAlign w:val="bottom"/>
            <w:hideMark/>
          </w:tcPr>
          <w:p w14:paraId="76305B30" w14:textId="77777777" w:rsidR="00F5328D" w:rsidRPr="00F5328D" w:rsidRDefault="00F5328D" w:rsidP="001F3B5A">
            <w:pPr>
              <w:jc w:val="right"/>
              <w:rPr>
                <w:rFonts w:cs="Arial"/>
                <w:color w:val="000000"/>
                <w:sz w:val="22"/>
                <w:szCs w:val="22"/>
              </w:rPr>
            </w:pPr>
            <w:r w:rsidRPr="00F5328D">
              <w:rPr>
                <w:rFonts w:cs="Arial"/>
                <w:color w:val="000000"/>
                <w:sz w:val="22"/>
                <w:szCs w:val="22"/>
              </w:rPr>
              <w:t>2</w:t>
            </w:r>
          </w:p>
        </w:tc>
        <w:tc>
          <w:tcPr>
            <w:tcW w:w="1823" w:type="dxa"/>
            <w:tcBorders>
              <w:top w:val="nil"/>
              <w:left w:val="nil"/>
              <w:bottom w:val="single" w:sz="4" w:space="0" w:color="auto"/>
              <w:right w:val="single" w:sz="4" w:space="0" w:color="auto"/>
            </w:tcBorders>
            <w:shd w:val="clear" w:color="auto" w:fill="auto"/>
            <w:noWrap/>
            <w:vAlign w:val="bottom"/>
            <w:hideMark/>
          </w:tcPr>
          <w:p w14:paraId="38272EF5" w14:textId="77777777" w:rsidR="00F5328D" w:rsidRPr="00F5328D" w:rsidRDefault="00F5328D" w:rsidP="001F3B5A">
            <w:pPr>
              <w:jc w:val="right"/>
              <w:rPr>
                <w:rFonts w:cs="Arial"/>
                <w:color w:val="000000"/>
                <w:sz w:val="22"/>
                <w:szCs w:val="22"/>
              </w:rPr>
            </w:pPr>
          </w:p>
        </w:tc>
      </w:tr>
      <w:tr w:rsidR="00F5328D" w:rsidRPr="00F5328D" w14:paraId="08FE6649"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2CD4A351" w14:textId="77777777" w:rsidR="00F5328D" w:rsidRPr="00F5328D" w:rsidRDefault="00F5328D" w:rsidP="001F3B5A">
            <w:pPr>
              <w:rPr>
                <w:rFonts w:cs="Arial"/>
                <w:color w:val="000000"/>
                <w:sz w:val="22"/>
                <w:szCs w:val="22"/>
              </w:rPr>
            </w:pPr>
            <w:r w:rsidRPr="00F5328D">
              <w:rPr>
                <w:rFonts w:cs="Arial"/>
                <w:color w:val="000000"/>
                <w:sz w:val="22"/>
                <w:szCs w:val="22"/>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748A18D7" w14:textId="77777777" w:rsidR="00F5328D" w:rsidRPr="00F5328D" w:rsidRDefault="00F5328D" w:rsidP="001F3B5A">
            <w:pPr>
              <w:jc w:val="right"/>
              <w:rPr>
                <w:rFonts w:cs="Arial"/>
                <w:color w:val="000000"/>
                <w:sz w:val="22"/>
                <w:szCs w:val="22"/>
              </w:rPr>
            </w:pPr>
            <w:r w:rsidRPr="00F5328D">
              <w:rPr>
                <w:rFonts w:cs="Arial"/>
                <w:color w:val="000000"/>
                <w:sz w:val="22"/>
                <w:szCs w:val="22"/>
              </w:rPr>
              <w:t>36</w:t>
            </w:r>
          </w:p>
        </w:tc>
        <w:tc>
          <w:tcPr>
            <w:tcW w:w="1823" w:type="dxa"/>
            <w:tcBorders>
              <w:top w:val="nil"/>
              <w:left w:val="nil"/>
              <w:bottom w:val="single" w:sz="4" w:space="0" w:color="auto"/>
              <w:right w:val="single" w:sz="4" w:space="0" w:color="auto"/>
            </w:tcBorders>
            <w:shd w:val="clear" w:color="auto" w:fill="auto"/>
            <w:noWrap/>
            <w:vAlign w:val="bottom"/>
            <w:hideMark/>
          </w:tcPr>
          <w:p w14:paraId="70E7D5B5" w14:textId="77777777" w:rsidR="00F5328D" w:rsidRPr="00F5328D" w:rsidRDefault="00F5328D" w:rsidP="001F3B5A">
            <w:pPr>
              <w:jc w:val="right"/>
              <w:rPr>
                <w:rFonts w:cs="Arial"/>
                <w:color w:val="000000"/>
                <w:sz w:val="22"/>
                <w:szCs w:val="22"/>
              </w:rPr>
            </w:pPr>
            <w:r w:rsidRPr="00F5328D">
              <w:rPr>
                <w:rFonts w:cs="Arial"/>
                <w:color w:val="000000"/>
                <w:sz w:val="22"/>
                <w:szCs w:val="22"/>
              </w:rPr>
              <w:t>100.0</w:t>
            </w:r>
          </w:p>
        </w:tc>
      </w:tr>
      <w:tr w:rsidR="00F5328D" w:rsidRPr="00F5328D" w14:paraId="4BA1F071" w14:textId="77777777" w:rsidTr="001F3B5A">
        <w:trPr>
          <w:trHeight w:val="320"/>
        </w:trPr>
        <w:tc>
          <w:tcPr>
            <w:tcW w:w="3641" w:type="dxa"/>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22A6B6CB" w14:textId="77777777" w:rsidR="00F5328D" w:rsidRPr="00F5328D" w:rsidRDefault="00F5328D" w:rsidP="001F3B5A">
            <w:pPr>
              <w:rPr>
                <w:rFonts w:cs="Arial"/>
                <w:b/>
                <w:bCs/>
                <w:color w:val="FFFFFF" w:themeColor="background1"/>
                <w:sz w:val="22"/>
                <w:szCs w:val="22"/>
              </w:rPr>
            </w:pPr>
            <w:r w:rsidRPr="00F5328D">
              <w:rPr>
                <w:rFonts w:cs="Arial"/>
                <w:b/>
                <w:bCs/>
                <w:color w:val="FFFFFF" w:themeColor="background1"/>
                <w:sz w:val="22"/>
                <w:szCs w:val="22"/>
              </w:rPr>
              <w:t>Key development Locations</w:t>
            </w:r>
          </w:p>
        </w:tc>
        <w:tc>
          <w:tcPr>
            <w:tcW w:w="2268" w:type="dxa"/>
            <w:tcBorders>
              <w:top w:val="single" w:sz="4" w:space="0" w:color="auto"/>
              <w:left w:val="nil"/>
              <w:bottom w:val="single" w:sz="4" w:space="0" w:color="auto"/>
              <w:right w:val="single" w:sz="4" w:space="0" w:color="auto"/>
            </w:tcBorders>
            <w:shd w:val="clear" w:color="auto" w:fill="006666"/>
            <w:noWrap/>
            <w:vAlign w:val="bottom"/>
            <w:hideMark/>
          </w:tcPr>
          <w:p w14:paraId="70BF4D07"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HMO conversion applications</w:t>
            </w:r>
          </w:p>
          <w:p w14:paraId="75FB0A17"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2016 - June 2021</w:t>
            </w:r>
          </w:p>
        </w:tc>
        <w:tc>
          <w:tcPr>
            <w:tcW w:w="1823" w:type="dxa"/>
            <w:tcBorders>
              <w:top w:val="single" w:sz="4" w:space="0" w:color="auto"/>
              <w:left w:val="nil"/>
              <w:bottom w:val="single" w:sz="4" w:space="0" w:color="auto"/>
              <w:right w:val="single" w:sz="4" w:space="0" w:color="auto"/>
            </w:tcBorders>
            <w:shd w:val="clear" w:color="auto" w:fill="006666"/>
            <w:noWrap/>
            <w:vAlign w:val="bottom"/>
            <w:hideMark/>
          </w:tcPr>
          <w:p w14:paraId="3ABEFAA2"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 xml:space="preserve">% </w:t>
            </w:r>
            <w:proofErr w:type="gramStart"/>
            <w:r w:rsidRPr="00F5328D">
              <w:rPr>
                <w:rFonts w:cs="Arial"/>
                <w:b/>
                <w:bCs/>
                <w:color w:val="FFFFFF" w:themeColor="background1"/>
                <w:sz w:val="22"/>
                <w:szCs w:val="22"/>
              </w:rPr>
              <w:t>of</w:t>
            </w:r>
            <w:proofErr w:type="gramEnd"/>
            <w:r w:rsidRPr="00F5328D">
              <w:rPr>
                <w:rFonts w:cs="Arial"/>
                <w:b/>
                <w:bCs/>
                <w:color w:val="FFFFFF" w:themeColor="background1"/>
                <w:sz w:val="22"/>
                <w:szCs w:val="22"/>
              </w:rPr>
              <w:t xml:space="preserve"> applications</w:t>
            </w:r>
          </w:p>
        </w:tc>
      </w:tr>
      <w:tr w:rsidR="00F5328D" w:rsidRPr="00F5328D" w14:paraId="07F76B23"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1E9205DB" w14:textId="77777777" w:rsidR="00F5328D" w:rsidRPr="00F5328D" w:rsidRDefault="00F5328D" w:rsidP="001F3B5A">
            <w:pPr>
              <w:rPr>
                <w:rFonts w:cs="Arial"/>
                <w:color w:val="000000"/>
                <w:sz w:val="22"/>
                <w:szCs w:val="22"/>
              </w:rPr>
            </w:pPr>
            <w:r w:rsidRPr="00F5328D">
              <w:rPr>
                <w:rFonts w:cs="Arial"/>
                <w:color w:val="000000"/>
                <w:sz w:val="22"/>
                <w:szCs w:val="22"/>
              </w:rPr>
              <w:t>Chatham</w:t>
            </w:r>
          </w:p>
        </w:tc>
        <w:tc>
          <w:tcPr>
            <w:tcW w:w="2268" w:type="dxa"/>
            <w:tcBorders>
              <w:top w:val="nil"/>
              <w:left w:val="nil"/>
              <w:bottom w:val="single" w:sz="4" w:space="0" w:color="auto"/>
              <w:right w:val="single" w:sz="4" w:space="0" w:color="auto"/>
            </w:tcBorders>
            <w:shd w:val="clear" w:color="auto" w:fill="auto"/>
            <w:noWrap/>
            <w:vAlign w:val="bottom"/>
            <w:hideMark/>
          </w:tcPr>
          <w:p w14:paraId="62F75E20" w14:textId="77777777" w:rsidR="00F5328D" w:rsidRPr="00F5328D" w:rsidRDefault="00F5328D" w:rsidP="001F3B5A">
            <w:pPr>
              <w:jc w:val="right"/>
              <w:rPr>
                <w:rFonts w:cs="Arial"/>
                <w:color w:val="000000"/>
                <w:sz w:val="22"/>
                <w:szCs w:val="22"/>
              </w:rPr>
            </w:pPr>
            <w:r w:rsidRPr="00F5328D">
              <w:rPr>
                <w:rFonts w:cs="Arial"/>
                <w:color w:val="000000"/>
                <w:sz w:val="22"/>
                <w:szCs w:val="22"/>
              </w:rPr>
              <w:t>36</w:t>
            </w:r>
          </w:p>
        </w:tc>
        <w:tc>
          <w:tcPr>
            <w:tcW w:w="1823" w:type="dxa"/>
            <w:tcBorders>
              <w:top w:val="nil"/>
              <w:left w:val="nil"/>
              <w:bottom w:val="single" w:sz="4" w:space="0" w:color="auto"/>
              <w:right w:val="single" w:sz="4" w:space="0" w:color="auto"/>
            </w:tcBorders>
            <w:shd w:val="clear" w:color="auto" w:fill="auto"/>
            <w:noWrap/>
            <w:vAlign w:val="bottom"/>
            <w:hideMark/>
          </w:tcPr>
          <w:p w14:paraId="46E2DAF9" w14:textId="77777777" w:rsidR="00F5328D" w:rsidRPr="00F5328D" w:rsidRDefault="00F5328D" w:rsidP="001F3B5A">
            <w:pPr>
              <w:jc w:val="right"/>
              <w:rPr>
                <w:rFonts w:cs="Arial"/>
                <w:color w:val="000000"/>
                <w:sz w:val="22"/>
                <w:szCs w:val="22"/>
              </w:rPr>
            </w:pPr>
            <w:r w:rsidRPr="00F5328D">
              <w:rPr>
                <w:rFonts w:cs="Arial"/>
                <w:color w:val="000000"/>
                <w:sz w:val="22"/>
                <w:szCs w:val="22"/>
              </w:rPr>
              <w:t>17.8</w:t>
            </w:r>
          </w:p>
        </w:tc>
      </w:tr>
      <w:tr w:rsidR="00F5328D" w:rsidRPr="00F5328D" w14:paraId="174FCFCF"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39D5C7AD" w14:textId="77777777" w:rsidR="00F5328D" w:rsidRPr="00F5328D" w:rsidRDefault="00F5328D" w:rsidP="001F3B5A">
            <w:pPr>
              <w:rPr>
                <w:rFonts w:cs="Arial"/>
                <w:color w:val="000000"/>
                <w:sz w:val="22"/>
                <w:szCs w:val="22"/>
              </w:rPr>
            </w:pPr>
            <w:r w:rsidRPr="00F5328D">
              <w:rPr>
                <w:rFonts w:cs="Arial"/>
                <w:color w:val="000000"/>
                <w:sz w:val="22"/>
                <w:szCs w:val="22"/>
              </w:rPr>
              <w:t xml:space="preserve">Chatham Maritime and Gillingham </w:t>
            </w:r>
          </w:p>
        </w:tc>
        <w:tc>
          <w:tcPr>
            <w:tcW w:w="2268" w:type="dxa"/>
            <w:tcBorders>
              <w:top w:val="nil"/>
              <w:left w:val="nil"/>
              <w:bottom w:val="single" w:sz="4" w:space="0" w:color="auto"/>
              <w:right w:val="single" w:sz="4" w:space="0" w:color="auto"/>
            </w:tcBorders>
            <w:shd w:val="clear" w:color="auto" w:fill="auto"/>
            <w:noWrap/>
            <w:vAlign w:val="bottom"/>
            <w:hideMark/>
          </w:tcPr>
          <w:p w14:paraId="595A06E5" w14:textId="77777777" w:rsidR="00F5328D" w:rsidRPr="00F5328D" w:rsidRDefault="00F5328D" w:rsidP="001F3B5A">
            <w:pPr>
              <w:jc w:val="right"/>
              <w:rPr>
                <w:rFonts w:cs="Arial"/>
                <w:color w:val="000000"/>
                <w:sz w:val="22"/>
                <w:szCs w:val="22"/>
              </w:rPr>
            </w:pPr>
            <w:r w:rsidRPr="00F5328D">
              <w:rPr>
                <w:rFonts w:cs="Arial"/>
                <w:color w:val="000000"/>
                <w:sz w:val="22"/>
                <w:szCs w:val="22"/>
              </w:rPr>
              <w:t>99</w:t>
            </w:r>
          </w:p>
        </w:tc>
        <w:tc>
          <w:tcPr>
            <w:tcW w:w="1823" w:type="dxa"/>
            <w:tcBorders>
              <w:top w:val="nil"/>
              <w:left w:val="nil"/>
              <w:bottom w:val="single" w:sz="4" w:space="0" w:color="auto"/>
              <w:right w:val="single" w:sz="4" w:space="0" w:color="auto"/>
            </w:tcBorders>
            <w:shd w:val="clear" w:color="auto" w:fill="auto"/>
            <w:noWrap/>
            <w:vAlign w:val="bottom"/>
            <w:hideMark/>
          </w:tcPr>
          <w:p w14:paraId="6DC7713B" w14:textId="77777777" w:rsidR="00F5328D" w:rsidRPr="00F5328D" w:rsidRDefault="00F5328D" w:rsidP="001F3B5A">
            <w:pPr>
              <w:jc w:val="right"/>
              <w:rPr>
                <w:rFonts w:cs="Arial"/>
                <w:color w:val="000000"/>
                <w:sz w:val="22"/>
                <w:szCs w:val="22"/>
              </w:rPr>
            </w:pPr>
            <w:r w:rsidRPr="00F5328D">
              <w:rPr>
                <w:rFonts w:cs="Arial"/>
                <w:color w:val="000000"/>
                <w:sz w:val="22"/>
                <w:szCs w:val="22"/>
              </w:rPr>
              <w:t>49.0</w:t>
            </w:r>
          </w:p>
        </w:tc>
      </w:tr>
      <w:tr w:rsidR="00F5328D" w:rsidRPr="00F5328D" w14:paraId="4C0DFC65"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6BE3F6E9" w14:textId="77777777" w:rsidR="00F5328D" w:rsidRPr="00F5328D" w:rsidRDefault="00F5328D" w:rsidP="001F3B5A">
            <w:pPr>
              <w:rPr>
                <w:rFonts w:cs="Arial"/>
                <w:color w:val="000000"/>
                <w:sz w:val="22"/>
                <w:szCs w:val="22"/>
              </w:rPr>
            </w:pPr>
            <w:r w:rsidRPr="00F5328D">
              <w:rPr>
                <w:rFonts w:cs="Arial"/>
                <w:color w:val="000000"/>
                <w:sz w:val="22"/>
                <w:szCs w:val="22"/>
              </w:rPr>
              <w:t xml:space="preserve">Rainham  </w:t>
            </w:r>
          </w:p>
        </w:tc>
        <w:tc>
          <w:tcPr>
            <w:tcW w:w="2268" w:type="dxa"/>
            <w:tcBorders>
              <w:top w:val="nil"/>
              <w:left w:val="nil"/>
              <w:bottom w:val="single" w:sz="4" w:space="0" w:color="auto"/>
              <w:right w:val="single" w:sz="4" w:space="0" w:color="auto"/>
            </w:tcBorders>
            <w:shd w:val="clear" w:color="auto" w:fill="auto"/>
            <w:noWrap/>
            <w:vAlign w:val="bottom"/>
            <w:hideMark/>
          </w:tcPr>
          <w:p w14:paraId="23844A1F" w14:textId="77777777" w:rsidR="00F5328D" w:rsidRPr="00F5328D" w:rsidRDefault="00F5328D" w:rsidP="001F3B5A">
            <w:pPr>
              <w:jc w:val="right"/>
              <w:rPr>
                <w:rFonts w:cs="Arial"/>
                <w:color w:val="000000"/>
                <w:sz w:val="22"/>
                <w:szCs w:val="22"/>
              </w:rPr>
            </w:pPr>
            <w:r w:rsidRPr="00F5328D">
              <w:rPr>
                <w:rFonts w:cs="Arial"/>
                <w:color w:val="000000"/>
                <w:sz w:val="22"/>
                <w:szCs w:val="22"/>
              </w:rPr>
              <w:t>2</w:t>
            </w:r>
          </w:p>
        </w:tc>
        <w:tc>
          <w:tcPr>
            <w:tcW w:w="1823" w:type="dxa"/>
            <w:tcBorders>
              <w:top w:val="nil"/>
              <w:left w:val="nil"/>
              <w:bottom w:val="single" w:sz="4" w:space="0" w:color="auto"/>
              <w:right w:val="single" w:sz="4" w:space="0" w:color="auto"/>
            </w:tcBorders>
            <w:shd w:val="clear" w:color="auto" w:fill="auto"/>
            <w:noWrap/>
            <w:vAlign w:val="bottom"/>
            <w:hideMark/>
          </w:tcPr>
          <w:p w14:paraId="251C5C4F" w14:textId="77777777" w:rsidR="00F5328D" w:rsidRPr="00F5328D" w:rsidRDefault="00F5328D" w:rsidP="001F3B5A">
            <w:pPr>
              <w:jc w:val="right"/>
              <w:rPr>
                <w:rFonts w:cs="Arial"/>
                <w:color w:val="000000"/>
                <w:sz w:val="22"/>
                <w:szCs w:val="22"/>
              </w:rPr>
            </w:pPr>
            <w:r w:rsidRPr="00F5328D">
              <w:rPr>
                <w:rFonts w:cs="Arial"/>
                <w:color w:val="000000"/>
                <w:sz w:val="22"/>
                <w:szCs w:val="22"/>
              </w:rPr>
              <w:t>1.0</w:t>
            </w:r>
          </w:p>
        </w:tc>
      </w:tr>
      <w:tr w:rsidR="00F5328D" w:rsidRPr="00F5328D" w14:paraId="100C3811"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4F988349" w14:textId="77777777" w:rsidR="00F5328D" w:rsidRPr="00F5328D" w:rsidRDefault="00F5328D" w:rsidP="001F3B5A">
            <w:pPr>
              <w:rPr>
                <w:rFonts w:cs="Arial"/>
                <w:color w:val="000000"/>
                <w:sz w:val="22"/>
                <w:szCs w:val="22"/>
              </w:rPr>
            </w:pPr>
            <w:r w:rsidRPr="00F5328D">
              <w:rPr>
                <w:rFonts w:cs="Arial"/>
                <w:color w:val="000000"/>
                <w:sz w:val="22"/>
                <w:szCs w:val="22"/>
              </w:rPr>
              <w:t>Rochester</w:t>
            </w:r>
          </w:p>
        </w:tc>
        <w:tc>
          <w:tcPr>
            <w:tcW w:w="2268" w:type="dxa"/>
            <w:tcBorders>
              <w:top w:val="nil"/>
              <w:left w:val="nil"/>
              <w:bottom w:val="single" w:sz="4" w:space="0" w:color="auto"/>
              <w:right w:val="single" w:sz="4" w:space="0" w:color="auto"/>
            </w:tcBorders>
            <w:shd w:val="clear" w:color="auto" w:fill="auto"/>
            <w:noWrap/>
            <w:vAlign w:val="bottom"/>
            <w:hideMark/>
          </w:tcPr>
          <w:p w14:paraId="28F16422" w14:textId="77777777" w:rsidR="00F5328D" w:rsidRPr="00F5328D" w:rsidRDefault="00F5328D" w:rsidP="001F3B5A">
            <w:pPr>
              <w:jc w:val="right"/>
              <w:rPr>
                <w:rFonts w:cs="Arial"/>
                <w:color w:val="000000"/>
                <w:sz w:val="22"/>
                <w:szCs w:val="22"/>
              </w:rPr>
            </w:pPr>
            <w:r w:rsidRPr="00F5328D">
              <w:rPr>
                <w:rFonts w:cs="Arial"/>
                <w:color w:val="000000"/>
                <w:sz w:val="22"/>
                <w:szCs w:val="22"/>
              </w:rPr>
              <w:t>16</w:t>
            </w:r>
          </w:p>
        </w:tc>
        <w:tc>
          <w:tcPr>
            <w:tcW w:w="1823" w:type="dxa"/>
            <w:tcBorders>
              <w:top w:val="nil"/>
              <w:left w:val="nil"/>
              <w:bottom w:val="single" w:sz="4" w:space="0" w:color="auto"/>
              <w:right w:val="single" w:sz="4" w:space="0" w:color="auto"/>
            </w:tcBorders>
            <w:shd w:val="clear" w:color="auto" w:fill="auto"/>
            <w:noWrap/>
            <w:vAlign w:val="bottom"/>
            <w:hideMark/>
          </w:tcPr>
          <w:p w14:paraId="4F9B334F" w14:textId="77777777" w:rsidR="00F5328D" w:rsidRPr="00F5328D" w:rsidRDefault="00F5328D" w:rsidP="001F3B5A">
            <w:pPr>
              <w:jc w:val="right"/>
              <w:rPr>
                <w:rFonts w:cs="Arial"/>
                <w:color w:val="000000"/>
                <w:sz w:val="22"/>
                <w:szCs w:val="22"/>
              </w:rPr>
            </w:pPr>
            <w:r w:rsidRPr="00F5328D">
              <w:rPr>
                <w:rFonts w:cs="Arial"/>
                <w:color w:val="000000"/>
                <w:sz w:val="22"/>
                <w:szCs w:val="22"/>
              </w:rPr>
              <w:t>7.9</w:t>
            </w:r>
          </w:p>
        </w:tc>
      </w:tr>
      <w:tr w:rsidR="00F5328D" w:rsidRPr="00F5328D" w14:paraId="794C0FF1" w14:textId="77777777" w:rsidTr="001F3B5A">
        <w:trPr>
          <w:trHeight w:val="34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3FCF99E6" w14:textId="77777777" w:rsidR="00F5328D" w:rsidRPr="00F5328D" w:rsidRDefault="00F5328D" w:rsidP="001F3B5A">
            <w:pPr>
              <w:rPr>
                <w:rFonts w:cs="Arial"/>
                <w:color w:val="000000"/>
                <w:sz w:val="22"/>
                <w:szCs w:val="22"/>
              </w:rPr>
            </w:pPr>
            <w:r w:rsidRPr="00F5328D">
              <w:rPr>
                <w:rFonts w:cs="Arial"/>
                <w:color w:val="000000"/>
                <w:sz w:val="22"/>
                <w:szCs w:val="22"/>
              </w:rPr>
              <w:t xml:space="preserve">Strood  </w:t>
            </w:r>
          </w:p>
        </w:tc>
        <w:tc>
          <w:tcPr>
            <w:tcW w:w="2268" w:type="dxa"/>
            <w:tcBorders>
              <w:top w:val="nil"/>
              <w:left w:val="nil"/>
              <w:bottom w:val="single" w:sz="4" w:space="0" w:color="auto"/>
              <w:right w:val="single" w:sz="4" w:space="0" w:color="auto"/>
            </w:tcBorders>
            <w:shd w:val="clear" w:color="auto" w:fill="auto"/>
            <w:noWrap/>
            <w:vAlign w:val="bottom"/>
            <w:hideMark/>
          </w:tcPr>
          <w:p w14:paraId="1A4FEF76" w14:textId="77777777" w:rsidR="00F5328D" w:rsidRPr="00F5328D" w:rsidRDefault="00F5328D" w:rsidP="001F3B5A">
            <w:pPr>
              <w:jc w:val="right"/>
              <w:rPr>
                <w:rFonts w:cs="Arial"/>
                <w:color w:val="000000"/>
                <w:sz w:val="22"/>
                <w:szCs w:val="22"/>
              </w:rPr>
            </w:pPr>
            <w:r w:rsidRPr="00F5328D">
              <w:rPr>
                <w:rFonts w:cs="Arial"/>
                <w:color w:val="000000"/>
                <w:sz w:val="22"/>
                <w:szCs w:val="22"/>
              </w:rPr>
              <w:t>8</w:t>
            </w:r>
          </w:p>
        </w:tc>
        <w:tc>
          <w:tcPr>
            <w:tcW w:w="1823" w:type="dxa"/>
            <w:tcBorders>
              <w:top w:val="nil"/>
              <w:left w:val="nil"/>
              <w:bottom w:val="single" w:sz="4" w:space="0" w:color="auto"/>
              <w:right w:val="single" w:sz="4" w:space="0" w:color="auto"/>
            </w:tcBorders>
            <w:shd w:val="clear" w:color="auto" w:fill="auto"/>
            <w:noWrap/>
            <w:vAlign w:val="bottom"/>
            <w:hideMark/>
          </w:tcPr>
          <w:p w14:paraId="07A252B8" w14:textId="77777777" w:rsidR="00F5328D" w:rsidRPr="00F5328D" w:rsidRDefault="00F5328D" w:rsidP="001F3B5A">
            <w:pPr>
              <w:jc w:val="right"/>
              <w:rPr>
                <w:rFonts w:cs="Arial"/>
                <w:color w:val="000000"/>
                <w:sz w:val="22"/>
                <w:szCs w:val="22"/>
              </w:rPr>
            </w:pPr>
            <w:r w:rsidRPr="00F5328D">
              <w:rPr>
                <w:rFonts w:cs="Arial"/>
                <w:color w:val="000000"/>
                <w:sz w:val="22"/>
                <w:szCs w:val="22"/>
              </w:rPr>
              <w:t>4.0</w:t>
            </w:r>
          </w:p>
        </w:tc>
      </w:tr>
      <w:tr w:rsidR="00F5328D" w:rsidRPr="00F5328D" w14:paraId="7612B47A" w14:textId="77777777" w:rsidTr="001F3B5A">
        <w:trPr>
          <w:trHeight w:val="320"/>
        </w:trPr>
        <w:tc>
          <w:tcPr>
            <w:tcW w:w="3641" w:type="dxa"/>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760C8C1B" w14:textId="77777777" w:rsidR="00F5328D" w:rsidRPr="00F5328D" w:rsidRDefault="00F5328D" w:rsidP="001F3B5A">
            <w:pPr>
              <w:rPr>
                <w:rFonts w:cs="Arial"/>
                <w:b/>
                <w:bCs/>
                <w:color w:val="FFFFFF" w:themeColor="background1"/>
                <w:sz w:val="22"/>
                <w:szCs w:val="22"/>
              </w:rPr>
            </w:pPr>
            <w:r w:rsidRPr="00F5328D">
              <w:rPr>
                <w:rFonts w:cs="Arial"/>
                <w:b/>
                <w:bCs/>
                <w:color w:val="FFFFFF" w:themeColor="background1"/>
                <w:sz w:val="22"/>
                <w:szCs w:val="22"/>
              </w:rPr>
              <w:t>Neighbourhood Planning Area</w:t>
            </w:r>
          </w:p>
        </w:tc>
        <w:tc>
          <w:tcPr>
            <w:tcW w:w="2268" w:type="dxa"/>
            <w:tcBorders>
              <w:top w:val="single" w:sz="4" w:space="0" w:color="auto"/>
              <w:left w:val="nil"/>
              <w:bottom w:val="single" w:sz="4" w:space="0" w:color="auto"/>
              <w:right w:val="single" w:sz="4" w:space="0" w:color="auto"/>
            </w:tcBorders>
            <w:shd w:val="clear" w:color="auto" w:fill="006666"/>
            <w:noWrap/>
            <w:vAlign w:val="bottom"/>
            <w:hideMark/>
          </w:tcPr>
          <w:p w14:paraId="5A67D5E1"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HMO conversion applications</w:t>
            </w:r>
          </w:p>
          <w:p w14:paraId="5C84EC22"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2016 - June 2021</w:t>
            </w:r>
          </w:p>
        </w:tc>
        <w:tc>
          <w:tcPr>
            <w:tcW w:w="1823" w:type="dxa"/>
            <w:tcBorders>
              <w:top w:val="single" w:sz="4" w:space="0" w:color="auto"/>
              <w:left w:val="nil"/>
              <w:bottom w:val="single" w:sz="4" w:space="0" w:color="auto"/>
              <w:right w:val="single" w:sz="4" w:space="0" w:color="auto"/>
            </w:tcBorders>
            <w:shd w:val="clear" w:color="auto" w:fill="006666"/>
            <w:noWrap/>
            <w:vAlign w:val="bottom"/>
            <w:hideMark/>
          </w:tcPr>
          <w:p w14:paraId="7263B48F" w14:textId="77777777" w:rsidR="00F5328D" w:rsidRPr="00F5328D" w:rsidRDefault="00F5328D" w:rsidP="001F3B5A">
            <w:pPr>
              <w:jc w:val="center"/>
              <w:rPr>
                <w:rFonts w:cs="Arial"/>
                <w:b/>
                <w:bCs/>
                <w:color w:val="FFFFFF" w:themeColor="background1"/>
                <w:sz w:val="22"/>
                <w:szCs w:val="22"/>
              </w:rPr>
            </w:pPr>
            <w:r w:rsidRPr="00F5328D">
              <w:rPr>
                <w:rFonts w:cs="Arial"/>
                <w:b/>
                <w:bCs/>
                <w:color w:val="FFFFFF" w:themeColor="background1"/>
                <w:sz w:val="22"/>
                <w:szCs w:val="22"/>
              </w:rPr>
              <w:t xml:space="preserve">% </w:t>
            </w:r>
            <w:proofErr w:type="gramStart"/>
            <w:r w:rsidRPr="00F5328D">
              <w:rPr>
                <w:rFonts w:cs="Arial"/>
                <w:b/>
                <w:bCs/>
                <w:color w:val="FFFFFF" w:themeColor="background1"/>
                <w:sz w:val="22"/>
                <w:szCs w:val="22"/>
              </w:rPr>
              <w:t>of</w:t>
            </w:r>
            <w:proofErr w:type="gramEnd"/>
            <w:r w:rsidRPr="00F5328D">
              <w:rPr>
                <w:rFonts w:cs="Arial"/>
                <w:b/>
                <w:bCs/>
                <w:color w:val="FFFFFF" w:themeColor="background1"/>
                <w:sz w:val="22"/>
                <w:szCs w:val="22"/>
              </w:rPr>
              <w:t xml:space="preserve"> applications</w:t>
            </w:r>
          </w:p>
        </w:tc>
      </w:tr>
      <w:tr w:rsidR="00F5328D" w:rsidRPr="00F5328D" w14:paraId="49652582" w14:textId="77777777" w:rsidTr="001F3B5A">
        <w:trPr>
          <w:trHeight w:val="320"/>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14:paraId="46A2A721" w14:textId="77777777" w:rsidR="00F5328D" w:rsidRPr="00F5328D" w:rsidRDefault="00F5328D" w:rsidP="001F3B5A">
            <w:pPr>
              <w:rPr>
                <w:rFonts w:cs="Arial"/>
                <w:color w:val="000000"/>
                <w:sz w:val="22"/>
                <w:szCs w:val="22"/>
              </w:rPr>
            </w:pPr>
            <w:proofErr w:type="gramStart"/>
            <w:r w:rsidRPr="00F5328D">
              <w:rPr>
                <w:rFonts w:cs="Arial"/>
                <w:color w:val="000000"/>
                <w:sz w:val="22"/>
                <w:szCs w:val="22"/>
              </w:rPr>
              <w:t>NPA  Arches</w:t>
            </w:r>
            <w:proofErr w:type="gramEnd"/>
            <w:r w:rsidRPr="00F5328D">
              <w:rPr>
                <w:rFonts w:cs="Arial"/>
                <w:color w:val="000000"/>
                <w:sz w:val="22"/>
                <w:szCs w:val="22"/>
              </w:rPr>
              <w:t xml:space="preserve"> (Chatham)</w:t>
            </w:r>
          </w:p>
        </w:tc>
        <w:tc>
          <w:tcPr>
            <w:tcW w:w="2268" w:type="dxa"/>
            <w:tcBorders>
              <w:top w:val="nil"/>
              <w:left w:val="nil"/>
              <w:bottom w:val="single" w:sz="4" w:space="0" w:color="auto"/>
              <w:right w:val="single" w:sz="4" w:space="0" w:color="auto"/>
            </w:tcBorders>
            <w:shd w:val="clear" w:color="auto" w:fill="auto"/>
            <w:noWrap/>
            <w:vAlign w:val="bottom"/>
            <w:hideMark/>
          </w:tcPr>
          <w:p w14:paraId="68F26BBC" w14:textId="77777777" w:rsidR="00F5328D" w:rsidRPr="00F5328D" w:rsidRDefault="00F5328D" w:rsidP="001F3B5A">
            <w:pPr>
              <w:jc w:val="right"/>
              <w:rPr>
                <w:rFonts w:cs="Arial"/>
                <w:color w:val="000000"/>
                <w:sz w:val="22"/>
                <w:szCs w:val="22"/>
              </w:rPr>
            </w:pPr>
            <w:r w:rsidRPr="00F5328D">
              <w:rPr>
                <w:rFonts w:cs="Arial"/>
                <w:color w:val="000000"/>
                <w:sz w:val="22"/>
                <w:szCs w:val="22"/>
              </w:rPr>
              <w:t>11</w:t>
            </w:r>
          </w:p>
        </w:tc>
        <w:tc>
          <w:tcPr>
            <w:tcW w:w="1823" w:type="dxa"/>
            <w:tcBorders>
              <w:top w:val="nil"/>
              <w:left w:val="nil"/>
              <w:bottom w:val="single" w:sz="4" w:space="0" w:color="auto"/>
              <w:right w:val="single" w:sz="4" w:space="0" w:color="auto"/>
            </w:tcBorders>
            <w:shd w:val="clear" w:color="auto" w:fill="auto"/>
            <w:noWrap/>
            <w:vAlign w:val="bottom"/>
            <w:hideMark/>
          </w:tcPr>
          <w:p w14:paraId="371C07D4" w14:textId="77777777" w:rsidR="00F5328D" w:rsidRPr="00F5328D" w:rsidRDefault="00F5328D" w:rsidP="001F3B5A">
            <w:pPr>
              <w:jc w:val="right"/>
              <w:rPr>
                <w:rFonts w:cs="Arial"/>
                <w:color w:val="000000"/>
                <w:sz w:val="22"/>
                <w:szCs w:val="22"/>
              </w:rPr>
            </w:pPr>
            <w:r w:rsidRPr="00F5328D">
              <w:rPr>
                <w:rFonts w:cs="Arial"/>
                <w:color w:val="000000"/>
                <w:sz w:val="22"/>
                <w:szCs w:val="22"/>
              </w:rPr>
              <w:t>5.4</w:t>
            </w:r>
          </w:p>
        </w:tc>
      </w:tr>
    </w:tbl>
    <w:p w14:paraId="4667ECE3" w14:textId="77777777" w:rsidR="00CE1BDB" w:rsidRPr="00FA4DC7" w:rsidRDefault="00CE1BDB" w:rsidP="00F5328D">
      <w:pPr>
        <w:ind w:left="709"/>
      </w:pPr>
      <w:r w:rsidRPr="00FA4DC7">
        <w:t>Source: Council data</w:t>
      </w:r>
    </w:p>
    <w:p w14:paraId="1BF79489" w14:textId="77777777" w:rsidR="00CE1BDB" w:rsidRPr="00FA4DC7" w:rsidRDefault="00CE1BDB" w:rsidP="00F5328D"/>
    <w:p w14:paraId="2B9A1B2B" w14:textId="77777777" w:rsidR="00F5328D" w:rsidRDefault="00F5328D">
      <w:pPr>
        <w:rPr>
          <w:rFonts w:cs="Arial"/>
          <w:bCs/>
          <w:iCs/>
          <w:color w:val="006666"/>
          <w:sz w:val="32"/>
          <w:szCs w:val="28"/>
          <w:lang w:eastAsia="en-US"/>
        </w:rPr>
      </w:pPr>
      <w:r>
        <w:rPr>
          <w:rFonts w:cs="Arial"/>
        </w:rPr>
        <w:br w:type="page"/>
      </w:r>
    </w:p>
    <w:p w14:paraId="040A1DF8" w14:textId="485CCFBB" w:rsidR="00CE1BDB" w:rsidRPr="00FA4DC7" w:rsidRDefault="00CE1BDB" w:rsidP="00CE1BDB">
      <w:pPr>
        <w:pStyle w:val="Heading2"/>
        <w:tabs>
          <w:tab w:val="left" w:pos="0"/>
          <w:tab w:val="left" w:pos="709"/>
          <w:tab w:val="left" w:pos="1418"/>
        </w:tabs>
        <w:rPr>
          <w:rFonts w:cs="Arial"/>
        </w:rPr>
      </w:pPr>
      <w:bookmarkStart w:id="153" w:name="_Toc83035643"/>
      <w:r w:rsidRPr="00FA4DC7">
        <w:rPr>
          <w:rFonts w:cs="Arial"/>
        </w:rPr>
        <w:lastRenderedPageBreak/>
        <w:t>Property age and condition</w:t>
      </w:r>
      <w:bookmarkEnd w:id="153"/>
    </w:p>
    <w:p w14:paraId="132C708A" w14:textId="77777777" w:rsidR="00CE1BDB" w:rsidRPr="00FA4DC7" w:rsidRDefault="00CE1BDB" w:rsidP="00CE1BDB">
      <w:pPr>
        <w:pStyle w:val="Heading3"/>
        <w:rPr>
          <w:rFonts w:cs="Arial"/>
        </w:rPr>
      </w:pPr>
      <w:r w:rsidRPr="00FA4DC7">
        <w:rPr>
          <w:rFonts w:cs="Arial"/>
        </w:rPr>
        <w:t>The age and condition of Medway’s housing</w:t>
      </w:r>
    </w:p>
    <w:p w14:paraId="2AE60F83" w14:textId="77777777" w:rsidR="00CE1BDB" w:rsidRPr="00FA4DC7" w:rsidRDefault="00CE1BDB" w:rsidP="00CE1BDB">
      <w:pPr>
        <w:pStyle w:val="Reporttext"/>
        <w:rPr>
          <w:rFonts w:cs="Arial"/>
        </w:rPr>
      </w:pPr>
      <w:r w:rsidRPr="00FA4DC7">
        <w:rPr>
          <w:rFonts w:cs="Arial"/>
        </w:rPr>
        <w:t xml:space="preserve">The age profile of the dwelling stock in </w:t>
      </w:r>
      <w:r w:rsidRPr="00FA4DC7">
        <w:rPr>
          <w:rFonts w:cs="Arial"/>
          <w:color w:val="000000"/>
          <w:szCs w:val="22"/>
        </w:rPr>
        <w:t>the borough</w:t>
      </w:r>
      <w:r w:rsidRPr="00FA4DC7">
        <w:rPr>
          <w:rFonts w:cs="Arial"/>
          <w:sz w:val="28"/>
        </w:rPr>
        <w:t xml:space="preserve"> </w:t>
      </w:r>
      <w:r w:rsidRPr="00FA4DC7">
        <w:rPr>
          <w:rFonts w:cs="Arial"/>
        </w:rPr>
        <w:t xml:space="preserve">is summarised in Table 2.7. 34.5% of dwellings were built before 1945, 42.1% between 1945 and 1982 and 23.4% since 1983. </w:t>
      </w:r>
    </w:p>
    <w:p w14:paraId="56EDE2F7" w14:textId="77777777" w:rsidR="00CE1BDB" w:rsidRPr="00FA4DC7" w:rsidRDefault="00CE1BDB" w:rsidP="00CE1BDB">
      <w:pPr>
        <w:pStyle w:val="Reporttext"/>
        <w:numPr>
          <w:ilvl w:val="0"/>
          <w:numId w:val="0"/>
        </w:numPr>
        <w:tabs>
          <w:tab w:val="left" w:pos="0"/>
          <w:tab w:val="left" w:pos="1418"/>
        </w:tabs>
        <w:ind w:left="709"/>
        <w:rPr>
          <w:rFonts w:cs="Arial"/>
        </w:rPr>
      </w:pPr>
    </w:p>
    <w:tbl>
      <w:tblPr>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23"/>
        <w:gridCol w:w="1447"/>
        <w:gridCol w:w="1275"/>
      </w:tblGrid>
      <w:tr w:rsidR="00CE1BDB" w:rsidRPr="00FA4DC7" w14:paraId="61A8ADF8" w14:textId="77777777" w:rsidTr="000D492D">
        <w:tc>
          <w:tcPr>
            <w:tcW w:w="4945" w:type="dxa"/>
            <w:gridSpan w:val="3"/>
            <w:shd w:val="clear" w:color="auto" w:fill="006666"/>
            <w:vAlign w:val="center"/>
            <w:hideMark/>
          </w:tcPr>
          <w:p w14:paraId="7F28F76B" w14:textId="77777777" w:rsidR="00CE1BDB" w:rsidRPr="00FA4DC7" w:rsidRDefault="00CE1BDB" w:rsidP="00EF49A7">
            <w:pPr>
              <w:pStyle w:val="Tableheading1"/>
              <w:rPr>
                <w:rFonts w:cs="Arial"/>
              </w:rPr>
            </w:pPr>
            <w:bookmarkStart w:id="154" w:name="_Toc83036059"/>
            <w:r w:rsidRPr="00FA4DC7">
              <w:rPr>
                <w:rFonts w:cs="Arial"/>
              </w:rPr>
              <w:t>Table 2.7</w:t>
            </w:r>
            <w:r w:rsidRPr="00FA4DC7">
              <w:rPr>
                <w:rFonts w:cs="Arial"/>
              </w:rPr>
              <w:tab/>
              <w:t>Age of dwelling</w:t>
            </w:r>
            <w:bookmarkEnd w:id="154"/>
          </w:p>
        </w:tc>
      </w:tr>
      <w:tr w:rsidR="00CE1BDB" w:rsidRPr="00FA4DC7" w14:paraId="7287D95A" w14:textId="77777777" w:rsidTr="000D492D">
        <w:tc>
          <w:tcPr>
            <w:tcW w:w="2223" w:type="dxa"/>
            <w:shd w:val="clear" w:color="auto" w:fill="006666"/>
            <w:noWrap/>
            <w:vAlign w:val="center"/>
            <w:hideMark/>
          </w:tcPr>
          <w:p w14:paraId="1F26E4BA"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Age of Dwellings</w:t>
            </w:r>
          </w:p>
        </w:tc>
        <w:tc>
          <w:tcPr>
            <w:tcW w:w="1447" w:type="dxa"/>
            <w:shd w:val="clear" w:color="auto" w:fill="006666"/>
            <w:noWrap/>
            <w:vAlign w:val="center"/>
            <w:hideMark/>
          </w:tcPr>
          <w:p w14:paraId="3221810C"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 xml:space="preserve">Number </w:t>
            </w:r>
          </w:p>
        </w:tc>
        <w:tc>
          <w:tcPr>
            <w:tcW w:w="1275" w:type="dxa"/>
            <w:shd w:val="clear" w:color="auto" w:fill="006666"/>
            <w:noWrap/>
            <w:vAlign w:val="center"/>
            <w:hideMark/>
          </w:tcPr>
          <w:p w14:paraId="4A607C28"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w:t>
            </w:r>
          </w:p>
        </w:tc>
      </w:tr>
      <w:tr w:rsidR="00CE1BDB" w:rsidRPr="00FA4DC7" w14:paraId="1172B7E9" w14:textId="77777777" w:rsidTr="000D492D">
        <w:tc>
          <w:tcPr>
            <w:tcW w:w="2223" w:type="dxa"/>
            <w:shd w:val="clear" w:color="000000" w:fill="FFFFFF"/>
            <w:noWrap/>
            <w:vAlign w:val="center"/>
            <w:hideMark/>
          </w:tcPr>
          <w:p w14:paraId="60AA5531" w14:textId="77777777" w:rsidR="00CE1BDB" w:rsidRPr="00FA4DC7" w:rsidRDefault="00CE1BDB" w:rsidP="00F5328D">
            <w:pPr>
              <w:tabs>
                <w:tab w:val="left" w:pos="0"/>
                <w:tab w:val="left" w:pos="709"/>
                <w:tab w:val="left" w:pos="1418"/>
              </w:tabs>
              <w:rPr>
                <w:rFonts w:cs="Arial"/>
                <w:color w:val="000000"/>
                <w:sz w:val="22"/>
                <w:szCs w:val="22"/>
              </w:rPr>
            </w:pPr>
            <w:r w:rsidRPr="00FA4DC7">
              <w:rPr>
                <w:rFonts w:cs="Arial"/>
                <w:color w:val="000000"/>
                <w:sz w:val="22"/>
                <w:szCs w:val="22"/>
              </w:rPr>
              <w:t>pre-1919</w:t>
            </w:r>
          </w:p>
        </w:tc>
        <w:tc>
          <w:tcPr>
            <w:tcW w:w="1447" w:type="dxa"/>
            <w:shd w:val="clear" w:color="auto" w:fill="auto"/>
            <w:noWrap/>
            <w:vAlign w:val="center"/>
            <w:hideMark/>
          </w:tcPr>
          <w:p w14:paraId="0193309E"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23,900</w:t>
            </w:r>
          </w:p>
        </w:tc>
        <w:tc>
          <w:tcPr>
            <w:tcW w:w="1275" w:type="dxa"/>
            <w:shd w:val="clear" w:color="auto" w:fill="auto"/>
            <w:noWrap/>
            <w:vAlign w:val="center"/>
            <w:hideMark/>
          </w:tcPr>
          <w:p w14:paraId="06BCBB86"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20.6%</w:t>
            </w:r>
          </w:p>
        </w:tc>
      </w:tr>
      <w:tr w:rsidR="00CE1BDB" w:rsidRPr="00FA4DC7" w14:paraId="3C3BBF0D" w14:textId="77777777" w:rsidTr="000D492D">
        <w:tc>
          <w:tcPr>
            <w:tcW w:w="2223" w:type="dxa"/>
            <w:shd w:val="clear" w:color="000000" w:fill="FFFFFF"/>
            <w:noWrap/>
            <w:vAlign w:val="center"/>
            <w:hideMark/>
          </w:tcPr>
          <w:p w14:paraId="79061568" w14:textId="77777777" w:rsidR="00CE1BDB" w:rsidRPr="00FA4DC7" w:rsidRDefault="00CE1BDB" w:rsidP="00F5328D">
            <w:pPr>
              <w:tabs>
                <w:tab w:val="left" w:pos="0"/>
                <w:tab w:val="left" w:pos="709"/>
                <w:tab w:val="left" w:pos="1418"/>
              </w:tabs>
              <w:rPr>
                <w:rFonts w:cs="Arial"/>
                <w:color w:val="000000"/>
                <w:sz w:val="22"/>
                <w:szCs w:val="22"/>
              </w:rPr>
            </w:pPr>
            <w:r w:rsidRPr="00FA4DC7">
              <w:rPr>
                <w:rFonts w:cs="Arial"/>
                <w:color w:val="000000"/>
                <w:sz w:val="22"/>
                <w:szCs w:val="22"/>
              </w:rPr>
              <w:t>1919-44</w:t>
            </w:r>
          </w:p>
        </w:tc>
        <w:tc>
          <w:tcPr>
            <w:tcW w:w="1447" w:type="dxa"/>
            <w:shd w:val="clear" w:color="auto" w:fill="auto"/>
            <w:noWrap/>
            <w:vAlign w:val="center"/>
          </w:tcPr>
          <w:p w14:paraId="79704255"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16,170</w:t>
            </w:r>
          </w:p>
        </w:tc>
        <w:tc>
          <w:tcPr>
            <w:tcW w:w="1275" w:type="dxa"/>
            <w:shd w:val="clear" w:color="auto" w:fill="auto"/>
            <w:noWrap/>
            <w:vAlign w:val="center"/>
            <w:hideMark/>
          </w:tcPr>
          <w:p w14:paraId="62ADAFBD"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13.9%</w:t>
            </w:r>
          </w:p>
        </w:tc>
      </w:tr>
      <w:tr w:rsidR="00CE1BDB" w:rsidRPr="00FA4DC7" w14:paraId="5F6319FB" w14:textId="77777777" w:rsidTr="000D492D">
        <w:tc>
          <w:tcPr>
            <w:tcW w:w="2223" w:type="dxa"/>
            <w:shd w:val="clear" w:color="000000" w:fill="FFFFFF"/>
            <w:noWrap/>
            <w:vAlign w:val="center"/>
            <w:hideMark/>
          </w:tcPr>
          <w:p w14:paraId="5B1D23F2" w14:textId="77777777" w:rsidR="00CE1BDB" w:rsidRPr="00FA4DC7" w:rsidRDefault="00CE1BDB" w:rsidP="00F5328D">
            <w:pPr>
              <w:tabs>
                <w:tab w:val="left" w:pos="0"/>
                <w:tab w:val="left" w:pos="709"/>
                <w:tab w:val="left" w:pos="1418"/>
              </w:tabs>
              <w:rPr>
                <w:rFonts w:cs="Arial"/>
                <w:color w:val="000000"/>
                <w:sz w:val="22"/>
                <w:szCs w:val="22"/>
              </w:rPr>
            </w:pPr>
            <w:r w:rsidRPr="00FA4DC7">
              <w:rPr>
                <w:rFonts w:cs="Arial"/>
                <w:color w:val="000000"/>
                <w:sz w:val="22"/>
                <w:szCs w:val="22"/>
              </w:rPr>
              <w:t>1945-64</w:t>
            </w:r>
          </w:p>
        </w:tc>
        <w:tc>
          <w:tcPr>
            <w:tcW w:w="1447" w:type="dxa"/>
            <w:shd w:val="clear" w:color="auto" w:fill="auto"/>
            <w:noWrap/>
            <w:vAlign w:val="center"/>
          </w:tcPr>
          <w:p w14:paraId="07F8ED09"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23,390</w:t>
            </w:r>
          </w:p>
        </w:tc>
        <w:tc>
          <w:tcPr>
            <w:tcW w:w="1275" w:type="dxa"/>
            <w:shd w:val="clear" w:color="auto" w:fill="auto"/>
            <w:noWrap/>
            <w:vAlign w:val="center"/>
            <w:hideMark/>
          </w:tcPr>
          <w:p w14:paraId="73AA17E1"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20.1%</w:t>
            </w:r>
          </w:p>
        </w:tc>
      </w:tr>
      <w:tr w:rsidR="00CE1BDB" w:rsidRPr="00FA4DC7" w14:paraId="3DD12157" w14:textId="77777777" w:rsidTr="000D492D">
        <w:tc>
          <w:tcPr>
            <w:tcW w:w="2223" w:type="dxa"/>
            <w:shd w:val="clear" w:color="000000" w:fill="FFFFFF"/>
            <w:noWrap/>
            <w:vAlign w:val="center"/>
            <w:hideMark/>
          </w:tcPr>
          <w:p w14:paraId="77E8AD23" w14:textId="77777777" w:rsidR="00CE1BDB" w:rsidRPr="00FA4DC7" w:rsidRDefault="00CE1BDB" w:rsidP="00F5328D">
            <w:pPr>
              <w:tabs>
                <w:tab w:val="left" w:pos="0"/>
                <w:tab w:val="left" w:pos="709"/>
                <w:tab w:val="left" w:pos="1418"/>
              </w:tabs>
              <w:rPr>
                <w:rFonts w:cs="Arial"/>
                <w:color w:val="000000"/>
                <w:sz w:val="22"/>
                <w:szCs w:val="22"/>
              </w:rPr>
            </w:pPr>
            <w:r w:rsidRPr="00FA4DC7">
              <w:rPr>
                <w:rFonts w:cs="Arial"/>
                <w:color w:val="000000"/>
                <w:sz w:val="22"/>
                <w:szCs w:val="22"/>
              </w:rPr>
              <w:t>1965-82</w:t>
            </w:r>
          </w:p>
        </w:tc>
        <w:tc>
          <w:tcPr>
            <w:tcW w:w="1447" w:type="dxa"/>
            <w:shd w:val="clear" w:color="auto" w:fill="auto"/>
            <w:noWrap/>
            <w:vAlign w:val="center"/>
          </w:tcPr>
          <w:p w14:paraId="34471AB1"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25,540</w:t>
            </w:r>
          </w:p>
        </w:tc>
        <w:tc>
          <w:tcPr>
            <w:tcW w:w="1275" w:type="dxa"/>
            <w:shd w:val="clear" w:color="auto" w:fill="auto"/>
            <w:noWrap/>
            <w:vAlign w:val="center"/>
            <w:hideMark/>
          </w:tcPr>
          <w:p w14:paraId="26D7BF42"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22.0%</w:t>
            </w:r>
          </w:p>
        </w:tc>
      </w:tr>
      <w:tr w:rsidR="00CE1BDB" w:rsidRPr="00FA4DC7" w14:paraId="054A13EA" w14:textId="77777777" w:rsidTr="000D492D">
        <w:tc>
          <w:tcPr>
            <w:tcW w:w="2223" w:type="dxa"/>
            <w:shd w:val="clear" w:color="000000" w:fill="FFFFFF"/>
            <w:noWrap/>
            <w:vAlign w:val="center"/>
            <w:hideMark/>
          </w:tcPr>
          <w:p w14:paraId="1AF8E2B2" w14:textId="77777777" w:rsidR="00CE1BDB" w:rsidRPr="00FA4DC7" w:rsidRDefault="00CE1BDB" w:rsidP="00F5328D">
            <w:pPr>
              <w:tabs>
                <w:tab w:val="left" w:pos="0"/>
                <w:tab w:val="left" w:pos="709"/>
                <w:tab w:val="left" w:pos="1418"/>
              </w:tabs>
              <w:rPr>
                <w:rFonts w:cs="Arial"/>
                <w:color w:val="000000"/>
                <w:sz w:val="22"/>
                <w:szCs w:val="22"/>
              </w:rPr>
            </w:pPr>
            <w:r w:rsidRPr="00FA4DC7">
              <w:rPr>
                <w:rFonts w:cs="Arial"/>
                <w:color w:val="000000"/>
                <w:sz w:val="22"/>
                <w:szCs w:val="22"/>
              </w:rPr>
              <w:t>1983-99</w:t>
            </w:r>
          </w:p>
        </w:tc>
        <w:tc>
          <w:tcPr>
            <w:tcW w:w="1447" w:type="dxa"/>
            <w:shd w:val="clear" w:color="auto" w:fill="auto"/>
            <w:noWrap/>
            <w:vAlign w:val="center"/>
          </w:tcPr>
          <w:p w14:paraId="591D8334"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13,590</w:t>
            </w:r>
          </w:p>
        </w:tc>
        <w:tc>
          <w:tcPr>
            <w:tcW w:w="1275" w:type="dxa"/>
            <w:shd w:val="clear" w:color="auto" w:fill="auto"/>
            <w:noWrap/>
            <w:vAlign w:val="center"/>
            <w:hideMark/>
          </w:tcPr>
          <w:p w14:paraId="5C3F591A"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11.7%</w:t>
            </w:r>
          </w:p>
        </w:tc>
      </w:tr>
      <w:tr w:rsidR="00CE1BDB" w:rsidRPr="00FA4DC7" w14:paraId="24740874" w14:textId="77777777" w:rsidTr="000D492D">
        <w:tc>
          <w:tcPr>
            <w:tcW w:w="2223" w:type="dxa"/>
            <w:shd w:val="clear" w:color="000000" w:fill="FFFFFF"/>
            <w:noWrap/>
            <w:vAlign w:val="center"/>
            <w:hideMark/>
          </w:tcPr>
          <w:p w14:paraId="05EAA6D8" w14:textId="77777777" w:rsidR="00CE1BDB" w:rsidRPr="00FA4DC7" w:rsidRDefault="00CE1BDB" w:rsidP="00F5328D">
            <w:pPr>
              <w:tabs>
                <w:tab w:val="left" w:pos="0"/>
                <w:tab w:val="left" w:pos="709"/>
                <w:tab w:val="left" w:pos="1418"/>
              </w:tabs>
              <w:rPr>
                <w:rFonts w:cs="Arial"/>
                <w:color w:val="000000"/>
                <w:sz w:val="22"/>
                <w:szCs w:val="22"/>
              </w:rPr>
            </w:pPr>
            <w:r w:rsidRPr="00FA4DC7">
              <w:rPr>
                <w:rFonts w:cs="Arial"/>
                <w:color w:val="000000"/>
                <w:sz w:val="22"/>
                <w:szCs w:val="22"/>
              </w:rPr>
              <w:t>post 1999</w:t>
            </w:r>
          </w:p>
        </w:tc>
        <w:tc>
          <w:tcPr>
            <w:tcW w:w="1447" w:type="dxa"/>
            <w:shd w:val="clear" w:color="auto" w:fill="auto"/>
            <w:noWrap/>
            <w:vAlign w:val="center"/>
          </w:tcPr>
          <w:p w14:paraId="160F4DBD"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13,570</w:t>
            </w:r>
          </w:p>
        </w:tc>
        <w:tc>
          <w:tcPr>
            <w:tcW w:w="1275" w:type="dxa"/>
            <w:shd w:val="clear" w:color="auto" w:fill="auto"/>
            <w:noWrap/>
            <w:vAlign w:val="center"/>
            <w:hideMark/>
          </w:tcPr>
          <w:p w14:paraId="64261803"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11.7%</w:t>
            </w:r>
          </w:p>
        </w:tc>
      </w:tr>
      <w:tr w:rsidR="00CE1BDB" w:rsidRPr="00FA4DC7" w14:paraId="2D4FA159" w14:textId="77777777" w:rsidTr="000D492D">
        <w:tc>
          <w:tcPr>
            <w:tcW w:w="2223" w:type="dxa"/>
            <w:shd w:val="clear" w:color="000000" w:fill="FFFFFF"/>
            <w:noWrap/>
            <w:vAlign w:val="center"/>
            <w:hideMark/>
          </w:tcPr>
          <w:p w14:paraId="12750A0F" w14:textId="77777777" w:rsidR="00CE1BDB" w:rsidRPr="00FA4DC7" w:rsidRDefault="00CE1BDB" w:rsidP="00F5328D">
            <w:pPr>
              <w:tabs>
                <w:tab w:val="left" w:pos="0"/>
                <w:tab w:val="left" w:pos="709"/>
                <w:tab w:val="left" w:pos="1418"/>
              </w:tabs>
              <w:rPr>
                <w:rFonts w:cs="Arial"/>
                <w:b/>
                <w:bCs/>
                <w:color w:val="000000"/>
                <w:sz w:val="22"/>
                <w:szCs w:val="22"/>
              </w:rPr>
            </w:pPr>
            <w:r w:rsidRPr="00FA4DC7">
              <w:rPr>
                <w:rFonts w:cs="Arial"/>
                <w:b/>
                <w:bCs/>
                <w:color w:val="000000"/>
                <w:sz w:val="22"/>
                <w:szCs w:val="22"/>
              </w:rPr>
              <w:t>Total</w:t>
            </w:r>
          </w:p>
        </w:tc>
        <w:tc>
          <w:tcPr>
            <w:tcW w:w="1447" w:type="dxa"/>
            <w:shd w:val="clear" w:color="auto" w:fill="auto"/>
            <w:noWrap/>
            <w:vAlign w:val="center"/>
            <w:hideMark/>
          </w:tcPr>
          <w:p w14:paraId="2F0F929B" w14:textId="77777777" w:rsidR="00CE1BDB" w:rsidRPr="00FA4DC7" w:rsidRDefault="00CE1BDB" w:rsidP="00EF49A7">
            <w:pPr>
              <w:tabs>
                <w:tab w:val="left" w:pos="0"/>
                <w:tab w:val="left" w:pos="709"/>
                <w:tab w:val="left" w:pos="1418"/>
              </w:tabs>
              <w:jc w:val="right"/>
              <w:rPr>
                <w:rFonts w:cs="Arial"/>
                <w:b/>
                <w:bCs/>
                <w:color w:val="000000"/>
                <w:sz w:val="22"/>
                <w:szCs w:val="22"/>
              </w:rPr>
            </w:pPr>
            <w:r w:rsidRPr="00FA4DC7">
              <w:rPr>
                <w:rFonts w:cs="Arial"/>
                <w:color w:val="000000"/>
                <w:sz w:val="22"/>
                <w:szCs w:val="22"/>
              </w:rPr>
              <w:t>116,160</w:t>
            </w:r>
          </w:p>
        </w:tc>
        <w:tc>
          <w:tcPr>
            <w:tcW w:w="1275" w:type="dxa"/>
            <w:shd w:val="clear" w:color="auto" w:fill="auto"/>
            <w:noWrap/>
            <w:vAlign w:val="center"/>
            <w:hideMark/>
          </w:tcPr>
          <w:p w14:paraId="0377FDC8" w14:textId="77777777" w:rsidR="00CE1BDB" w:rsidRPr="00FA4DC7" w:rsidRDefault="00CE1BDB" w:rsidP="00EF49A7">
            <w:pPr>
              <w:tabs>
                <w:tab w:val="left" w:pos="0"/>
                <w:tab w:val="left" w:pos="709"/>
                <w:tab w:val="left" w:pos="1418"/>
              </w:tabs>
              <w:jc w:val="right"/>
              <w:rPr>
                <w:rFonts w:cs="Arial"/>
                <w:b/>
                <w:bCs/>
                <w:color w:val="000000"/>
                <w:sz w:val="22"/>
                <w:szCs w:val="22"/>
              </w:rPr>
            </w:pPr>
            <w:r w:rsidRPr="00FA4DC7">
              <w:rPr>
                <w:rFonts w:cs="Arial"/>
                <w:color w:val="000000"/>
                <w:sz w:val="22"/>
                <w:szCs w:val="22"/>
              </w:rPr>
              <w:t>100.0%</w:t>
            </w:r>
          </w:p>
        </w:tc>
      </w:tr>
      <w:tr w:rsidR="00CE1BDB" w:rsidRPr="00FA4DC7" w14:paraId="01DAC652" w14:textId="77777777" w:rsidTr="000D492D">
        <w:trPr>
          <w:gridAfter w:val="1"/>
          <w:wAfter w:w="1275" w:type="dxa"/>
        </w:trPr>
        <w:tc>
          <w:tcPr>
            <w:tcW w:w="2223" w:type="dxa"/>
            <w:shd w:val="clear" w:color="000000" w:fill="FFFFFF"/>
            <w:noWrap/>
            <w:vAlign w:val="center"/>
            <w:hideMark/>
          </w:tcPr>
          <w:p w14:paraId="62ED95F1" w14:textId="77777777" w:rsidR="00CE1BDB" w:rsidRPr="00FA4DC7" w:rsidRDefault="00CE1BDB" w:rsidP="00F5328D">
            <w:pPr>
              <w:tabs>
                <w:tab w:val="left" w:pos="0"/>
                <w:tab w:val="left" w:pos="709"/>
                <w:tab w:val="left" w:pos="1418"/>
              </w:tabs>
              <w:rPr>
                <w:rFonts w:cs="Arial"/>
                <w:b/>
                <w:bCs/>
                <w:color w:val="000000"/>
                <w:sz w:val="22"/>
                <w:szCs w:val="22"/>
              </w:rPr>
            </w:pPr>
            <w:r w:rsidRPr="00FA4DC7">
              <w:rPr>
                <w:rFonts w:cs="Arial"/>
                <w:b/>
                <w:bCs/>
                <w:color w:val="000000"/>
                <w:sz w:val="22"/>
                <w:szCs w:val="22"/>
              </w:rPr>
              <w:t>Unknown</w:t>
            </w:r>
          </w:p>
        </w:tc>
        <w:tc>
          <w:tcPr>
            <w:tcW w:w="1447" w:type="dxa"/>
            <w:shd w:val="clear" w:color="auto" w:fill="auto"/>
            <w:noWrap/>
            <w:vAlign w:val="center"/>
            <w:hideMark/>
          </w:tcPr>
          <w:p w14:paraId="4F9E2ABF" w14:textId="77777777" w:rsidR="00CE1BDB" w:rsidRPr="00FA4DC7" w:rsidRDefault="00CE1BDB" w:rsidP="00EF49A7">
            <w:pPr>
              <w:tabs>
                <w:tab w:val="left" w:pos="0"/>
                <w:tab w:val="left" w:pos="709"/>
                <w:tab w:val="left" w:pos="1418"/>
              </w:tabs>
              <w:jc w:val="right"/>
              <w:rPr>
                <w:rFonts w:cs="Arial"/>
                <w:b/>
                <w:bCs/>
                <w:color w:val="000000"/>
                <w:sz w:val="22"/>
                <w:szCs w:val="22"/>
              </w:rPr>
            </w:pPr>
            <w:r w:rsidRPr="00FA4DC7">
              <w:rPr>
                <w:rFonts w:cs="Arial"/>
                <w:color w:val="000000"/>
                <w:sz w:val="22"/>
                <w:szCs w:val="22"/>
              </w:rPr>
              <w:t>570</w:t>
            </w:r>
          </w:p>
        </w:tc>
      </w:tr>
      <w:tr w:rsidR="00CE1BDB" w:rsidRPr="00FA4DC7" w14:paraId="32A4A8BF" w14:textId="77777777" w:rsidTr="000D492D">
        <w:trPr>
          <w:gridAfter w:val="1"/>
          <w:wAfter w:w="1275" w:type="dxa"/>
        </w:trPr>
        <w:tc>
          <w:tcPr>
            <w:tcW w:w="2223" w:type="dxa"/>
            <w:shd w:val="clear" w:color="000000" w:fill="FFFFFF"/>
            <w:noWrap/>
            <w:vAlign w:val="center"/>
            <w:hideMark/>
          </w:tcPr>
          <w:p w14:paraId="40F6DE9A" w14:textId="77777777" w:rsidR="00CE1BDB" w:rsidRPr="00FA4DC7" w:rsidRDefault="00CE1BDB" w:rsidP="00F5328D">
            <w:pPr>
              <w:tabs>
                <w:tab w:val="left" w:pos="0"/>
                <w:tab w:val="left" w:pos="709"/>
                <w:tab w:val="left" w:pos="1418"/>
              </w:tabs>
              <w:rPr>
                <w:rFonts w:cs="Arial"/>
                <w:b/>
                <w:bCs/>
                <w:color w:val="000000"/>
                <w:sz w:val="22"/>
                <w:szCs w:val="22"/>
              </w:rPr>
            </w:pPr>
            <w:r w:rsidRPr="00FA4DC7">
              <w:rPr>
                <w:rFonts w:cs="Arial"/>
                <w:b/>
                <w:bCs/>
                <w:color w:val="000000"/>
                <w:sz w:val="22"/>
                <w:szCs w:val="22"/>
              </w:rPr>
              <w:t>Grand Total</w:t>
            </w:r>
          </w:p>
        </w:tc>
        <w:tc>
          <w:tcPr>
            <w:tcW w:w="1447" w:type="dxa"/>
            <w:shd w:val="clear" w:color="auto" w:fill="auto"/>
            <w:noWrap/>
            <w:vAlign w:val="center"/>
            <w:hideMark/>
          </w:tcPr>
          <w:p w14:paraId="59C6973B" w14:textId="77777777" w:rsidR="00CE1BDB" w:rsidRPr="00FA4DC7" w:rsidRDefault="00CE1BDB" w:rsidP="00EF49A7">
            <w:pPr>
              <w:tabs>
                <w:tab w:val="left" w:pos="0"/>
                <w:tab w:val="left" w:pos="709"/>
                <w:tab w:val="left" w:pos="1418"/>
              </w:tabs>
              <w:jc w:val="right"/>
              <w:rPr>
                <w:rFonts w:cs="Arial"/>
                <w:b/>
                <w:bCs/>
                <w:color w:val="000000"/>
                <w:sz w:val="22"/>
                <w:szCs w:val="22"/>
              </w:rPr>
            </w:pPr>
            <w:r w:rsidRPr="00FA4DC7">
              <w:rPr>
                <w:rFonts w:cs="Arial"/>
                <w:color w:val="000000"/>
                <w:sz w:val="22"/>
                <w:szCs w:val="22"/>
              </w:rPr>
              <w:t>116,730</w:t>
            </w:r>
          </w:p>
        </w:tc>
      </w:tr>
    </w:tbl>
    <w:p w14:paraId="71EA79F4" w14:textId="77777777" w:rsidR="00CE1BDB" w:rsidRPr="00FA4DC7" w:rsidRDefault="00CE1BDB" w:rsidP="00CE1BDB">
      <w:pPr>
        <w:pStyle w:val="Reporttext"/>
        <w:numPr>
          <w:ilvl w:val="0"/>
          <w:numId w:val="0"/>
        </w:numPr>
        <w:tabs>
          <w:tab w:val="left" w:pos="0"/>
          <w:tab w:val="left" w:pos="709"/>
          <w:tab w:val="left" w:pos="1418"/>
        </w:tabs>
        <w:ind w:left="709" w:hanging="709"/>
        <w:rPr>
          <w:rFonts w:cs="Arial"/>
          <w:sz w:val="22"/>
          <w:szCs w:val="28"/>
        </w:rPr>
      </w:pPr>
      <w:r w:rsidRPr="00FA4DC7">
        <w:rPr>
          <w:rFonts w:cs="Arial"/>
          <w:sz w:val="22"/>
          <w:szCs w:val="28"/>
        </w:rPr>
        <w:tab/>
        <w:t>Source: VOA 2020</w:t>
      </w:r>
    </w:p>
    <w:p w14:paraId="4B558C49" w14:textId="77777777" w:rsidR="00CE1BDB" w:rsidRPr="00FA4DC7" w:rsidRDefault="00CE1BDB" w:rsidP="00CE1BDB">
      <w:pPr>
        <w:pStyle w:val="Reporttext"/>
        <w:numPr>
          <w:ilvl w:val="0"/>
          <w:numId w:val="0"/>
        </w:numPr>
        <w:tabs>
          <w:tab w:val="left" w:pos="0"/>
          <w:tab w:val="left" w:pos="709"/>
          <w:tab w:val="left" w:pos="1418"/>
        </w:tabs>
        <w:rPr>
          <w:rFonts w:cs="Arial"/>
          <w:sz w:val="20"/>
        </w:rPr>
      </w:pPr>
    </w:p>
    <w:p w14:paraId="2BF3B618" w14:textId="77777777" w:rsidR="00CE1BDB" w:rsidRPr="00FA4DC7" w:rsidRDefault="00CE1BDB" w:rsidP="00CE1BDB">
      <w:pPr>
        <w:pStyle w:val="Reporttext"/>
        <w:tabs>
          <w:tab w:val="left" w:pos="1418"/>
        </w:tabs>
        <w:rPr>
          <w:rFonts w:cs="Arial"/>
        </w:rPr>
      </w:pPr>
      <w:r w:rsidRPr="00FA4DC7">
        <w:rPr>
          <w:rFonts w:cs="Arial"/>
        </w:rPr>
        <w:t xml:space="preserve">The English Housing Survey (EHS) produces national data on dwelling condition. Applying national trends to the stock profile of Medway (Table 2.8) would suggest that around 15.7% of dwelling stock is non-decent, which is lower than the national average of 20.6%. The number of dwellings likely to fail the minimum standard of decent homes criteria is estimated to be 10.6% (compared with 11.9% nationally). </w:t>
      </w:r>
    </w:p>
    <w:p w14:paraId="3F9D8DF0" w14:textId="77777777" w:rsidR="00CE1BDB" w:rsidRPr="00FA4DC7" w:rsidRDefault="00CE1BDB" w:rsidP="00CE1BDB">
      <w:pPr>
        <w:pStyle w:val="Reporttext"/>
        <w:rPr>
          <w:rFonts w:cs="Arial"/>
        </w:rPr>
      </w:pPr>
      <w:r w:rsidRPr="00FA4DC7">
        <w:rPr>
          <w:rFonts w:cs="Arial"/>
        </w:rPr>
        <w:t>A full definition of what constitutes a decent home is available from MHCLG (source: https://www.gov.uk/government/uploads/system/uploads/attachment_data/file/7812/138355.pdf) but in summary a decent home meets the following four criteria:</w:t>
      </w:r>
    </w:p>
    <w:p w14:paraId="1A5AF426" w14:textId="77777777" w:rsidR="00CE1BDB" w:rsidRPr="00FA4DC7" w:rsidRDefault="00CE1BDB" w:rsidP="00CE1BDB">
      <w:pPr>
        <w:pStyle w:val="bullet"/>
        <w:numPr>
          <w:ilvl w:val="0"/>
          <w:numId w:val="31"/>
        </w:numPr>
        <w:tabs>
          <w:tab w:val="left" w:pos="0"/>
          <w:tab w:val="left" w:pos="709"/>
          <w:tab w:val="left" w:pos="1418"/>
        </w:tabs>
        <w:ind w:left="709" w:firstLine="0"/>
        <w:rPr>
          <w:rFonts w:cs="Arial"/>
        </w:rPr>
      </w:pPr>
      <w:r w:rsidRPr="00FA4DC7">
        <w:rPr>
          <w:rFonts w:cs="Arial"/>
        </w:rPr>
        <w:t xml:space="preserve">it meets the current statutory minimum for </w:t>
      </w:r>
      <w:proofErr w:type="gramStart"/>
      <w:r w:rsidRPr="00FA4DC7">
        <w:rPr>
          <w:rFonts w:cs="Arial"/>
        </w:rPr>
        <w:t>housing;</w:t>
      </w:r>
      <w:proofErr w:type="gramEnd"/>
    </w:p>
    <w:p w14:paraId="2E5525FB" w14:textId="77777777" w:rsidR="00CE1BDB" w:rsidRPr="00FA4DC7" w:rsidRDefault="00CE1BDB" w:rsidP="00CE1BDB">
      <w:pPr>
        <w:pStyle w:val="bullet"/>
        <w:numPr>
          <w:ilvl w:val="0"/>
          <w:numId w:val="31"/>
        </w:numPr>
        <w:tabs>
          <w:tab w:val="left" w:pos="0"/>
          <w:tab w:val="left" w:pos="709"/>
          <w:tab w:val="left" w:pos="1418"/>
        </w:tabs>
        <w:ind w:left="709" w:firstLine="0"/>
        <w:rPr>
          <w:rFonts w:cs="Arial"/>
        </w:rPr>
      </w:pPr>
      <w:r w:rsidRPr="00FA4DC7">
        <w:rPr>
          <w:rFonts w:cs="Arial"/>
        </w:rPr>
        <w:t xml:space="preserve">it is in a reasonable state of </w:t>
      </w:r>
      <w:proofErr w:type="gramStart"/>
      <w:r w:rsidRPr="00FA4DC7">
        <w:rPr>
          <w:rFonts w:cs="Arial"/>
        </w:rPr>
        <w:t>repair;</w:t>
      </w:r>
      <w:proofErr w:type="gramEnd"/>
    </w:p>
    <w:p w14:paraId="139ECF4D" w14:textId="77777777" w:rsidR="00CE1BDB" w:rsidRPr="00FA4DC7" w:rsidRDefault="00CE1BDB" w:rsidP="00CE1BDB">
      <w:pPr>
        <w:pStyle w:val="bullet"/>
        <w:numPr>
          <w:ilvl w:val="0"/>
          <w:numId w:val="31"/>
        </w:numPr>
        <w:tabs>
          <w:tab w:val="left" w:pos="0"/>
          <w:tab w:val="left" w:pos="709"/>
          <w:tab w:val="left" w:pos="1418"/>
        </w:tabs>
        <w:ind w:left="709" w:firstLine="0"/>
        <w:rPr>
          <w:rFonts w:cs="Arial"/>
        </w:rPr>
      </w:pPr>
      <w:r w:rsidRPr="00FA4DC7">
        <w:rPr>
          <w:rFonts w:cs="Arial"/>
        </w:rPr>
        <w:t>it has reasonably modern facilities and services; and</w:t>
      </w:r>
    </w:p>
    <w:p w14:paraId="4E836A87" w14:textId="77777777" w:rsidR="00CE1BDB" w:rsidRPr="00FA4DC7" w:rsidRDefault="00CE1BDB" w:rsidP="00CE1BDB">
      <w:pPr>
        <w:pStyle w:val="bullet"/>
        <w:numPr>
          <w:ilvl w:val="0"/>
          <w:numId w:val="31"/>
        </w:numPr>
        <w:tabs>
          <w:tab w:val="left" w:pos="0"/>
          <w:tab w:val="left" w:pos="709"/>
          <w:tab w:val="left" w:pos="1418"/>
        </w:tabs>
        <w:ind w:left="709" w:firstLine="0"/>
        <w:rPr>
          <w:rFonts w:cs="Arial"/>
        </w:rPr>
      </w:pPr>
      <w:r w:rsidRPr="00FA4DC7">
        <w:rPr>
          <w:rFonts w:cs="Arial"/>
        </w:rPr>
        <w:t>it provides a reasonable degree of thermal comfort.</w:t>
      </w:r>
    </w:p>
    <w:p w14:paraId="229AA7AB" w14:textId="77777777" w:rsidR="00CE1BDB" w:rsidRPr="00FA4DC7" w:rsidRDefault="00CE1BDB" w:rsidP="00CE1BDB">
      <w:pPr>
        <w:pStyle w:val="Reporttext"/>
        <w:numPr>
          <w:ilvl w:val="0"/>
          <w:numId w:val="0"/>
        </w:numPr>
        <w:tabs>
          <w:tab w:val="left" w:pos="0"/>
          <w:tab w:val="left" w:pos="709"/>
          <w:tab w:val="left" w:pos="1418"/>
        </w:tabs>
        <w:ind w:firstLine="720"/>
        <w:rPr>
          <w:rFonts w:cs="Arial"/>
          <w:highlight w:val="yellow"/>
        </w:rPr>
      </w:pPr>
    </w:p>
    <w:p w14:paraId="221F10CE" w14:textId="77777777" w:rsidR="00CE1BDB" w:rsidRPr="00FA4DC7" w:rsidRDefault="00CE1BDB" w:rsidP="00CE1BDB">
      <w:pPr>
        <w:pStyle w:val="Heading2"/>
        <w:tabs>
          <w:tab w:val="left" w:pos="0"/>
          <w:tab w:val="left" w:pos="709"/>
          <w:tab w:val="left" w:pos="1418"/>
        </w:tabs>
        <w:rPr>
          <w:rFonts w:cs="Arial"/>
          <w:highlight w:val="yellow"/>
        </w:rPr>
        <w:sectPr w:rsidR="00CE1BDB" w:rsidRPr="00FA4DC7" w:rsidSect="00EF49A7">
          <w:pgSz w:w="11906" w:h="16838"/>
          <w:pgMar w:top="1440" w:right="1276" w:bottom="1134" w:left="1440" w:header="708" w:footer="708" w:gutter="0"/>
          <w:cols w:space="708"/>
          <w:docGrid w:linePitch="360"/>
        </w:sect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48"/>
        <w:gridCol w:w="2148"/>
        <w:gridCol w:w="1349"/>
        <w:gridCol w:w="1346"/>
        <w:gridCol w:w="1408"/>
        <w:gridCol w:w="1348"/>
        <w:gridCol w:w="1231"/>
        <w:gridCol w:w="12"/>
        <w:gridCol w:w="1781"/>
        <w:gridCol w:w="7"/>
        <w:gridCol w:w="1476"/>
      </w:tblGrid>
      <w:tr w:rsidR="00CE1BDB" w:rsidRPr="00FA4DC7" w14:paraId="201EEB70" w14:textId="77777777" w:rsidTr="000D492D">
        <w:tc>
          <w:tcPr>
            <w:tcW w:w="5000" w:type="pct"/>
            <w:gridSpan w:val="11"/>
            <w:shd w:val="clear" w:color="auto" w:fill="006666"/>
            <w:noWrap/>
            <w:vAlign w:val="center"/>
            <w:hideMark/>
          </w:tcPr>
          <w:p w14:paraId="1CD485D5" w14:textId="77777777" w:rsidR="00CE1BDB" w:rsidRPr="00FA4DC7" w:rsidRDefault="00CE1BDB" w:rsidP="00EF49A7">
            <w:pPr>
              <w:pStyle w:val="Tableheading1"/>
              <w:rPr>
                <w:rFonts w:cs="Arial"/>
              </w:rPr>
            </w:pPr>
            <w:bookmarkStart w:id="155" w:name="_Toc83036060"/>
            <w:r w:rsidRPr="00FA4DC7">
              <w:rPr>
                <w:rFonts w:cs="Arial"/>
              </w:rPr>
              <w:lastRenderedPageBreak/>
              <w:t>Table 2.8</w:t>
            </w:r>
            <w:r w:rsidRPr="00FA4DC7">
              <w:rPr>
                <w:rFonts w:cs="Arial"/>
              </w:rPr>
              <w:tab/>
              <w:t>Dwelling stock condition in England and Medway estimates</w:t>
            </w:r>
            <w:bookmarkEnd w:id="155"/>
          </w:p>
        </w:tc>
      </w:tr>
      <w:tr w:rsidR="00CE1BDB" w:rsidRPr="00FA4DC7" w14:paraId="446D6B45" w14:textId="77777777" w:rsidTr="000D492D">
        <w:tc>
          <w:tcPr>
            <w:tcW w:w="1950" w:type="pct"/>
            <w:gridSpan w:val="3"/>
            <w:shd w:val="clear" w:color="auto" w:fill="006666"/>
            <w:noWrap/>
            <w:vAlign w:val="center"/>
            <w:hideMark/>
          </w:tcPr>
          <w:p w14:paraId="5D3ADDDC"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England</w:t>
            </w:r>
          </w:p>
        </w:tc>
        <w:tc>
          <w:tcPr>
            <w:tcW w:w="1940" w:type="pct"/>
            <w:gridSpan w:val="5"/>
            <w:shd w:val="clear" w:color="auto" w:fill="006666"/>
            <w:vAlign w:val="center"/>
            <w:hideMark/>
          </w:tcPr>
          <w:p w14:paraId="365E2746"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Fails decent homes criteria (%)</w:t>
            </w:r>
          </w:p>
        </w:tc>
        <w:tc>
          <w:tcPr>
            <w:tcW w:w="609" w:type="pct"/>
            <w:gridSpan w:val="2"/>
            <w:shd w:val="clear" w:color="auto" w:fill="006666"/>
            <w:noWrap/>
            <w:vAlign w:val="center"/>
            <w:hideMark/>
          </w:tcPr>
          <w:p w14:paraId="551586EA"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All dwellings</w:t>
            </w:r>
          </w:p>
        </w:tc>
        <w:tc>
          <w:tcPr>
            <w:tcW w:w="502" w:type="pct"/>
            <w:shd w:val="clear" w:color="auto" w:fill="006666"/>
            <w:noWrap/>
            <w:vAlign w:val="bottom"/>
            <w:hideMark/>
          </w:tcPr>
          <w:p w14:paraId="35E59AB9"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dwellings</w:t>
            </w:r>
            <w:proofErr w:type="gramEnd"/>
          </w:p>
        </w:tc>
      </w:tr>
      <w:tr w:rsidR="00CE1BDB" w:rsidRPr="00FA4DC7" w14:paraId="790A545D" w14:textId="77777777" w:rsidTr="000D492D">
        <w:trPr>
          <w:trHeight w:val="806"/>
        </w:trPr>
        <w:tc>
          <w:tcPr>
            <w:tcW w:w="730" w:type="pct"/>
            <w:shd w:val="clear" w:color="auto" w:fill="006666"/>
            <w:noWrap/>
            <w:vAlign w:val="bottom"/>
            <w:hideMark/>
          </w:tcPr>
          <w:p w14:paraId="34B91B85"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Dwelling age (</w:t>
            </w:r>
            <w:proofErr w:type="spellStart"/>
            <w:r w:rsidRPr="00FA4DC7">
              <w:rPr>
                <w:rFonts w:cs="Arial"/>
                <w:b/>
                <w:bCs/>
                <w:color w:val="FFFFFF"/>
                <w:sz w:val="22"/>
                <w:szCs w:val="22"/>
              </w:rPr>
              <w:t>ehs</w:t>
            </w:r>
            <w:proofErr w:type="spellEnd"/>
            <w:r w:rsidRPr="00FA4DC7">
              <w:rPr>
                <w:rFonts w:cs="Arial"/>
                <w:b/>
                <w:bCs/>
                <w:color w:val="FFFFFF"/>
                <w:sz w:val="22"/>
                <w:szCs w:val="22"/>
              </w:rPr>
              <w:t>)</w:t>
            </w:r>
          </w:p>
        </w:tc>
        <w:tc>
          <w:tcPr>
            <w:tcW w:w="730" w:type="pct"/>
            <w:shd w:val="clear" w:color="auto" w:fill="006666"/>
            <w:noWrap/>
            <w:vAlign w:val="bottom"/>
            <w:hideMark/>
          </w:tcPr>
          <w:p w14:paraId="3C6194E8" w14:textId="77777777" w:rsidR="00CE1BDB" w:rsidRPr="00FA4DC7" w:rsidRDefault="00CE1BDB" w:rsidP="00EF49A7">
            <w:pPr>
              <w:tabs>
                <w:tab w:val="left" w:pos="0"/>
                <w:tab w:val="left" w:pos="709"/>
                <w:tab w:val="left" w:pos="1418"/>
              </w:tabs>
              <w:jc w:val="center"/>
              <w:rPr>
                <w:rFonts w:cs="Arial"/>
                <w:b/>
                <w:bCs/>
                <w:color w:val="FFFFFF"/>
                <w:sz w:val="22"/>
                <w:szCs w:val="22"/>
              </w:rPr>
            </w:pPr>
          </w:p>
        </w:tc>
        <w:tc>
          <w:tcPr>
            <w:tcW w:w="489" w:type="pct"/>
            <w:shd w:val="clear" w:color="auto" w:fill="006666"/>
            <w:vAlign w:val="bottom"/>
            <w:hideMark/>
          </w:tcPr>
          <w:p w14:paraId="069A6F16"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Non-decent</w:t>
            </w:r>
          </w:p>
        </w:tc>
        <w:tc>
          <w:tcPr>
            <w:tcW w:w="489" w:type="pct"/>
            <w:shd w:val="clear" w:color="auto" w:fill="006666"/>
            <w:vAlign w:val="bottom"/>
            <w:hideMark/>
          </w:tcPr>
          <w:p w14:paraId="6DA45A8F"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Minimum</w:t>
            </w:r>
          </w:p>
          <w:p w14:paraId="5533094C"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standard</w:t>
            </w:r>
          </w:p>
        </w:tc>
        <w:tc>
          <w:tcPr>
            <w:tcW w:w="510" w:type="pct"/>
            <w:shd w:val="clear" w:color="auto" w:fill="006666"/>
            <w:vAlign w:val="bottom"/>
            <w:hideMark/>
          </w:tcPr>
          <w:p w14:paraId="21F89170"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Repair</w:t>
            </w:r>
          </w:p>
        </w:tc>
        <w:tc>
          <w:tcPr>
            <w:tcW w:w="489" w:type="pct"/>
            <w:shd w:val="clear" w:color="auto" w:fill="006666"/>
            <w:vAlign w:val="bottom"/>
            <w:hideMark/>
          </w:tcPr>
          <w:p w14:paraId="57F02D95"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Modern facilities and services</w:t>
            </w:r>
          </w:p>
        </w:tc>
        <w:tc>
          <w:tcPr>
            <w:tcW w:w="448" w:type="pct"/>
            <w:shd w:val="clear" w:color="auto" w:fill="006666"/>
            <w:vAlign w:val="bottom"/>
            <w:hideMark/>
          </w:tcPr>
          <w:p w14:paraId="34119A4D"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Thermal</w:t>
            </w:r>
          </w:p>
          <w:p w14:paraId="22594867"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Comfort</w:t>
            </w:r>
          </w:p>
        </w:tc>
        <w:tc>
          <w:tcPr>
            <w:tcW w:w="610" w:type="pct"/>
            <w:gridSpan w:val="2"/>
            <w:shd w:val="clear" w:color="auto" w:fill="006666"/>
            <w:noWrap/>
            <w:vAlign w:val="bottom"/>
            <w:hideMark/>
          </w:tcPr>
          <w:p w14:paraId="563B5562"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in group (000s)</w:t>
            </w:r>
          </w:p>
        </w:tc>
        <w:tc>
          <w:tcPr>
            <w:tcW w:w="505" w:type="pct"/>
            <w:gridSpan w:val="2"/>
            <w:shd w:val="clear" w:color="auto" w:fill="006666"/>
            <w:vAlign w:val="bottom"/>
            <w:hideMark/>
          </w:tcPr>
          <w:p w14:paraId="3D4772C2" w14:textId="77777777" w:rsidR="00CE1BDB" w:rsidRPr="00FA4DC7" w:rsidRDefault="00CE1BDB" w:rsidP="00EF49A7">
            <w:pPr>
              <w:tabs>
                <w:tab w:val="left" w:pos="0"/>
                <w:tab w:val="left" w:pos="709"/>
                <w:tab w:val="left" w:pos="1418"/>
              </w:tabs>
              <w:jc w:val="center"/>
              <w:rPr>
                <w:rFonts w:cs="Arial"/>
                <w:b/>
                <w:bCs/>
                <w:color w:val="FFFFFF"/>
                <w:sz w:val="22"/>
                <w:szCs w:val="22"/>
              </w:rPr>
            </w:pPr>
          </w:p>
        </w:tc>
      </w:tr>
      <w:tr w:rsidR="00CE1BDB" w:rsidRPr="00FA4DC7" w14:paraId="7DB36AC4" w14:textId="77777777" w:rsidTr="000D492D">
        <w:tc>
          <w:tcPr>
            <w:tcW w:w="730" w:type="pct"/>
            <w:shd w:val="clear" w:color="000000" w:fill="FFFFFF"/>
            <w:noWrap/>
            <w:vAlign w:val="center"/>
            <w:hideMark/>
          </w:tcPr>
          <w:p w14:paraId="1C537676"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pre-1919</w:t>
            </w:r>
          </w:p>
        </w:tc>
        <w:tc>
          <w:tcPr>
            <w:tcW w:w="730" w:type="pct"/>
            <w:shd w:val="clear" w:color="000000" w:fill="FFFFFF"/>
            <w:noWrap/>
            <w:vAlign w:val="center"/>
            <w:hideMark/>
          </w:tcPr>
          <w:p w14:paraId="48F45E50"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61D30DE9"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33.5</w:t>
            </w:r>
          </w:p>
        </w:tc>
        <w:tc>
          <w:tcPr>
            <w:tcW w:w="489" w:type="pct"/>
            <w:shd w:val="clear" w:color="000000" w:fill="FFFFFF"/>
            <w:noWrap/>
            <w:vAlign w:val="bottom"/>
            <w:hideMark/>
          </w:tcPr>
          <w:p w14:paraId="78C97E3B"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23.3</w:t>
            </w:r>
          </w:p>
        </w:tc>
        <w:tc>
          <w:tcPr>
            <w:tcW w:w="510" w:type="pct"/>
            <w:shd w:val="clear" w:color="000000" w:fill="FFFFFF"/>
            <w:noWrap/>
            <w:vAlign w:val="bottom"/>
            <w:hideMark/>
          </w:tcPr>
          <w:p w14:paraId="64FC8E6C"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7.4</w:t>
            </w:r>
          </w:p>
        </w:tc>
        <w:tc>
          <w:tcPr>
            <w:tcW w:w="489" w:type="pct"/>
            <w:shd w:val="clear" w:color="000000" w:fill="FFFFFF"/>
            <w:noWrap/>
            <w:vAlign w:val="bottom"/>
            <w:hideMark/>
          </w:tcPr>
          <w:p w14:paraId="47F0C224"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3.9</w:t>
            </w:r>
          </w:p>
        </w:tc>
        <w:tc>
          <w:tcPr>
            <w:tcW w:w="448" w:type="pct"/>
            <w:shd w:val="clear" w:color="000000" w:fill="FFFFFF"/>
            <w:noWrap/>
            <w:vAlign w:val="bottom"/>
            <w:hideMark/>
          </w:tcPr>
          <w:p w14:paraId="7A54B10C"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9.7</w:t>
            </w:r>
          </w:p>
        </w:tc>
        <w:tc>
          <w:tcPr>
            <w:tcW w:w="610" w:type="pct"/>
            <w:gridSpan w:val="2"/>
            <w:shd w:val="clear" w:color="000000" w:fill="FFFFFF"/>
            <w:noWrap/>
            <w:vAlign w:val="bottom"/>
            <w:hideMark/>
          </w:tcPr>
          <w:p w14:paraId="1E190EA0"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4,952</w:t>
            </w:r>
          </w:p>
        </w:tc>
        <w:tc>
          <w:tcPr>
            <w:tcW w:w="505" w:type="pct"/>
            <w:gridSpan w:val="2"/>
            <w:shd w:val="clear" w:color="000000" w:fill="FFFFFF"/>
            <w:noWrap/>
            <w:vAlign w:val="bottom"/>
            <w:hideMark/>
          </w:tcPr>
          <w:p w14:paraId="4252CDF1"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20.5</w:t>
            </w:r>
          </w:p>
        </w:tc>
      </w:tr>
      <w:tr w:rsidR="00CE1BDB" w:rsidRPr="00FA4DC7" w14:paraId="653F5E77" w14:textId="77777777" w:rsidTr="000D492D">
        <w:tc>
          <w:tcPr>
            <w:tcW w:w="730" w:type="pct"/>
            <w:shd w:val="clear" w:color="000000" w:fill="FFFFFF"/>
            <w:noWrap/>
            <w:vAlign w:val="center"/>
            <w:hideMark/>
          </w:tcPr>
          <w:p w14:paraId="6713E7B3"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1919-44</w:t>
            </w:r>
          </w:p>
        </w:tc>
        <w:tc>
          <w:tcPr>
            <w:tcW w:w="730" w:type="pct"/>
            <w:shd w:val="clear" w:color="000000" w:fill="FFFFFF"/>
            <w:noWrap/>
            <w:vAlign w:val="center"/>
            <w:hideMark/>
          </w:tcPr>
          <w:p w14:paraId="01AC99AB"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558FEE37"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20.1</w:t>
            </w:r>
          </w:p>
        </w:tc>
        <w:tc>
          <w:tcPr>
            <w:tcW w:w="489" w:type="pct"/>
            <w:shd w:val="clear" w:color="000000" w:fill="FFFFFF"/>
            <w:noWrap/>
            <w:vAlign w:val="bottom"/>
            <w:hideMark/>
          </w:tcPr>
          <w:p w14:paraId="0DB29D8F"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12.1</w:t>
            </w:r>
          </w:p>
        </w:tc>
        <w:tc>
          <w:tcPr>
            <w:tcW w:w="510" w:type="pct"/>
            <w:shd w:val="clear" w:color="000000" w:fill="FFFFFF"/>
            <w:noWrap/>
            <w:vAlign w:val="bottom"/>
            <w:hideMark/>
          </w:tcPr>
          <w:p w14:paraId="18533ECF"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5.0</w:t>
            </w:r>
          </w:p>
        </w:tc>
        <w:tc>
          <w:tcPr>
            <w:tcW w:w="489" w:type="pct"/>
            <w:shd w:val="clear" w:color="000000" w:fill="FFFFFF"/>
            <w:noWrap/>
            <w:vAlign w:val="bottom"/>
            <w:hideMark/>
          </w:tcPr>
          <w:p w14:paraId="4C9D4618"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2.2</w:t>
            </w:r>
          </w:p>
        </w:tc>
        <w:tc>
          <w:tcPr>
            <w:tcW w:w="448" w:type="pct"/>
            <w:shd w:val="clear" w:color="000000" w:fill="FFFFFF"/>
            <w:noWrap/>
            <w:vAlign w:val="bottom"/>
            <w:hideMark/>
          </w:tcPr>
          <w:p w14:paraId="4896D7B7"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6.5</w:t>
            </w:r>
          </w:p>
        </w:tc>
        <w:tc>
          <w:tcPr>
            <w:tcW w:w="610" w:type="pct"/>
            <w:gridSpan w:val="2"/>
            <w:shd w:val="clear" w:color="000000" w:fill="FFFFFF"/>
            <w:noWrap/>
            <w:vAlign w:val="bottom"/>
            <w:hideMark/>
          </w:tcPr>
          <w:p w14:paraId="5DDE6EE1"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3,694</w:t>
            </w:r>
          </w:p>
        </w:tc>
        <w:tc>
          <w:tcPr>
            <w:tcW w:w="505" w:type="pct"/>
            <w:gridSpan w:val="2"/>
            <w:shd w:val="clear" w:color="000000" w:fill="FFFFFF"/>
            <w:noWrap/>
            <w:vAlign w:val="bottom"/>
            <w:hideMark/>
          </w:tcPr>
          <w:p w14:paraId="3950A10E"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15.3</w:t>
            </w:r>
          </w:p>
        </w:tc>
      </w:tr>
      <w:tr w:rsidR="00CE1BDB" w:rsidRPr="00FA4DC7" w14:paraId="55389681" w14:textId="77777777" w:rsidTr="000D492D">
        <w:tc>
          <w:tcPr>
            <w:tcW w:w="730" w:type="pct"/>
            <w:shd w:val="clear" w:color="000000" w:fill="FFFFFF"/>
            <w:noWrap/>
            <w:vAlign w:val="center"/>
            <w:hideMark/>
          </w:tcPr>
          <w:p w14:paraId="4B17E6E7"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1945-64</w:t>
            </w:r>
          </w:p>
        </w:tc>
        <w:tc>
          <w:tcPr>
            <w:tcW w:w="730" w:type="pct"/>
            <w:shd w:val="clear" w:color="000000" w:fill="FFFFFF"/>
            <w:noWrap/>
            <w:vAlign w:val="center"/>
            <w:hideMark/>
          </w:tcPr>
          <w:p w14:paraId="6F02066E"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3BBD93FC"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17.2</w:t>
            </w:r>
          </w:p>
        </w:tc>
        <w:tc>
          <w:tcPr>
            <w:tcW w:w="489" w:type="pct"/>
            <w:shd w:val="clear" w:color="000000" w:fill="FFFFFF"/>
            <w:noWrap/>
            <w:vAlign w:val="bottom"/>
            <w:hideMark/>
          </w:tcPr>
          <w:p w14:paraId="72E30548"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9.0</w:t>
            </w:r>
          </w:p>
        </w:tc>
        <w:tc>
          <w:tcPr>
            <w:tcW w:w="510" w:type="pct"/>
            <w:shd w:val="clear" w:color="000000" w:fill="FFFFFF"/>
            <w:noWrap/>
            <w:vAlign w:val="bottom"/>
            <w:hideMark/>
          </w:tcPr>
          <w:p w14:paraId="0A4E9A17"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4.8</w:t>
            </w:r>
          </w:p>
        </w:tc>
        <w:tc>
          <w:tcPr>
            <w:tcW w:w="489" w:type="pct"/>
            <w:shd w:val="clear" w:color="000000" w:fill="FFFFFF"/>
            <w:noWrap/>
            <w:vAlign w:val="bottom"/>
            <w:hideMark/>
          </w:tcPr>
          <w:p w14:paraId="047A0C72"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1.9</w:t>
            </w:r>
          </w:p>
        </w:tc>
        <w:tc>
          <w:tcPr>
            <w:tcW w:w="448" w:type="pct"/>
            <w:shd w:val="clear" w:color="000000" w:fill="FFFFFF"/>
            <w:noWrap/>
            <w:vAlign w:val="bottom"/>
            <w:hideMark/>
          </w:tcPr>
          <w:p w14:paraId="593C2BB5"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5.0</w:t>
            </w:r>
          </w:p>
        </w:tc>
        <w:tc>
          <w:tcPr>
            <w:tcW w:w="610" w:type="pct"/>
            <w:gridSpan w:val="2"/>
            <w:shd w:val="clear" w:color="000000" w:fill="FFFFFF"/>
            <w:noWrap/>
            <w:vAlign w:val="bottom"/>
            <w:hideMark/>
          </w:tcPr>
          <w:p w14:paraId="7465A4BA"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4,621</w:t>
            </w:r>
          </w:p>
        </w:tc>
        <w:tc>
          <w:tcPr>
            <w:tcW w:w="505" w:type="pct"/>
            <w:gridSpan w:val="2"/>
            <w:shd w:val="clear" w:color="000000" w:fill="FFFFFF"/>
            <w:noWrap/>
            <w:vAlign w:val="bottom"/>
            <w:hideMark/>
          </w:tcPr>
          <w:p w14:paraId="7A6D7BF0"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19.1</w:t>
            </w:r>
          </w:p>
        </w:tc>
      </w:tr>
      <w:tr w:rsidR="00CE1BDB" w:rsidRPr="00FA4DC7" w14:paraId="21A5E6F3" w14:textId="77777777" w:rsidTr="000D492D">
        <w:tc>
          <w:tcPr>
            <w:tcW w:w="730" w:type="pct"/>
            <w:shd w:val="clear" w:color="000000" w:fill="FFFFFF"/>
            <w:noWrap/>
            <w:vAlign w:val="center"/>
            <w:hideMark/>
          </w:tcPr>
          <w:p w14:paraId="76F2B77D"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1965-80</w:t>
            </w:r>
          </w:p>
        </w:tc>
        <w:tc>
          <w:tcPr>
            <w:tcW w:w="730" w:type="pct"/>
            <w:shd w:val="clear" w:color="000000" w:fill="FFFFFF"/>
            <w:noWrap/>
            <w:vAlign w:val="center"/>
            <w:hideMark/>
          </w:tcPr>
          <w:p w14:paraId="58763470"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49C69A9B"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13.7</w:t>
            </w:r>
          </w:p>
        </w:tc>
        <w:tc>
          <w:tcPr>
            <w:tcW w:w="489" w:type="pct"/>
            <w:shd w:val="clear" w:color="000000" w:fill="FFFFFF"/>
            <w:noWrap/>
            <w:vAlign w:val="bottom"/>
            <w:hideMark/>
          </w:tcPr>
          <w:p w14:paraId="6326180E"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7.1</w:t>
            </w:r>
          </w:p>
        </w:tc>
        <w:tc>
          <w:tcPr>
            <w:tcW w:w="510" w:type="pct"/>
            <w:shd w:val="clear" w:color="000000" w:fill="FFFFFF"/>
            <w:noWrap/>
            <w:vAlign w:val="bottom"/>
            <w:hideMark/>
          </w:tcPr>
          <w:p w14:paraId="4775B291"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1.0</w:t>
            </w:r>
          </w:p>
        </w:tc>
        <w:tc>
          <w:tcPr>
            <w:tcW w:w="489" w:type="pct"/>
            <w:shd w:val="clear" w:color="000000" w:fill="FFFFFF"/>
            <w:noWrap/>
            <w:vAlign w:val="bottom"/>
            <w:hideMark/>
          </w:tcPr>
          <w:p w14:paraId="09504A95"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0.9</w:t>
            </w:r>
          </w:p>
        </w:tc>
        <w:tc>
          <w:tcPr>
            <w:tcW w:w="448" w:type="pct"/>
            <w:shd w:val="clear" w:color="000000" w:fill="FFFFFF"/>
            <w:noWrap/>
            <w:vAlign w:val="bottom"/>
            <w:hideMark/>
          </w:tcPr>
          <w:p w14:paraId="6849EACD"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6.5</w:t>
            </w:r>
          </w:p>
        </w:tc>
        <w:tc>
          <w:tcPr>
            <w:tcW w:w="610" w:type="pct"/>
            <w:gridSpan w:val="2"/>
            <w:shd w:val="clear" w:color="000000" w:fill="FFFFFF"/>
            <w:noWrap/>
            <w:vAlign w:val="bottom"/>
            <w:hideMark/>
          </w:tcPr>
          <w:p w14:paraId="76C1AEE8"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4,732</w:t>
            </w:r>
          </w:p>
        </w:tc>
        <w:tc>
          <w:tcPr>
            <w:tcW w:w="505" w:type="pct"/>
            <w:gridSpan w:val="2"/>
            <w:shd w:val="clear" w:color="000000" w:fill="FFFFFF"/>
            <w:noWrap/>
            <w:vAlign w:val="bottom"/>
            <w:hideMark/>
          </w:tcPr>
          <w:p w14:paraId="7F6004D2"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19.6</w:t>
            </w:r>
          </w:p>
        </w:tc>
      </w:tr>
      <w:tr w:rsidR="00CE1BDB" w:rsidRPr="00FA4DC7" w14:paraId="05CD7C5B" w14:textId="77777777" w:rsidTr="000D492D">
        <w:tc>
          <w:tcPr>
            <w:tcW w:w="730" w:type="pct"/>
            <w:shd w:val="clear" w:color="000000" w:fill="FFFFFF"/>
            <w:noWrap/>
            <w:vAlign w:val="center"/>
            <w:hideMark/>
          </w:tcPr>
          <w:p w14:paraId="7499B916"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1981-90</w:t>
            </w:r>
          </w:p>
        </w:tc>
        <w:tc>
          <w:tcPr>
            <w:tcW w:w="730" w:type="pct"/>
            <w:shd w:val="clear" w:color="000000" w:fill="FFFFFF"/>
            <w:noWrap/>
            <w:vAlign w:val="center"/>
            <w:hideMark/>
          </w:tcPr>
          <w:p w14:paraId="485E85C4"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6D3E84F2"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18.0</w:t>
            </w:r>
          </w:p>
        </w:tc>
        <w:tc>
          <w:tcPr>
            <w:tcW w:w="489" w:type="pct"/>
            <w:shd w:val="clear" w:color="000000" w:fill="FFFFFF"/>
            <w:noWrap/>
            <w:vAlign w:val="bottom"/>
            <w:hideMark/>
          </w:tcPr>
          <w:p w14:paraId="127F2277"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4.2</w:t>
            </w:r>
          </w:p>
        </w:tc>
        <w:tc>
          <w:tcPr>
            <w:tcW w:w="510" w:type="pct"/>
            <w:shd w:val="clear" w:color="000000" w:fill="FFFFFF"/>
            <w:noWrap/>
            <w:vAlign w:val="bottom"/>
            <w:hideMark/>
          </w:tcPr>
          <w:p w14:paraId="3259EE19"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.7</w:t>
            </w:r>
          </w:p>
        </w:tc>
        <w:tc>
          <w:tcPr>
            <w:tcW w:w="489" w:type="pct"/>
            <w:shd w:val="clear" w:color="000000" w:fill="FFFFFF"/>
            <w:noWrap/>
            <w:vAlign w:val="bottom"/>
            <w:hideMark/>
          </w:tcPr>
          <w:p w14:paraId="3F0FF7C5"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3.0</w:t>
            </w:r>
          </w:p>
        </w:tc>
        <w:tc>
          <w:tcPr>
            <w:tcW w:w="448" w:type="pct"/>
            <w:shd w:val="clear" w:color="000000" w:fill="FFFFFF"/>
            <w:noWrap/>
            <w:vAlign w:val="bottom"/>
            <w:hideMark/>
          </w:tcPr>
          <w:p w14:paraId="62A10D5E"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12.3</w:t>
            </w:r>
          </w:p>
        </w:tc>
        <w:tc>
          <w:tcPr>
            <w:tcW w:w="610" w:type="pct"/>
            <w:gridSpan w:val="2"/>
            <w:shd w:val="clear" w:color="000000" w:fill="FFFFFF"/>
            <w:noWrap/>
            <w:vAlign w:val="bottom"/>
            <w:hideMark/>
          </w:tcPr>
          <w:p w14:paraId="578AAFF4"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1,946</w:t>
            </w:r>
          </w:p>
        </w:tc>
        <w:tc>
          <w:tcPr>
            <w:tcW w:w="505" w:type="pct"/>
            <w:gridSpan w:val="2"/>
            <w:shd w:val="clear" w:color="000000" w:fill="FFFFFF"/>
            <w:noWrap/>
            <w:vAlign w:val="bottom"/>
            <w:hideMark/>
          </w:tcPr>
          <w:p w14:paraId="7E8D178D"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8.1</w:t>
            </w:r>
          </w:p>
        </w:tc>
      </w:tr>
      <w:tr w:rsidR="00CE1BDB" w:rsidRPr="00FA4DC7" w14:paraId="37430A7D" w14:textId="77777777" w:rsidTr="000D492D">
        <w:tc>
          <w:tcPr>
            <w:tcW w:w="730" w:type="pct"/>
            <w:shd w:val="clear" w:color="000000" w:fill="FFFFFF"/>
            <w:noWrap/>
            <w:vAlign w:val="center"/>
            <w:hideMark/>
          </w:tcPr>
          <w:p w14:paraId="3728538D"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color w:val="000000"/>
                <w:sz w:val="22"/>
                <w:szCs w:val="22"/>
              </w:rPr>
              <w:t>post 1990</w:t>
            </w:r>
          </w:p>
        </w:tc>
        <w:tc>
          <w:tcPr>
            <w:tcW w:w="730" w:type="pct"/>
            <w:shd w:val="clear" w:color="000000" w:fill="FFFFFF"/>
            <w:noWrap/>
            <w:vAlign w:val="center"/>
            <w:hideMark/>
          </w:tcPr>
          <w:p w14:paraId="211A0D4F"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7F7D554E"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2.7</w:t>
            </w:r>
          </w:p>
        </w:tc>
        <w:tc>
          <w:tcPr>
            <w:tcW w:w="489" w:type="pct"/>
            <w:shd w:val="clear" w:color="000000" w:fill="FFFFFF"/>
            <w:noWrap/>
            <w:vAlign w:val="bottom"/>
            <w:hideMark/>
          </w:tcPr>
          <w:p w14:paraId="063E87BA"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2.5</w:t>
            </w:r>
          </w:p>
        </w:tc>
        <w:tc>
          <w:tcPr>
            <w:tcW w:w="510" w:type="pct"/>
            <w:shd w:val="clear" w:color="000000" w:fill="FFFFFF"/>
            <w:noWrap/>
            <w:vAlign w:val="bottom"/>
            <w:hideMark/>
          </w:tcPr>
          <w:p w14:paraId="27E99DC0"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w:t>
            </w:r>
          </w:p>
        </w:tc>
        <w:tc>
          <w:tcPr>
            <w:tcW w:w="489" w:type="pct"/>
            <w:shd w:val="clear" w:color="000000" w:fill="FFFFFF"/>
            <w:noWrap/>
            <w:vAlign w:val="bottom"/>
            <w:hideMark/>
          </w:tcPr>
          <w:p w14:paraId="4855848C"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w:t>
            </w:r>
          </w:p>
        </w:tc>
        <w:tc>
          <w:tcPr>
            <w:tcW w:w="448" w:type="pct"/>
            <w:shd w:val="clear" w:color="000000" w:fill="FFFFFF"/>
            <w:noWrap/>
            <w:vAlign w:val="bottom"/>
            <w:hideMark/>
          </w:tcPr>
          <w:p w14:paraId="13CAD8BC"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w:t>
            </w:r>
          </w:p>
        </w:tc>
        <w:tc>
          <w:tcPr>
            <w:tcW w:w="610" w:type="pct"/>
            <w:gridSpan w:val="2"/>
            <w:shd w:val="clear" w:color="000000" w:fill="FFFFFF"/>
            <w:noWrap/>
            <w:vAlign w:val="bottom"/>
            <w:hideMark/>
          </w:tcPr>
          <w:p w14:paraId="67E97105"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4,228</w:t>
            </w:r>
          </w:p>
        </w:tc>
        <w:tc>
          <w:tcPr>
            <w:tcW w:w="505" w:type="pct"/>
            <w:gridSpan w:val="2"/>
            <w:shd w:val="clear" w:color="000000" w:fill="FFFFFF"/>
            <w:noWrap/>
            <w:vAlign w:val="bottom"/>
            <w:hideMark/>
          </w:tcPr>
          <w:p w14:paraId="01A1CD06"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17.5</w:t>
            </w:r>
          </w:p>
        </w:tc>
      </w:tr>
      <w:tr w:rsidR="00CE1BDB" w:rsidRPr="00FA4DC7" w14:paraId="3C43DB24" w14:textId="77777777" w:rsidTr="000D492D">
        <w:tc>
          <w:tcPr>
            <w:tcW w:w="730" w:type="pct"/>
            <w:shd w:val="clear" w:color="000000" w:fill="FFFFFF"/>
            <w:noWrap/>
            <w:vAlign w:val="center"/>
            <w:hideMark/>
          </w:tcPr>
          <w:p w14:paraId="21F636CE" w14:textId="77777777" w:rsidR="00CE1BDB" w:rsidRPr="00FA4DC7" w:rsidRDefault="00CE1BDB" w:rsidP="00EF49A7">
            <w:pPr>
              <w:tabs>
                <w:tab w:val="left" w:pos="0"/>
                <w:tab w:val="left" w:pos="709"/>
                <w:tab w:val="left" w:pos="1418"/>
              </w:tabs>
              <w:rPr>
                <w:rFonts w:cs="Arial"/>
                <w:b/>
                <w:bCs/>
                <w:color w:val="000000"/>
                <w:sz w:val="22"/>
                <w:szCs w:val="22"/>
              </w:rPr>
            </w:pPr>
            <w:r w:rsidRPr="00FA4DC7">
              <w:rPr>
                <w:rFonts w:cs="Arial"/>
                <w:b/>
                <w:bCs/>
                <w:color w:val="000000"/>
                <w:sz w:val="22"/>
                <w:szCs w:val="22"/>
              </w:rPr>
              <w:t>Total</w:t>
            </w:r>
          </w:p>
        </w:tc>
        <w:tc>
          <w:tcPr>
            <w:tcW w:w="730" w:type="pct"/>
            <w:shd w:val="clear" w:color="000000" w:fill="FFFFFF"/>
            <w:noWrap/>
            <w:vAlign w:val="center"/>
            <w:hideMark/>
          </w:tcPr>
          <w:p w14:paraId="7DA13029" w14:textId="77777777" w:rsidR="00CE1BDB" w:rsidRPr="00FA4DC7" w:rsidRDefault="00CE1BDB" w:rsidP="00EF49A7">
            <w:pPr>
              <w:tabs>
                <w:tab w:val="left" w:pos="0"/>
                <w:tab w:val="left" w:pos="709"/>
                <w:tab w:val="left" w:pos="1418"/>
              </w:tabs>
              <w:jc w:val="center"/>
              <w:rPr>
                <w:rFonts w:cs="Arial"/>
                <w:sz w:val="22"/>
                <w:szCs w:val="22"/>
              </w:rPr>
            </w:pPr>
            <w:r w:rsidRPr="00FA4DC7">
              <w:rPr>
                <w:rFonts w:cs="Arial"/>
                <w:sz w:val="22"/>
                <w:szCs w:val="22"/>
              </w:rPr>
              <w:t> </w:t>
            </w:r>
          </w:p>
        </w:tc>
        <w:tc>
          <w:tcPr>
            <w:tcW w:w="489" w:type="pct"/>
            <w:shd w:val="clear" w:color="000000" w:fill="FFFFFF"/>
            <w:noWrap/>
            <w:vAlign w:val="bottom"/>
            <w:hideMark/>
          </w:tcPr>
          <w:p w14:paraId="2BC17EFF"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20.6</w:t>
            </w:r>
          </w:p>
        </w:tc>
        <w:tc>
          <w:tcPr>
            <w:tcW w:w="489" w:type="pct"/>
            <w:shd w:val="clear" w:color="000000" w:fill="FFFFFF"/>
            <w:noWrap/>
            <w:vAlign w:val="bottom"/>
            <w:hideMark/>
          </w:tcPr>
          <w:p w14:paraId="3931B7E8"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11.9</w:t>
            </w:r>
          </w:p>
        </w:tc>
        <w:tc>
          <w:tcPr>
            <w:tcW w:w="510" w:type="pct"/>
            <w:shd w:val="clear" w:color="000000" w:fill="FFFFFF"/>
            <w:noWrap/>
            <w:vAlign w:val="bottom"/>
            <w:hideMark/>
          </w:tcPr>
          <w:p w14:paraId="43690CC2"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4.6</w:t>
            </w:r>
          </w:p>
        </w:tc>
        <w:tc>
          <w:tcPr>
            <w:tcW w:w="489" w:type="pct"/>
            <w:shd w:val="clear" w:color="000000" w:fill="FFFFFF"/>
            <w:noWrap/>
            <w:vAlign w:val="bottom"/>
            <w:hideMark/>
          </w:tcPr>
          <w:p w14:paraId="301B4146"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1.9</w:t>
            </w:r>
          </w:p>
        </w:tc>
        <w:tc>
          <w:tcPr>
            <w:tcW w:w="448" w:type="pct"/>
            <w:shd w:val="clear" w:color="000000" w:fill="FFFFFF"/>
            <w:noWrap/>
            <w:vAlign w:val="bottom"/>
            <w:hideMark/>
          </w:tcPr>
          <w:p w14:paraId="20A3E942"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7.5</w:t>
            </w:r>
          </w:p>
        </w:tc>
        <w:tc>
          <w:tcPr>
            <w:tcW w:w="610" w:type="pct"/>
            <w:gridSpan w:val="2"/>
            <w:shd w:val="clear" w:color="000000" w:fill="FFFFFF"/>
            <w:noWrap/>
            <w:vAlign w:val="bottom"/>
            <w:hideMark/>
          </w:tcPr>
          <w:p w14:paraId="4B383FC0"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24,173</w:t>
            </w:r>
          </w:p>
        </w:tc>
        <w:tc>
          <w:tcPr>
            <w:tcW w:w="505" w:type="pct"/>
            <w:gridSpan w:val="2"/>
            <w:shd w:val="clear" w:color="000000" w:fill="FFFFFF"/>
            <w:noWrap/>
            <w:vAlign w:val="bottom"/>
            <w:hideMark/>
          </w:tcPr>
          <w:p w14:paraId="47F27A1F" w14:textId="77777777" w:rsidR="00CE1BDB" w:rsidRPr="00FA4DC7" w:rsidRDefault="00CE1BDB" w:rsidP="00EF49A7">
            <w:pPr>
              <w:tabs>
                <w:tab w:val="left" w:pos="0"/>
                <w:tab w:val="left" w:pos="709"/>
                <w:tab w:val="left" w:pos="1418"/>
              </w:tabs>
              <w:jc w:val="right"/>
              <w:rPr>
                <w:rFonts w:cs="Arial"/>
                <w:b/>
                <w:bCs/>
                <w:color w:val="000000"/>
                <w:sz w:val="22"/>
                <w:szCs w:val="22"/>
              </w:rPr>
            </w:pPr>
            <w:r w:rsidRPr="00FA4DC7">
              <w:rPr>
                <w:rFonts w:cs="Arial"/>
                <w:b/>
                <w:bCs/>
                <w:color w:val="000000"/>
                <w:sz w:val="22"/>
                <w:szCs w:val="22"/>
              </w:rPr>
              <w:t>100.0</w:t>
            </w:r>
          </w:p>
        </w:tc>
      </w:tr>
      <w:tr w:rsidR="00CE1BDB" w:rsidRPr="00FA4DC7" w14:paraId="14EC6748" w14:textId="77777777" w:rsidTr="000D492D">
        <w:tc>
          <w:tcPr>
            <w:tcW w:w="1950" w:type="pct"/>
            <w:gridSpan w:val="3"/>
            <w:shd w:val="clear" w:color="auto" w:fill="006666"/>
            <w:noWrap/>
            <w:vAlign w:val="center"/>
            <w:hideMark/>
          </w:tcPr>
          <w:p w14:paraId="123AD2CA"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Medway</w:t>
            </w:r>
          </w:p>
        </w:tc>
        <w:tc>
          <w:tcPr>
            <w:tcW w:w="1940" w:type="pct"/>
            <w:gridSpan w:val="5"/>
            <w:shd w:val="clear" w:color="auto" w:fill="006666"/>
            <w:vAlign w:val="center"/>
            <w:hideMark/>
          </w:tcPr>
          <w:p w14:paraId="75B559A2"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Fails decent homes criteria (estimate of number)</w:t>
            </w:r>
          </w:p>
        </w:tc>
        <w:tc>
          <w:tcPr>
            <w:tcW w:w="609" w:type="pct"/>
            <w:gridSpan w:val="2"/>
            <w:shd w:val="clear" w:color="auto" w:fill="006666"/>
            <w:noWrap/>
            <w:vAlign w:val="center"/>
            <w:hideMark/>
          </w:tcPr>
          <w:p w14:paraId="493C9C47"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All dwellings</w:t>
            </w:r>
          </w:p>
        </w:tc>
        <w:tc>
          <w:tcPr>
            <w:tcW w:w="502" w:type="pct"/>
            <w:shd w:val="clear" w:color="auto" w:fill="006666"/>
            <w:noWrap/>
            <w:vAlign w:val="bottom"/>
            <w:hideMark/>
          </w:tcPr>
          <w:p w14:paraId="35443685"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dwellings</w:t>
            </w:r>
            <w:proofErr w:type="gramEnd"/>
          </w:p>
        </w:tc>
      </w:tr>
      <w:tr w:rsidR="00CE1BDB" w:rsidRPr="00FA4DC7" w14:paraId="7AEC6523" w14:textId="77777777" w:rsidTr="000D492D">
        <w:trPr>
          <w:trHeight w:val="806"/>
        </w:trPr>
        <w:tc>
          <w:tcPr>
            <w:tcW w:w="730" w:type="pct"/>
            <w:shd w:val="clear" w:color="auto" w:fill="006666"/>
            <w:noWrap/>
            <w:vAlign w:val="bottom"/>
            <w:hideMark/>
          </w:tcPr>
          <w:p w14:paraId="4C42FC43"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Dwelling age (</w:t>
            </w:r>
            <w:proofErr w:type="spellStart"/>
            <w:r w:rsidRPr="00FA4DC7">
              <w:rPr>
                <w:rFonts w:cs="Arial"/>
                <w:b/>
                <w:bCs/>
                <w:color w:val="FFFFFF"/>
                <w:sz w:val="22"/>
                <w:szCs w:val="22"/>
              </w:rPr>
              <w:t>ehs</w:t>
            </w:r>
            <w:proofErr w:type="spellEnd"/>
            <w:r w:rsidRPr="00FA4DC7">
              <w:rPr>
                <w:rFonts w:cs="Arial"/>
                <w:b/>
                <w:bCs/>
                <w:color w:val="FFFFFF"/>
                <w:sz w:val="22"/>
                <w:szCs w:val="22"/>
              </w:rPr>
              <w:t>)</w:t>
            </w:r>
          </w:p>
        </w:tc>
        <w:tc>
          <w:tcPr>
            <w:tcW w:w="730" w:type="pct"/>
            <w:shd w:val="clear" w:color="auto" w:fill="006666"/>
            <w:noWrap/>
            <w:vAlign w:val="bottom"/>
            <w:hideMark/>
          </w:tcPr>
          <w:p w14:paraId="40D47EA4"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Dwelling age (</w:t>
            </w:r>
            <w:proofErr w:type="spellStart"/>
            <w:r w:rsidRPr="00FA4DC7">
              <w:rPr>
                <w:rFonts w:cs="Arial"/>
                <w:b/>
                <w:bCs/>
                <w:color w:val="FFFFFF"/>
                <w:sz w:val="22"/>
                <w:szCs w:val="22"/>
              </w:rPr>
              <w:t>voa</w:t>
            </w:r>
            <w:proofErr w:type="spellEnd"/>
            <w:r w:rsidRPr="00FA4DC7">
              <w:rPr>
                <w:rFonts w:cs="Arial"/>
                <w:b/>
                <w:bCs/>
                <w:color w:val="FFFFFF"/>
                <w:sz w:val="22"/>
                <w:szCs w:val="22"/>
              </w:rPr>
              <w:t>)</w:t>
            </w:r>
          </w:p>
        </w:tc>
        <w:tc>
          <w:tcPr>
            <w:tcW w:w="489" w:type="pct"/>
            <w:shd w:val="clear" w:color="auto" w:fill="006666"/>
            <w:vAlign w:val="bottom"/>
            <w:hideMark/>
          </w:tcPr>
          <w:p w14:paraId="330B2D6D"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Non-decent</w:t>
            </w:r>
          </w:p>
        </w:tc>
        <w:tc>
          <w:tcPr>
            <w:tcW w:w="489" w:type="pct"/>
            <w:shd w:val="clear" w:color="auto" w:fill="006666"/>
            <w:vAlign w:val="bottom"/>
            <w:hideMark/>
          </w:tcPr>
          <w:p w14:paraId="4EDA6BE3"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Minimum</w:t>
            </w:r>
          </w:p>
          <w:p w14:paraId="2C69D3A2"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standard</w:t>
            </w:r>
          </w:p>
        </w:tc>
        <w:tc>
          <w:tcPr>
            <w:tcW w:w="510" w:type="pct"/>
            <w:shd w:val="clear" w:color="auto" w:fill="006666"/>
            <w:vAlign w:val="bottom"/>
            <w:hideMark/>
          </w:tcPr>
          <w:p w14:paraId="72E8C477"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Repair</w:t>
            </w:r>
          </w:p>
        </w:tc>
        <w:tc>
          <w:tcPr>
            <w:tcW w:w="489" w:type="pct"/>
            <w:shd w:val="clear" w:color="auto" w:fill="006666"/>
            <w:vAlign w:val="bottom"/>
            <w:hideMark/>
          </w:tcPr>
          <w:p w14:paraId="66C60888"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Modern facilities</w:t>
            </w:r>
          </w:p>
          <w:p w14:paraId="56423A9F"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and services</w:t>
            </w:r>
          </w:p>
        </w:tc>
        <w:tc>
          <w:tcPr>
            <w:tcW w:w="448" w:type="pct"/>
            <w:shd w:val="clear" w:color="auto" w:fill="006666"/>
            <w:vAlign w:val="bottom"/>
            <w:hideMark/>
          </w:tcPr>
          <w:p w14:paraId="45CFD135"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Thermal</w:t>
            </w:r>
          </w:p>
          <w:p w14:paraId="5099CA3A"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Comfort</w:t>
            </w:r>
          </w:p>
        </w:tc>
        <w:tc>
          <w:tcPr>
            <w:tcW w:w="610" w:type="pct"/>
            <w:gridSpan w:val="2"/>
            <w:shd w:val="clear" w:color="auto" w:fill="006666"/>
            <w:vAlign w:val="bottom"/>
            <w:hideMark/>
          </w:tcPr>
          <w:p w14:paraId="36EFE318"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in group (number)</w:t>
            </w:r>
          </w:p>
        </w:tc>
        <w:tc>
          <w:tcPr>
            <w:tcW w:w="505" w:type="pct"/>
            <w:gridSpan w:val="2"/>
            <w:shd w:val="clear" w:color="auto" w:fill="006666"/>
            <w:vAlign w:val="bottom"/>
            <w:hideMark/>
          </w:tcPr>
          <w:p w14:paraId="2BE7E942" w14:textId="77777777" w:rsidR="00CE1BDB" w:rsidRPr="00FA4DC7" w:rsidRDefault="00CE1BDB" w:rsidP="00EF49A7">
            <w:pPr>
              <w:tabs>
                <w:tab w:val="left" w:pos="0"/>
                <w:tab w:val="left" w:pos="709"/>
                <w:tab w:val="left" w:pos="1418"/>
              </w:tabs>
              <w:jc w:val="center"/>
              <w:rPr>
                <w:rFonts w:cs="Arial"/>
                <w:b/>
                <w:bCs/>
                <w:color w:val="FFFFFF"/>
                <w:sz w:val="22"/>
                <w:szCs w:val="22"/>
              </w:rPr>
            </w:pPr>
          </w:p>
        </w:tc>
      </w:tr>
      <w:tr w:rsidR="00CE1BDB" w:rsidRPr="00FA4DC7" w14:paraId="1410E28D" w14:textId="77777777" w:rsidTr="000D492D">
        <w:trPr>
          <w:trHeight w:val="84"/>
        </w:trPr>
        <w:tc>
          <w:tcPr>
            <w:tcW w:w="730" w:type="pct"/>
            <w:shd w:val="clear" w:color="000000" w:fill="FFFFFF"/>
            <w:noWrap/>
            <w:hideMark/>
          </w:tcPr>
          <w:p w14:paraId="59F0D996"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pre-1919</w:t>
            </w:r>
          </w:p>
        </w:tc>
        <w:tc>
          <w:tcPr>
            <w:tcW w:w="730" w:type="pct"/>
            <w:shd w:val="clear" w:color="auto" w:fill="auto"/>
            <w:noWrap/>
            <w:hideMark/>
          </w:tcPr>
          <w:p w14:paraId="07D842A9"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pre-1919</w:t>
            </w:r>
          </w:p>
        </w:tc>
        <w:tc>
          <w:tcPr>
            <w:tcW w:w="489" w:type="pct"/>
            <w:shd w:val="clear" w:color="auto" w:fill="auto"/>
            <w:noWrap/>
            <w:vAlign w:val="bottom"/>
          </w:tcPr>
          <w:p w14:paraId="0E8207D8" w14:textId="352E1B58"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8,007 </w:t>
            </w:r>
          </w:p>
        </w:tc>
        <w:tc>
          <w:tcPr>
            <w:tcW w:w="489" w:type="pct"/>
            <w:shd w:val="clear" w:color="auto" w:fill="auto"/>
            <w:noWrap/>
            <w:vAlign w:val="bottom"/>
          </w:tcPr>
          <w:p w14:paraId="2D7390A8" w14:textId="0822B8E8"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5,569 </w:t>
            </w:r>
          </w:p>
        </w:tc>
        <w:tc>
          <w:tcPr>
            <w:tcW w:w="510" w:type="pct"/>
            <w:shd w:val="clear" w:color="auto" w:fill="auto"/>
            <w:noWrap/>
            <w:vAlign w:val="bottom"/>
          </w:tcPr>
          <w:p w14:paraId="458156CC" w14:textId="2F6BC997"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1,769 </w:t>
            </w:r>
          </w:p>
        </w:tc>
        <w:tc>
          <w:tcPr>
            <w:tcW w:w="489" w:type="pct"/>
            <w:shd w:val="clear" w:color="auto" w:fill="auto"/>
            <w:noWrap/>
            <w:vAlign w:val="bottom"/>
          </w:tcPr>
          <w:p w14:paraId="0DEB9AD1" w14:textId="03B37A54"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932 </w:t>
            </w:r>
          </w:p>
        </w:tc>
        <w:tc>
          <w:tcPr>
            <w:tcW w:w="448" w:type="pct"/>
            <w:shd w:val="clear" w:color="auto" w:fill="auto"/>
            <w:noWrap/>
            <w:vAlign w:val="bottom"/>
          </w:tcPr>
          <w:p w14:paraId="229EFB13" w14:textId="2BEEADF0"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2,318 </w:t>
            </w:r>
          </w:p>
        </w:tc>
        <w:tc>
          <w:tcPr>
            <w:tcW w:w="610" w:type="pct"/>
            <w:gridSpan w:val="2"/>
            <w:shd w:val="clear" w:color="auto" w:fill="auto"/>
            <w:noWrap/>
          </w:tcPr>
          <w:p w14:paraId="4812D5C1"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23,900</w:t>
            </w:r>
          </w:p>
        </w:tc>
        <w:tc>
          <w:tcPr>
            <w:tcW w:w="505" w:type="pct"/>
            <w:gridSpan w:val="2"/>
            <w:shd w:val="clear" w:color="auto" w:fill="auto"/>
            <w:noWrap/>
          </w:tcPr>
          <w:p w14:paraId="159F1C64"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20.6</w:t>
            </w:r>
          </w:p>
        </w:tc>
      </w:tr>
      <w:tr w:rsidR="00CE1BDB" w:rsidRPr="00FA4DC7" w14:paraId="1624E0D9" w14:textId="77777777" w:rsidTr="000D492D">
        <w:trPr>
          <w:trHeight w:val="218"/>
        </w:trPr>
        <w:tc>
          <w:tcPr>
            <w:tcW w:w="730" w:type="pct"/>
            <w:shd w:val="clear" w:color="000000" w:fill="FFFFFF"/>
            <w:noWrap/>
            <w:hideMark/>
          </w:tcPr>
          <w:p w14:paraId="66CFF3DE"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1919-44</w:t>
            </w:r>
          </w:p>
        </w:tc>
        <w:tc>
          <w:tcPr>
            <w:tcW w:w="730" w:type="pct"/>
            <w:shd w:val="clear" w:color="000000" w:fill="FFFFFF"/>
            <w:noWrap/>
            <w:hideMark/>
          </w:tcPr>
          <w:p w14:paraId="52CB71C6"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1919-44</w:t>
            </w:r>
          </w:p>
        </w:tc>
        <w:tc>
          <w:tcPr>
            <w:tcW w:w="489" w:type="pct"/>
            <w:shd w:val="clear" w:color="auto" w:fill="auto"/>
            <w:noWrap/>
            <w:vAlign w:val="bottom"/>
          </w:tcPr>
          <w:p w14:paraId="61D8A8DF" w14:textId="44DBC3AE"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3,250 </w:t>
            </w:r>
          </w:p>
        </w:tc>
        <w:tc>
          <w:tcPr>
            <w:tcW w:w="489" w:type="pct"/>
            <w:shd w:val="clear" w:color="auto" w:fill="auto"/>
            <w:noWrap/>
            <w:vAlign w:val="bottom"/>
          </w:tcPr>
          <w:p w14:paraId="4FD35B16" w14:textId="371C5B12"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1,957 </w:t>
            </w:r>
          </w:p>
        </w:tc>
        <w:tc>
          <w:tcPr>
            <w:tcW w:w="510" w:type="pct"/>
            <w:shd w:val="clear" w:color="auto" w:fill="auto"/>
            <w:noWrap/>
            <w:vAlign w:val="bottom"/>
          </w:tcPr>
          <w:p w14:paraId="7A5A404B" w14:textId="55217594"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809 </w:t>
            </w:r>
          </w:p>
        </w:tc>
        <w:tc>
          <w:tcPr>
            <w:tcW w:w="489" w:type="pct"/>
            <w:shd w:val="clear" w:color="auto" w:fill="auto"/>
            <w:noWrap/>
            <w:vAlign w:val="bottom"/>
          </w:tcPr>
          <w:p w14:paraId="73616D43" w14:textId="1768A0CA"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356 </w:t>
            </w:r>
          </w:p>
        </w:tc>
        <w:tc>
          <w:tcPr>
            <w:tcW w:w="448" w:type="pct"/>
            <w:shd w:val="clear" w:color="auto" w:fill="auto"/>
            <w:noWrap/>
            <w:vAlign w:val="bottom"/>
          </w:tcPr>
          <w:p w14:paraId="7BA99275" w14:textId="7E939664"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1,051 </w:t>
            </w:r>
          </w:p>
        </w:tc>
        <w:tc>
          <w:tcPr>
            <w:tcW w:w="610" w:type="pct"/>
            <w:gridSpan w:val="2"/>
            <w:shd w:val="clear" w:color="auto" w:fill="auto"/>
            <w:noWrap/>
          </w:tcPr>
          <w:p w14:paraId="33647ABB"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16,170</w:t>
            </w:r>
          </w:p>
        </w:tc>
        <w:tc>
          <w:tcPr>
            <w:tcW w:w="505" w:type="pct"/>
            <w:gridSpan w:val="2"/>
            <w:shd w:val="clear" w:color="auto" w:fill="auto"/>
            <w:noWrap/>
          </w:tcPr>
          <w:p w14:paraId="30C524E3"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13.9</w:t>
            </w:r>
          </w:p>
        </w:tc>
      </w:tr>
      <w:tr w:rsidR="00CE1BDB" w:rsidRPr="00FA4DC7" w14:paraId="27CF71A8" w14:textId="77777777" w:rsidTr="000D492D">
        <w:trPr>
          <w:trHeight w:val="235"/>
        </w:trPr>
        <w:tc>
          <w:tcPr>
            <w:tcW w:w="730" w:type="pct"/>
            <w:shd w:val="clear" w:color="000000" w:fill="FFFFFF"/>
            <w:noWrap/>
            <w:hideMark/>
          </w:tcPr>
          <w:p w14:paraId="1FD2AA25"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1945-64</w:t>
            </w:r>
          </w:p>
        </w:tc>
        <w:tc>
          <w:tcPr>
            <w:tcW w:w="730" w:type="pct"/>
            <w:shd w:val="clear" w:color="000000" w:fill="FFFFFF"/>
            <w:noWrap/>
            <w:hideMark/>
          </w:tcPr>
          <w:p w14:paraId="6FD60197"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1945-64</w:t>
            </w:r>
          </w:p>
        </w:tc>
        <w:tc>
          <w:tcPr>
            <w:tcW w:w="489" w:type="pct"/>
            <w:shd w:val="clear" w:color="auto" w:fill="auto"/>
            <w:noWrap/>
            <w:vAlign w:val="bottom"/>
          </w:tcPr>
          <w:p w14:paraId="0007E7E2" w14:textId="3DEEB357"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4,023 </w:t>
            </w:r>
          </w:p>
        </w:tc>
        <w:tc>
          <w:tcPr>
            <w:tcW w:w="489" w:type="pct"/>
            <w:shd w:val="clear" w:color="auto" w:fill="auto"/>
            <w:noWrap/>
            <w:vAlign w:val="bottom"/>
          </w:tcPr>
          <w:p w14:paraId="4A577D7A" w14:textId="55DEA39F"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2,105 </w:t>
            </w:r>
          </w:p>
        </w:tc>
        <w:tc>
          <w:tcPr>
            <w:tcW w:w="510" w:type="pct"/>
            <w:shd w:val="clear" w:color="auto" w:fill="auto"/>
            <w:noWrap/>
            <w:vAlign w:val="bottom"/>
          </w:tcPr>
          <w:p w14:paraId="197589E4" w14:textId="7FA892CB"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1,123 </w:t>
            </w:r>
          </w:p>
        </w:tc>
        <w:tc>
          <w:tcPr>
            <w:tcW w:w="489" w:type="pct"/>
            <w:shd w:val="clear" w:color="auto" w:fill="auto"/>
            <w:noWrap/>
            <w:vAlign w:val="bottom"/>
          </w:tcPr>
          <w:p w14:paraId="4D37A567" w14:textId="23ED28AC"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444 </w:t>
            </w:r>
          </w:p>
        </w:tc>
        <w:tc>
          <w:tcPr>
            <w:tcW w:w="448" w:type="pct"/>
            <w:shd w:val="clear" w:color="auto" w:fill="auto"/>
            <w:noWrap/>
            <w:vAlign w:val="bottom"/>
          </w:tcPr>
          <w:p w14:paraId="6AD13562" w14:textId="7EFD8218"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1,170 </w:t>
            </w:r>
          </w:p>
        </w:tc>
        <w:tc>
          <w:tcPr>
            <w:tcW w:w="610" w:type="pct"/>
            <w:gridSpan w:val="2"/>
            <w:shd w:val="clear" w:color="auto" w:fill="auto"/>
            <w:noWrap/>
          </w:tcPr>
          <w:p w14:paraId="76F9F00D"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23,390</w:t>
            </w:r>
          </w:p>
        </w:tc>
        <w:tc>
          <w:tcPr>
            <w:tcW w:w="505" w:type="pct"/>
            <w:gridSpan w:val="2"/>
            <w:shd w:val="clear" w:color="auto" w:fill="auto"/>
            <w:noWrap/>
          </w:tcPr>
          <w:p w14:paraId="6D7B21E0"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20.1</w:t>
            </w:r>
          </w:p>
        </w:tc>
      </w:tr>
      <w:tr w:rsidR="00CE1BDB" w:rsidRPr="00FA4DC7" w14:paraId="31709963" w14:textId="77777777" w:rsidTr="000D492D">
        <w:trPr>
          <w:trHeight w:val="240"/>
        </w:trPr>
        <w:tc>
          <w:tcPr>
            <w:tcW w:w="730" w:type="pct"/>
            <w:shd w:val="clear" w:color="000000" w:fill="FFFFFF"/>
            <w:noWrap/>
            <w:hideMark/>
          </w:tcPr>
          <w:p w14:paraId="5C48076E"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1965-80</w:t>
            </w:r>
          </w:p>
        </w:tc>
        <w:tc>
          <w:tcPr>
            <w:tcW w:w="730" w:type="pct"/>
            <w:shd w:val="clear" w:color="000000" w:fill="FFFFFF"/>
            <w:noWrap/>
            <w:hideMark/>
          </w:tcPr>
          <w:p w14:paraId="5251F927"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1965-82</w:t>
            </w:r>
          </w:p>
        </w:tc>
        <w:tc>
          <w:tcPr>
            <w:tcW w:w="489" w:type="pct"/>
            <w:shd w:val="clear" w:color="auto" w:fill="auto"/>
            <w:noWrap/>
            <w:vAlign w:val="bottom"/>
          </w:tcPr>
          <w:p w14:paraId="2DD0201D" w14:textId="0962F53D"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3,499 </w:t>
            </w:r>
          </w:p>
        </w:tc>
        <w:tc>
          <w:tcPr>
            <w:tcW w:w="489" w:type="pct"/>
            <w:shd w:val="clear" w:color="auto" w:fill="auto"/>
            <w:noWrap/>
            <w:vAlign w:val="bottom"/>
          </w:tcPr>
          <w:p w14:paraId="246CD54C" w14:textId="5937DBAF"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1,813 </w:t>
            </w:r>
          </w:p>
        </w:tc>
        <w:tc>
          <w:tcPr>
            <w:tcW w:w="510" w:type="pct"/>
            <w:shd w:val="clear" w:color="auto" w:fill="auto"/>
            <w:noWrap/>
            <w:vAlign w:val="bottom"/>
          </w:tcPr>
          <w:p w14:paraId="7E3F9980" w14:textId="01146265"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255 </w:t>
            </w:r>
          </w:p>
        </w:tc>
        <w:tc>
          <w:tcPr>
            <w:tcW w:w="489" w:type="pct"/>
            <w:shd w:val="clear" w:color="auto" w:fill="auto"/>
            <w:noWrap/>
            <w:vAlign w:val="bottom"/>
          </w:tcPr>
          <w:p w14:paraId="68F0BBFC" w14:textId="5C3E064E"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230 </w:t>
            </w:r>
          </w:p>
        </w:tc>
        <w:tc>
          <w:tcPr>
            <w:tcW w:w="448" w:type="pct"/>
            <w:shd w:val="clear" w:color="auto" w:fill="auto"/>
            <w:noWrap/>
            <w:vAlign w:val="bottom"/>
          </w:tcPr>
          <w:p w14:paraId="76688F61" w14:textId="5E74D804"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1,660 </w:t>
            </w:r>
          </w:p>
        </w:tc>
        <w:tc>
          <w:tcPr>
            <w:tcW w:w="610" w:type="pct"/>
            <w:gridSpan w:val="2"/>
            <w:shd w:val="clear" w:color="auto" w:fill="auto"/>
            <w:noWrap/>
          </w:tcPr>
          <w:p w14:paraId="24517E77"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25,540</w:t>
            </w:r>
          </w:p>
        </w:tc>
        <w:tc>
          <w:tcPr>
            <w:tcW w:w="505" w:type="pct"/>
            <w:gridSpan w:val="2"/>
            <w:shd w:val="clear" w:color="auto" w:fill="auto"/>
            <w:noWrap/>
          </w:tcPr>
          <w:p w14:paraId="656D6961"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22.0</w:t>
            </w:r>
          </w:p>
        </w:tc>
      </w:tr>
      <w:tr w:rsidR="00CE1BDB" w:rsidRPr="00FA4DC7" w14:paraId="6C2B6775" w14:textId="77777777" w:rsidTr="000D492D">
        <w:trPr>
          <w:trHeight w:val="243"/>
        </w:trPr>
        <w:tc>
          <w:tcPr>
            <w:tcW w:w="730" w:type="pct"/>
            <w:shd w:val="clear" w:color="000000" w:fill="FFFFFF"/>
            <w:noWrap/>
            <w:hideMark/>
          </w:tcPr>
          <w:p w14:paraId="47B93B10"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1981-90</w:t>
            </w:r>
          </w:p>
        </w:tc>
        <w:tc>
          <w:tcPr>
            <w:tcW w:w="730" w:type="pct"/>
            <w:shd w:val="clear" w:color="000000" w:fill="FFFFFF"/>
            <w:noWrap/>
            <w:hideMark/>
          </w:tcPr>
          <w:p w14:paraId="281BB552"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1983-1992</w:t>
            </w:r>
          </w:p>
        </w:tc>
        <w:tc>
          <w:tcPr>
            <w:tcW w:w="489" w:type="pct"/>
            <w:shd w:val="clear" w:color="auto" w:fill="auto"/>
            <w:noWrap/>
            <w:vAlign w:val="bottom"/>
          </w:tcPr>
          <w:p w14:paraId="4A07E2D4" w14:textId="3466D677"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1,663 </w:t>
            </w:r>
          </w:p>
        </w:tc>
        <w:tc>
          <w:tcPr>
            <w:tcW w:w="489" w:type="pct"/>
            <w:shd w:val="clear" w:color="auto" w:fill="auto"/>
            <w:noWrap/>
            <w:vAlign w:val="bottom"/>
          </w:tcPr>
          <w:p w14:paraId="2B95C944" w14:textId="4EF3A902"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388 </w:t>
            </w:r>
          </w:p>
        </w:tc>
        <w:tc>
          <w:tcPr>
            <w:tcW w:w="510" w:type="pct"/>
            <w:shd w:val="clear" w:color="auto" w:fill="auto"/>
            <w:noWrap/>
            <w:vAlign w:val="bottom"/>
          </w:tcPr>
          <w:p w14:paraId="2C56FEE9" w14:textId="060F7EDB"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65 </w:t>
            </w:r>
          </w:p>
        </w:tc>
        <w:tc>
          <w:tcPr>
            <w:tcW w:w="489" w:type="pct"/>
            <w:shd w:val="clear" w:color="auto" w:fill="auto"/>
            <w:noWrap/>
            <w:vAlign w:val="bottom"/>
          </w:tcPr>
          <w:p w14:paraId="207DF5E1" w14:textId="5284C48A"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277 </w:t>
            </w:r>
          </w:p>
        </w:tc>
        <w:tc>
          <w:tcPr>
            <w:tcW w:w="448" w:type="pct"/>
            <w:shd w:val="clear" w:color="auto" w:fill="auto"/>
            <w:noWrap/>
            <w:vAlign w:val="bottom"/>
          </w:tcPr>
          <w:p w14:paraId="1B4E8C49" w14:textId="438FF0B0"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1,137 </w:t>
            </w:r>
          </w:p>
        </w:tc>
        <w:tc>
          <w:tcPr>
            <w:tcW w:w="610" w:type="pct"/>
            <w:gridSpan w:val="2"/>
            <w:shd w:val="clear" w:color="auto" w:fill="auto"/>
            <w:noWrap/>
          </w:tcPr>
          <w:p w14:paraId="2F68944D"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9,240</w:t>
            </w:r>
          </w:p>
        </w:tc>
        <w:tc>
          <w:tcPr>
            <w:tcW w:w="505" w:type="pct"/>
            <w:gridSpan w:val="2"/>
            <w:shd w:val="clear" w:color="auto" w:fill="auto"/>
            <w:noWrap/>
          </w:tcPr>
          <w:p w14:paraId="5A0E2843"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8.0</w:t>
            </w:r>
          </w:p>
        </w:tc>
      </w:tr>
      <w:tr w:rsidR="00CE1BDB" w:rsidRPr="00FA4DC7" w14:paraId="022C521E" w14:textId="77777777" w:rsidTr="000D492D">
        <w:trPr>
          <w:trHeight w:val="234"/>
        </w:trPr>
        <w:tc>
          <w:tcPr>
            <w:tcW w:w="730" w:type="pct"/>
            <w:shd w:val="clear" w:color="000000" w:fill="FFFFFF"/>
            <w:noWrap/>
            <w:hideMark/>
          </w:tcPr>
          <w:p w14:paraId="582CDA87"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post 1990</w:t>
            </w:r>
          </w:p>
        </w:tc>
        <w:tc>
          <w:tcPr>
            <w:tcW w:w="730" w:type="pct"/>
            <w:shd w:val="clear" w:color="000000" w:fill="FFFFFF"/>
            <w:noWrap/>
            <w:hideMark/>
          </w:tcPr>
          <w:p w14:paraId="4BC863F4" w14:textId="77777777" w:rsidR="00CE1BDB" w:rsidRPr="00FA4DC7" w:rsidRDefault="00CE1BDB" w:rsidP="00DB5398">
            <w:pPr>
              <w:tabs>
                <w:tab w:val="left" w:pos="0"/>
                <w:tab w:val="left" w:pos="709"/>
                <w:tab w:val="left" w:pos="1418"/>
              </w:tabs>
              <w:rPr>
                <w:rFonts w:cs="Arial"/>
                <w:color w:val="000000"/>
                <w:sz w:val="22"/>
                <w:szCs w:val="22"/>
              </w:rPr>
            </w:pPr>
            <w:r w:rsidRPr="00FA4DC7">
              <w:rPr>
                <w:rFonts w:cs="Arial"/>
                <w:color w:val="000000"/>
                <w:sz w:val="22"/>
                <w:szCs w:val="22"/>
              </w:rPr>
              <w:t>Post 1992</w:t>
            </w:r>
          </w:p>
        </w:tc>
        <w:tc>
          <w:tcPr>
            <w:tcW w:w="489" w:type="pct"/>
            <w:shd w:val="clear" w:color="auto" w:fill="auto"/>
            <w:noWrap/>
            <w:vAlign w:val="bottom"/>
          </w:tcPr>
          <w:p w14:paraId="61AF6B98" w14:textId="683E5AA3"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484 </w:t>
            </w:r>
          </w:p>
        </w:tc>
        <w:tc>
          <w:tcPr>
            <w:tcW w:w="489" w:type="pct"/>
            <w:shd w:val="clear" w:color="auto" w:fill="auto"/>
            <w:noWrap/>
            <w:vAlign w:val="bottom"/>
          </w:tcPr>
          <w:p w14:paraId="21BF8BE6" w14:textId="74A782CC" w:rsidR="00CE1BDB" w:rsidRPr="00FA4DC7" w:rsidRDefault="00CE1BDB" w:rsidP="00DB5398">
            <w:pPr>
              <w:tabs>
                <w:tab w:val="left" w:pos="0"/>
                <w:tab w:val="left" w:pos="709"/>
                <w:tab w:val="left" w:pos="1418"/>
              </w:tabs>
              <w:jc w:val="right"/>
              <w:rPr>
                <w:rFonts w:cs="Arial"/>
                <w:sz w:val="22"/>
                <w:szCs w:val="22"/>
              </w:rPr>
            </w:pPr>
            <w:r w:rsidRPr="00FA4DC7">
              <w:rPr>
                <w:rFonts w:cs="Arial"/>
                <w:color w:val="000000"/>
                <w:sz w:val="22"/>
                <w:szCs w:val="22"/>
              </w:rPr>
              <w:t xml:space="preserve">448 </w:t>
            </w:r>
          </w:p>
        </w:tc>
        <w:tc>
          <w:tcPr>
            <w:tcW w:w="510" w:type="pct"/>
            <w:shd w:val="clear" w:color="auto" w:fill="auto"/>
            <w:noWrap/>
            <w:vAlign w:val="bottom"/>
          </w:tcPr>
          <w:p w14:paraId="4C66BCB0" w14:textId="2CA3677D" w:rsidR="00CE1BDB" w:rsidRPr="00FA4DC7" w:rsidRDefault="00CE1BDB" w:rsidP="00DB5398">
            <w:pPr>
              <w:tabs>
                <w:tab w:val="left" w:pos="0"/>
                <w:tab w:val="left" w:pos="709"/>
                <w:tab w:val="left" w:pos="1418"/>
              </w:tabs>
              <w:jc w:val="center"/>
              <w:rPr>
                <w:rFonts w:cs="Arial"/>
                <w:sz w:val="22"/>
                <w:szCs w:val="22"/>
              </w:rPr>
            </w:pPr>
            <w:r w:rsidRPr="00FA4DC7">
              <w:rPr>
                <w:rFonts w:cs="Arial"/>
                <w:color w:val="000000"/>
                <w:sz w:val="22"/>
                <w:szCs w:val="22"/>
              </w:rPr>
              <w:t>*</w:t>
            </w:r>
          </w:p>
        </w:tc>
        <w:tc>
          <w:tcPr>
            <w:tcW w:w="489" w:type="pct"/>
            <w:shd w:val="clear" w:color="auto" w:fill="auto"/>
            <w:noWrap/>
            <w:vAlign w:val="bottom"/>
          </w:tcPr>
          <w:p w14:paraId="1C618661" w14:textId="13C600ED" w:rsidR="00CE1BDB" w:rsidRPr="00FA4DC7" w:rsidRDefault="00CE1BDB" w:rsidP="00DB5398">
            <w:pPr>
              <w:tabs>
                <w:tab w:val="left" w:pos="0"/>
                <w:tab w:val="left" w:pos="709"/>
                <w:tab w:val="left" w:pos="1418"/>
              </w:tabs>
              <w:jc w:val="center"/>
              <w:rPr>
                <w:rFonts w:cs="Arial"/>
                <w:sz w:val="22"/>
                <w:szCs w:val="22"/>
              </w:rPr>
            </w:pPr>
            <w:r w:rsidRPr="00FA4DC7">
              <w:rPr>
                <w:rFonts w:cs="Arial"/>
                <w:color w:val="000000"/>
                <w:sz w:val="22"/>
                <w:szCs w:val="22"/>
              </w:rPr>
              <w:t>*</w:t>
            </w:r>
          </w:p>
        </w:tc>
        <w:tc>
          <w:tcPr>
            <w:tcW w:w="448" w:type="pct"/>
            <w:shd w:val="clear" w:color="auto" w:fill="auto"/>
            <w:noWrap/>
            <w:vAlign w:val="bottom"/>
          </w:tcPr>
          <w:p w14:paraId="646CF3EE" w14:textId="2E1E47C2" w:rsidR="00CE1BDB" w:rsidRPr="00FA4DC7" w:rsidRDefault="00CE1BDB" w:rsidP="00DB5398">
            <w:pPr>
              <w:tabs>
                <w:tab w:val="left" w:pos="0"/>
                <w:tab w:val="left" w:pos="709"/>
                <w:tab w:val="left" w:pos="1418"/>
              </w:tabs>
              <w:jc w:val="center"/>
              <w:rPr>
                <w:rFonts w:cs="Arial"/>
                <w:sz w:val="22"/>
                <w:szCs w:val="22"/>
              </w:rPr>
            </w:pPr>
            <w:r w:rsidRPr="00FA4DC7">
              <w:rPr>
                <w:rFonts w:cs="Arial"/>
                <w:color w:val="000000"/>
                <w:sz w:val="22"/>
                <w:szCs w:val="22"/>
              </w:rPr>
              <w:t>*</w:t>
            </w:r>
          </w:p>
        </w:tc>
        <w:tc>
          <w:tcPr>
            <w:tcW w:w="610" w:type="pct"/>
            <w:gridSpan w:val="2"/>
            <w:shd w:val="clear" w:color="auto" w:fill="auto"/>
            <w:noWrap/>
          </w:tcPr>
          <w:p w14:paraId="42D6D03F"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17,920</w:t>
            </w:r>
          </w:p>
        </w:tc>
        <w:tc>
          <w:tcPr>
            <w:tcW w:w="505" w:type="pct"/>
            <w:gridSpan w:val="2"/>
            <w:shd w:val="clear" w:color="auto" w:fill="auto"/>
            <w:noWrap/>
          </w:tcPr>
          <w:p w14:paraId="45FFD21C" w14:textId="77777777" w:rsidR="00CE1BDB" w:rsidRPr="00FA4DC7" w:rsidRDefault="00CE1BDB" w:rsidP="00DB5398">
            <w:pPr>
              <w:tabs>
                <w:tab w:val="left" w:pos="0"/>
                <w:tab w:val="left" w:pos="709"/>
                <w:tab w:val="left" w:pos="1418"/>
              </w:tabs>
              <w:jc w:val="right"/>
              <w:rPr>
                <w:rFonts w:cs="Arial"/>
                <w:color w:val="000000"/>
                <w:sz w:val="22"/>
                <w:szCs w:val="22"/>
              </w:rPr>
            </w:pPr>
            <w:r w:rsidRPr="00FA4DC7">
              <w:rPr>
                <w:rFonts w:cs="Arial"/>
                <w:color w:val="000000"/>
                <w:sz w:val="22"/>
                <w:szCs w:val="22"/>
              </w:rPr>
              <w:t>15.4</w:t>
            </w:r>
          </w:p>
        </w:tc>
      </w:tr>
      <w:tr w:rsidR="00CE1BDB" w:rsidRPr="00FA4DC7" w14:paraId="213E8D83" w14:textId="77777777" w:rsidTr="000D492D">
        <w:trPr>
          <w:trHeight w:val="95"/>
        </w:trPr>
        <w:tc>
          <w:tcPr>
            <w:tcW w:w="730" w:type="pct"/>
            <w:shd w:val="clear" w:color="000000" w:fill="FFFFFF"/>
            <w:noWrap/>
            <w:hideMark/>
          </w:tcPr>
          <w:p w14:paraId="7957097C" w14:textId="77777777" w:rsidR="00CE1BDB" w:rsidRPr="00FA4DC7" w:rsidRDefault="00CE1BDB" w:rsidP="00DB5398">
            <w:pPr>
              <w:tabs>
                <w:tab w:val="left" w:pos="0"/>
                <w:tab w:val="left" w:pos="709"/>
                <w:tab w:val="left" w:pos="1418"/>
              </w:tabs>
              <w:rPr>
                <w:rFonts w:cs="Arial"/>
                <w:b/>
                <w:bCs/>
                <w:color w:val="000000"/>
                <w:sz w:val="22"/>
                <w:szCs w:val="22"/>
              </w:rPr>
            </w:pPr>
            <w:r w:rsidRPr="00FA4DC7">
              <w:rPr>
                <w:rFonts w:cs="Arial"/>
                <w:b/>
                <w:bCs/>
                <w:color w:val="000000"/>
                <w:sz w:val="22"/>
                <w:szCs w:val="22"/>
              </w:rPr>
              <w:t>Total</w:t>
            </w:r>
          </w:p>
        </w:tc>
        <w:tc>
          <w:tcPr>
            <w:tcW w:w="730" w:type="pct"/>
            <w:shd w:val="clear" w:color="000000" w:fill="FFFFFF"/>
            <w:noWrap/>
            <w:hideMark/>
          </w:tcPr>
          <w:p w14:paraId="1B13C9EB" w14:textId="77777777" w:rsidR="00CE1BDB" w:rsidRPr="00FA4DC7" w:rsidRDefault="00CE1BDB" w:rsidP="00DB5398">
            <w:pPr>
              <w:tabs>
                <w:tab w:val="left" w:pos="0"/>
                <w:tab w:val="left" w:pos="709"/>
                <w:tab w:val="left" w:pos="1418"/>
              </w:tabs>
              <w:rPr>
                <w:rFonts w:cs="Arial"/>
                <w:b/>
                <w:bCs/>
                <w:color w:val="000000"/>
                <w:sz w:val="22"/>
                <w:szCs w:val="22"/>
              </w:rPr>
            </w:pPr>
          </w:p>
        </w:tc>
        <w:tc>
          <w:tcPr>
            <w:tcW w:w="489" w:type="pct"/>
            <w:shd w:val="clear" w:color="auto" w:fill="auto"/>
            <w:noWrap/>
            <w:vAlign w:val="bottom"/>
          </w:tcPr>
          <w:p w14:paraId="61360E1E" w14:textId="3B27FD07" w:rsidR="00CE1BDB" w:rsidRPr="00FA4DC7" w:rsidRDefault="00CE1BDB" w:rsidP="00DB5398">
            <w:pPr>
              <w:tabs>
                <w:tab w:val="left" w:pos="0"/>
                <w:tab w:val="left" w:pos="709"/>
                <w:tab w:val="left" w:pos="1418"/>
              </w:tabs>
              <w:jc w:val="right"/>
              <w:rPr>
                <w:rFonts w:cs="Arial"/>
                <w:b/>
                <w:bCs/>
                <w:sz w:val="22"/>
                <w:szCs w:val="22"/>
              </w:rPr>
            </w:pPr>
            <w:r w:rsidRPr="00FA4DC7">
              <w:rPr>
                <w:rFonts w:cs="Arial"/>
                <w:b/>
                <w:bCs/>
                <w:color w:val="000000"/>
                <w:sz w:val="22"/>
                <w:szCs w:val="22"/>
              </w:rPr>
              <w:t xml:space="preserve">20,926 </w:t>
            </w:r>
          </w:p>
        </w:tc>
        <w:tc>
          <w:tcPr>
            <w:tcW w:w="489" w:type="pct"/>
            <w:shd w:val="clear" w:color="auto" w:fill="auto"/>
            <w:noWrap/>
            <w:vAlign w:val="bottom"/>
          </w:tcPr>
          <w:p w14:paraId="71C87541" w14:textId="5951BA7A" w:rsidR="00CE1BDB" w:rsidRPr="00FA4DC7" w:rsidRDefault="00CE1BDB" w:rsidP="00DB5398">
            <w:pPr>
              <w:tabs>
                <w:tab w:val="left" w:pos="0"/>
                <w:tab w:val="left" w:pos="709"/>
                <w:tab w:val="left" w:pos="1418"/>
              </w:tabs>
              <w:jc w:val="right"/>
              <w:rPr>
                <w:rFonts w:cs="Arial"/>
                <w:b/>
                <w:bCs/>
                <w:sz w:val="22"/>
                <w:szCs w:val="22"/>
              </w:rPr>
            </w:pPr>
            <w:r w:rsidRPr="00FA4DC7">
              <w:rPr>
                <w:rFonts w:cs="Arial"/>
                <w:b/>
                <w:bCs/>
                <w:color w:val="000000"/>
                <w:sz w:val="22"/>
                <w:szCs w:val="22"/>
              </w:rPr>
              <w:t xml:space="preserve">12,280 </w:t>
            </w:r>
          </w:p>
        </w:tc>
        <w:tc>
          <w:tcPr>
            <w:tcW w:w="510" w:type="pct"/>
            <w:shd w:val="clear" w:color="auto" w:fill="auto"/>
            <w:noWrap/>
            <w:vAlign w:val="bottom"/>
          </w:tcPr>
          <w:p w14:paraId="32472F15" w14:textId="72C17BB3" w:rsidR="00CE1BDB" w:rsidRPr="00FA4DC7" w:rsidRDefault="00CE1BDB" w:rsidP="00DB5398">
            <w:pPr>
              <w:tabs>
                <w:tab w:val="left" w:pos="0"/>
                <w:tab w:val="left" w:pos="709"/>
                <w:tab w:val="left" w:pos="1418"/>
              </w:tabs>
              <w:jc w:val="right"/>
              <w:rPr>
                <w:rFonts w:cs="Arial"/>
                <w:b/>
                <w:bCs/>
                <w:sz w:val="22"/>
                <w:szCs w:val="22"/>
              </w:rPr>
            </w:pPr>
            <w:r w:rsidRPr="00FA4DC7">
              <w:rPr>
                <w:rFonts w:cs="Arial"/>
                <w:b/>
                <w:bCs/>
                <w:color w:val="000000"/>
                <w:sz w:val="22"/>
                <w:szCs w:val="22"/>
              </w:rPr>
              <w:t xml:space="preserve">4,020 </w:t>
            </w:r>
          </w:p>
        </w:tc>
        <w:tc>
          <w:tcPr>
            <w:tcW w:w="489" w:type="pct"/>
            <w:shd w:val="clear" w:color="auto" w:fill="auto"/>
            <w:noWrap/>
            <w:vAlign w:val="bottom"/>
          </w:tcPr>
          <w:p w14:paraId="6FE604D4" w14:textId="79F7A129" w:rsidR="00CE1BDB" w:rsidRPr="00FA4DC7" w:rsidRDefault="00CE1BDB" w:rsidP="00DB5398">
            <w:pPr>
              <w:tabs>
                <w:tab w:val="left" w:pos="0"/>
                <w:tab w:val="left" w:pos="709"/>
                <w:tab w:val="left" w:pos="1418"/>
              </w:tabs>
              <w:jc w:val="right"/>
              <w:rPr>
                <w:rFonts w:cs="Arial"/>
                <w:b/>
                <w:bCs/>
                <w:sz w:val="22"/>
                <w:szCs w:val="22"/>
              </w:rPr>
            </w:pPr>
            <w:r w:rsidRPr="00FA4DC7">
              <w:rPr>
                <w:rFonts w:cs="Arial"/>
                <w:b/>
                <w:bCs/>
                <w:color w:val="000000"/>
                <w:sz w:val="22"/>
                <w:szCs w:val="22"/>
              </w:rPr>
              <w:t xml:space="preserve">2,239 </w:t>
            </w:r>
          </w:p>
        </w:tc>
        <w:tc>
          <w:tcPr>
            <w:tcW w:w="448" w:type="pct"/>
            <w:shd w:val="clear" w:color="auto" w:fill="auto"/>
            <w:noWrap/>
            <w:vAlign w:val="bottom"/>
          </w:tcPr>
          <w:p w14:paraId="66542ECD" w14:textId="2A4D71E4" w:rsidR="00CE1BDB" w:rsidRPr="00FA4DC7" w:rsidRDefault="00CE1BDB" w:rsidP="00DB5398">
            <w:pPr>
              <w:tabs>
                <w:tab w:val="left" w:pos="0"/>
                <w:tab w:val="left" w:pos="709"/>
                <w:tab w:val="left" w:pos="1418"/>
              </w:tabs>
              <w:jc w:val="right"/>
              <w:rPr>
                <w:rFonts w:cs="Arial"/>
                <w:b/>
                <w:bCs/>
                <w:sz w:val="22"/>
                <w:szCs w:val="22"/>
              </w:rPr>
            </w:pPr>
            <w:r w:rsidRPr="00FA4DC7">
              <w:rPr>
                <w:rFonts w:cs="Arial"/>
                <w:b/>
                <w:bCs/>
                <w:color w:val="000000"/>
                <w:sz w:val="22"/>
                <w:szCs w:val="22"/>
              </w:rPr>
              <w:t xml:space="preserve">7,335 </w:t>
            </w:r>
          </w:p>
        </w:tc>
        <w:tc>
          <w:tcPr>
            <w:tcW w:w="610" w:type="pct"/>
            <w:gridSpan w:val="2"/>
            <w:shd w:val="clear" w:color="auto" w:fill="auto"/>
            <w:noWrap/>
          </w:tcPr>
          <w:p w14:paraId="46945CFE"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116,160</w:t>
            </w:r>
          </w:p>
        </w:tc>
        <w:tc>
          <w:tcPr>
            <w:tcW w:w="505" w:type="pct"/>
            <w:gridSpan w:val="2"/>
            <w:shd w:val="clear" w:color="auto" w:fill="auto"/>
            <w:noWrap/>
          </w:tcPr>
          <w:p w14:paraId="44C0530A"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100.0</w:t>
            </w:r>
          </w:p>
        </w:tc>
      </w:tr>
      <w:tr w:rsidR="00CE1BDB" w:rsidRPr="00FA4DC7" w14:paraId="3B5B1C40" w14:textId="77777777" w:rsidTr="000D492D">
        <w:trPr>
          <w:gridAfter w:val="4"/>
          <w:wAfter w:w="1114" w:type="pct"/>
        </w:trPr>
        <w:tc>
          <w:tcPr>
            <w:tcW w:w="730" w:type="pct"/>
            <w:shd w:val="clear" w:color="000000" w:fill="FFFFFF"/>
            <w:noWrap/>
            <w:vAlign w:val="center"/>
            <w:hideMark/>
          </w:tcPr>
          <w:p w14:paraId="77C79D20" w14:textId="77777777" w:rsidR="00CE1BDB" w:rsidRPr="00FA4DC7" w:rsidRDefault="00CE1BDB" w:rsidP="00EF49A7">
            <w:pPr>
              <w:tabs>
                <w:tab w:val="left" w:pos="0"/>
                <w:tab w:val="left" w:pos="709"/>
                <w:tab w:val="left" w:pos="1418"/>
              </w:tabs>
              <w:rPr>
                <w:rFonts w:cs="Arial"/>
                <w:b/>
                <w:bCs/>
                <w:color w:val="000000"/>
                <w:sz w:val="22"/>
                <w:szCs w:val="22"/>
              </w:rPr>
            </w:pPr>
            <w:r w:rsidRPr="00FA4DC7">
              <w:rPr>
                <w:rFonts w:cs="Arial"/>
                <w:b/>
                <w:bCs/>
                <w:color w:val="000000"/>
                <w:sz w:val="22"/>
                <w:szCs w:val="22"/>
              </w:rPr>
              <w:t xml:space="preserve">% </w:t>
            </w:r>
            <w:proofErr w:type="gramStart"/>
            <w:r w:rsidRPr="00FA4DC7">
              <w:rPr>
                <w:rFonts w:cs="Arial"/>
                <w:b/>
                <w:bCs/>
                <w:color w:val="000000"/>
                <w:sz w:val="22"/>
                <w:szCs w:val="22"/>
              </w:rPr>
              <w:t>of</w:t>
            </w:r>
            <w:proofErr w:type="gramEnd"/>
            <w:r w:rsidRPr="00FA4DC7">
              <w:rPr>
                <w:rFonts w:cs="Arial"/>
                <w:b/>
                <w:bCs/>
                <w:color w:val="000000"/>
                <w:sz w:val="22"/>
                <w:szCs w:val="22"/>
              </w:rPr>
              <w:t xml:space="preserve"> all stock</w:t>
            </w:r>
          </w:p>
        </w:tc>
        <w:tc>
          <w:tcPr>
            <w:tcW w:w="730" w:type="pct"/>
            <w:shd w:val="clear" w:color="000000" w:fill="FFFFFF"/>
            <w:noWrap/>
            <w:vAlign w:val="center"/>
            <w:hideMark/>
          </w:tcPr>
          <w:p w14:paraId="3FE3B9DA" w14:textId="77777777" w:rsidR="00CE1BDB" w:rsidRPr="00FA4DC7" w:rsidRDefault="00CE1BDB" w:rsidP="00EF49A7">
            <w:pPr>
              <w:tabs>
                <w:tab w:val="left" w:pos="0"/>
                <w:tab w:val="left" w:pos="709"/>
                <w:tab w:val="left" w:pos="1418"/>
              </w:tabs>
              <w:rPr>
                <w:rFonts w:cs="Arial"/>
                <w:b/>
                <w:bCs/>
                <w:color w:val="000000"/>
                <w:sz w:val="22"/>
                <w:szCs w:val="22"/>
              </w:rPr>
            </w:pPr>
            <w:r w:rsidRPr="00FA4DC7">
              <w:rPr>
                <w:rFonts w:cs="Arial"/>
                <w:b/>
                <w:bCs/>
                <w:color w:val="000000"/>
                <w:sz w:val="22"/>
                <w:szCs w:val="22"/>
              </w:rPr>
              <w:t> </w:t>
            </w:r>
          </w:p>
        </w:tc>
        <w:tc>
          <w:tcPr>
            <w:tcW w:w="489" w:type="pct"/>
            <w:shd w:val="clear" w:color="auto" w:fill="auto"/>
            <w:noWrap/>
            <w:vAlign w:val="bottom"/>
          </w:tcPr>
          <w:p w14:paraId="1E5DC952"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15.7</w:t>
            </w:r>
          </w:p>
        </w:tc>
        <w:tc>
          <w:tcPr>
            <w:tcW w:w="489" w:type="pct"/>
            <w:shd w:val="clear" w:color="auto" w:fill="auto"/>
            <w:noWrap/>
            <w:vAlign w:val="bottom"/>
          </w:tcPr>
          <w:p w14:paraId="0F012290"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8.3</w:t>
            </w:r>
          </w:p>
        </w:tc>
        <w:tc>
          <w:tcPr>
            <w:tcW w:w="510" w:type="pct"/>
            <w:shd w:val="clear" w:color="auto" w:fill="auto"/>
            <w:noWrap/>
            <w:vAlign w:val="bottom"/>
          </w:tcPr>
          <w:p w14:paraId="3997A4A3"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3.5</w:t>
            </w:r>
          </w:p>
        </w:tc>
        <w:tc>
          <w:tcPr>
            <w:tcW w:w="489" w:type="pct"/>
            <w:shd w:val="clear" w:color="auto" w:fill="auto"/>
            <w:noWrap/>
            <w:vAlign w:val="bottom"/>
          </w:tcPr>
          <w:p w14:paraId="0993CF25"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1.5</w:t>
            </w:r>
          </w:p>
        </w:tc>
        <w:tc>
          <w:tcPr>
            <w:tcW w:w="448" w:type="pct"/>
            <w:shd w:val="clear" w:color="auto" w:fill="auto"/>
            <w:noWrap/>
            <w:vAlign w:val="bottom"/>
          </w:tcPr>
          <w:p w14:paraId="067E6E53"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5.5</w:t>
            </w:r>
          </w:p>
        </w:tc>
      </w:tr>
      <w:tr w:rsidR="00CE1BDB" w:rsidRPr="00FA4DC7" w14:paraId="5CA225AD" w14:textId="77777777" w:rsidTr="000D492D">
        <w:trPr>
          <w:gridAfter w:val="4"/>
          <w:wAfter w:w="1114" w:type="pct"/>
        </w:trPr>
        <w:tc>
          <w:tcPr>
            <w:tcW w:w="730" w:type="pct"/>
            <w:shd w:val="clear" w:color="000000" w:fill="FFFFFF"/>
            <w:noWrap/>
            <w:vAlign w:val="center"/>
            <w:hideMark/>
          </w:tcPr>
          <w:p w14:paraId="3157A2A3" w14:textId="77777777" w:rsidR="00CE1BDB" w:rsidRPr="00FA4DC7" w:rsidRDefault="00CE1BDB" w:rsidP="00EF49A7">
            <w:pPr>
              <w:tabs>
                <w:tab w:val="left" w:pos="0"/>
                <w:tab w:val="left" w:pos="709"/>
                <w:tab w:val="left" w:pos="1418"/>
              </w:tabs>
              <w:rPr>
                <w:rFonts w:cs="Arial"/>
                <w:b/>
                <w:bCs/>
                <w:color w:val="000000"/>
                <w:sz w:val="22"/>
                <w:szCs w:val="22"/>
              </w:rPr>
            </w:pPr>
            <w:r w:rsidRPr="00FA4DC7">
              <w:rPr>
                <w:rFonts w:cs="Arial"/>
                <w:b/>
                <w:bCs/>
                <w:color w:val="000000"/>
                <w:sz w:val="22"/>
                <w:szCs w:val="22"/>
              </w:rPr>
              <w:t>National %</w:t>
            </w:r>
          </w:p>
        </w:tc>
        <w:tc>
          <w:tcPr>
            <w:tcW w:w="730" w:type="pct"/>
            <w:shd w:val="clear" w:color="000000" w:fill="FFFFFF"/>
            <w:noWrap/>
            <w:vAlign w:val="center"/>
            <w:hideMark/>
          </w:tcPr>
          <w:p w14:paraId="0A070376" w14:textId="77777777" w:rsidR="00CE1BDB" w:rsidRPr="00FA4DC7" w:rsidRDefault="00CE1BDB" w:rsidP="00EF49A7">
            <w:pPr>
              <w:tabs>
                <w:tab w:val="left" w:pos="0"/>
                <w:tab w:val="left" w:pos="709"/>
                <w:tab w:val="left" w:pos="1418"/>
              </w:tabs>
              <w:rPr>
                <w:rFonts w:cs="Arial"/>
                <w:b/>
                <w:bCs/>
                <w:color w:val="000000"/>
                <w:sz w:val="22"/>
                <w:szCs w:val="22"/>
              </w:rPr>
            </w:pPr>
            <w:r w:rsidRPr="00FA4DC7">
              <w:rPr>
                <w:rFonts w:cs="Arial"/>
                <w:b/>
                <w:bCs/>
                <w:color w:val="000000"/>
                <w:sz w:val="22"/>
                <w:szCs w:val="22"/>
              </w:rPr>
              <w:t> </w:t>
            </w:r>
          </w:p>
        </w:tc>
        <w:tc>
          <w:tcPr>
            <w:tcW w:w="489" w:type="pct"/>
            <w:shd w:val="clear" w:color="000000" w:fill="FFFFFF"/>
            <w:noWrap/>
            <w:vAlign w:val="center"/>
          </w:tcPr>
          <w:p w14:paraId="4A1C7AD7"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20.6</w:t>
            </w:r>
          </w:p>
        </w:tc>
        <w:tc>
          <w:tcPr>
            <w:tcW w:w="489" w:type="pct"/>
            <w:shd w:val="clear" w:color="000000" w:fill="FFFFFF"/>
            <w:noWrap/>
            <w:vAlign w:val="center"/>
          </w:tcPr>
          <w:p w14:paraId="41A1740E"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11.9</w:t>
            </w:r>
          </w:p>
        </w:tc>
        <w:tc>
          <w:tcPr>
            <w:tcW w:w="510" w:type="pct"/>
            <w:shd w:val="clear" w:color="000000" w:fill="FFFFFF"/>
            <w:noWrap/>
            <w:vAlign w:val="center"/>
          </w:tcPr>
          <w:p w14:paraId="69EE10C7"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4.6</w:t>
            </w:r>
          </w:p>
        </w:tc>
        <w:tc>
          <w:tcPr>
            <w:tcW w:w="489" w:type="pct"/>
            <w:shd w:val="clear" w:color="000000" w:fill="FFFFFF"/>
            <w:noWrap/>
            <w:vAlign w:val="center"/>
          </w:tcPr>
          <w:p w14:paraId="6D069E5F"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1.9</w:t>
            </w:r>
          </w:p>
        </w:tc>
        <w:tc>
          <w:tcPr>
            <w:tcW w:w="448" w:type="pct"/>
            <w:shd w:val="clear" w:color="000000" w:fill="FFFFFF"/>
            <w:noWrap/>
            <w:vAlign w:val="center"/>
          </w:tcPr>
          <w:p w14:paraId="31F69AEC" w14:textId="77777777" w:rsidR="00CE1BDB" w:rsidRPr="00FA4DC7" w:rsidRDefault="00CE1BDB" w:rsidP="00DB5398">
            <w:pPr>
              <w:tabs>
                <w:tab w:val="left" w:pos="0"/>
                <w:tab w:val="left" w:pos="709"/>
                <w:tab w:val="left" w:pos="1418"/>
              </w:tabs>
              <w:jc w:val="right"/>
              <w:rPr>
                <w:rFonts w:cs="Arial"/>
                <w:b/>
                <w:bCs/>
                <w:color w:val="000000"/>
                <w:sz w:val="22"/>
                <w:szCs w:val="22"/>
              </w:rPr>
            </w:pPr>
            <w:r w:rsidRPr="00FA4DC7">
              <w:rPr>
                <w:rFonts w:cs="Arial"/>
                <w:b/>
                <w:bCs/>
                <w:color w:val="000000"/>
                <w:sz w:val="22"/>
                <w:szCs w:val="22"/>
              </w:rPr>
              <w:t>7.5</w:t>
            </w:r>
          </w:p>
        </w:tc>
      </w:tr>
    </w:tbl>
    <w:p w14:paraId="538C44CC" w14:textId="77777777" w:rsidR="00CE1BDB" w:rsidRPr="00FA4DC7" w:rsidRDefault="00CE1BDB" w:rsidP="00CE1BDB">
      <w:pPr>
        <w:tabs>
          <w:tab w:val="left" w:pos="0"/>
          <w:tab w:val="left" w:pos="709"/>
          <w:tab w:val="left" w:pos="1418"/>
        </w:tabs>
        <w:rPr>
          <w:rFonts w:cs="Arial"/>
          <w:sz w:val="22"/>
        </w:rPr>
      </w:pPr>
      <w:r w:rsidRPr="00FA4DC7">
        <w:rPr>
          <w:rFonts w:cs="Arial"/>
          <w:sz w:val="22"/>
        </w:rPr>
        <w:t xml:space="preserve">Source: English Housing Survey 2013 data applied to 2020 Valuation Office Agency dwelling stock age </w:t>
      </w:r>
    </w:p>
    <w:p w14:paraId="473835FA" w14:textId="77777777" w:rsidR="00CE1BDB" w:rsidRPr="00FA4DC7" w:rsidRDefault="00CE1BDB" w:rsidP="00CE1BDB">
      <w:pPr>
        <w:tabs>
          <w:tab w:val="left" w:pos="0"/>
          <w:tab w:val="left" w:pos="709"/>
          <w:tab w:val="left" w:pos="1418"/>
        </w:tabs>
        <w:rPr>
          <w:rFonts w:cs="Arial"/>
          <w:sz w:val="22"/>
        </w:rPr>
      </w:pPr>
      <w:r w:rsidRPr="00FA4DC7">
        <w:rPr>
          <w:rFonts w:cs="Arial"/>
          <w:sz w:val="22"/>
        </w:rPr>
        <w:t>Note ‘*’ indicates sample size too small for reliable estimate</w:t>
      </w:r>
    </w:p>
    <w:p w14:paraId="527B98ED" w14:textId="77777777" w:rsidR="00CE1BDB" w:rsidRPr="00FA4DC7" w:rsidRDefault="00CE1BDB" w:rsidP="00CE1BDB">
      <w:pPr>
        <w:pStyle w:val="Heading2"/>
        <w:tabs>
          <w:tab w:val="left" w:pos="0"/>
          <w:tab w:val="left" w:pos="709"/>
          <w:tab w:val="left" w:pos="1418"/>
        </w:tabs>
        <w:rPr>
          <w:rFonts w:cs="Arial"/>
          <w:sz w:val="36"/>
          <w:szCs w:val="32"/>
          <w:highlight w:val="yellow"/>
        </w:rPr>
        <w:sectPr w:rsidR="00CE1BDB" w:rsidRPr="00FA4DC7" w:rsidSect="00EF49A7">
          <w:headerReference w:type="default" r:id="rId21"/>
          <w:pgSz w:w="16838" w:h="11906" w:orient="landscape"/>
          <w:pgMar w:top="1276" w:right="1134" w:bottom="1440" w:left="1440" w:header="709" w:footer="709" w:gutter="0"/>
          <w:cols w:space="708"/>
          <w:docGrid w:linePitch="360"/>
        </w:sectPr>
      </w:pPr>
    </w:p>
    <w:p w14:paraId="6AA6A585" w14:textId="77777777" w:rsidR="00CE1BDB" w:rsidRPr="00FA4DC7" w:rsidRDefault="00CE1BDB" w:rsidP="00CE1BDB">
      <w:pPr>
        <w:pStyle w:val="Reporttext"/>
        <w:rPr>
          <w:rFonts w:cs="Arial"/>
        </w:rPr>
      </w:pPr>
      <w:r w:rsidRPr="00FA4DC7">
        <w:rPr>
          <w:rFonts w:cs="Arial"/>
        </w:rPr>
        <w:lastRenderedPageBreak/>
        <w:t xml:space="preserve">The arc4 national database can provide an indication household satisfaction with the state of repair of accommodation. </w:t>
      </w:r>
      <w:proofErr w:type="gramStart"/>
      <w:r w:rsidRPr="00FA4DC7">
        <w:rPr>
          <w:rFonts w:cs="Arial"/>
        </w:rPr>
        <w:t>Overall</w:t>
      </w:r>
      <w:proofErr w:type="gramEnd"/>
      <w:r w:rsidRPr="00FA4DC7">
        <w:rPr>
          <w:rFonts w:cs="Arial"/>
        </w:rPr>
        <w:t xml:space="preserve"> 80.3% of respondents expressed satisfaction (40.3% were very satisfied and 40% were satisfied); 11.8% were neither satisfied nor dissatisfied. A total of 7.9% expressed degrees of dissatisfaction, of whom 6.2% were dissatisfied and 1.7% were very dissatisfied. </w:t>
      </w:r>
    </w:p>
    <w:p w14:paraId="1628CEF6" w14:textId="77777777" w:rsidR="00CE1BDB" w:rsidRPr="00FA4DC7" w:rsidRDefault="00CE1BDB" w:rsidP="00CE1BDB">
      <w:pPr>
        <w:pStyle w:val="Reporttext"/>
        <w:rPr>
          <w:rFonts w:cs="Arial"/>
        </w:rPr>
      </w:pPr>
      <w:r w:rsidRPr="00FA4DC7">
        <w:rPr>
          <w:rFonts w:cs="Arial"/>
        </w:rPr>
        <w:t xml:space="preserve">Table 2.9 considers how dissatisfaction with state of repair varies by tenure, property type, age and location using the arc4 national database.  Dissatisfaction was highest amongst those living in affordable </w:t>
      </w:r>
      <w:proofErr w:type="gramStart"/>
      <w:r w:rsidRPr="00FA4DC7">
        <w:rPr>
          <w:rFonts w:cs="Arial"/>
        </w:rPr>
        <w:t>housing  (</w:t>
      </w:r>
      <w:proofErr w:type="gramEnd"/>
      <w:r w:rsidRPr="00FA4DC7">
        <w:rPr>
          <w:rFonts w:cs="Arial"/>
        </w:rPr>
        <w:t xml:space="preserve">which is more reflective of tenant expectations of landlord responses to repairs rather than the actual state of repair), those in flats/apartments/maisonettes and those in properties built before 1919. </w:t>
      </w:r>
    </w:p>
    <w:p w14:paraId="36987F92" w14:textId="77777777" w:rsidR="00CE1BDB" w:rsidRPr="00FA4DC7" w:rsidRDefault="00CE1BDB" w:rsidP="00CE1BDB">
      <w:pPr>
        <w:pStyle w:val="Reporttext"/>
        <w:numPr>
          <w:ilvl w:val="0"/>
          <w:numId w:val="0"/>
        </w:numPr>
        <w:ind w:left="709"/>
        <w:rPr>
          <w:rFonts w:cs="Arial"/>
        </w:rPr>
      </w:pPr>
    </w:p>
    <w:tbl>
      <w:tblPr>
        <w:tblW w:w="92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020"/>
        <w:gridCol w:w="1480"/>
        <w:gridCol w:w="1620"/>
        <w:gridCol w:w="2160"/>
      </w:tblGrid>
      <w:tr w:rsidR="00CE1BDB" w:rsidRPr="00FA4DC7" w14:paraId="51574463" w14:textId="77777777" w:rsidTr="00EF49A7">
        <w:tc>
          <w:tcPr>
            <w:tcW w:w="9280" w:type="dxa"/>
            <w:gridSpan w:val="4"/>
            <w:shd w:val="clear" w:color="auto" w:fill="006666"/>
            <w:noWrap/>
            <w:vAlign w:val="center"/>
            <w:hideMark/>
          </w:tcPr>
          <w:p w14:paraId="1362D377" w14:textId="77777777" w:rsidR="00CE1BDB" w:rsidRPr="00FA4DC7" w:rsidRDefault="00CE1BDB" w:rsidP="00EF49A7">
            <w:pPr>
              <w:pStyle w:val="Tableheading1"/>
              <w:rPr>
                <w:rFonts w:cs="Arial"/>
              </w:rPr>
            </w:pPr>
            <w:bookmarkStart w:id="156" w:name="_Toc83036061"/>
            <w:r w:rsidRPr="00FA4DC7">
              <w:rPr>
                <w:rFonts w:cs="Arial"/>
              </w:rPr>
              <w:t>Table 2.9</w:t>
            </w:r>
            <w:r w:rsidRPr="00FA4DC7">
              <w:rPr>
                <w:rFonts w:cs="Arial"/>
              </w:rPr>
              <w:tab/>
              <w:t>Dissatisfaction with quality of accommodation by tenure, property type and property age</w:t>
            </w:r>
            <w:bookmarkEnd w:id="156"/>
          </w:p>
        </w:tc>
      </w:tr>
      <w:tr w:rsidR="00CE1BDB" w:rsidRPr="00FA4DC7" w14:paraId="22622DC0" w14:textId="77777777" w:rsidTr="00EF49A7">
        <w:tc>
          <w:tcPr>
            <w:tcW w:w="4020" w:type="dxa"/>
            <w:shd w:val="clear" w:color="auto" w:fill="006666"/>
            <w:noWrap/>
            <w:vAlign w:val="center"/>
            <w:hideMark/>
          </w:tcPr>
          <w:p w14:paraId="1BE760BC" w14:textId="77777777" w:rsidR="00CE1BDB" w:rsidRPr="00FA4DC7" w:rsidRDefault="00CE1BDB" w:rsidP="00EF49A7">
            <w:pPr>
              <w:rPr>
                <w:rFonts w:cs="Arial"/>
                <w:b/>
                <w:bCs/>
                <w:color w:val="FFFFFF"/>
                <w:sz w:val="22"/>
                <w:szCs w:val="22"/>
              </w:rPr>
            </w:pPr>
            <w:r w:rsidRPr="00FA4DC7">
              <w:rPr>
                <w:rFonts w:cs="Arial"/>
                <w:b/>
                <w:bCs/>
                <w:color w:val="FFFFFF"/>
                <w:sz w:val="22"/>
                <w:szCs w:val="22"/>
              </w:rPr>
              <w:t>Tenure</w:t>
            </w:r>
          </w:p>
        </w:tc>
        <w:tc>
          <w:tcPr>
            <w:tcW w:w="1480" w:type="dxa"/>
            <w:shd w:val="clear" w:color="auto" w:fill="006666"/>
            <w:vAlign w:val="center"/>
            <w:hideMark/>
          </w:tcPr>
          <w:p w14:paraId="1676CCD0"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No. dissatisfied</w:t>
            </w:r>
          </w:p>
        </w:tc>
        <w:tc>
          <w:tcPr>
            <w:tcW w:w="1620" w:type="dxa"/>
            <w:shd w:val="clear" w:color="auto" w:fill="006666"/>
            <w:vAlign w:val="center"/>
            <w:hideMark/>
          </w:tcPr>
          <w:p w14:paraId="669C0A19"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 Dissatisfied</w:t>
            </w:r>
          </w:p>
        </w:tc>
        <w:tc>
          <w:tcPr>
            <w:tcW w:w="2160" w:type="dxa"/>
            <w:shd w:val="clear" w:color="auto" w:fill="006666"/>
            <w:noWrap/>
            <w:vAlign w:val="center"/>
            <w:hideMark/>
          </w:tcPr>
          <w:p w14:paraId="0B3C4650" w14:textId="77777777" w:rsidR="00CE1BDB" w:rsidRPr="00FA4DC7" w:rsidRDefault="00CE1BDB" w:rsidP="00EF49A7">
            <w:pPr>
              <w:jc w:val="center"/>
              <w:rPr>
                <w:rFonts w:cs="Arial"/>
                <w:b/>
                <w:bCs/>
                <w:i/>
                <w:iCs/>
                <w:color w:val="FFFFFF"/>
                <w:sz w:val="22"/>
                <w:szCs w:val="22"/>
              </w:rPr>
            </w:pPr>
            <w:r w:rsidRPr="00FA4DC7">
              <w:rPr>
                <w:rFonts w:cs="Arial"/>
                <w:b/>
                <w:bCs/>
                <w:i/>
                <w:iCs/>
                <w:color w:val="FFFFFF"/>
                <w:sz w:val="22"/>
                <w:szCs w:val="22"/>
              </w:rPr>
              <w:t>Base (households)</w:t>
            </w:r>
          </w:p>
        </w:tc>
      </w:tr>
      <w:tr w:rsidR="00CE1BDB" w:rsidRPr="00FA4DC7" w14:paraId="7582A0EB" w14:textId="77777777" w:rsidTr="00EF49A7">
        <w:tc>
          <w:tcPr>
            <w:tcW w:w="4020" w:type="dxa"/>
            <w:shd w:val="clear" w:color="auto" w:fill="auto"/>
            <w:vAlign w:val="center"/>
            <w:hideMark/>
          </w:tcPr>
          <w:p w14:paraId="2B81EB8E" w14:textId="77777777" w:rsidR="00CE1BDB" w:rsidRPr="00FA4DC7" w:rsidRDefault="00CE1BDB" w:rsidP="00EF49A7">
            <w:pPr>
              <w:rPr>
                <w:rFonts w:cs="Arial"/>
                <w:color w:val="000000"/>
                <w:sz w:val="22"/>
                <w:szCs w:val="22"/>
              </w:rPr>
            </w:pPr>
            <w:r w:rsidRPr="00FA4DC7">
              <w:rPr>
                <w:rFonts w:cs="Arial"/>
                <w:color w:val="000000"/>
                <w:sz w:val="22"/>
                <w:szCs w:val="22"/>
              </w:rPr>
              <w:t>Owner occupier</w:t>
            </w:r>
          </w:p>
        </w:tc>
        <w:tc>
          <w:tcPr>
            <w:tcW w:w="1480" w:type="dxa"/>
            <w:shd w:val="clear" w:color="auto" w:fill="auto"/>
            <w:noWrap/>
            <w:vAlign w:val="center"/>
            <w:hideMark/>
          </w:tcPr>
          <w:p w14:paraId="3236610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68,921</w:t>
            </w:r>
          </w:p>
        </w:tc>
        <w:tc>
          <w:tcPr>
            <w:tcW w:w="1620" w:type="dxa"/>
            <w:shd w:val="clear" w:color="auto" w:fill="auto"/>
            <w:noWrap/>
            <w:vAlign w:val="center"/>
            <w:hideMark/>
          </w:tcPr>
          <w:p w14:paraId="6B353D7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4.9%</w:t>
            </w:r>
          </w:p>
        </w:tc>
        <w:tc>
          <w:tcPr>
            <w:tcW w:w="2160" w:type="dxa"/>
            <w:shd w:val="clear" w:color="auto" w:fill="auto"/>
            <w:noWrap/>
            <w:vAlign w:val="center"/>
            <w:hideMark/>
          </w:tcPr>
          <w:p w14:paraId="74838B4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1,411,032</w:t>
            </w:r>
          </w:p>
        </w:tc>
      </w:tr>
      <w:tr w:rsidR="00CE1BDB" w:rsidRPr="00FA4DC7" w14:paraId="12401126" w14:textId="77777777" w:rsidTr="00EF49A7">
        <w:tc>
          <w:tcPr>
            <w:tcW w:w="4020" w:type="dxa"/>
            <w:shd w:val="clear" w:color="auto" w:fill="auto"/>
            <w:vAlign w:val="center"/>
            <w:hideMark/>
          </w:tcPr>
          <w:p w14:paraId="2F6442E5" w14:textId="77777777" w:rsidR="00CE1BDB" w:rsidRPr="00FA4DC7" w:rsidRDefault="00CE1BDB" w:rsidP="00EF49A7">
            <w:pPr>
              <w:rPr>
                <w:rFonts w:cs="Arial"/>
                <w:color w:val="000000"/>
                <w:sz w:val="22"/>
                <w:szCs w:val="22"/>
              </w:rPr>
            </w:pPr>
            <w:r w:rsidRPr="00FA4DC7">
              <w:rPr>
                <w:rFonts w:cs="Arial"/>
                <w:color w:val="000000"/>
                <w:sz w:val="22"/>
                <w:szCs w:val="22"/>
              </w:rPr>
              <w:t>Private rented</w:t>
            </w:r>
          </w:p>
        </w:tc>
        <w:tc>
          <w:tcPr>
            <w:tcW w:w="1480" w:type="dxa"/>
            <w:shd w:val="clear" w:color="auto" w:fill="auto"/>
            <w:noWrap/>
            <w:vAlign w:val="center"/>
            <w:hideMark/>
          </w:tcPr>
          <w:p w14:paraId="346717D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47,120</w:t>
            </w:r>
          </w:p>
        </w:tc>
        <w:tc>
          <w:tcPr>
            <w:tcW w:w="1620" w:type="dxa"/>
            <w:shd w:val="clear" w:color="auto" w:fill="auto"/>
            <w:noWrap/>
            <w:vAlign w:val="center"/>
            <w:hideMark/>
          </w:tcPr>
          <w:p w14:paraId="720A8C5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15.6%</w:t>
            </w:r>
          </w:p>
        </w:tc>
        <w:tc>
          <w:tcPr>
            <w:tcW w:w="2160" w:type="dxa"/>
            <w:shd w:val="clear" w:color="auto" w:fill="auto"/>
            <w:noWrap/>
            <w:vAlign w:val="center"/>
            <w:hideMark/>
          </w:tcPr>
          <w:p w14:paraId="19B6BB6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302,011</w:t>
            </w:r>
          </w:p>
        </w:tc>
      </w:tr>
      <w:tr w:rsidR="00CE1BDB" w:rsidRPr="00FA4DC7" w14:paraId="4A7DD4AF" w14:textId="77777777" w:rsidTr="00EF49A7">
        <w:tc>
          <w:tcPr>
            <w:tcW w:w="4020" w:type="dxa"/>
            <w:shd w:val="clear" w:color="auto" w:fill="auto"/>
            <w:vAlign w:val="center"/>
            <w:hideMark/>
          </w:tcPr>
          <w:p w14:paraId="3EDE9128" w14:textId="77777777" w:rsidR="00CE1BDB" w:rsidRPr="00FA4DC7" w:rsidRDefault="00CE1BDB" w:rsidP="00EF49A7">
            <w:pPr>
              <w:rPr>
                <w:rFonts w:cs="Arial"/>
                <w:color w:val="000000"/>
                <w:sz w:val="22"/>
                <w:szCs w:val="22"/>
              </w:rPr>
            </w:pPr>
            <w:r w:rsidRPr="00FA4DC7">
              <w:rPr>
                <w:rFonts w:cs="Arial"/>
                <w:color w:val="000000"/>
                <w:sz w:val="22"/>
                <w:szCs w:val="22"/>
              </w:rPr>
              <w:t>Affordable housing</w:t>
            </w:r>
          </w:p>
        </w:tc>
        <w:tc>
          <w:tcPr>
            <w:tcW w:w="1480" w:type="dxa"/>
            <w:shd w:val="clear" w:color="auto" w:fill="auto"/>
            <w:noWrap/>
            <w:vAlign w:val="center"/>
            <w:hideMark/>
          </w:tcPr>
          <w:p w14:paraId="7B7387C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60,029</w:t>
            </w:r>
          </w:p>
        </w:tc>
        <w:tc>
          <w:tcPr>
            <w:tcW w:w="1620" w:type="dxa"/>
            <w:shd w:val="clear" w:color="auto" w:fill="auto"/>
            <w:noWrap/>
            <w:vAlign w:val="center"/>
            <w:hideMark/>
          </w:tcPr>
          <w:p w14:paraId="1A2C5B0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15.1%</w:t>
            </w:r>
          </w:p>
        </w:tc>
        <w:tc>
          <w:tcPr>
            <w:tcW w:w="2160" w:type="dxa"/>
            <w:shd w:val="clear" w:color="auto" w:fill="auto"/>
            <w:noWrap/>
            <w:vAlign w:val="center"/>
            <w:hideMark/>
          </w:tcPr>
          <w:p w14:paraId="32ADA41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398,450</w:t>
            </w:r>
          </w:p>
        </w:tc>
      </w:tr>
      <w:tr w:rsidR="00CE1BDB" w:rsidRPr="00FA4DC7" w14:paraId="572DF78A" w14:textId="77777777" w:rsidTr="00EF49A7">
        <w:tc>
          <w:tcPr>
            <w:tcW w:w="4020" w:type="dxa"/>
            <w:shd w:val="clear" w:color="auto" w:fill="auto"/>
            <w:vAlign w:val="center"/>
            <w:hideMark/>
          </w:tcPr>
          <w:p w14:paraId="585529D8" w14:textId="77777777" w:rsidR="00CE1BDB" w:rsidRPr="00FA4DC7" w:rsidRDefault="00CE1BDB" w:rsidP="00EF49A7">
            <w:pPr>
              <w:rPr>
                <w:rFonts w:cs="Arial"/>
                <w:b/>
                <w:bCs/>
                <w:color w:val="000000"/>
                <w:sz w:val="22"/>
                <w:szCs w:val="22"/>
              </w:rPr>
            </w:pPr>
            <w:r w:rsidRPr="00FA4DC7">
              <w:rPr>
                <w:rFonts w:cs="Arial"/>
                <w:b/>
                <w:bCs/>
                <w:color w:val="000000"/>
                <w:sz w:val="22"/>
                <w:szCs w:val="22"/>
              </w:rPr>
              <w:t>Total (all households)</w:t>
            </w:r>
          </w:p>
        </w:tc>
        <w:tc>
          <w:tcPr>
            <w:tcW w:w="1480" w:type="dxa"/>
            <w:shd w:val="clear" w:color="auto" w:fill="auto"/>
            <w:noWrap/>
            <w:vAlign w:val="bottom"/>
            <w:hideMark/>
          </w:tcPr>
          <w:p w14:paraId="04ACF235" w14:textId="5AB3B823" w:rsidR="00CE1BDB" w:rsidRPr="00FA4DC7" w:rsidRDefault="00CE1BDB" w:rsidP="00DB5398">
            <w:pPr>
              <w:jc w:val="right"/>
              <w:rPr>
                <w:rFonts w:cs="Arial"/>
                <w:color w:val="000000" w:themeColor="text1"/>
                <w:sz w:val="22"/>
                <w:szCs w:val="22"/>
              </w:rPr>
            </w:pPr>
            <w:r w:rsidRPr="00FA4DC7">
              <w:rPr>
                <w:rFonts w:cs="Arial"/>
                <w:color w:val="000000" w:themeColor="text1"/>
                <w:sz w:val="22"/>
                <w:szCs w:val="22"/>
              </w:rPr>
              <w:t>176,070</w:t>
            </w:r>
          </w:p>
        </w:tc>
        <w:tc>
          <w:tcPr>
            <w:tcW w:w="1620" w:type="dxa"/>
            <w:shd w:val="clear" w:color="auto" w:fill="auto"/>
            <w:noWrap/>
            <w:vAlign w:val="center"/>
            <w:hideMark/>
          </w:tcPr>
          <w:p w14:paraId="79D4928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8.3%</w:t>
            </w:r>
          </w:p>
        </w:tc>
        <w:tc>
          <w:tcPr>
            <w:tcW w:w="2160" w:type="dxa"/>
            <w:shd w:val="clear" w:color="auto" w:fill="auto"/>
            <w:noWrap/>
            <w:vAlign w:val="center"/>
            <w:hideMark/>
          </w:tcPr>
          <w:p w14:paraId="07A4C533" w14:textId="3BAC0EAD" w:rsidR="00CE1BDB" w:rsidRPr="00FA4DC7" w:rsidRDefault="00CE1BDB" w:rsidP="00DB5398">
            <w:pPr>
              <w:jc w:val="right"/>
              <w:rPr>
                <w:rFonts w:cs="Arial"/>
                <w:color w:val="000000" w:themeColor="text1"/>
                <w:sz w:val="22"/>
                <w:szCs w:val="22"/>
              </w:rPr>
            </w:pPr>
            <w:r w:rsidRPr="00FA4DC7">
              <w:rPr>
                <w:rFonts w:cs="Arial"/>
                <w:color w:val="000000" w:themeColor="text1"/>
                <w:sz w:val="22"/>
                <w:szCs w:val="22"/>
              </w:rPr>
              <w:t>2,111,493</w:t>
            </w:r>
          </w:p>
        </w:tc>
      </w:tr>
      <w:tr w:rsidR="00CE1BDB" w:rsidRPr="00FA4DC7" w14:paraId="47261ADB" w14:textId="77777777" w:rsidTr="00EF49A7">
        <w:tc>
          <w:tcPr>
            <w:tcW w:w="4020" w:type="dxa"/>
            <w:shd w:val="clear" w:color="auto" w:fill="006666"/>
            <w:noWrap/>
            <w:vAlign w:val="center"/>
            <w:hideMark/>
          </w:tcPr>
          <w:p w14:paraId="197E43F3" w14:textId="77777777" w:rsidR="00CE1BDB" w:rsidRPr="00FA4DC7" w:rsidRDefault="00CE1BDB" w:rsidP="00EF49A7">
            <w:pPr>
              <w:rPr>
                <w:rFonts w:cs="Arial"/>
                <w:b/>
                <w:bCs/>
                <w:color w:val="FFFFFF"/>
                <w:sz w:val="22"/>
                <w:szCs w:val="22"/>
              </w:rPr>
            </w:pPr>
            <w:r w:rsidRPr="00FA4DC7">
              <w:rPr>
                <w:rFonts w:cs="Arial"/>
                <w:b/>
                <w:bCs/>
                <w:color w:val="FFFFFF"/>
                <w:sz w:val="22"/>
                <w:szCs w:val="22"/>
              </w:rPr>
              <w:t>Property Type</w:t>
            </w:r>
          </w:p>
        </w:tc>
        <w:tc>
          <w:tcPr>
            <w:tcW w:w="1480" w:type="dxa"/>
            <w:shd w:val="clear" w:color="auto" w:fill="006666"/>
            <w:vAlign w:val="center"/>
            <w:hideMark/>
          </w:tcPr>
          <w:p w14:paraId="1C017A73" w14:textId="77777777" w:rsidR="00CE1BDB" w:rsidRPr="00FA4DC7" w:rsidRDefault="00CE1BDB" w:rsidP="00EF49A7">
            <w:pPr>
              <w:jc w:val="center"/>
              <w:rPr>
                <w:rFonts w:cs="Arial"/>
                <w:b/>
                <w:bCs/>
                <w:color w:val="000000" w:themeColor="text1"/>
                <w:sz w:val="22"/>
                <w:szCs w:val="22"/>
              </w:rPr>
            </w:pPr>
            <w:r w:rsidRPr="00FA4DC7">
              <w:rPr>
                <w:rFonts w:cs="Arial"/>
                <w:b/>
                <w:bCs/>
                <w:color w:val="FFFFFF"/>
                <w:sz w:val="22"/>
                <w:szCs w:val="22"/>
              </w:rPr>
              <w:t>No. dissatisfied</w:t>
            </w:r>
          </w:p>
        </w:tc>
        <w:tc>
          <w:tcPr>
            <w:tcW w:w="1620" w:type="dxa"/>
            <w:shd w:val="clear" w:color="auto" w:fill="006666"/>
            <w:vAlign w:val="center"/>
            <w:hideMark/>
          </w:tcPr>
          <w:p w14:paraId="7FC357F4" w14:textId="77777777" w:rsidR="00CE1BDB" w:rsidRPr="00FA4DC7" w:rsidRDefault="00CE1BDB" w:rsidP="00EF49A7">
            <w:pPr>
              <w:jc w:val="center"/>
              <w:rPr>
                <w:rFonts w:cs="Arial"/>
                <w:b/>
                <w:bCs/>
                <w:color w:val="000000" w:themeColor="text1"/>
                <w:sz w:val="22"/>
                <w:szCs w:val="22"/>
              </w:rPr>
            </w:pPr>
            <w:r w:rsidRPr="00FA4DC7">
              <w:rPr>
                <w:rFonts w:cs="Arial"/>
                <w:b/>
                <w:bCs/>
                <w:color w:val="FFFFFF"/>
                <w:sz w:val="22"/>
                <w:szCs w:val="22"/>
              </w:rPr>
              <w:t>% Dissatisfied</w:t>
            </w:r>
          </w:p>
        </w:tc>
        <w:tc>
          <w:tcPr>
            <w:tcW w:w="2160" w:type="dxa"/>
            <w:shd w:val="clear" w:color="auto" w:fill="006666"/>
            <w:noWrap/>
            <w:vAlign w:val="center"/>
            <w:hideMark/>
          </w:tcPr>
          <w:p w14:paraId="0412251A" w14:textId="77777777" w:rsidR="00CE1BDB" w:rsidRPr="00FA4DC7" w:rsidRDefault="00CE1BDB" w:rsidP="00EF49A7">
            <w:pPr>
              <w:jc w:val="center"/>
              <w:rPr>
                <w:rFonts w:cs="Arial"/>
                <w:b/>
                <w:bCs/>
                <w:i/>
                <w:iCs/>
                <w:color w:val="000000" w:themeColor="text1"/>
                <w:sz w:val="22"/>
                <w:szCs w:val="22"/>
              </w:rPr>
            </w:pPr>
            <w:r w:rsidRPr="00FA4DC7">
              <w:rPr>
                <w:rFonts w:cs="Arial"/>
                <w:b/>
                <w:bCs/>
                <w:i/>
                <w:iCs/>
                <w:color w:val="FFFFFF"/>
                <w:sz w:val="22"/>
                <w:szCs w:val="22"/>
              </w:rPr>
              <w:t>Base (households)</w:t>
            </w:r>
          </w:p>
        </w:tc>
      </w:tr>
      <w:tr w:rsidR="00CE1BDB" w:rsidRPr="00FA4DC7" w14:paraId="3F8B8558" w14:textId="77777777" w:rsidTr="00EF49A7">
        <w:tc>
          <w:tcPr>
            <w:tcW w:w="4020" w:type="dxa"/>
            <w:shd w:val="clear" w:color="auto" w:fill="auto"/>
            <w:noWrap/>
            <w:vAlign w:val="center"/>
            <w:hideMark/>
          </w:tcPr>
          <w:p w14:paraId="1BE1172E" w14:textId="77777777" w:rsidR="00CE1BDB" w:rsidRPr="00FA4DC7" w:rsidRDefault="00CE1BDB" w:rsidP="00EF49A7">
            <w:pPr>
              <w:rPr>
                <w:rFonts w:cs="Arial"/>
                <w:color w:val="000000"/>
                <w:sz w:val="22"/>
                <w:szCs w:val="22"/>
              </w:rPr>
            </w:pPr>
            <w:r w:rsidRPr="00FA4DC7">
              <w:rPr>
                <w:rFonts w:cs="Arial"/>
                <w:color w:val="000000"/>
                <w:sz w:val="22"/>
                <w:szCs w:val="22"/>
              </w:rPr>
              <w:t>Detached house</w:t>
            </w:r>
          </w:p>
        </w:tc>
        <w:tc>
          <w:tcPr>
            <w:tcW w:w="1480" w:type="dxa"/>
            <w:shd w:val="clear" w:color="auto" w:fill="auto"/>
            <w:noWrap/>
            <w:vAlign w:val="center"/>
            <w:hideMark/>
          </w:tcPr>
          <w:p w14:paraId="25430E7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12,979</w:t>
            </w:r>
          </w:p>
        </w:tc>
        <w:tc>
          <w:tcPr>
            <w:tcW w:w="1620" w:type="dxa"/>
            <w:shd w:val="clear" w:color="auto" w:fill="auto"/>
            <w:noWrap/>
            <w:vAlign w:val="center"/>
            <w:hideMark/>
          </w:tcPr>
          <w:p w14:paraId="188E9B0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3.3%</w:t>
            </w:r>
          </w:p>
        </w:tc>
        <w:tc>
          <w:tcPr>
            <w:tcW w:w="2160" w:type="dxa"/>
            <w:shd w:val="clear" w:color="auto" w:fill="auto"/>
            <w:noWrap/>
            <w:vAlign w:val="center"/>
            <w:hideMark/>
          </w:tcPr>
          <w:p w14:paraId="31DE7DC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393,336</w:t>
            </w:r>
          </w:p>
        </w:tc>
      </w:tr>
      <w:tr w:rsidR="00CE1BDB" w:rsidRPr="00FA4DC7" w14:paraId="5A1FD3E4" w14:textId="77777777" w:rsidTr="00EF49A7">
        <w:tc>
          <w:tcPr>
            <w:tcW w:w="4020" w:type="dxa"/>
            <w:shd w:val="clear" w:color="auto" w:fill="auto"/>
            <w:noWrap/>
            <w:vAlign w:val="center"/>
            <w:hideMark/>
          </w:tcPr>
          <w:p w14:paraId="66876333" w14:textId="77777777" w:rsidR="00CE1BDB" w:rsidRPr="00FA4DC7" w:rsidRDefault="00CE1BDB" w:rsidP="00EF49A7">
            <w:pPr>
              <w:rPr>
                <w:rFonts w:cs="Arial"/>
                <w:color w:val="000000"/>
                <w:sz w:val="22"/>
                <w:szCs w:val="22"/>
              </w:rPr>
            </w:pPr>
            <w:r w:rsidRPr="00FA4DC7">
              <w:rPr>
                <w:rFonts w:cs="Arial"/>
                <w:color w:val="000000"/>
                <w:sz w:val="22"/>
                <w:szCs w:val="22"/>
              </w:rPr>
              <w:t>Semi-detached house</w:t>
            </w:r>
          </w:p>
        </w:tc>
        <w:tc>
          <w:tcPr>
            <w:tcW w:w="1480" w:type="dxa"/>
            <w:shd w:val="clear" w:color="auto" w:fill="auto"/>
            <w:noWrap/>
            <w:vAlign w:val="center"/>
            <w:hideMark/>
          </w:tcPr>
          <w:p w14:paraId="72F57A6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57,169</w:t>
            </w:r>
          </w:p>
        </w:tc>
        <w:tc>
          <w:tcPr>
            <w:tcW w:w="1620" w:type="dxa"/>
            <w:shd w:val="clear" w:color="auto" w:fill="auto"/>
            <w:noWrap/>
            <w:vAlign w:val="center"/>
            <w:hideMark/>
          </w:tcPr>
          <w:p w14:paraId="4E65002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7.4%</w:t>
            </w:r>
          </w:p>
        </w:tc>
        <w:tc>
          <w:tcPr>
            <w:tcW w:w="2160" w:type="dxa"/>
            <w:shd w:val="clear" w:color="auto" w:fill="auto"/>
            <w:noWrap/>
            <w:vAlign w:val="center"/>
            <w:hideMark/>
          </w:tcPr>
          <w:p w14:paraId="13C3D06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769,151</w:t>
            </w:r>
          </w:p>
        </w:tc>
      </w:tr>
      <w:tr w:rsidR="00CE1BDB" w:rsidRPr="00FA4DC7" w14:paraId="6083C926" w14:textId="77777777" w:rsidTr="00EF49A7">
        <w:tc>
          <w:tcPr>
            <w:tcW w:w="4020" w:type="dxa"/>
            <w:shd w:val="clear" w:color="auto" w:fill="auto"/>
            <w:noWrap/>
            <w:vAlign w:val="center"/>
            <w:hideMark/>
          </w:tcPr>
          <w:p w14:paraId="1210BA0E" w14:textId="77777777" w:rsidR="00CE1BDB" w:rsidRPr="00FA4DC7" w:rsidRDefault="00CE1BDB" w:rsidP="00EF49A7">
            <w:pPr>
              <w:rPr>
                <w:rFonts w:cs="Arial"/>
                <w:color w:val="000000"/>
                <w:sz w:val="22"/>
                <w:szCs w:val="22"/>
              </w:rPr>
            </w:pPr>
            <w:r w:rsidRPr="00FA4DC7">
              <w:rPr>
                <w:rFonts w:cs="Arial"/>
                <w:color w:val="000000"/>
                <w:sz w:val="22"/>
                <w:szCs w:val="22"/>
              </w:rPr>
              <w:t>Terraced house / town house</w:t>
            </w:r>
          </w:p>
        </w:tc>
        <w:tc>
          <w:tcPr>
            <w:tcW w:w="1480" w:type="dxa"/>
            <w:shd w:val="clear" w:color="auto" w:fill="auto"/>
            <w:noWrap/>
            <w:vAlign w:val="center"/>
            <w:hideMark/>
          </w:tcPr>
          <w:p w14:paraId="26BE77F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56,652</w:t>
            </w:r>
          </w:p>
        </w:tc>
        <w:tc>
          <w:tcPr>
            <w:tcW w:w="1620" w:type="dxa"/>
            <w:shd w:val="clear" w:color="auto" w:fill="auto"/>
            <w:noWrap/>
            <w:vAlign w:val="center"/>
            <w:hideMark/>
          </w:tcPr>
          <w:p w14:paraId="740D002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11.1%</w:t>
            </w:r>
          </w:p>
        </w:tc>
        <w:tc>
          <w:tcPr>
            <w:tcW w:w="2160" w:type="dxa"/>
            <w:shd w:val="clear" w:color="auto" w:fill="auto"/>
            <w:noWrap/>
            <w:vAlign w:val="center"/>
            <w:hideMark/>
          </w:tcPr>
          <w:p w14:paraId="31CB54D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509,020</w:t>
            </w:r>
          </w:p>
        </w:tc>
      </w:tr>
      <w:tr w:rsidR="00CE1BDB" w:rsidRPr="00FA4DC7" w14:paraId="7EA20A86" w14:textId="77777777" w:rsidTr="00EF49A7">
        <w:tc>
          <w:tcPr>
            <w:tcW w:w="4020" w:type="dxa"/>
            <w:shd w:val="clear" w:color="auto" w:fill="auto"/>
            <w:noWrap/>
            <w:vAlign w:val="center"/>
            <w:hideMark/>
          </w:tcPr>
          <w:p w14:paraId="3AC8A45A" w14:textId="77777777" w:rsidR="00CE1BDB" w:rsidRPr="00FA4DC7" w:rsidRDefault="00CE1BDB" w:rsidP="00EF49A7">
            <w:pPr>
              <w:rPr>
                <w:rFonts w:cs="Arial"/>
                <w:color w:val="000000"/>
                <w:sz w:val="22"/>
                <w:szCs w:val="22"/>
              </w:rPr>
            </w:pPr>
            <w:r w:rsidRPr="00FA4DC7">
              <w:rPr>
                <w:rFonts w:cs="Arial"/>
                <w:color w:val="000000"/>
                <w:sz w:val="22"/>
                <w:szCs w:val="22"/>
              </w:rPr>
              <w:t>Bungalow</w:t>
            </w:r>
          </w:p>
        </w:tc>
        <w:tc>
          <w:tcPr>
            <w:tcW w:w="1480" w:type="dxa"/>
            <w:shd w:val="clear" w:color="auto" w:fill="auto"/>
            <w:noWrap/>
            <w:vAlign w:val="center"/>
            <w:hideMark/>
          </w:tcPr>
          <w:p w14:paraId="3E55D99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14,180</w:t>
            </w:r>
          </w:p>
        </w:tc>
        <w:tc>
          <w:tcPr>
            <w:tcW w:w="1620" w:type="dxa"/>
            <w:shd w:val="clear" w:color="auto" w:fill="auto"/>
            <w:noWrap/>
            <w:vAlign w:val="center"/>
            <w:hideMark/>
          </w:tcPr>
          <w:p w14:paraId="7E89B8A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5.9%</w:t>
            </w:r>
          </w:p>
        </w:tc>
        <w:tc>
          <w:tcPr>
            <w:tcW w:w="2160" w:type="dxa"/>
            <w:shd w:val="clear" w:color="auto" w:fill="auto"/>
            <w:noWrap/>
            <w:vAlign w:val="center"/>
            <w:hideMark/>
          </w:tcPr>
          <w:p w14:paraId="047E5C2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241,361</w:t>
            </w:r>
          </w:p>
        </w:tc>
      </w:tr>
      <w:tr w:rsidR="00CE1BDB" w:rsidRPr="00FA4DC7" w14:paraId="0D93E1AA" w14:textId="77777777" w:rsidTr="00EF49A7">
        <w:tc>
          <w:tcPr>
            <w:tcW w:w="4020" w:type="dxa"/>
            <w:shd w:val="clear" w:color="auto" w:fill="auto"/>
            <w:noWrap/>
            <w:vAlign w:val="center"/>
            <w:hideMark/>
          </w:tcPr>
          <w:p w14:paraId="297AA606" w14:textId="77777777" w:rsidR="00CE1BDB" w:rsidRPr="00FA4DC7" w:rsidRDefault="00CE1BDB" w:rsidP="00EF49A7">
            <w:pPr>
              <w:rPr>
                <w:rFonts w:cs="Arial"/>
                <w:color w:val="000000"/>
                <w:sz w:val="22"/>
                <w:szCs w:val="22"/>
              </w:rPr>
            </w:pPr>
            <w:r w:rsidRPr="00FA4DC7">
              <w:rPr>
                <w:rFonts w:cs="Arial"/>
                <w:color w:val="000000"/>
                <w:sz w:val="22"/>
                <w:szCs w:val="22"/>
              </w:rPr>
              <w:t>Maisonette</w:t>
            </w:r>
          </w:p>
        </w:tc>
        <w:tc>
          <w:tcPr>
            <w:tcW w:w="1480" w:type="dxa"/>
            <w:shd w:val="clear" w:color="auto" w:fill="auto"/>
            <w:noWrap/>
            <w:vAlign w:val="center"/>
            <w:hideMark/>
          </w:tcPr>
          <w:p w14:paraId="61400B05"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2,381</w:t>
            </w:r>
          </w:p>
        </w:tc>
        <w:tc>
          <w:tcPr>
            <w:tcW w:w="1620" w:type="dxa"/>
            <w:shd w:val="clear" w:color="auto" w:fill="auto"/>
            <w:noWrap/>
            <w:vAlign w:val="center"/>
            <w:hideMark/>
          </w:tcPr>
          <w:p w14:paraId="70F3ACA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14.8%</w:t>
            </w:r>
          </w:p>
        </w:tc>
        <w:tc>
          <w:tcPr>
            <w:tcW w:w="2160" w:type="dxa"/>
            <w:shd w:val="clear" w:color="auto" w:fill="auto"/>
            <w:noWrap/>
            <w:vAlign w:val="center"/>
            <w:hideMark/>
          </w:tcPr>
          <w:p w14:paraId="4F33B42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16,070</w:t>
            </w:r>
          </w:p>
        </w:tc>
      </w:tr>
      <w:tr w:rsidR="00CE1BDB" w:rsidRPr="00FA4DC7" w14:paraId="060D9275" w14:textId="77777777" w:rsidTr="00EF49A7">
        <w:tc>
          <w:tcPr>
            <w:tcW w:w="4020" w:type="dxa"/>
            <w:shd w:val="clear" w:color="auto" w:fill="auto"/>
            <w:noWrap/>
            <w:vAlign w:val="center"/>
            <w:hideMark/>
          </w:tcPr>
          <w:p w14:paraId="7D44FCE3" w14:textId="77777777" w:rsidR="00CE1BDB" w:rsidRPr="00FA4DC7" w:rsidRDefault="00CE1BDB" w:rsidP="00EF49A7">
            <w:pPr>
              <w:rPr>
                <w:rFonts w:cs="Arial"/>
                <w:color w:val="000000"/>
                <w:sz w:val="22"/>
                <w:szCs w:val="22"/>
              </w:rPr>
            </w:pPr>
            <w:r w:rsidRPr="00FA4DC7">
              <w:rPr>
                <w:rFonts w:cs="Arial"/>
                <w:color w:val="000000"/>
                <w:sz w:val="22"/>
                <w:szCs w:val="22"/>
              </w:rPr>
              <w:t>Flat / apartment</w:t>
            </w:r>
          </w:p>
        </w:tc>
        <w:tc>
          <w:tcPr>
            <w:tcW w:w="1480" w:type="dxa"/>
            <w:shd w:val="clear" w:color="auto" w:fill="auto"/>
            <w:noWrap/>
            <w:vAlign w:val="center"/>
            <w:hideMark/>
          </w:tcPr>
          <w:p w14:paraId="5AA6914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30,251</w:t>
            </w:r>
          </w:p>
        </w:tc>
        <w:tc>
          <w:tcPr>
            <w:tcW w:w="1620" w:type="dxa"/>
            <w:shd w:val="clear" w:color="auto" w:fill="auto"/>
            <w:noWrap/>
            <w:vAlign w:val="center"/>
            <w:hideMark/>
          </w:tcPr>
          <w:p w14:paraId="431FC0D5"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10.8%</w:t>
            </w:r>
          </w:p>
        </w:tc>
        <w:tc>
          <w:tcPr>
            <w:tcW w:w="2160" w:type="dxa"/>
            <w:shd w:val="clear" w:color="auto" w:fill="auto"/>
            <w:noWrap/>
            <w:vAlign w:val="center"/>
            <w:hideMark/>
          </w:tcPr>
          <w:p w14:paraId="3435912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279,655</w:t>
            </w:r>
          </w:p>
        </w:tc>
      </w:tr>
      <w:tr w:rsidR="00CE1BDB" w:rsidRPr="00FA4DC7" w14:paraId="0945E347" w14:textId="77777777" w:rsidTr="00EF49A7">
        <w:tc>
          <w:tcPr>
            <w:tcW w:w="4020" w:type="dxa"/>
            <w:shd w:val="clear" w:color="auto" w:fill="auto"/>
            <w:noWrap/>
            <w:vAlign w:val="center"/>
            <w:hideMark/>
          </w:tcPr>
          <w:p w14:paraId="51B84275" w14:textId="77777777" w:rsidR="00CE1BDB" w:rsidRPr="00FA4DC7" w:rsidRDefault="00CE1BDB" w:rsidP="00EF49A7">
            <w:pPr>
              <w:rPr>
                <w:rFonts w:cs="Arial"/>
                <w:color w:val="000000"/>
                <w:sz w:val="22"/>
                <w:szCs w:val="22"/>
              </w:rPr>
            </w:pPr>
            <w:r w:rsidRPr="00FA4DC7">
              <w:rPr>
                <w:rFonts w:cs="Arial"/>
                <w:color w:val="000000"/>
                <w:sz w:val="22"/>
                <w:szCs w:val="22"/>
              </w:rPr>
              <w:t>Caravan/part home / other</w:t>
            </w:r>
          </w:p>
        </w:tc>
        <w:tc>
          <w:tcPr>
            <w:tcW w:w="1480" w:type="dxa"/>
            <w:shd w:val="clear" w:color="auto" w:fill="auto"/>
            <w:noWrap/>
            <w:vAlign w:val="center"/>
            <w:hideMark/>
          </w:tcPr>
          <w:p w14:paraId="24DA65F0"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1,137</w:t>
            </w:r>
          </w:p>
        </w:tc>
        <w:tc>
          <w:tcPr>
            <w:tcW w:w="1620" w:type="dxa"/>
            <w:shd w:val="clear" w:color="auto" w:fill="auto"/>
            <w:noWrap/>
            <w:vAlign w:val="center"/>
            <w:hideMark/>
          </w:tcPr>
          <w:p w14:paraId="69855D1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8.0%</w:t>
            </w:r>
          </w:p>
        </w:tc>
        <w:tc>
          <w:tcPr>
            <w:tcW w:w="2160" w:type="dxa"/>
            <w:shd w:val="clear" w:color="auto" w:fill="auto"/>
            <w:noWrap/>
            <w:vAlign w:val="center"/>
            <w:hideMark/>
          </w:tcPr>
          <w:p w14:paraId="3C50F7F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14,230</w:t>
            </w:r>
          </w:p>
        </w:tc>
      </w:tr>
      <w:tr w:rsidR="00CE1BDB" w:rsidRPr="00FA4DC7" w14:paraId="15C733B8" w14:textId="77777777" w:rsidTr="00EF49A7">
        <w:trPr>
          <w:trHeight w:val="311"/>
        </w:trPr>
        <w:tc>
          <w:tcPr>
            <w:tcW w:w="4020" w:type="dxa"/>
            <w:shd w:val="clear" w:color="auto" w:fill="auto"/>
            <w:noWrap/>
            <w:vAlign w:val="center"/>
            <w:hideMark/>
          </w:tcPr>
          <w:p w14:paraId="592CC9C6" w14:textId="77777777" w:rsidR="00CE1BDB" w:rsidRPr="00FA4DC7" w:rsidRDefault="00CE1BDB" w:rsidP="00EF49A7">
            <w:pPr>
              <w:rPr>
                <w:rFonts w:cs="Arial"/>
                <w:b/>
                <w:bCs/>
                <w:color w:val="000000"/>
                <w:sz w:val="22"/>
                <w:szCs w:val="22"/>
              </w:rPr>
            </w:pPr>
            <w:r w:rsidRPr="00FA4DC7">
              <w:rPr>
                <w:rFonts w:cs="Arial"/>
                <w:b/>
                <w:bCs/>
                <w:color w:val="000000"/>
                <w:sz w:val="22"/>
                <w:szCs w:val="22"/>
              </w:rPr>
              <w:t>Total (all households)</w:t>
            </w:r>
          </w:p>
        </w:tc>
        <w:tc>
          <w:tcPr>
            <w:tcW w:w="1480" w:type="dxa"/>
            <w:shd w:val="clear" w:color="auto" w:fill="auto"/>
            <w:noWrap/>
            <w:vAlign w:val="center"/>
            <w:hideMark/>
          </w:tcPr>
          <w:p w14:paraId="26458680"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174,749</w:t>
            </w:r>
          </w:p>
          <w:p w14:paraId="5445A09C" w14:textId="77777777" w:rsidR="00CE1BDB" w:rsidRPr="00FA4DC7" w:rsidRDefault="00CE1BDB" w:rsidP="00EF49A7">
            <w:pPr>
              <w:jc w:val="right"/>
              <w:rPr>
                <w:rFonts w:cs="Arial"/>
                <w:color w:val="000000" w:themeColor="text1"/>
                <w:sz w:val="22"/>
                <w:szCs w:val="22"/>
              </w:rPr>
            </w:pPr>
          </w:p>
        </w:tc>
        <w:tc>
          <w:tcPr>
            <w:tcW w:w="1620" w:type="dxa"/>
            <w:shd w:val="clear" w:color="auto" w:fill="auto"/>
            <w:noWrap/>
            <w:vAlign w:val="center"/>
            <w:hideMark/>
          </w:tcPr>
          <w:p w14:paraId="0E2F5EC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7.9%</w:t>
            </w:r>
          </w:p>
        </w:tc>
        <w:tc>
          <w:tcPr>
            <w:tcW w:w="2160" w:type="dxa"/>
            <w:shd w:val="clear" w:color="auto" w:fill="auto"/>
            <w:noWrap/>
            <w:vAlign w:val="center"/>
            <w:hideMark/>
          </w:tcPr>
          <w:p w14:paraId="4A53FDE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2,222,823</w:t>
            </w:r>
          </w:p>
          <w:p w14:paraId="133FE880" w14:textId="77777777" w:rsidR="00CE1BDB" w:rsidRPr="00FA4DC7" w:rsidRDefault="00CE1BDB" w:rsidP="00EF49A7">
            <w:pPr>
              <w:jc w:val="right"/>
              <w:rPr>
                <w:rFonts w:cs="Arial"/>
                <w:color w:val="000000" w:themeColor="text1"/>
                <w:sz w:val="22"/>
                <w:szCs w:val="22"/>
              </w:rPr>
            </w:pPr>
          </w:p>
        </w:tc>
      </w:tr>
      <w:tr w:rsidR="00CE1BDB" w:rsidRPr="00FA4DC7" w14:paraId="0F6B634A" w14:textId="77777777" w:rsidTr="00EF49A7">
        <w:tc>
          <w:tcPr>
            <w:tcW w:w="4020" w:type="dxa"/>
            <w:shd w:val="clear" w:color="auto" w:fill="006666"/>
            <w:noWrap/>
            <w:vAlign w:val="center"/>
            <w:hideMark/>
          </w:tcPr>
          <w:p w14:paraId="1617DCAF" w14:textId="77777777" w:rsidR="00CE1BDB" w:rsidRPr="00FA4DC7" w:rsidRDefault="00CE1BDB" w:rsidP="00EF49A7">
            <w:pPr>
              <w:rPr>
                <w:rFonts w:cs="Arial"/>
                <w:b/>
                <w:bCs/>
                <w:color w:val="FFFFFF"/>
                <w:sz w:val="22"/>
                <w:szCs w:val="22"/>
              </w:rPr>
            </w:pPr>
            <w:r w:rsidRPr="00FA4DC7">
              <w:rPr>
                <w:rFonts w:cs="Arial"/>
                <w:b/>
                <w:bCs/>
                <w:color w:val="FFFFFF"/>
                <w:sz w:val="22"/>
                <w:szCs w:val="22"/>
              </w:rPr>
              <w:t>Property Age</w:t>
            </w:r>
          </w:p>
        </w:tc>
        <w:tc>
          <w:tcPr>
            <w:tcW w:w="1480" w:type="dxa"/>
            <w:shd w:val="clear" w:color="auto" w:fill="006666"/>
            <w:vAlign w:val="center"/>
            <w:hideMark/>
          </w:tcPr>
          <w:p w14:paraId="2C79D9F3" w14:textId="77777777" w:rsidR="00CE1BDB" w:rsidRPr="00FA4DC7" w:rsidRDefault="00CE1BDB" w:rsidP="00EF49A7">
            <w:pPr>
              <w:jc w:val="center"/>
              <w:rPr>
                <w:rFonts w:cs="Arial"/>
                <w:b/>
                <w:bCs/>
                <w:color w:val="000000" w:themeColor="text1"/>
                <w:sz w:val="22"/>
                <w:szCs w:val="22"/>
              </w:rPr>
            </w:pPr>
            <w:r w:rsidRPr="00FA4DC7">
              <w:rPr>
                <w:rFonts w:cs="Arial"/>
                <w:b/>
                <w:bCs/>
                <w:color w:val="FFFFFF"/>
                <w:sz w:val="22"/>
                <w:szCs w:val="22"/>
              </w:rPr>
              <w:t>No. dissatisfied</w:t>
            </w:r>
          </w:p>
        </w:tc>
        <w:tc>
          <w:tcPr>
            <w:tcW w:w="1620" w:type="dxa"/>
            <w:shd w:val="clear" w:color="auto" w:fill="006666"/>
            <w:vAlign w:val="center"/>
            <w:hideMark/>
          </w:tcPr>
          <w:p w14:paraId="59AB17D7" w14:textId="77777777" w:rsidR="00CE1BDB" w:rsidRPr="00FA4DC7" w:rsidRDefault="00CE1BDB" w:rsidP="00EF49A7">
            <w:pPr>
              <w:jc w:val="center"/>
              <w:rPr>
                <w:rFonts w:cs="Arial"/>
                <w:b/>
                <w:bCs/>
                <w:color w:val="000000" w:themeColor="text1"/>
                <w:sz w:val="22"/>
                <w:szCs w:val="22"/>
              </w:rPr>
            </w:pPr>
            <w:r w:rsidRPr="00FA4DC7">
              <w:rPr>
                <w:rFonts w:cs="Arial"/>
                <w:b/>
                <w:bCs/>
                <w:color w:val="FFFFFF"/>
                <w:sz w:val="22"/>
                <w:szCs w:val="22"/>
              </w:rPr>
              <w:t>% Dissatisfied</w:t>
            </w:r>
          </w:p>
        </w:tc>
        <w:tc>
          <w:tcPr>
            <w:tcW w:w="2160" w:type="dxa"/>
            <w:shd w:val="clear" w:color="auto" w:fill="006666"/>
            <w:noWrap/>
            <w:vAlign w:val="center"/>
            <w:hideMark/>
          </w:tcPr>
          <w:p w14:paraId="13BE87C6" w14:textId="77777777" w:rsidR="00CE1BDB" w:rsidRPr="00FA4DC7" w:rsidRDefault="00CE1BDB" w:rsidP="00EF49A7">
            <w:pPr>
              <w:jc w:val="center"/>
              <w:rPr>
                <w:rFonts w:cs="Arial"/>
                <w:b/>
                <w:bCs/>
                <w:i/>
                <w:iCs/>
                <w:color w:val="000000" w:themeColor="text1"/>
                <w:sz w:val="22"/>
                <w:szCs w:val="22"/>
              </w:rPr>
            </w:pPr>
            <w:r w:rsidRPr="00FA4DC7">
              <w:rPr>
                <w:rFonts w:cs="Arial"/>
                <w:b/>
                <w:bCs/>
                <w:i/>
                <w:iCs/>
                <w:color w:val="FFFFFF"/>
                <w:sz w:val="22"/>
                <w:szCs w:val="22"/>
              </w:rPr>
              <w:t>Base (households)</w:t>
            </w:r>
          </w:p>
        </w:tc>
      </w:tr>
      <w:tr w:rsidR="00CE1BDB" w:rsidRPr="00FA4DC7" w14:paraId="62AF032C" w14:textId="77777777" w:rsidTr="00EF49A7">
        <w:tc>
          <w:tcPr>
            <w:tcW w:w="4020" w:type="dxa"/>
            <w:shd w:val="clear" w:color="auto" w:fill="auto"/>
            <w:noWrap/>
            <w:vAlign w:val="center"/>
            <w:hideMark/>
          </w:tcPr>
          <w:p w14:paraId="25CCD5BE" w14:textId="77777777" w:rsidR="00CE1BDB" w:rsidRPr="00FA4DC7" w:rsidRDefault="00CE1BDB" w:rsidP="00EF49A7">
            <w:pPr>
              <w:rPr>
                <w:rFonts w:cs="Arial"/>
                <w:color w:val="000000"/>
                <w:sz w:val="22"/>
                <w:szCs w:val="22"/>
              </w:rPr>
            </w:pPr>
            <w:r w:rsidRPr="00FA4DC7">
              <w:rPr>
                <w:rFonts w:cs="Arial"/>
                <w:color w:val="000000"/>
                <w:sz w:val="22"/>
                <w:szCs w:val="22"/>
              </w:rPr>
              <w:t>Pre 1919</w:t>
            </w:r>
          </w:p>
        </w:tc>
        <w:tc>
          <w:tcPr>
            <w:tcW w:w="1480" w:type="dxa"/>
            <w:shd w:val="clear" w:color="auto" w:fill="auto"/>
            <w:noWrap/>
            <w:vAlign w:val="center"/>
            <w:hideMark/>
          </w:tcPr>
          <w:p w14:paraId="3E3094E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31,900</w:t>
            </w:r>
          </w:p>
        </w:tc>
        <w:tc>
          <w:tcPr>
            <w:tcW w:w="1620" w:type="dxa"/>
            <w:shd w:val="clear" w:color="auto" w:fill="auto"/>
            <w:noWrap/>
            <w:vAlign w:val="center"/>
            <w:hideMark/>
          </w:tcPr>
          <w:p w14:paraId="68CDCC5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9.2%</w:t>
            </w:r>
          </w:p>
        </w:tc>
        <w:tc>
          <w:tcPr>
            <w:tcW w:w="2160" w:type="dxa"/>
            <w:shd w:val="clear" w:color="auto" w:fill="auto"/>
            <w:noWrap/>
            <w:vAlign w:val="center"/>
            <w:hideMark/>
          </w:tcPr>
          <w:p w14:paraId="3A26198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345,450</w:t>
            </w:r>
          </w:p>
        </w:tc>
      </w:tr>
      <w:tr w:rsidR="00CE1BDB" w:rsidRPr="00FA4DC7" w14:paraId="0DAB09CE" w14:textId="77777777" w:rsidTr="00EF49A7">
        <w:tc>
          <w:tcPr>
            <w:tcW w:w="4020" w:type="dxa"/>
            <w:shd w:val="clear" w:color="auto" w:fill="auto"/>
            <w:noWrap/>
            <w:vAlign w:val="center"/>
            <w:hideMark/>
          </w:tcPr>
          <w:p w14:paraId="6F199DBA" w14:textId="77777777" w:rsidR="00CE1BDB" w:rsidRPr="00FA4DC7" w:rsidRDefault="00CE1BDB" w:rsidP="00EF49A7">
            <w:pPr>
              <w:rPr>
                <w:rFonts w:cs="Arial"/>
                <w:color w:val="000000"/>
                <w:sz w:val="22"/>
                <w:szCs w:val="22"/>
              </w:rPr>
            </w:pPr>
            <w:r w:rsidRPr="00FA4DC7">
              <w:rPr>
                <w:rFonts w:cs="Arial"/>
                <w:color w:val="000000"/>
                <w:sz w:val="22"/>
                <w:szCs w:val="22"/>
              </w:rPr>
              <w:t>1919 to 1944</w:t>
            </w:r>
          </w:p>
        </w:tc>
        <w:tc>
          <w:tcPr>
            <w:tcW w:w="1480" w:type="dxa"/>
            <w:shd w:val="clear" w:color="auto" w:fill="auto"/>
            <w:noWrap/>
            <w:vAlign w:val="center"/>
            <w:hideMark/>
          </w:tcPr>
          <w:p w14:paraId="44C4D43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28,837</w:t>
            </w:r>
          </w:p>
        </w:tc>
        <w:tc>
          <w:tcPr>
            <w:tcW w:w="1620" w:type="dxa"/>
            <w:shd w:val="clear" w:color="auto" w:fill="auto"/>
            <w:noWrap/>
            <w:vAlign w:val="center"/>
            <w:hideMark/>
          </w:tcPr>
          <w:p w14:paraId="4E0F291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7.8%</w:t>
            </w:r>
          </w:p>
        </w:tc>
        <w:tc>
          <w:tcPr>
            <w:tcW w:w="2160" w:type="dxa"/>
            <w:shd w:val="clear" w:color="auto" w:fill="auto"/>
            <w:noWrap/>
            <w:vAlign w:val="center"/>
            <w:hideMark/>
          </w:tcPr>
          <w:p w14:paraId="36A9082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368,929</w:t>
            </w:r>
          </w:p>
        </w:tc>
      </w:tr>
      <w:tr w:rsidR="00CE1BDB" w:rsidRPr="00FA4DC7" w14:paraId="5F065B28" w14:textId="77777777" w:rsidTr="00EF49A7">
        <w:tc>
          <w:tcPr>
            <w:tcW w:w="4020" w:type="dxa"/>
            <w:shd w:val="clear" w:color="auto" w:fill="auto"/>
            <w:noWrap/>
            <w:vAlign w:val="center"/>
            <w:hideMark/>
          </w:tcPr>
          <w:p w14:paraId="75A3CF71" w14:textId="77777777" w:rsidR="00CE1BDB" w:rsidRPr="00FA4DC7" w:rsidRDefault="00CE1BDB" w:rsidP="00EF49A7">
            <w:pPr>
              <w:rPr>
                <w:rFonts w:cs="Arial"/>
                <w:color w:val="000000"/>
                <w:sz w:val="22"/>
                <w:szCs w:val="22"/>
              </w:rPr>
            </w:pPr>
            <w:r w:rsidRPr="00FA4DC7">
              <w:rPr>
                <w:rFonts w:cs="Arial"/>
                <w:color w:val="000000"/>
                <w:sz w:val="22"/>
                <w:szCs w:val="22"/>
              </w:rPr>
              <w:t>1945 to 1964</w:t>
            </w:r>
          </w:p>
        </w:tc>
        <w:tc>
          <w:tcPr>
            <w:tcW w:w="1480" w:type="dxa"/>
            <w:shd w:val="clear" w:color="auto" w:fill="auto"/>
            <w:noWrap/>
            <w:vAlign w:val="center"/>
            <w:hideMark/>
          </w:tcPr>
          <w:p w14:paraId="285A175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34,089</w:t>
            </w:r>
          </w:p>
        </w:tc>
        <w:tc>
          <w:tcPr>
            <w:tcW w:w="1620" w:type="dxa"/>
            <w:shd w:val="clear" w:color="auto" w:fill="auto"/>
            <w:noWrap/>
            <w:vAlign w:val="center"/>
            <w:hideMark/>
          </w:tcPr>
          <w:p w14:paraId="233D3C3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8.7%</w:t>
            </w:r>
          </w:p>
        </w:tc>
        <w:tc>
          <w:tcPr>
            <w:tcW w:w="2160" w:type="dxa"/>
            <w:shd w:val="clear" w:color="auto" w:fill="auto"/>
            <w:noWrap/>
            <w:vAlign w:val="center"/>
            <w:hideMark/>
          </w:tcPr>
          <w:p w14:paraId="7F3CEAB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393,492</w:t>
            </w:r>
          </w:p>
        </w:tc>
      </w:tr>
      <w:tr w:rsidR="00CE1BDB" w:rsidRPr="00FA4DC7" w14:paraId="0FF27D10" w14:textId="77777777" w:rsidTr="00EF49A7">
        <w:tc>
          <w:tcPr>
            <w:tcW w:w="4020" w:type="dxa"/>
            <w:shd w:val="clear" w:color="auto" w:fill="auto"/>
            <w:noWrap/>
            <w:vAlign w:val="center"/>
            <w:hideMark/>
          </w:tcPr>
          <w:p w14:paraId="11E3E92C" w14:textId="77777777" w:rsidR="00CE1BDB" w:rsidRPr="00FA4DC7" w:rsidRDefault="00CE1BDB" w:rsidP="00EF49A7">
            <w:pPr>
              <w:rPr>
                <w:rFonts w:cs="Arial"/>
                <w:color w:val="000000"/>
                <w:sz w:val="22"/>
                <w:szCs w:val="22"/>
              </w:rPr>
            </w:pPr>
            <w:r w:rsidRPr="00FA4DC7">
              <w:rPr>
                <w:rFonts w:cs="Arial"/>
                <w:color w:val="000000"/>
                <w:sz w:val="22"/>
                <w:szCs w:val="22"/>
              </w:rPr>
              <w:t>1965 to 1984</w:t>
            </w:r>
          </w:p>
        </w:tc>
        <w:tc>
          <w:tcPr>
            <w:tcW w:w="1480" w:type="dxa"/>
            <w:shd w:val="clear" w:color="auto" w:fill="auto"/>
            <w:noWrap/>
            <w:vAlign w:val="center"/>
            <w:hideMark/>
          </w:tcPr>
          <w:p w14:paraId="6F74F61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24,663</w:t>
            </w:r>
          </w:p>
        </w:tc>
        <w:tc>
          <w:tcPr>
            <w:tcW w:w="1620" w:type="dxa"/>
            <w:shd w:val="clear" w:color="auto" w:fill="auto"/>
            <w:noWrap/>
            <w:vAlign w:val="center"/>
            <w:hideMark/>
          </w:tcPr>
          <w:p w14:paraId="751146D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5.7%</w:t>
            </w:r>
          </w:p>
        </w:tc>
        <w:tc>
          <w:tcPr>
            <w:tcW w:w="2160" w:type="dxa"/>
            <w:shd w:val="clear" w:color="auto" w:fill="auto"/>
            <w:noWrap/>
            <w:vAlign w:val="center"/>
            <w:hideMark/>
          </w:tcPr>
          <w:p w14:paraId="32D77D6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432,180</w:t>
            </w:r>
          </w:p>
        </w:tc>
      </w:tr>
      <w:tr w:rsidR="00CE1BDB" w:rsidRPr="00FA4DC7" w14:paraId="7B37A445" w14:textId="77777777" w:rsidTr="00EF49A7">
        <w:tc>
          <w:tcPr>
            <w:tcW w:w="4020" w:type="dxa"/>
            <w:shd w:val="clear" w:color="auto" w:fill="auto"/>
            <w:noWrap/>
            <w:vAlign w:val="center"/>
            <w:hideMark/>
          </w:tcPr>
          <w:p w14:paraId="64B47B78" w14:textId="77777777" w:rsidR="00CE1BDB" w:rsidRPr="00FA4DC7" w:rsidRDefault="00CE1BDB" w:rsidP="00EF49A7">
            <w:pPr>
              <w:rPr>
                <w:rFonts w:cs="Arial"/>
                <w:color w:val="000000"/>
                <w:sz w:val="22"/>
                <w:szCs w:val="22"/>
              </w:rPr>
            </w:pPr>
            <w:r w:rsidRPr="00FA4DC7">
              <w:rPr>
                <w:rFonts w:cs="Arial"/>
                <w:color w:val="000000"/>
                <w:sz w:val="22"/>
                <w:szCs w:val="22"/>
              </w:rPr>
              <w:t>1985 to 2004</w:t>
            </w:r>
          </w:p>
        </w:tc>
        <w:tc>
          <w:tcPr>
            <w:tcW w:w="1480" w:type="dxa"/>
            <w:shd w:val="clear" w:color="auto" w:fill="auto"/>
            <w:noWrap/>
            <w:vAlign w:val="center"/>
            <w:hideMark/>
          </w:tcPr>
          <w:p w14:paraId="7AF18E5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9,251</w:t>
            </w:r>
          </w:p>
        </w:tc>
        <w:tc>
          <w:tcPr>
            <w:tcW w:w="1620" w:type="dxa"/>
            <w:shd w:val="clear" w:color="auto" w:fill="auto"/>
            <w:noWrap/>
            <w:vAlign w:val="center"/>
            <w:hideMark/>
          </w:tcPr>
          <w:p w14:paraId="1FEDD6E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3.4%</w:t>
            </w:r>
          </w:p>
        </w:tc>
        <w:tc>
          <w:tcPr>
            <w:tcW w:w="2160" w:type="dxa"/>
            <w:shd w:val="clear" w:color="auto" w:fill="auto"/>
            <w:noWrap/>
            <w:vAlign w:val="center"/>
            <w:hideMark/>
          </w:tcPr>
          <w:p w14:paraId="025B14B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274,004</w:t>
            </w:r>
          </w:p>
        </w:tc>
      </w:tr>
      <w:tr w:rsidR="00CE1BDB" w:rsidRPr="00FA4DC7" w14:paraId="7DD7E21A" w14:textId="77777777" w:rsidTr="00EF49A7">
        <w:tc>
          <w:tcPr>
            <w:tcW w:w="4020" w:type="dxa"/>
            <w:shd w:val="clear" w:color="auto" w:fill="auto"/>
            <w:noWrap/>
            <w:vAlign w:val="center"/>
            <w:hideMark/>
          </w:tcPr>
          <w:p w14:paraId="20A5F6D0" w14:textId="77777777" w:rsidR="00CE1BDB" w:rsidRPr="00FA4DC7" w:rsidRDefault="00CE1BDB" w:rsidP="00EF49A7">
            <w:pPr>
              <w:rPr>
                <w:rFonts w:cs="Arial"/>
                <w:color w:val="000000"/>
                <w:sz w:val="22"/>
                <w:szCs w:val="22"/>
              </w:rPr>
            </w:pPr>
            <w:r w:rsidRPr="00FA4DC7">
              <w:rPr>
                <w:rFonts w:cs="Arial"/>
                <w:color w:val="000000"/>
                <w:sz w:val="22"/>
                <w:szCs w:val="22"/>
              </w:rPr>
              <w:t>2005 onwards</w:t>
            </w:r>
          </w:p>
        </w:tc>
        <w:tc>
          <w:tcPr>
            <w:tcW w:w="1480" w:type="dxa"/>
            <w:shd w:val="clear" w:color="auto" w:fill="auto"/>
            <w:noWrap/>
            <w:vAlign w:val="center"/>
            <w:hideMark/>
          </w:tcPr>
          <w:p w14:paraId="19FA4AD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4,102</w:t>
            </w:r>
          </w:p>
        </w:tc>
        <w:tc>
          <w:tcPr>
            <w:tcW w:w="1620" w:type="dxa"/>
            <w:shd w:val="clear" w:color="auto" w:fill="auto"/>
            <w:noWrap/>
            <w:vAlign w:val="center"/>
            <w:hideMark/>
          </w:tcPr>
          <w:p w14:paraId="3215628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2.9%</w:t>
            </w:r>
          </w:p>
        </w:tc>
        <w:tc>
          <w:tcPr>
            <w:tcW w:w="2160" w:type="dxa"/>
            <w:shd w:val="clear" w:color="auto" w:fill="auto"/>
            <w:noWrap/>
            <w:vAlign w:val="center"/>
            <w:hideMark/>
          </w:tcPr>
          <w:p w14:paraId="7970F79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142,868</w:t>
            </w:r>
          </w:p>
        </w:tc>
      </w:tr>
      <w:tr w:rsidR="00CE1BDB" w:rsidRPr="00FA4DC7" w14:paraId="5C7712B7" w14:textId="77777777" w:rsidTr="00EF49A7">
        <w:tc>
          <w:tcPr>
            <w:tcW w:w="4020" w:type="dxa"/>
            <w:shd w:val="clear" w:color="auto" w:fill="auto"/>
            <w:noWrap/>
            <w:vAlign w:val="center"/>
            <w:hideMark/>
          </w:tcPr>
          <w:p w14:paraId="5E09F5C1" w14:textId="77777777" w:rsidR="00CE1BDB" w:rsidRPr="00FA4DC7" w:rsidRDefault="00CE1BDB" w:rsidP="00EF49A7">
            <w:pPr>
              <w:rPr>
                <w:rFonts w:cs="Arial"/>
                <w:color w:val="000000"/>
                <w:sz w:val="22"/>
                <w:szCs w:val="22"/>
              </w:rPr>
            </w:pPr>
            <w:r w:rsidRPr="00FA4DC7">
              <w:rPr>
                <w:rFonts w:cs="Arial"/>
                <w:color w:val="000000"/>
                <w:sz w:val="22"/>
                <w:szCs w:val="22"/>
              </w:rPr>
              <w:t>Don't know</w:t>
            </w:r>
          </w:p>
        </w:tc>
        <w:tc>
          <w:tcPr>
            <w:tcW w:w="1480" w:type="dxa"/>
            <w:shd w:val="clear" w:color="auto" w:fill="auto"/>
            <w:noWrap/>
            <w:vAlign w:val="center"/>
            <w:hideMark/>
          </w:tcPr>
          <w:p w14:paraId="3F25E61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31,900</w:t>
            </w:r>
          </w:p>
        </w:tc>
        <w:tc>
          <w:tcPr>
            <w:tcW w:w="1620" w:type="dxa"/>
            <w:shd w:val="clear" w:color="auto" w:fill="auto"/>
            <w:noWrap/>
            <w:vAlign w:val="center"/>
            <w:hideMark/>
          </w:tcPr>
          <w:p w14:paraId="2BFA1A8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9.2%</w:t>
            </w:r>
          </w:p>
        </w:tc>
        <w:tc>
          <w:tcPr>
            <w:tcW w:w="2160" w:type="dxa"/>
            <w:shd w:val="clear" w:color="auto" w:fill="auto"/>
            <w:noWrap/>
            <w:vAlign w:val="center"/>
            <w:hideMark/>
          </w:tcPr>
          <w:p w14:paraId="34D7F8F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345,450</w:t>
            </w:r>
          </w:p>
        </w:tc>
      </w:tr>
      <w:tr w:rsidR="00CE1BDB" w:rsidRPr="00FA4DC7" w14:paraId="52742FC6" w14:textId="77777777" w:rsidTr="00EF49A7">
        <w:tc>
          <w:tcPr>
            <w:tcW w:w="4020" w:type="dxa"/>
            <w:shd w:val="clear" w:color="auto" w:fill="auto"/>
            <w:noWrap/>
            <w:vAlign w:val="center"/>
            <w:hideMark/>
          </w:tcPr>
          <w:p w14:paraId="5F15E167" w14:textId="77777777" w:rsidR="00CE1BDB" w:rsidRPr="00FA4DC7" w:rsidRDefault="00CE1BDB" w:rsidP="00EF49A7">
            <w:pPr>
              <w:rPr>
                <w:rFonts w:cs="Arial"/>
                <w:b/>
                <w:bCs/>
                <w:color w:val="000000"/>
                <w:sz w:val="22"/>
                <w:szCs w:val="22"/>
              </w:rPr>
            </w:pPr>
            <w:r w:rsidRPr="00FA4DC7">
              <w:rPr>
                <w:rFonts w:cs="Arial"/>
                <w:b/>
                <w:bCs/>
                <w:color w:val="000000"/>
                <w:sz w:val="22"/>
                <w:szCs w:val="22"/>
              </w:rPr>
              <w:t>Total (households responding)</w:t>
            </w:r>
          </w:p>
        </w:tc>
        <w:tc>
          <w:tcPr>
            <w:tcW w:w="1480" w:type="dxa"/>
            <w:shd w:val="clear" w:color="auto" w:fill="auto"/>
            <w:noWrap/>
            <w:vAlign w:val="center"/>
            <w:hideMark/>
          </w:tcPr>
          <w:p w14:paraId="65750DF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132,842</w:t>
            </w:r>
          </w:p>
        </w:tc>
        <w:tc>
          <w:tcPr>
            <w:tcW w:w="1620" w:type="dxa"/>
            <w:shd w:val="clear" w:color="auto" w:fill="auto"/>
            <w:noWrap/>
            <w:vAlign w:val="center"/>
            <w:hideMark/>
          </w:tcPr>
          <w:p w14:paraId="56A5F65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6.79%</w:t>
            </w:r>
          </w:p>
        </w:tc>
        <w:tc>
          <w:tcPr>
            <w:tcW w:w="2160" w:type="dxa"/>
            <w:shd w:val="clear" w:color="auto" w:fill="auto"/>
            <w:noWrap/>
            <w:vAlign w:val="center"/>
            <w:hideMark/>
          </w:tcPr>
          <w:p w14:paraId="37E7CB6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1,956,923</w:t>
            </w:r>
          </w:p>
        </w:tc>
      </w:tr>
    </w:tbl>
    <w:p w14:paraId="4E599F96" w14:textId="77777777" w:rsidR="00CE1BDB" w:rsidRPr="00FA4DC7" w:rsidRDefault="00CE1BDB" w:rsidP="00CE1BDB">
      <w:pPr>
        <w:rPr>
          <w:rFonts w:cs="Arial"/>
        </w:rPr>
      </w:pPr>
      <w:r w:rsidRPr="00FA4DC7">
        <w:rPr>
          <w:rFonts w:cs="Arial"/>
          <w:sz w:val="22"/>
          <w:szCs w:val="22"/>
        </w:rPr>
        <w:t>Source: arc4 national database. Note base figure vary due to missing responses from households</w:t>
      </w:r>
    </w:p>
    <w:p w14:paraId="5F4C2378" w14:textId="77777777" w:rsidR="00CE1BDB" w:rsidRPr="00FA4DC7" w:rsidRDefault="00CE1BDB" w:rsidP="00DB5398"/>
    <w:p w14:paraId="1B6F8414" w14:textId="77777777" w:rsidR="00DB5398" w:rsidRDefault="00DB5398">
      <w:pPr>
        <w:rPr>
          <w:rFonts w:cs="Arial"/>
          <w:bCs/>
          <w:iCs/>
          <w:color w:val="006666"/>
          <w:sz w:val="32"/>
          <w:szCs w:val="28"/>
          <w:lang w:eastAsia="en-US"/>
        </w:rPr>
      </w:pPr>
      <w:r>
        <w:rPr>
          <w:rFonts w:cs="Arial"/>
        </w:rPr>
        <w:br w:type="page"/>
      </w:r>
    </w:p>
    <w:p w14:paraId="06F9949B" w14:textId="1F4B00EF" w:rsidR="00CE1BDB" w:rsidRPr="00FA4DC7" w:rsidRDefault="00CE1BDB" w:rsidP="00CE1BDB">
      <w:pPr>
        <w:pStyle w:val="Heading2"/>
        <w:tabs>
          <w:tab w:val="left" w:pos="0"/>
          <w:tab w:val="left" w:pos="709"/>
          <w:tab w:val="left" w:pos="1418"/>
        </w:tabs>
        <w:rPr>
          <w:rFonts w:cs="Arial"/>
        </w:rPr>
      </w:pPr>
      <w:bookmarkStart w:id="157" w:name="_Toc83035644"/>
      <w:r w:rsidRPr="00FA4DC7">
        <w:rPr>
          <w:rFonts w:cs="Arial"/>
        </w:rPr>
        <w:lastRenderedPageBreak/>
        <w:t>Housing tenure</w:t>
      </w:r>
      <w:bookmarkEnd w:id="157"/>
    </w:p>
    <w:p w14:paraId="2FC6A1E7" w14:textId="77777777" w:rsidR="00CE1BDB" w:rsidRPr="00FA4DC7" w:rsidRDefault="00CE1BDB" w:rsidP="00CE1BDB">
      <w:pPr>
        <w:pStyle w:val="Reporttext"/>
        <w:tabs>
          <w:tab w:val="left" w:pos="709"/>
          <w:tab w:val="left" w:pos="1418"/>
        </w:tabs>
        <w:rPr>
          <w:rFonts w:cs="Arial"/>
        </w:rPr>
      </w:pPr>
      <w:r w:rsidRPr="00FA4DC7">
        <w:rPr>
          <w:rFonts w:cs="Arial"/>
        </w:rPr>
        <w:t xml:space="preserve">The tenure profile by </w:t>
      </w:r>
      <w:proofErr w:type="spellStart"/>
      <w:r w:rsidRPr="00FA4DC7">
        <w:rPr>
          <w:rFonts w:cs="Arial"/>
        </w:rPr>
        <w:t>ward</w:t>
      </w:r>
      <w:proofErr w:type="spellEnd"/>
      <w:r w:rsidRPr="00FA4DC7">
        <w:rPr>
          <w:rFonts w:cs="Arial"/>
        </w:rPr>
        <w:t xml:space="preserve"> is presented in Table 2.10a and for other geographies in Table 2.10b. This is based on the 2011 Census. Overall, 67.7% of occupied dwellings are owner-occupied, 18.1% are private rented (including tied accommodation and student housing) and 14.2% are affordable (including social rented from a council or housing association and shared ownership). There are considerable variations in tenure profile by ward, PGA and NPS as show in Tables 2.10a and 2.10b. </w:t>
      </w:r>
    </w:p>
    <w:p w14:paraId="723DD91B" w14:textId="77777777" w:rsidR="00CE1BDB" w:rsidRPr="00FA4DC7" w:rsidRDefault="00CE1BDB" w:rsidP="00CE1BDB">
      <w:pPr>
        <w:rPr>
          <w:rFonts w:cs="Arial"/>
          <w:highlight w:val="yellow"/>
          <w:lang w:eastAsia="en-US"/>
        </w:rPr>
      </w:pPr>
    </w:p>
    <w:tbl>
      <w:tblPr>
        <w:tblW w:w="940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182"/>
        <w:gridCol w:w="950"/>
        <w:gridCol w:w="1316"/>
        <w:gridCol w:w="1060"/>
        <w:gridCol w:w="1067"/>
      </w:tblGrid>
      <w:tr w:rsidR="00CE1BDB" w:rsidRPr="00FA4DC7" w14:paraId="396C519D" w14:textId="77777777" w:rsidTr="00DB5398">
        <w:trPr>
          <w:trHeight w:val="320"/>
        </w:trPr>
        <w:tc>
          <w:tcPr>
            <w:tcW w:w="9409" w:type="dxa"/>
            <w:gridSpan w:val="6"/>
            <w:shd w:val="clear" w:color="auto" w:fill="006666"/>
            <w:noWrap/>
            <w:vAlign w:val="center"/>
          </w:tcPr>
          <w:p w14:paraId="49BED7DF" w14:textId="77777777" w:rsidR="00CE1BDB" w:rsidRPr="00FA4DC7" w:rsidRDefault="00CE1BDB" w:rsidP="00EF49A7">
            <w:pPr>
              <w:pStyle w:val="Tableheading1"/>
              <w:rPr>
                <w:rFonts w:cs="Arial"/>
                <w:b w:val="0"/>
                <w:bCs w:val="0"/>
                <w:color w:val="FFFFFF"/>
                <w:szCs w:val="22"/>
              </w:rPr>
            </w:pPr>
            <w:bookmarkStart w:id="158" w:name="_Toc83036062"/>
            <w:r w:rsidRPr="00FA4DC7">
              <w:rPr>
                <w:rFonts w:cs="Arial"/>
              </w:rPr>
              <w:t>Table</w:t>
            </w:r>
            <w:r w:rsidRPr="00FA4DC7">
              <w:rPr>
                <w:rFonts w:cs="Arial"/>
                <w:color w:val="FFFFFF"/>
                <w:szCs w:val="22"/>
              </w:rPr>
              <w:t xml:space="preserve"> 2.10a</w:t>
            </w:r>
            <w:r w:rsidRPr="00FA4DC7">
              <w:rPr>
                <w:rFonts w:cs="Arial"/>
                <w:color w:val="FFFFFF"/>
                <w:szCs w:val="22"/>
              </w:rPr>
              <w:tab/>
              <w:t>Tenure profile by ward</w:t>
            </w:r>
            <w:bookmarkEnd w:id="158"/>
          </w:p>
        </w:tc>
      </w:tr>
      <w:tr w:rsidR="00CE1BDB" w:rsidRPr="00FA4DC7" w14:paraId="615B2199" w14:textId="77777777" w:rsidTr="00DB5398">
        <w:trPr>
          <w:trHeight w:val="320"/>
        </w:trPr>
        <w:tc>
          <w:tcPr>
            <w:tcW w:w="3834" w:type="dxa"/>
            <w:vMerge w:val="restart"/>
            <w:shd w:val="clear" w:color="auto" w:fill="006666"/>
            <w:noWrap/>
            <w:vAlign w:val="bottom"/>
            <w:hideMark/>
          </w:tcPr>
          <w:p w14:paraId="0B83D871" w14:textId="77777777" w:rsidR="00CE1BDB" w:rsidRPr="00FA4DC7" w:rsidRDefault="00CE1BDB" w:rsidP="00DB5398">
            <w:pPr>
              <w:rPr>
                <w:rFonts w:cs="Arial"/>
                <w:b/>
                <w:bCs/>
                <w:color w:val="FFFFFF"/>
                <w:sz w:val="22"/>
                <w:szCs w:val="22"/>
              </w:rPr>
            </w:pPr>
            <w:bookmarkStart w:id="159" w:name="_Toc359010014"/>
            <w:bookmarkStart w:id="160" w:name="_Toc490775594"/>
            <w:bookmarkStart w:id="161" w:name="_Toc46497063"/>
            <w:r w:rsidRPr="00FA4DC7">
              <w:rPr>
                <w:rFonts w:cs="Arial"/>
                <w:b/>
                <w:bCs/>
                <w:color w:val="FFFFFF"/>
                <w:sz w:val="22"/>
                <w:szCs w:val="22"/>
              </w:rPr>
              <w:t>Ward</w:t>
            </w:r>
          </w:p>
        </w:tc>
        <w:tc>
          <w:tcPr>
            <w:tcW w:w="3448" w:type="dxa"/>
            <w:gridSpan w:val="3"/>
            <w:shd w:val="clear" w:color="auto" w:fill="006666"/>
            <w:noWrap/>
            <w:vAlign w:val="bottom"/>
            <w:hideMark/>
          </w:tcPr>
          <w:p w14:paraId="5C1329CF" w14:textId="77777777" w:rsidR="00CE1BDB" w:rsidRPr="00FA4DC7" w:rsidRDefault="00CE1BDB" w:rsidP="00DB5398">
            <w:pPr>
              <w:jc w:val="center"/>
              <w:rPr>
                <w:rFonts w:cs="Arial"/>
                <w:b/>
                <w:bCs/>
                <w:color w:val="FFFFFF"/>
                <w:sz w:val="22"/>
                <w:szCs w:val="22"/>
              </w:rPr>
            </w:pPr>
            <w:r w:rsidRPr="00FA4DC7">
              <w:rPr>
                <w:rFonts w:cs="Arial"/>
                <w:b/>
                <w:bCs/>
                <w:color w:val="FFFFFF"/>
                <w:sz w:val="22"/>
                <w:szCs w:val="22"/>
              </w:rPr>
              <w:t>Tenure (%)</w:t>
            </w:r>
          </w:p>
        </w:tc>
        <w:tc>
          <w:tcPr>
            <w:tcW w:w="1060" w:type="dxa"/>
            <w:vMerge w:val="restart"/>
            <w:shd w:val="clear" w:color="auto" w:fill="006666"/>
            <w:noWrap/>
            <w:vAlign w:val="bottom"/>
            <w:hideMark/>
          </w:tcPr>
          <w:p w14:paraId="6637E455" w14:textId="77777777" w:rsidR="00CE1BDB" w:rsidRPr="00FA4DC7" w:rsidRDefault="00CE1BDB" w:rsidP="00DB5398">
            <w:pPr>
              <w:jc w:val="center"/>
              <w:rPr>
                <w:rFonts w:cs="Arial"/>
                <w:b/>
                <w:bCs/>
                <w:color w:val="FFFFFF"/>
                <w:sz w:val="22"/>
                <w:szCs w:val="22"/>
              </w:rPr>
            </w:pPr>
            <w:r w:rsidRPr="00FA4DC7">
              <w:rPr>
                <w:rFonts w:cs="Arial"/>
                <w:b/>
                <w:bCs/>
                <w:color w:val="FFFFFF"/>
                <w:sz w:val="22"/>
                <w:szCs w:val="22"/>
              </w:rPr>
              <w:t>Total</w:t>
            </w:r>
          </w:p>
        </w:tc>
        <w:tc>
          <w:tcPr>
            <w:tcW w:w="1067" w:type="dxa"/>
            <w:vMerge w:val="restart"/>
            <w:shd w:val="clear" w:color="auto" w:fill="006666"/>
            <w:noWrap/>
            <w:vAlign w:val="bottom"/>
            <w:hideMark/>
          </w:tcPr>
          <w:p w14:paraId="093F6D92" w14:textId="77777777" w:rsidR="00CE1BDB" w:rsidRPr="00FA4DC7" w:rsidRDefault="00CE1BDB" w:rsidP="00DB5398">
            <w:pPr>
              <w:jc w:val="center"/>
              <w:rPr>
                <w:rFonts w:cs="Arial"/>
                <w:b/>
                <w:bCs/>
                <w:color w:val="FFFFFF"/>
                <w:sz w:val="22"/>
                <w:szCs w:val="22"/>
              </w:rPr>
            </w:pPr>
            <w:r w:rsidRPr="00FA4DC7">
              <w:rPr>
                <w:rFonts w:cs="Arial"/>
                <w:b/>
                <w:bCs/>
                <w:color w:val="FFFFFF"/>
                <w:sz w:val="22"/>
                <w:szCs w:val="22"/>
              </w:rPr>
              <w:t>Base</w:t>
            </w:r>
          </w:p>
        </w:tc>
      </w:tr>
      <w:tr w:rsidR="00CE1BDB" w:rsidRPr="00FA4DC7" w14:paraId="39F94557" w14:textId="77777777" w:rsidTr="00DB5398">
        <w:trPr>
          <w:trHeight w:val="660"/>
        </w:trPr>
        <w:tc>
          <w:tcPr>
            <w:tcW w:w="3834" w:type="dxa"/>
            <w:vMerge/>
            <w:shd w:val="clear" w:color="auto" w:fill="006666"/>
            <w:vAlign w:val="center"/>
            <w:hideMark/>
          </w:tcPr>
          <w:p w14:paraId="0024E731" w14:textId="77777777" w:rsidR="00CE1BDB" w:rsidRPr="00FA4DC7" w:rsidRDefault="00CE1BDB" w:rsidP="00EF49A7">
            <w:pPr>
              <w:rPr>
                <w:rFonts w:cs="Arial"/>
                <w:b/>
                <w:bCs/>
                <w:color w:val="FFFFFF"/>
                <w:sz w:val="22"/>
                <w:szCs w:val="22"/>
                <w:highlight w:val="yellow"/>
              </w:rPr>
            </w:pPr>
          </w:p>
        </w:tc>
        <w:tc>
          <w:tcPr>
            <w:tcW w:w="1182" w:type="dxa"/>
            <w:shd w:val="clear" w:color="auto" w:fill="006666"/>
            <w:vAlign w:val="bottom"/>
            <w:hideMark/>
          </w:tcPr>
          <w:p w14:paraId="22C5F8E7" w14:textId="77777777" w:rsidR="00CE1BDB" w:rsidRPr="00FA4DC7" w:rsidRDefault="00CE1BDB" w:rsidP="00DB5398">
            <w:pPr>
              <w:jc w:val="center"/>
              <w:rPr>
                <w:rFonts w:cs="Arial"/>
                <w:b/>
                <w:bCs/>
                <w:color w:val="FFFFFF"/>
                <w:sz w:val="22"/>
                <w:szCs w:val="22"/>
              </w:rPr>
            </w:pPr>
            <w:r w:rsidRPr="00FA4DC7">
              <w:rPr>
                <w:rFonts w:cs="Arial"/>
                <w:b/>
                <w:bCs/>
                <w:color w:val="FFFFFF"/>
                <w:sz w:val="22"/>
                <w:szCs w:val="22"/>
              </w:rPr>
              <w:t>Owner occupied</w:t>
            </w:r>
          </w:p>
        </w:tc>
        <w:tc>
          <w:tcPr>
            <w:tcW w:w="950" w:type="dxa"/>
            <w:shd w:val="clear" w:color="auto" w:fill="006666"/>
            <w:vAlign w:val="bottom"/>
            <w:hideMark/>
          </w:tcPr>
          <w:p w14:paraId="1FEA6EF1" w14:textId="77777777" w:rsidR="00CE1BDB" w:rsidRPr="00FA4DC7" w:rsidRDefault="00CE1BDB" w:rsidP="00DB5398">
            <w:pPr>
              <w:jc w:val="center"/>
              <w:rPr>
                <w:rFonts w:cs="Arial"/>
                <w:b/>
                <w:bCs/>
                <w:color w:val="FFFFFF"/>
                <w:sz w:val="22"/>
                <w:szCs w:val="22"/>
              </w:rPr>
            </w:pPr>
            <w:r w:rsidRPr="00FA4DC7">
              <w:rPr>
                <w:rFonts w:cs="Arial"/>
                <w:b/>
                <w:bCs/>
                <w:color w:val="FFFFFF"/>
                <w:sz w:val="22"/>
                <w:szCs w:val="22"/>
              </w:rPr>
              <w:t>Private rented</w:t>
            </w:r>
          </w:p>
        </w:tc>
        <w:tc>
          <w:tcPr>
            <w:tcW w:w="1316" w:type="dxa"/>
            <w:shd w:val="clear" w:color="auto" w:fill="006666"/>
            <w:vAlign w:val="bottom"/>
            <w:hideMark/>
          </w:tcPr>
          <w:p w14:paraId="7FAEDE2D" w14:textId="77777777" w:rsidR="00CE1BDB" w:rsidRPr="00FA4DC7" w:rsidRDefault="00CE1BDB" w:rsidP="00DB5398">
            <w:pPr>
              <w:jc w:val="center"/>
              <w:rPr>
                <w:rFonts w:cs="Arial"/>
                <w:b/>
                <w:bCs/>
                <w:color w:val="FFFFFF"/>
                <w:sz w:val="22"/>
                <w:szCs w:val="22"/>
              </w:rPr>
            </w:pPr>
            <w:r w:rsidRPr="00FA4DC7">
              <w:rPr>
                <w:rFonts w:cs="Arial"/>
                <w:b/>
                <w:bCs/>
                <w:color w:val="FFFFFF"/>
                <w:sz w:val="22"/>
                <w:szCs w:val="22"/>
              </w:rPr>
              <w:t>Affordable</w:t>
            </w:r>
          </w:p>
        </w:tc>
        <w:tc>
          <w:tcPr>
            <w:tcW w:w="1060" w:type="dxa"/>
            <w:vMerge/>
            <w:shd w:val="clear" w:color="auto" w:fill="006666"/>
            <w:vAlign w:val="center"/>
            <w:hideMark/>
          </w:tcPr>
          <w:p w14:paraId="728E6140" w14:textId="77777777" w:rsidR="00CE1BDB" w:rsidRPr="00FA4DC7" w:rsidRDefault="00CE1BDB" w:rsidP="00EF49A7">
            <w:pPr>
              <w:rPr>
                <w:rFonts w:cs="Arial"/>
                <w:b/>
                <w:bCs/>
                <w:color w:val="FFFFFF"/>
                <w:sz w:val="22"/>
                <w:szCs w:val="22"/>
                <w:highlight w:val="yellow"/>
              </w:rPr>
            </w:pPr>
          </w:p>
        </w:tc>
        <w:tc>
          <w:tcPr>
            <w:tcW w:w="1067" w:type="dxa"/>
            <w:vMerge/>
            <w:shd w:val="clear" w:color="auto" w:fill="006666"/>
            <w:vAlign w:val="center"/>
            <w:hideMark/>
          </w:tcPr>
          <w:p w14:paraId="5B35CCA9" w14:textId="77777777" w:rsidR="00CE1BDB" w:rsidRPr="00FA4DC7" w:rsidRDefault="00CE1BDB" w:rsidP="00EF49A7">
            <w:pPr>
              <w:rPr>
                <w:rFonts w:cs="Arial"/>
                <w:b/>
                <w:bCs/>
                <w:color w:val="FFFFFF"/>
                <w:sz w:val="22"/>
                <w:szCs w:val="22"/>
                <w:highlight w:val="yellow"/>
              </w:rPr>
            </w:pPr>
          </w:p>
        </w:tc>
      </w:tr>
      <w:tr w:rsidR="00CE1BDB" w:rsidRPr="00FA4DC7" w14:paraId="03CD9355" w14:textId="77777777" w:rsidTr="00DB5398">
        <w:trPr>
          <w:trHeight w:val="320"/>
        </w:trPr>
        <w:tc>
          <w:tcPr>
            <w:tcW w:w="3834" w:type="dxa"/>
            <w:shd w:val="clear" w:color="auto" w:fill="auto"/>
            <w:noWrap/>
            <w:vAlign w:val="center"/>
            <w:hideMark/>
          </w:tcPr>
          <w:p w14:paraId="2AE5DB32"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Chatham Central</w:t>
            </w:r>
          </w:p>
        </w:tc>
        <w:tc>
          <w:tcPr>
            <w:tcW w:w="1182" w:type="dxa"/>
            <w:shd w:val="clear" w:color="auto" w:fill="auto"/>
            <w:noWrap/>
            <w:vAlign w:val="center"/>
            <w:hideMark/>
          </w:tcPr>
          <w:p w14:paraId="4F16D6A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49.7%</w:t>
            </w:r>
          </w:p>
        </w:tc>
        <w:tc>
          <w:tcPr>
            <w:tcW w:w="950" w:type="dxa"/>
            <w:shd w:val="clear" w:color="auto" w:fill="auto"/>
            <w:noWrap/>
            <w:vAlign w:val="center"/>
            <w:hideMark/>
          </w:tcPr>
          <w:p w14:paraId="3A363F3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30.6%</w:t>
            </w:r>
          </w:p>
        </w:tc>
        <w:tc>
          <w:tcPr>
            <w:tcW w:w="1316" w:type="dxa"/>
            <w:shd w:val="clear" w:color="auto" w:fill="auto"/>
            <w:noWrap/>
            <w:vAlign w:val="center"/>
            <w:hideMark/>
          </w:tcPr>
          <w:p w14:paraId="4E247D7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19.7%</w:t>
            </w:r>
          </w:p>
        </w:tc>
        <w:tc>
          <w:tcPr>
            <w:tcW w:w="1060" w:type="dxa"/>
            <w:shd w:val="clear" w:color="auto" w:fill="auto"/>
            <w:noWrap/>
            <w:vAlign w:val="center"/>
            <w:hideMark/>
          </w:tcPr>
          <w:p w14:paraId="68EF3A6A"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3CA0E713"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6,760</w:t>
            </w:r>
          </w:p>
        </w:tc>
      </w:tr>
      <w:tr w:rsidR="00CE1BDB" w:rsidRPr="00FA4DC7" w14:paraId="633C62BD" w14:textId="77777777" w:rsidTr="00DB5398">
        <w:trPr>
          <w:trHeight w:val="320"/>
        </w:trPr>
        <w:tc>
          <w:tcPr>
            <w:tcW w:w="3834" w:type="dxa"/>
            <w:shd w:val="clear" w:color="auto" w:fill="auto"/>
            <w:noWrap/>
            <w:vAlign w:val="center"/>
            <w:hideMark/>
          </w:tcPr>
          <w:p w14:paraId="0099C5AD" w14:textId="77777777" w:rsidR="00CE1BDB" w:rsidRPr="00FA4DC7" w:rsidRDefault="00CE1BDB" w:rsidP="00EF49A7">
            <w:pPr>
              <w:rPr>
                <w:rFonts w:cs="Arial"/>
                <w:color w:val="000000"/>
                <w:sz w:val="22"/>
                <w:szCs w:val="22"/>
                <w:highlight w:val="yellow"/>
              </w:rPr>
            </w:pPr>
            <w:proofErr w:type="spellStart"/>
            <w:r w:rsidRPr="00FA4DC7">
              <w:rPr>
                <w:rFonts w:cs="Arial"/>
                <w:color w:val="000000"/>
                <w:sz w:val="22"/>
                <w:szCs w:val="22"/>
              </w:rPr>
              <w:t>Cuxton</w:t>
            </w:r>
            <w:proofErr w:type="spellEnd"/>
            <w:r w:rsidRPr="00FA4DC7">
              <w:rPr>
                <w:rFonts w:cs="Arial"/>
                <w:color w:val="000000"/>
                <w:sz w:val="22"/>
                <w:szCs w:val="22"/>
              </w:rPr>
              <w:t xml:space="preserve"> and </w:t>
            </w:r>
            <w:proofErr w:type="spellStart"/>
            <w:r w:rsidRPr="00FA4DC7">
              <w:rPr>
                <w:rFonts w:cs="Arial"/>
                <w:color w:val="000000"/>
                <w:sz w:val="22"/>
                <w:szCs w:val="22"/>
              </w:rPr>
              <w:t>Halling</w:t>
            </w:r>
            <w:proofErr w:type="spellEnd"/>
          </w:p>
        </w:tc>
        <w:tc>
          <w:tcPr>
            <w:tcW w:w="1182" w:type="dxa"/>
            <w:shd w:val="clear" w:color="auto" w:fill="auto"/>
            <w:noWrap/>
            <w:vAlign w:val="center"/>
            <w:hideMark/>
          </w:tcPr>
          <w:p w14:paraId="26412E4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81.9%</w:t>
            </w:r>
          </w:p>
        </w:tc>
        <w:tc>
          <w:tcPr>
            <w:tcW w:w="950" w:type="dxa"/>
            <w:shd w:val="clear" w:color="auto" w:fill="auto"/>
            <w:noWrap/>
            <w:vAlign w:val="center"/>
            <w:hideMark/>
          </w:tcPr>
          <w:p w14:paraId="2D98342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9.7%</w:t>
            </w:r>
          </w:p>
        </w:tc>
        <w:tc>
          <w:tcPr>
            <w:tcW w:w="1316" w:type="dxa"/>
            <w:shd w:val="clear" w:color="auto" w:fill="auto"/>
            <w:noWrap/>
            <w:vAlign w:val="center"/>
            <w:hideMark/>
          </w:tcPr>
          <w:p w14:paraId="4314A40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8.4%</w:t>
            </w:r>
          </w:p>
        </w:tc>
        <w:tc>
          <w:tcPr>
            <w:tcW w:w="1060" w:type="dxa"/>
            <w:shd w:val="clear" w:color="auto" w:fill="auto"/>
            <w:noWrap/>
            <w:vAlign w:val="center"/>
            <w:hideMark/>
          </w:tcPr>
          <w:p w14:paraId="09E56E0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41BBF896"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2,630</w:t>
            </w:r>
          </w:p>
        </w:tc>
      </w:tr>
      <w:tr w:rsidR="00CE1BDB" w:rsidRPr="00FA4DC7" w14:paraId="62FCD538" w14:textId="77777777" w:rsidTr="00DB5398">
        <w:trPr>
          <w:trHeight w:val="320"/>
        </w:trPr>
        <w:tc>
          <w:tcPr>
            <w:tcW w:w="3834" w:type="dxa"/>
            <w:shd w:val="clear" w:color="auto" w:fill="auto"/>
            <w:noWrap/>
            <w:vAlign w:val="center"/>
            <w:hideMark/>
          </w:tcPr>
          <w:p w14:paraId="1EA4DB1B"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Gillingham North</w:t>
            </w:r>
          </w:p>
        </w:tc>
        <w:tc>
          <w:tcPr>
            <w:tcW w:w="1182" w:type="dxa"/>
            <w:shd w:val="clear" w:color="auto" w:fill="auto"/>
            <w:noWrap/>
            <w:vAlign w:val="center"/>
            <w:hideMark/>
          </w:tcPr>
          <w:p w14:paraId="35766A9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49.2%</w:t>
            </w:r>
          </w:p>
        </w:tc>
        <w:tc>
          <w:tcPr>
            <w:tcW w:w="950" w:type="dxa"/>
            <w:shd w:val="clear" w:color="auto" w:fill="auto"/>
            <w:noWrap/>
            <w:vAlign w:val="center"/>
            <w:hideMark/>
          </w:tcPr>
          <w:p w14:paraId="1AE4A74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29.0%</w:t>
            </w:r>
          </w:p>
        </w:tc>
        <w:tc>
          <w:tcPr>
            <w:tcW w:w="1316" w:type="dxa"/>
            <w:shd w:val="clear" w:color="auto" w:fill="auto"/>
            <w:noWrap/>
            <w:vAlign w:val="center"/>
            <w:hideMark/>
          </w:tcPr>
          <w:p w14:paraId="50F343D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21.8%</w:t>
            </w:r>
          </w:p>
        </w:tc>
        <w:tc>
          <w:tcPr>
            <w:tcW w:w="1060" w:type="dxa"/>
            <w:shd w:val="clear" w:color="auto" w:fill="auto"/>
            <w:noWrap/>
            <w:vAlign w:val="center"/>
            <w:hideMark/>
          </w:tcPr>
          <w:p w14:paraId="1F7F37A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6E8798C6"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8,190</w:t>
            </w:r>
          </w:p>
        </w:tc>
      </w:tr>
      <w:tr w:rsidR="00CE1BDB" w:rsidRPr="00FA4DC7" w14:paraId="2CE5F680" w14:textId="77777777" w:rsidTr="00DB5398">
        <w:trPr>
          <w:trHeight w:val="320"/>
        </w:trPr>
        <w:tc>
          <w:tcPr>
            <w:tcW w:w="3834" w:type="dxa"/>
            <w:shd w:val="clear" w:color="auto" w:fill="auto"/>
            <w:noWrap/>
            <w:vAlign w:val="center"/>
            <w:hideMark/>
          </w:tcPr>
          <w:p w14:paraId="188CB7C3"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Gillingham South</w:t>
            </w:r>
          </w:p>
        </w:tc>
        <w:tc>
          <w:tcPr>
            <w:tcW w:w="1182" w:type="dxa"/>
            <w:shd w:val="clear" w:color="auto" w:fill="auto"/>
            <w:noWrap/>
            <w:vAlign w:val="center"/>
            <w:hideMark/>
          </w:tcPr>
          <w:p w14:paraId="6972755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57.7%</w:t>
            </w:r>
          </w:p>
        </w:tc>
        <w:tc>
          <w:tcPr>
            <w:tcW w:w="950" w:type="dxa"/>
            <w:shd w:val="clear" w:color="auto" w:fill="auto"/>
            <w:noWrap/>
            <w:vAlign w:val="center"/>
            <w:hideMark/>
          </w:tcPr>
          <w:p w14:paraId="670BE7E9"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35.0%</w:t>
            </w:r>
          </w:p>
        </w:tc>
        <w:tc>
          <w:tcPr>
            <w:tcW w:w="1316" w:type="dxa"/>
            <w:shd w:val="clear" w:color="auto" w:fill="auto"/>
            <w:noWrap/>
            <w:vAlign w:val="center"/>
            <w:hideMark/>
          </w:tcPr>
          <w:p w14:paraId="4ECCD20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7.4%</w:t>
            </w:r>
          </w:p>
        </w:tc>
        <w:tc>
          <w:tcPr>
            <w:tcW w:w="1060" w:type="dxa"/>
            <w:shd w:val="clear" w:color="auto" w:fill="auto"/>
            <w:noWrap/>
            <w:vAlign w:val="center"/>
            <w:hideMark/>
          </w:tcPr>
          <w:p w14:paraId="22A21E1A"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406990D4"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7,000</w:t>
            </w:r>
          </w:p>
        </w:tc>
      </w:tr>
      <w:tr w:rsidR="00CE1BDB" w:rsidRPr="00FA4DC7" w14:paraId="66414086" w14:textId="77777777" w:rsidTr="00DB5398">
        <w:trPr>
          <w:trHeight w:val="320"/>
        </w:trPr>
        <w:tc>
          <w:tcPr>
            <w:tcW w:w="3834" w:type="dxa"/>
            <w:shd w:val="clear" w:color="auto" w:fill="auto"/>
            <w:noWrap/>
            <w:vAlign w:val="center"/>
            <w:hideMark/>
          </w:tcPr>
          <w:p w14:paraId="0D2E4C0B"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 xml:space="preserve">Hempstead and </w:t>
            </w:r>
            <w:proofErr w:type="spellStart"/>
            <w:r w:rsidRPr="00FA4DC7">
              <w:rPr>
                <w:rFonts w:cs="Arial"/>
                <w:color w:val="000000"/>
                <w:sz w:val="22"/>
                <w:szCs w:val="22"/>
              </w:rPr>
              <w:t>Wigmore</w:t>
            </w:r>
            <w:proofErr w:type="spellEnd"/>
          </w:p>
        </w:tc>
        <w:tc>
          <w:tcPr>
            <w:tcW w:w="1182" w:type="dxa"/>
            <w:shd w:val="clear" w:color="auto" w:fill="auto"/>
            <w:noWrap/>
            <w:vAlign w:val="center"/>
            <w:hideMark/>
          </w:tcPr>
          <w:p w14:paraId="4427F6A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91.6%</w:t>
            </w:r>
          </w:p>
        </w:tc>
        <w:tc>
          <w:tcPr>
            <w:tcW w:w="950" w:type="dxa"/>
            <w:shd w:val="clear" w:color="auto" w:fill="auto"/>
            <w:noWrap/>
            <w:vAlign w:val="center"/>
            <w:hideMark/>
          </w:tcPr>
          <w:p w14:paraId="4C2EF28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7.6%</w:t>
            </w:r>
          </w:p>
        </w:tc>
        <w:tc>
          <w:tcPr>
            <w:tcW w:w="1316" w:type="dxa"/>
            <w:shd w:val="clear" w:color="auto" w:fill="auto"/>
            <w:noWrap/>
            <w:vAlign w:val="center"/>
            <w:hideMark/>
          </w:tcPr>
          <w:p w14:paraId="401C3C2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0.8%</w:t>
            </w:r>
          </w:p>
        </w:tc>
        <w:tc>
          <w:tcPr>
            <w:tcW w:w="1060" w:type="dxa"/>
            <w:shd w:val="clear" w:color="auto" w:fill="auto"/>
            <w:noWrap/>
            <w:vAlign w:val="center"/>
            <w:hideMark/>
          </w:tcPr>
          <w:p w14:paraId="163B923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0664DB64"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3,170</w:t>
            </w:r>
          </w:p>
        </w:tc>
      </w:tr>
      <w:tr w:rsidR="00CE1BDB" w:rsidRPr="00FA4DC7" w14:paraId="03146F8A" w14:textId="77777777" w:rsidTr="00DB5398">
        <w:trPr>
          <w:trHeight w:val="320"/>
        </w:trPr>
        <w:tc>
          <w:tcPr>
            <w:tcW w:w="3834" w:type="dxa"/>
            <w:shd w:val="clear" w:color="auto" w:fill="auto"/>
            <w:noWrap/>
            <w:vAlign w:val="center"/>
            <w:hideMark/>
          </w:tcPr>
          <w:p w14:paraId="70555388" w14:textId="77777777" w:rsidR="00CE1BDB" w:rsidRPr="00FA4DC7" w:rsidRDefault="00CE1BDB" w:rsidP="00EF49A7">
            <w:pPr>
              <w:rPr>
                <w:rFonts w:cs="Arial"/>
                <w:color w:val="000000"/>
                <w:sz w:val="22"/>
                <w:szCs w:val="22"/>
                <w:highlight w:val="yellow"/>
              </w:rPr>
            </w:pPr>
            <w:proofErr w:type="spellStart"/>
            <w:r w:rsidRPr="00FA4DC7">
              <w:rPr>
                <w:rFonts w:cs="Arial"/>
                <w:color w:val="000000"/>
                <w:sz w:val="22"/>
                <w:szCs w:val="22"/>
              </w:rPr>
              <w:t>Lordswood</w:t>
            </w:r>
            <w:proofErr w:type="spellEnd"/>
            <w:r w:rsidRPr="00FA4DC7">
              <w:rPr>
                <w:rFonts w:cs="Arial"/>
                <w:color w:val="000000"/>
                <w:sz w:val="22"/>
                <w:szCs w:val="22"/>
              </w:rPr>
              <w:t xml:space="preserve"> and Capstone</w:t>
            </w:r>
          </w:p>
        </w:tc>
        <w:tc>
          <w:tcPr>
            <w:tcW w:w="1182" w:type="dxa"/>
            <w:shd w:val="clear" w:color="auto" w:fill="auto"/>
            <w:noWrap/>
            <w:vAlign w:val="center"/>
            <w:hideMark/>
          </w:tcPr>
          <w:p w14:paraId="1472761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75.7%</w:t>
            </w:r>
          </w:p>
        </w:tc>
        <w:tc>
          <w:tcPr>
            <w:tcW w:w="950" w:type="dxa"/>
            <w:shd w:val="clear" w:color="auto" w:fill="auto"/>
            <w:noWrap/>
            <w:vAlign w:val="center"/>
            <w:hideMark/>
          </w:tcPr>
          <w:p w14:paraId="06299A4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12.1%</w:t>
            </w:r>
          </w:p>
        </w:tc>
        <w:tc>
          <w:tcPr>
            <w:tcW w:w="1316" w:type="dxa"/>
            <w:shd w:val="clear" w:color="auto" w:fill="auto"/>
            <w:noWrap/>
            <w:vAlign w:val="center"/>
            <w:hideMark/>
          </w:tcPr>
          <w:p w14:paraId="0510D05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12.2%</w:t>
            </w:r>
          </w:p>
        </w:tc>
        <w:tc>
          <w:tcPr>
            <w:tcW w:w="1060" w:type="dxa"/>
            <w:shd w:val="clear" w:color="auto" w:fill="auto"/>
            <w:noWrap/>
            <w:vAlign w:val="center"/>
            <w:hideMark/>
          </w:tcPr>
          <w:p w14:paraId="7116649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031CCDEB"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3,650</w:t>
            </w:r>
          </w:p>
        </w:tc>
      </w:tr>
      <w:tr w:rsidR="00CE1BDB" w:rsidRPr="00FA4DC7" w14:paraId="3D5764ED" w14:textId="77777777" w:rsidTr="00DB5398">
        <w:trPr>
          <w:trHeight w:val="320"/>
        </w:trPr>
        <w:tc>
          <w:tcPr>
            <w:tcW w:w="3834" w:type="dxa"/>
            <w:shd w:val="clear" w:color="auto" w:fill="auto"/>
            <w:noWrap/>
            <w:vAlign w:val="center"/>
          </w:tcPr>
          <w:p w14:paraId="4207B955"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 xml:space="preserve">Luton and </w:t>
            </w:r>
            <w:proofErr w:type="spellStart"/>
            <w:r w:rsidRPr="00FA4DC7">
              <w:rPr>
                <w:rFonts w:cs="Arial"/>
                <w:color w:val="000000"/>
                <w:sz w:val="22"/>
                <w:szCs w:val="22"/>
              </w:rPr>
              <w:t>Wayfield</w:t>
            </w:r>
            <w:proofErr w:type="spellEnd"/>
          </w:p>
        </w:tc>
        <w:tc>
          <w:tcPr>
            <w:tcW w:w="1182" w:type="dxa"/>
            <w:shd w:val="clear" w:color="auto" w:fill="auto"/>
            <w:noWrap/>
            <w:vAlign w:val="center"/>
          </w:tcPr>
          <w:p w14:paraId="3D5DC53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53.2%</w:t>
            </w:r>
          </w:p>
        </w:tc>
        <w:tc>
          <w:tcPr>
            <w:tcW w:w="950" w:type="dxa"/>
            <w:shd w:val="clear" w:color="auto" w:fill="auto"/>
            <w:noWrap/>
            <w:vAlign w:val="center"/>
          </w:tcPr>
          <w:p w14:paraId="5162E0C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24.6%</w:t>
            </w:r>
          </w:p>
        </w:tc>
        <w:tc>
          <w:tcPr>
            <w:tcW w:w="1316" w:type="dxa"/>
            <w:shd w:val="clear" w:color="auto" w:fill="auto"/>
            <w:noWrap/>
            <w:vAlign w:val="center"/>
          </w:tcPr>
          <w:p w14:paraId="59556B4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22.2%</w:t>
            </w:r>
          </w:p>
        </w:tc>
        <w:tc>
          <w:tcPr>
            <w:tcW w:w="1060" w:type="dxa"/>
            <w:shd w:val="clear" w:color="auto" w:fill="auto"/>
            <w:noWrap/>
            <w:vAlign w:val="center"/>
          </w:tcPr>
          <w:p w14:paraId="3D00BBB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602D1A5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6,220</w:t>
            </w:r>
          </w:p>
        </w:tc>
      </w:tr>
      <w:tr w:rsidR="00CE1BDB" w:rsidRPr="00FA4DC7" w14:paraId="61DE1CE4" w14:textId="77777777" w:rsidTr="00DB5398">
        <w:trPr>
          <w:trHeight w:val="320"/>
        </w:trPr>
        <w:tc>
          <w:tcPr>
            <w:tcW w:w="3834" w:type="dxa"/>
            <w:shd w:val="clear" w:color="auto" w:fill="auto"/>
            <w:noWrap/>
            <w:vAlign w:val="center"/>
          </w:tcPr>
          <w:p w14:paraId="5CC7A738"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Peninsula</w:t>
            </w:r>
          </w:p>
        </w:tc>
        <w:tc>
          <w:tcPr>
            <w:tcW w:w="1182" w:type="dxa"/>
            <w:shd w:val="clear" w:color="auto" w:fill="auto"/>
            <w:noWrap/>
            <w:vAlign w:val="center"/>
          </w:tcPr>
          <w:p w14:paraId="7267085A"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78.5%</w:t>
            </w:r>
          </w:p>
        </w:tc>
        <w:tc>
          <w:tcPr>
            <w:tcW w:w="950" w:type="dxa"/>
            <w:shd w:val="clear" w:color="auto" w:fill="auto"/>
            <w:noWrap/>
            <w:vAlign w:val="center"/>
          </w:tcPr>
          <w:p w14:paraId="75B84BF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9.0%</w:t>
            </w:r>
          </w:p>
        </w:tc>
        <w:tc>
          <w:tcPr>
            <w:tcW w:w="1316" w:type="dxa"/>
            <w:shd w:val="clear" w:color="auto" w:fill="auto"/>
            <w:noWrap/>
            <w:vAlign w:val="center"/>
          </w:tcPr>
          <w:p w14:paraId="3A46687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12.4%</w:t>
            </w:r>
          </w:p>
        </w:tc>
        <w:tc>
          <w:tcPr>
            <w:tcW w:w="1060" w:type="dxa"/>
            <w:shd w:val="clear" w:color="auto" w:fill="auto"/>
            <w:noWrap/>
            <w:vAlign w:val="center"/>
          </w:tcPr>
          <w:p w14:paraId="3A2195B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35784439"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5,540</w:t>
            </w:r>
          </w:p>
        </w:tc>
      </w:tr>
      <w:tr w:rsidR="00CE1BDB" w:rsidRPr="00FA4DC7" w14:paraId="1E48926F" w14:textId="77777777" w:rsidTr="00DB5398">
        <w:trPr>
          <w:trHeight w:val="320"/>
        </w:trPr>
        <w:tc>
          <w:tcPr>
            <w:tcW w:w="3834" w:type="dxa"/>
            <w:shd w:val="clear" w:color="auto" w:fill="auto"/>
            <w:noWrap/>
            <w:vAlign w:val="center"/>
          </w:tcPr>
          <w:p w14:paraId="21073D08"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Princes Park</w:t>
            </w:r>
          </w:p>
        </w:tc>
        <w:tc>
          <w:tcPr>
            <w:tcW w:w="1182" w:type="dxa"/>
            <w:shd w:val="clear" w:color="auto" w:fill="auto"/>
            <w:noWrap/>
            <w:vAlign w:val="center"/>
          </w:tcPr>
          <w:p w14:paraId="2DBD2C75"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71.9%</w:t>
            </w:r>
          </w:p>
        </w:tc>
        <w:tc>
          <w:tcPr>
            <w:tcW w:w="950" w:type="dxa"/>
            <w:shd w:val="clear" w:color="auto" w:fill="auto"/>
            <w:noWrap/>
            <w:vAlign w:val="center"/>
          </w:tcPr>
          <w:p w14:paraId="4D5F421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12.9%</w:t>
            </w:r>
          </w:p>
        </w:tc>
        <w:tc>
          <w:tcPr>
            <w:tcW w:w="1316" w:type="dxa"/>
            <w:shd w:val="clear" w:color="auto" w:fill="auto"/>
            <w:noWrap/>
            <w:vAlign w:val="center"/>
          </w:tcPr>
          <w:p w14:paraId="5A777865"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15.2%</w:t>
            </w:r>
          </w:p>
        </w:tc>
        <w:tc>
          <w:tcPr>
            <w:tcW w:w="1060" w:type="dxa"/>
            <w:shd w:val="clear" w:color="auto" w:fill="auto"/>
            <w:noWrap/>
            <w:vAlign w:val="center"/>
          </w:tcPr>
          <w:p w14:paraId="3452A73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61E4B6E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4,010</w:t>
            </w:r>
          </w:p>
        </w:tc>
      </w:tr>
      <w:tr w:rsidR="00CE1BDB" w:rsidRPr="00FA4DC7" w14:paraId="33437D76" w14:textId="77777777" w:rsidTr="00DB5398">
        <w:trPr>
          <w:trHeight w:val="320"/>
        </w:trPr>
        <w:tc>
          <w:tcPr>
            <w:tcW w:w="3834" w:type="dxa"/>
            <w:shd w:val="clear" w:color="auto" w:fill="auto"/>
            <w:noWrap/>
            <w:vAlign w:val="center"/>
          </w:tcPr>
          <w:p w14:paraId="612664BE"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Rainham Central</w:t>
            </w:r>
          </w:p>
        </w:tc>
        <w:tc>
          <w:tcPr>
            <w:tcW w:w="1182" w:type="dxa"/>
            <w:shd w:val="clear" w:color="auto" w:fill="auto"/>
            <w:noWrap/>
            <w:vAlign w:val="center"/>
          </w:tcPr>
          <w:p w14:paraId="18F3C49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86.7%</w:t>
            </w:r>
          </w:p>
        </w:tc>
        <w:tc>
          <w:tcPr>
            <w:tcW w:w="950" w:type="dxa"/>
            <w:shd w:val="clear" w:color="auto" w:fill="auto"/>
            <w:noWrap/>
            <w:vAlign w:val="center"/>
          </w:tcPr>
          <w:p w14:paraId="5ACA6A9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8.5%</w:t>
            </w:r>
          </w:p>
        </w:tc>
        <w:tc>
          <w:tcPr>
            <w:tcW w:w="1316" w:type="dxa"/>
            <w:shd w:val="clear" w:color="auto" w:fill="auto"/>
            <w:noWrap/>
            <w:vAlign w:val="center"/>
          </w:tcPr>
          <w:p w14:paraId="2268EFF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4.8%</w:t>
            </w:r>
          </w:p>
        </w:tc>
        <w:tc>
          <w:tcPr>
            <w:tcW w:w="1060" w:type="dxa"/>
            <w:shd w:val="clear" w:color="auto" w:fill="auto"/>
            <w:noWrap/>
            <w:vAlign w:val="center"/>
          </w:tcPr>
          <w:p w14:paraId="2ECB866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50F0719D"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4,990</w:t>
            </w:r>
          </w:p>
        </w:tc>
      </w:tr>
      <w:tr w:rsidR="00CE1BDB" w:rsidRPr="00FA4DC7" w14:paraId="2A1CD0CA" w14:textId="77777777" w:rsidTr="00DB5398">
        <w:trPr>
          <w:trHeight w:val="320"/>
        </w:trPr>
        <w:tc>
          <w:tcPr>
            <w:tcW w:w="3834" w:type="dxa"/>
            <w:shd w:val="clear" w:color="auto" w:fill="auto"/>
            <w:noWrap/>
            <w:vAlign w:val="center"/>
          </w:tcPr>
          <w:p w14:paraId="3F30E126"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Rainham North</w:t>
            </w:r>
          </w:p>
        </w:tc>
        <w:tc>
          <w:tcPr>
            <w:tcW w:w="1182" w:type="dxa"/>
            <w:shd w:val="clear" w:color="auto" w:fill="auto"/>
            <w:noWrap/>
            <w:vAlign w:val="center"/>
          </w:tcPr>
          <w:p w14:paraId="513A3B0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76.5%</w:t>
            </w:r>
          </w:p>
        </w:tc>
        <w:tc>
          <w:tcPr>
            <w:tcW w:w="950" w:type="dxa"/>
            <w:shd w:val="clear" w:color="auto" w:fill="auto"/>
            <w:noWrap/>
            <w:vAlign w:val="center"/>
          </w:tcPr>
          <w:p w14:paraId="41F68B2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15.8%</w:t>
            </w:r>
          </w:p>
        </w:tc>
        <w:tc>
          <w:tcPr>
            <w:tcW w:w="1316" w:type="dxa"/>
            <w:shd w:val="clear" w:color="auto" w:fill="auto"/>
            <w:noWrap/>
            <w:vAlign w:val="center"/>
          </w:tcPr>
          <w:p w14:paraId="2A451F5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7.7%</w:t>
            </w:r>
          </w:p>
        </w:tc>
        <w:tc>
          <w:tcPr>
            <w:tcW w:w="1060" w:type="dxa"/>
            <w:shd w:val="clear" w:color="auto" w:fill="auto"/>
            <w:noWrap/>
            <w:vAlign w:val="center"/>
          </w:tcPr>
          <w:p w14:paraId="38CF89E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0CEAE34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3,900</w:t>
            </w:r>
          </w:p>
        </w:tc>
      </w:tr>
      <w:tr w:rsidR="00CE1BDB" w:rsidRPr="00FA4DC7" w14:paraId="44633D35" w14:textId="77777777" w:rsidTr="00DB5398">
        <w:trPr>
          <w:trHeight w:val="320"/>
        </w:trPr>
        <w:tc>
          <w:tcPr>
            <w:tcW w:w="3834" w:type="dxa"/>
            <w:shd w:val="clear" w:color="auto" w:fill="auto"/>
            <w:noWrap/>
            <w:vAlign w:val="center"/>
          </w:tcPr>
          <w:p w14:paraId="2E829440"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Rainham South</w:t>
            </w:r>
          </w:p>
        </w:tc>
        <w:tc>
          <w:tcPr>
            <w:tcW w:w="1182" w:type="dxa"/>
            <w:shd w:val="clear" w:color="auto" w:fill="auto"/>
            <w:noWrap/>
            <w:vAlign w:val="center"/>
          </w:tcPr>
          <w:p w14:paraId="627E1DE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79.4%</w:t>
            </w:r>
          </w:p>
        </w:tc>
        <w:tc>
          <w:tcPr>
            <w:tcW w:w="950" w:type="dxa"/>
            <w:shd w:val="clear" w:color="auto" w:fill="auto"/>
            <w:noWrap/>
            <w:vAlign w:val="center"/>
          </w:tcPr>
          <w:p w14:paraId="1B4F4CF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13.2%</w:t>
            </w:r>
          </w:p>
        </w:tc>
        <w:tc>
          <w:tcPr>
            <w:tcW w:w="1316" w:type="dxa"/>
            <w:shd w:val="clear" w:color="auto" w:fill="auto"/>
            <w:noWrap/>
            <w:vAlign w:val="center"/>
          </w:tcPr>
          <w:p w14:paraId="4C4966B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7.4%</w:t>
            </w:r>
          </w:p>
        </w:tc>
        <w:tc>
          <w:tcPr>
            <w:tcW w:w="1060" w:type="dxa"/>
            <w:shd w:val="clear" w:color="auto" w:fill="auto"/>
            <w:noWrap/>
            <w:vAlign w:val="center"/>
          </w:tcPr>
          <w:p w14:paraId="36F66E65"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26F5F275"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5,440</w:t>
            </w:r>
          </w:p>
        </w:tc>
      </w:tr>
      <w:tr w:rsidR="00CE1BDB" w:rsidRPr="00FA4DC7" w14:paraId="437EA460" w14:textId="77777777" w:rsidTr="00DB5398">
        <w:trPr>
          <w:trHeight w:val="320"/>
        </w:trPr>
        <w:tc>
          <w:tcPr>
            <w:tcW w:w="3834" w:type="dxa"/>
            <w:shd w:val="clear" w:color="auto" w:fill="auto"/>
            <w:noWrap/>
            <w:vAlign w:val="center"/>
          </w:tcPr>
          <w:p w14:paraId="2E2FF7C4"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River</w:t>
            </w:r>
          </w:p>
        </w:tc>
        <w:tc>
          <w:tcPr>
            <w:tcW w:w="1182" w:type="dxa"/>
            <w:shd w:val="clear" w:color="auto" w:fill="auto"/>
            <w:noWrap/>
            <w:vAlign w:val="center"/>
          </w:tcPr>
          <w:p w14:paraId="0140E80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38.8%</w:t>
            </w:r>
          </w:p>
        </w:tc>
        <w:tc>
          <w:tcPr>
            <w:tcW w:w="950" w:type="dxa"/>
            <w:shd w:val="clear" w:color="auto" w:fill="auto"/>
            <w:noWrap/>
            <w:vAlign w:val="center"/>
          </w:tcPr>
          <w:p w14:paraId="3213305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37.1%</w:t>
            </w:r>
          </w:p>
        </w:tc>
        <w:tc>
          <w:tcPr>
            <w:tcW w:w="1316" w:type="dxa"/>
            <w:shd w:val="clear" w:color="auto" w:fill="auto"/>
            <w:noWrap/>
            <w:vAlign w:val="center"/>
          </w:tcPr>
          <w:p w14:paraId="25331A0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24.0%</w:t>
            </w:r>
          </w:p>
        </w:tc>
        <w:tc>
          <w:tcPr>
            <w:tcW w:w="1060" w:type="dxa"/>
            <w:shd w:val="clear" w:color="auto" w:fill="auto"/>
            <w:noWrap/>
            <w:vAlign w:val="center"/>
          </w:tcPr>
          <w:p w14:paraId="347982E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349E99CA"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5,630</w:t>
            </w:r>
          </w:p>
        </w:tc>
      </w:tr>
      <w:tr w:rsidR="00CE1BDB" w:rsidRPr="00FA4DC7" w14:paraId="2876DFE9" w14:textId="77777777" w:rsidTr="00DB5398">
        <w:trPr>
          <w:trHeight w:val="320"/>
        </w:trPr>
        <w:tc>
          <w:tcPr>
            <w:tcW w:w="3834" w:type="dxa"/>
            <w:shd w:val="clear" w:color="auto" w:fill="auto"/>
            <w:noWrap/>
            <w:vAlign w:val="center"/>
          </w:tcPr>
          <w:p w14:paraId="6C74CBBB"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Rochester East</w:t>
            </w:r>
          </w:p>
        </w:tc>
        <w:tc>
          <w:tcPr>
            <w:tcW w:w="1182" w:type="dxa"/>
            <w:shd w:val="clear" w:color="auto" w:fill="auto"/>
            <w:noWrap/>
            <w:vAlign w:val="center"/>
          </w:tcPr>
          <w:p w14:paraId="57B8A6CA"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56.6%</w:t>
            </w:r>
          </w:p>
        </w:tc>
        <w:tc>
          <w:tcPr>
            <w:tcW w:w="950" w:type="dxa"/>
            <w:shd w:val="clear" w:color="auto" w:fill="auto"/>
            <w:noWrap/>
            <w:vAlign w:val="center"/>
          </w:tcPr>
          <w:p w14:paraId="61E375E9"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20.6%</w:t>
            </w:r>
          </w:p>
        </w:tc>
        <w:tc>
          <w:tcPr>
            <w:tcW w:w="1316" w:type="dxa"/>
            <w:shd w:val="clear" w:color="auto" w:fill="auto"/>
            <w:noWrap/>
            <w:vAlign w:val="center"/>
          </w:tcPr>
          <w:p w14:paraId="6E2F666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22.8%</w:t>
            </w:r>
          </w:p>
        </w:tc>
        <w:tc>
          <w:tcPr>
            <w:tcW w:w="1060" w:type="dxa"/>
            <w:shd w:val="clear" w:color="auto" w:fill="auto"/>
            <w:noWrap/>
            <w:vAlign w:val="center"/>
          </w:tcPr>
          <w:p w14:paraId="2B775EF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1D823D5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4,550</w:t>
            </w:r>
          </w:p>
        </w:tc>
      </w:tr>
      <w:tr w:rsidR="00CE1BDB" w:rsidRPr="00FA4DC7" w14:paraId="34940522" w14:textId="77777777" w:rsidTr="00DB5398">
        <w:trPr>
          <w:trHeight w:val="320"/>
        </w:trPr>
        <w:tc>
          <w:tcPr>
            <w:tcW w:w="3834" w:type="dxa"/>
            <w:shd w:val="clear" w:color="auto" w:fill="auto"/>
            <w:noWrap/>
            <w:vAlign w:val="center"/>
          </w:tcPr>
          <w:p w14:paraId="7378A9CF"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 xml:space="preserve">Rochester South and </w:t>
            </w:r>
            <w:proofErr w:type="spellStart"/>
            <w:r w:rsidRPr="00FA4DC7">
              <w:rPr>
                <w:rFonts w:cs="Arial"/>
                <w:color w:val="000000"/>
                <w:sz w:val="22"/>
                <w:szCs w:val="22"/>
              </w:rPr>
              <w:t>Horsted</w:t>
            </w:r>
            <w:proofErr w:type="spellEnd"/>
          </w:p>
        </w:tc>
        <w:tc>
          <w:tcPr>
            <w:tcW w:w="1182" w:type="dxa"/>
            <w:shd w:val="clear" w:color="auto" w:fill="auto"/>
            <w:noWrap/>
            <w:vAlign w:val="center"/>
          </w:tcPr>
          <w:p w14:paraId="771764E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80.2%</w:t>
            </w:r>
          </w:p>
        </w:tc>
        <w:tc>
          <w:tcPr>
            <w:tcW w:w="950" w:type="dxa"/>
            <w:shd w:val="clear" w:color="auto" w:fill="auto"/>
            <w:noWrap/>
            <w:vAlign w:val="center"/>
          </w:tcPr>
          <w:p w14:paraId="5787ECA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12.2%</w:t>
            </w:r>
          </w:p>
        </w:tc>
        <w:tc>
          <w:tcPr>
            <w:tcW w:w="1316" w:type="dxa"/>
            <w:shd w:val="clear" w:color="auto" w:fill="auto"/>
            <w:noWrap/>
            <w:vAlign w:val="center"/>
          </w:tcPr>
          <w:p w14:paraId="148FB08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7.6%</w:t>
            </w:r>
          </w:p>
        </w:tc>
        <w:tc>
          <w:tcPr>
            <w:tcW w:w="1060" w:type="dxa"/>
            <w:shd w:val="clear" w:color="auto" w:fill="auto"/>
            <w:noWrap/>
            <w:vAlign w:val="center"/>
          </w:tcPr>
          <w:p w14:paraId="67749C7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7FA33E25"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5,250</w:t>
            </w:r>
          </w:p>
        </w:tc>
      </w:tr>
      <w:tr w:rsidR="00CE1BDB" w:rsidRPr="00FA4DC7" w14:paraId="23CDBCEF" w14:textId="77777777" w:rsidTr="00DB5398">
        <w:trPr>
          <w:trHeight w:val="320"/>
        </w:trPr>
        <w:tc>
          <w:tcPr>
            <w:tcW w:w="3834" w:type="dxa"/>
            <w:shd w:val="clear" w:color="auto" w:fill="auto"/>
            <w:noWrap/>
            <w:vAlign w:val="center"/>
          </w:tcPr>
          <w:p w14:paraId="2D95AE36"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Rochester West</w:t>
            </w:r>
          </w:p>
        </w:tc>
        <w:tc>
          <w:tcPr>
            <w:tcW w:w="1182" w:type="dxa"/>
            <w:shd w:val="clear" w:color="auto" w:fill="auto"/>
            <w:noWrap/>
            <w:vAlign w:val="center"/>
          </w:tcPr>
          <w:p w14:paraId="624924A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59.9%</w:t>
            </w:r>
          </w:p>
        </w:tc>
        <w:tc>
          <w:tcPr>
            <w:tcW w:w="950" w:type="dxa"/>
            <w:shd w:val="clear" w:color="auto" w:fill="auto"/>
            <w:noWrap/>
            <w:vAlign w:val="center"/>
          </w:tcPr>
          <w:p w14:paraId="2B1129F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24.0%</w:t>
            </w:r>
          </w:p>
        </w:tc>
        <w:tc>
          <w:tcPr>
            <w:tcW w:w="1316" w:type="dxa"/>
            <w:shd w:val="clear" w:color="auto" w:fill="auto"/>
            <w:noWrap/>
            <w:vAlign w:val="center"/>
          </w:tcPr>
          <w:p w14:paraId="4C839AC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16.2%</w:t>
            </w:r>
          </w:p>
        </w:tc>
        <w:tc>
          <w:tcPr>
            <w:tcW w:w="1060" w:type="dxa"/>
            <w:shd w:val="clear" w:color="auto" w:fill="auto"/>
            <w:noWrap/>
            <w:vAlign w:val="center"/>
          </w:tcPr>
          <w:p w14:paraId="6FD5D16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78CE779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4,650</w:t>
            </w:r>
          </w:p>
        </w:tc>
      </w:tr>
      <w:tr w:rsidR="00CE1BDB" w:rsidRPr="00FA4DC7" w14:paraId="7A0D7AA9" w14:textId="77777777" w:rsidTr="00DB5398">
        <w:trPr>
          <w:trHeight w:val="320"/>
        </w:trPr>
        <w:tc>
          <w:tcPr>
            <w:tcW w:w="3834" w:type="dxa"/>
            <w:shd w:val="clear" w:color="auto" w:fill="auto"/>
            <w:noWrap/>
            <w:vAlign w:val="center"/>
          </w:tcPr>
          <w:p w14:paraId="26D5ECC6"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Strood North</w:t>
            </w:r>
          </w:p>
        </w:tc>
        <w:tc>
          <w:tcPr>
            <w:tcW w:w="1182" w:type="dxa"/>
            <w:shd w:val="clear" w:color="auto" w:fill="auto"/>
            <w:noWrap/>
            <w:vAlign w:val="center"/>
          </w:tcPr>
          <w:p w14:paraId="77E93A7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72.4%</w:t>
            </w:r>
          </w:p>
        </w:tc>
        <w:tc>
          <w:tcPr>
            <w:tcW w:w="950" w:type="dxa"/>
            <w:shd w:val="clear" w:color="auto" w:fill="auto"/>
            <w:noWrap/>
            <w:vAlign w:val="center"/>
          </w:tcPr>
          <w:p w14:paraId="497620C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18.9%</w:t>
            </w:r>
          </w:p>
        </w:tc>
        <w:tc>
          <w:tcPr>
            <w:tcW w:w="1316" w:type="dxa"/>
            <w:shd w:val="clear" w:color="auto" w:fill="auto"/>
            <w:noWrap/>
            <w:vAlign w:val="center"/>
          </w:tcPr>
          <w:p w14:paraId="53D4823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8.7%</w:t>
            </w:r>
          </w:p>
        </w:tc>
        <w:tc>
          <w:tcPr>
            <w:tcW w:w="1060" w:type="dxa"/>
            <w:shd w:val="clear" w:color="auto" w:fill="auto"/>
            <w:noWrap/>
            <w:vAlign w:val="center"/>
          </w:tcPr>
          <w:p w14:paraId="1A94E8A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5DAE12A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5,650</w:t>
            </w:r>
          </w:p>
        </w:tc>
      </w:tr>
      <w:tr w:rsidR="00CE1BDB" w:rsidRPr="00FA4DC7" w14:paraId="264F3BB2" w14:textId="77777777" w:rsidTr="00DB5398">
        <w:trPr>
          <w:trHeight w:val="320"/>
        </w:trPr>
        <w:tc>
          <w:tcPr>
            <w:tcW w:w="3834" w:type="dxa"/>
            <w:shd w:val="clear" w:color="auto" w:fill="auto"/>
            <w:noWrap/>
            <w:vAlign w:val="center"/>
          </w:tcPr>
          <w:p w14:paraId="72278CDE"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Strood Rural</w:t>
            </w:r>
          </w:p>
        </w:tc>
        <w:tc>
          <w:tcPr>
            <w:tcW w:w="1182" w:type="dxa"/>
            <w:shd w:val="clear" w:color="auto" w:fill="auto"/>
            <w:noWrap/>
            <w:vAlign w:val="center"/>
          </w:tcPr>
          <w:p w14:paraId="72541B0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76.5%</w:t>
            </w:r>
          </w:p>
        </w:tc>
        <w:tc>
          <w:tcPr>
            <w:tcW w:w="950" w:type="dxa"/>
            <w:shd w:val="clear" w:color="auto" w:fill="auto"/>
            <w:noWrap/>
            <w:vAlign w:val="center"/>
          </w:tcPr>
          <w:p w14:paraId="1F9CE70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10.5%</w:t>
            </w:r>
          </w:p>
        </w:tc>
        <w:tc>
          <w:tcPr>
            <w:tcW w:w="1316" w:type="dxa"/>
            <w:shd w:val="clear" w:color="auto" w:fill="auto"/>
            <w:noWrap/>
            <w:vAlign w:val="center"/>
          </w:tcPr>
          <w:p w14:paraId="6157E68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13.0%</w:t>
            </w:r>
          </w:p>
        </w:tc>
        <w:tc>
          <w:tcPr>
            <w:tcW w:w="1060" w:type="dxa"/>
            <w:shd w:val="clear" w:color="auto" w:fill="auto"/>
            <w:noWrap/>
            <w:vAlign w:val="center"/>
          </w:tcPr>
          <w:p w14:paraId="043309C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350BF1FD"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5,940</w:t>
            </w:r>
          </w:p>
        </w:tc>
      </w:tr>
      <w:tr w:rsidR="00CE1BDB" w:rsidRPr="00FA4DC7" w14:paraId="25BB0EDD" w14:textId="77777777" w:rsidTr="00DB5398">
        <w:trPr>
          <w:trHeight w:val="320"/>
        </w:trPr>
        <w:tc>
          <w:tcPr>
            <w:tcW w:w="3834" w:type="dxa"/>
            <w:shd w:val="clear" w:color="auto" w:fill="auto"/>
            <w:noWrap/>
            <w:vAlign w:val="center"/>
          </w:tcPr>
          <w:p w14:paraId="48B1EBC3"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Strood South</w:t>
            </w:r>
          </w:p>
        </w:tc>
        <w:tc>
          <w:tcPr>
            <w:tcW w:w="1182" w:type="dxa"/>
            <w:shd w:val="clear" w:color="auto" w:fill="auto"/>
            <w:noWrap/>
            <w:vAlign w:val="center"/>
          </w:tcPr>
          <w:p w14:paraId="6CAE785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65.5%</w:t>
            </w:r>
          </w:p>
        </w:tc>
        <w:tc>
          <w:tcPr>
            <w:tcW w:w="950" w:type="dxa"/>
            <w:shd w:val="clear" w:color="auto" w:fill="auto"/>
            <w:noWrap/>
            <w:vAlign w:val="center"/>
          </w:tcPr>
          <w:p w14:paraId="7C4BC65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12.4%</w:t>
            </w:r>
          </w:p>
        </w:tc>
        <w:tc>
          <w:tcPr>
            <w:tcW w:w="1316" w:type="dxa"/>
            <w:shd w:val="clear" w:color="auto" w:fill="auto"/>
            <w:noWrap/>
            <w:vAlign w:val="center"/>
          </w:tcPr>
          <w:p w14:paraId="020614D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22.1%</w:t>
            </w:r>
          </w:p>
        </w:tc>
        <w:tc>
          <w:tcPr>
            <w:tcW w:w="1060" w:type="dxa"/>
            <w:shd w:val="clear" w:color="auto" w:fill="auto"/>
            <w:noWrap/>
            <w:vAlign w:val="center"/>
          </w:tcPr>
          <w:p w14:paraId="3E5A25F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2370495C"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6,470</w:t>
            </w:r>
          </w:p>
        </w:tc>
      </w:tr>
      <w:tr w:rsidR="00CE1BDB" w:rsidRPr="00FA4DC7" w14:paraId="2DC17B2D" w14:textId="77777777" w:rsidTr="00DB5398">
        <w:trPr>
          <w:trHeight w:val="320"/>
        </w:trPr>
        <w:tc>
          <w:tcPr>
            <w:tcW w:w="3834" w:type="dxa"/>
            <w:shd w:val="clear" w:color="auto" w:fill="auto"/>
            <w:noWrap/>
            <w:vAlign w:val="center"/>
          </w:tcPr>
          <w:p w14:paraId="1435EFDB" w14:textId="77777777" w:rsidR="00CE1BDB" w:rsidRPr="00FA4DC7" w:rsidRDefault="00CE1BDB" w:rsidP="00EF49A7">
            <w:pPr>
              <w:rPr>
                <w:rFonts w:cs="Arial"/>
                <w:color w:val="000000"/>
                <w:sz w:val="22"/>
                <w:szCs w:val="22"/>
                <w:highlight w:val="yellow"/>
              </w:rPr>
            </w:pPr>
            <w:proofErr w:type="spellStart"/>
            <w:r w:rsidRPr="00FA4DC7">
              <w:rPr>
                <w:rFonts w:cs="Arial"/>
                <w:color w:val="000000"/>
                <w:sz w:val="22"/>
                <w:szCs w:val="22"/>
              </w:rPr>
              <w:t>Twydall</w:t>
            </w:r>
            <w:proofErr w:type="spellEnd"/>
          </w:p>
        </w:tc>
        <w:tc>
          <w:tcPr>
            <w:tcW w:w="1182" w:type="dxa"/>
            <w:shd w:val="clear" w:color="auto" w:fill="auto"/>
            <w:noWrap/>
            <w:vAlign w:val="center"/>
          </w:tcPr>
          <w:p w14:paraId="743F678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66.2%</w:t>
            </w:r>
          </w:p>
        </w:tc>
        <w:tc>
          <w:tcPr>
            <w:tcW w:w="950" w:type="dxa"/>
            <w:shd w:val="clear" w:color="auto" w:fill="auto"/>
            <w:noWrap/>
            <w:vAlign w:val="center"/>
          </w:tcPr>
          <w:p w14:paraId="3F74282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9.4%</w:t>
            </w:r>
          </w:p>
        </w:tc>
        <w:tc>
          <w:tcPr>
            <w:tcW w:w="1316" w:type="dxa"/>
            <w:shd w:val="clear" w:color="auto" w:fill="auto"/>
            <w:noWrap/>
            <w:vAlign w:val="center"/>
          </w:tcPr>
          <w:p w14:paraId="6635F06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24.4%</w:t>
            </w:r>
          </w:p>
        </w:tc>
        <w:tc>
          <w:tcPr>
            <w:tcW w:w="1060" w:type="dxa"/>
            <w:shd w:val="clear" w:color="auto" w:fill="auto"/>
            <w:noWrap/>
            <w:vAlign w:val="center"/>
          </w:tcPr>
          <w:p w14:paraId="3E53B59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2C6B5C52"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5,450</w:t>
            </w:r>
          </w:p>
        </w:tc>
      </w:tr>
      <w:tr w:rsidR="00CE1BDB" w:rsidRPr="00FA4DC7" w14:paraId="63EC3C9B" w14:textId="77777777" w:rsidTr="00DB5398">
        <w:trPr>
          <w:trHeight w:val="320"/>
        </w:trPr>
        <w:tc>
          <w:tcPr>
            <w:tcW w:w="3834" w:type="dxa"/>
            <w:shd w:val="clear" w:color="auto" w:fill="auto"/>
            <w:noWrap/>
            <w:vAlign w:val="center"/>
          </w:tcPr>
          <w:p w14:paraId="729F2877"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Walderslade</w:t>
            </w:r>
          </w:p>
        </w:tc>
        <w:tc>
          <w:tcPr>
            <w:tcW w:w="1182" w:type="dxa"/>
            <w:shd w:val="clear" w:color="auto" w:fill="auto"/>
            <w:noWrap/>
            <w:vAlign w:val="center"/>
          </w:tcPr>
          <w:p w14:paraId="5EE0432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74.1%</w:t>
            </w:r>
          </w:p>
        </w:tc>
        <w:tc>
          <w:tcPr>
            <w:tcW w:w="950" w:type="dxa"/>
            <w:shd w:val="clear" w:color="auto" w:fill="auto"/>
            <w:noWrap/>
            <w:vAlign w:val="center"/>
          </w:tcPr>
          <w:p w14:paraId="5C7C4A6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w:t>
            </w:r>
          </w:p>
        </w:tc>
        <w:tc>
          <w:tcPr>
            <w:tcW w:w="1316" w:type="dxa"/>
            <w:shd w:val="clear" w:color="auto" w:fill="auto"/>
            <w:noWrap/>
            <w:vAlign w:val="center"/>
          </w:tcPr>
          <w:p w14:paraId="273EAC6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15.9%</w:t>
            </w:r>
          </w:p>
        </w:tc>
        <w:tc>
          <w:tcPr>
            <w:tcW w:w="1060" w:type="dxa"/>
            <w:shd w:val="clear" w:color="auto" w:fill="auto"/>
            <w:noWrap/>
            <w:vAlign w:val="center"/>
          </w:tcPr>
          <w:p w14:paraId="2A68CF99"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11F0F4CE"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3,860</w:t>
            </w:r>
          </w:p>
        </w:tc>
      </w:tr>
      <w:tr w:rsidR="00CE1BDB" w:rsidRPr="00FA4DC7" w14:paraId="026BA0FA" w14:textId="77777777" w:rsidTr="00DB5398">
        <w:trPr>
          <w:trHeight w:val="320"/>
        </w:trPr>
        <w:tc>
          <w:tcPr>
            <w:tcW w:w="3834" w:type="dxa"/>
            <w:shd w:val="clear" w:color="auto" w:fill="auto"/>
            <w:noWrap/>
            <w:vAlign w:val="center"/>
          </w:tcPr>
          <w:p w14:paraId="78DDE1DE"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Watling</w:t>
            </w:r>
          </w:p>
        </w:tc>
        <w:tc>
          <w:tcPr>
            <w:tcW w:w="1182" w:type="dxa"/>
            <w:shd w:val="clear" w:color="auto" w:fill="auto"/>
            <w:noWrap/>
            <w:vAlign w:val="center"/>
          </w:tcPr>
          <w:p w14:paraId="732F008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81.4%</w:t>
            </w:r>
          </w:p>
        </w:tc>
        <w:tc>
          <w:tcPr>
            <w:tcW w:w="950" w:type="dxa"/>
            <w:shd w:val="clear" w:color="auto" w:fill="auto"/>
            <w:noWrap/>
            <w:vAlign w:val="center"/>
          </w:tcPr>
          <w:p w14:paraId="6D331C44"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14.8%</w:t>
            </w:r>
          </w:p>
        </w:tc>
        <w:tc>
          <w:tcPr>
            <w:tcW w:w="1316" w:type="dxa"/>
            <w:shd w:val="clear" w:color="auto" w:fill="auto"/>
            <w:noWrap/>
            <w:vAlign w:val="center"/>
          </w:tcPr>
          <w:p w14:paraId="5CD060F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3.8%</w:t>
            </w:r>
          </w:p>
        </w:tc>
        <w:tc>
          <w:tcPr>
            <w:tcW w:w="1060" w:type="dxa"/>
            <w:shd w:val="clear" w:color="auto" w:fill="auto"/>
            <w:noWrap/>
            <w:vAlign w:val="center"/>
          </w:tcPr>
          <w:p w14:paraId="41243B0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tcPr>
          <w:p w14:paraId="25F9FD0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3,500</w:t>
            </w:r>
          </w:p>
        </w:tc>
      </w:tr>
      <w:tr w:rsidR="00CE1BDB" w:rsidRPr="00FA4DC7" w14:paraId="70294ADC" w14:textId="77777777" w:rsidTr="00DB5398">
        <w:trPr>
          <w:trHeight w:val="320"/>
        </w:trPr>
        <w:tc>
          <w:tcPr>
            <w:tcW w:w="3834" w:type="dxa"/>
            <w:shd w:val="clear" w:color="auto" w:fill="auto"/>
            <w:noWrap/>
            <w:vAlign w:val="center"/>
          </w:tcPr>
          <w:p w14:paraId="760B3E3B" w14:textId="77777777" w:rsidR="00CE1BDB" w:rsidRPr="00FA4DC7" w:rsidRDefault="00CE1BDB" w:rsidP="00EF49A7">
            <w:pPr>
              <w:rPr>
                <w:rFonts w:cs="Arial"/>
                <w:color w:val="000000"/>
                <w:sz w:val="22"/>
                <w:szCs w:val="22"/>
                <w:highlight w:val="yellow"/>
              </w:rPr>
            </w:pPr>
            <w:r w:rsidRPr="00FA4DC7">
              <w:rPr>
                <w:rFonts w:cs="Arial"/>
                <w:b/>
                <w:bCs/>
                <w:color w:val="000000"/>
                <w:sz w:val="22"/>
                <w:szCs w:val="22"/>
              </w:rPr>
              <w:t>Medway</w:t>
            </w:r>
          </w:p>
        </w:tc>
        <w:tc>
          <w:tcPr>
            <w:tcW w:w="1182" w:type="dxa"/>
            <w:shd w:val="clear" w:color="auto" w:fill="auto"/>
            <w:noWrap/>
            <w:vAlign w:val="center"/>
          </w:tcPr>
          <w:p w14:paraId="285F4C1B" w14:textId="77777777" w:rsidR="00CE1BDB" w:rsidRPr="00FA4DC7" w:rsidRDefault="00CE1BDB" w:rsidP="00EF49A7">
            <w:pPr>
              <w:jc w:val="right"/>
              <w:rPr>
                <w:rFonts w:cs="Arial"/>
                <w:color w:val="000000"/>
                <w:sz w:val="22"/>
                <w:szCs w:val="22"/>
                <w:highlight w:val="yellow"/>
              </w:rPr>
            </w:pPr>
            <w:r w:rsidRPr="00FA4DC7">
              <w:rPr>
                <w:rFonts w:cs="Arial"/>
                <w:b/>
                <w:bCs/>
                <w:color w:val="000000"/>
                <w:sz w:val="22"/>
                <w:szCs w:val="22"/>
              </w:rPr>
              <w:t>67.7%</w:t>
            </w:r>
          </w:p>
        </w:tc>
        <w:tc>
          <w:tcPr>
            <w:tcW w:w="950" w:type="dxa"/>
            <w:shd w:val="clear" w:color="auto" w:fill="auto"/>
            <w:noWrap/>
            <w:vAlign w:val="center"/>
          </w:tcPr>
          <w:p w14:paraId="6AF77D26" w14:textId="77777777" w:rsidR="00CE1BDB" w:rsidRPr="00FA4DC7" w:rsidRDefault="00CE1BDB" w:rsidP="00EF49A7">
            <w:pPr>
              <w:jc w:val="right"/>
              <w:rPr>
                <w:rFonts w:cs="Arial"/>
                <w:color w:val="000000"/>
                <w:sz w:val="22"/>
                <w:szCs w:val="22"/>
                <w:highlight w:val="yellow"/>
              </w:rPr>
            </w:pPr>
            <w:r w:rsidRPr="00FA4DC7">
              <w:rPr>
                <w:rFonts w:cs="Arial"/>
                <w:b/>
                <w:bCs/>
                <w:color w:val="000000"/>
                <w:sz w:val="22"/>
                <w:szCs w:val="22"/>
              </w:rPr>
              <w:t>18.1%</w:t>
            </w:r>
          </w:p>
        </w:tc>
        <w:tc>
          <w:tcPr>
            <w:tcW w:w="1316" w:type="dxa"/>
            <w:shd w:val="clear" w:color="auto" w:fill="auto"/>
            <w:noWrap/>
            <w:vAlign w:val="center"/>
          </w:tcPr>
          <w:p w14:paraId="338916BD" w14:textId="77777777" w:rsidR="00CE1BDB" w:rsidRPr="00FA4DC7" w:rsidRDefault="00CE1BDB" w:rsidP="00EF49A7">
            <w:pPr>
              <w:jc w:val="right"/>
              <w:rPr>
                <w:rFonts w:cs="Arial"/>
                <w:color w:val="000000"/>
                <w:sz w:val="22"/>
                <w:szCs w:val="22"/>
                <w:highlight w:val="yellow"/>
              </w:rPr>
            </w:pPr>
            <w:r w:rsidRPr="00FA4DC7">
              <w:rPr>
                <w:rFonts w:cs="Arial"/>
                <w:b/>
                <w:bCs/>
                <w:color w:val="000000"/>
                <w:sz w:val="22"/>
                <w:szCs w:val="22"/>
              </w:rPr>
              <w:t>14.2%</w:t>
            </w:r>
          </w:p>
        </w:tc>
        <w:tc>
          <w:tcPr>
            <w:tcW w:w="1060" w:type="dxa"/>
            <w:shd w:val="clear" w:color="auto" w:fill="auto"/>
            <w:noWrap/>
            <w:vAlign w:val="center"/>
          </w:tcPr>
          <w:p w14:paraId="2D3A14EC" w14:textId="77777777" w:rsidR="00CE1BDB" w:rsidRPr="00FA4DC7" w:rsidRDefault="00CE1BDB" w:rsidP="00EF49A7">
            <w:pPr>
              <w:jc w:val="right"/>
              <w:rPr>
                <w:rFonts w:cs="Arial"/>
                <w:color w:val="000000"/>
                <w:sz w:val="22"/>
                <w:szCs w:val="22"/>
                <w:highlight w:val="yellow"/>
              </w:rPr>
            </w:pPr>
            <w:r w:rsidRPr="00FA4DC7">
              <w:rPr>
                <w:rFonts w:cs="Arial"/>
                <w:b/>
                <w:bCs/>
                <w:color w:val="000000"/>
                <w:sz w:val="22"/>
                <w:szCs w:val="22"/>
              </w:rPr>
              <w:t>100.0%</w:t>
            </w:r>
          </w:p>
        </w:tc>
        <w:tc>
          <w:tcPr>
            <w:tcW w:w="1067" w:type="dxa"/>
            <w:shd w:val="clear" w:color="auto" w:fill="auto"/>
            <w:noWrap/>
            <w:vAlign w:val="center"/>
          </w:tcPr>
          <w:p w14:paraId="2841676B" w14:textId="77777777" w:rsidR="00CE1BDB" w:rsidRPr="00FA4DC7" w:rsidRDefault="00CE1BDB" w:rsidP="00EF49A7">
            <w:pPr>
              <w:jc w:val="right"/>
              <w:rPr>
                <w:rFonts w:cs="Arial"/>
                <w:i/>
                <w:iCs/>
                <w:color w:val="000000"/>
                <w:sz w:val="22"/>
                <w:szCs w:val="22"/>
                <w:highlight w:val="yellow"/>
              </w:rPr>
            </w:pPr>
            <w:r w:rsidRPr="00FA4DC7">
              <w:rPr>
                <w:rFonts w:cs="Arial"/>
                <w:b/>
                <w:bCs/>
                <w:color w:val="000000"/>
                <w:sz w:val="22"/>
                <w:szCs w:val="22"/>
              </w:rPr>
              <w:t>112,450</w:t>
            </w:r>
          </w:p>
        </w:tc>
      </w:tr>
    </w:tbl>
    <w:p w14:paraId="7B29D5B3" w14:textId="77777777" w:rsidR="00CE1BDB" w:rsidRPr="00FA4DC7" w:rsidRDefault="00CE1BDB" w:rsidP="00CE1BDB">
      <w:pPr>
        <w:rPr>
          <w:rFonts w:cs="Arial"/>
        </w:rPr>
        <w:sectPr w:rsidR="00CE1BDB" w:rsidRPr="00FA4DC7" w:rsidSect="00EF49A7">
          <w:headerReference w:type="default" r:id="rId22"/>
          <w:pgSz w:w="11906" w:h="16838"/>
          <w:pgMar w:top="1440" w:right="1276" w:bottom="1134" w:left="1440" w:header="708" w:footer="708" w:gutter="0"/>
          <w:cols w:space="708"/>
          <w:docGrid w:linePitch="360"/>
        </w:sectPr>
      </w:pP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1182"/>
        <w:gridCol w:w="950"/>
        <w:gridCol w:w="1316"/>
        <w:gridCol w:w="1060"/>
        <w:gridCol w:w="1067"/>
      </w:tblGrid>
      <w:tr w:rsidR="00CE1BDB" w:rsidRPr="00FA4DC7" w14:paraId="63600886" w14:textId="77777777" w:rsidTr="003118C5">
        <w:trPr>
          <w:trHeight w:val="660"/>
        </w:trPr>
        <w:tc>
          <w:tcPr>
            <w:tcW w:w="9409" w:type="dxa"/>
            <w:gridSpan w:val="6"/>
            <w:shd w:val="clear" w:color="auto" w:fill="006666"/>
            <w:vAlign w:val="center"/>
          </w:tcPr>
          <w:p w14:paraId="0EF836EE" w14:textId="77777777" w:rsidR="00CE1BDB" w:rsidRPr="00FA4DC7" w:rsidRDefault="00CE1BDB" w:rsidP="00EF49A7">
            <w:pPr>
              <w:pStyle w:val="Tableheading1"/>
              <w:rPr>
                <w:rFonts w:cs="Arial"/>
                <w:b w:val="0"/>
                <w:bCs w:val="0"/>
                <w:color w:val="FFFFFF"/>
              </w:rPr>
            </w:pPr>
            <w:bookmarkStart w:id="162" w:name="_Toc83036063"/>
            <w:r w:rsidRPr="00FA4DC7">
              <w:rPr>
                <w:rFonts w:cs="Arial"/>
              </w:rPr>
              <w:lastRenderedPageBreak/>
              <w:t xml:space="preserve">Table 2.10b </w:t>
            </w:r>
            <w:r w:rsidRPr="00FA4DC7">
              <w:rPr>
                <w:rFonts w:cs="Arial"/>
              </w:rPr>
              <w:tab/>
              <w:t>Tenure profile by Key Development Locations and Neighbourhood Planning Areas</w:t>
            </w:r>
            <w:bookmarkEnd w:id="162"/>
          </w:p>
        </w:tc>
      </w:tr>
      <w:tr w:rsidR="00CE1BDB" w:rsidRPr="00FA4DC7" w14:paraId="50793AB1" w14:textId="77777777" w:rsidTr="003118C5">
        <w:trPr>
          <w:trHeight w:val="660"/>
        </w:trPr>
        <w:tc>
          <w:tcPr>
            <w:tcW w:w="3834" w:type="dxa"/>
            <w:shd w:val="clear" w:color="auto" w:fill="006666"/>
            <w:vAlign w:val="bottom"/>
            <w:hideMark/>
          </w:tcPr>
          <w:p w14:paraId="7633E221" w14:textId="77777777" w:rsidR="00CE1BDB" w:rsidRPr="00FA4DC7" w:rsidRDefault="00CE1BDB" w:rsidP="003118C5">
            <w:pPr>
              <w:rPr>
                <w:rFonts w:cs="Arial"/>
                <w:b/>
                <w:bCs/>
                <w:color w:val="FFFFFF"/>
                <w:sz w:val="22"/>
                <w:szCs w:val="22"/>
              </w:rPr>
            </w:pPr>
            <w:r w:rsidRPr="00FA4DC7">
              <w:rPr>
                <w:rFonts w:cs="Arial"/>
                <w:b/>
                <w:bCs/>
                <w:color w:val="FFFFFF"/>
                <w:sz w:val="22"/>
                <w:szCs w:val="22"/>
              </w:rPr>
              <w:t>Key Development Location</w:t>
            </w:r>
          </w:p>
        </w:tc>
        <w:tc>
          <w:tcPr>
            <w:tcW w:w="1182" w:type="dxa"/>
            <w:shd w:val="clear" w:color="auto" w:fill="006666"/>
            <w:vAlign w:val="bottom"/>
            <w:hideMark/>
          </w:tcPr>
          <w:p w14:paraId="3F7709F1" w14:textId="77777777" w:rsidR="00CE1BDB" w:rsidRPr="00FA4DC7" w:rsidRDefault="00CE1BDB" w:rsidP="003118C5">
            <w:pPr>
              <w:jc w:val="center"/>
              <w:rPr>
                <w:rFonts w:cs="Arial"/>
                <w:b/>
                <w:bCs/>
                <w:color w:val="FFFFFF"/>
                <w:sz w:val="22"/>
                <w:szCs w:val="22"/>
              </w:rPr>
            </w:pPr>
            <w:r w:rsidRPr="00FA4DC7">
              <w:rPr>
                <w:rFonts w:cs="Arial"/>
                <w:b/>
                <w:bCs/>
                <w:color w:val="FFFFFF"/>
                <w:sz w:val="22"/>
                <w:szCs w:val="22"/>
              </w:rPr>
              <w:t>Owner occupied</w:t>
            </w:r>
          </w:p>
        </w:tc>
        <w:tc>
          <w:tcPr>
            <w:tcW w:w="950" w:type="dxa"/>
            <w:shd w:val="clear" w:color="auto" w:fill="006666"/>
            <w:vAlign w:val="bottom"/>
            <w:hideMark/>
          </w:tcPr>
          <w:p w14:paraId="54C5496D" w14:textId="77777777" w:rsidR="00CE1BDB" w:rsidRPr="00FA4DC7" w:rsidRDefault="00CE1BDB" w:rsidP="003118C5">
            <w:pPr>
              <w:jc w:val="center"/>
              <w:rPr>
                <w:rFonts w:cs="Arial"/>
                <w:b/>
                <w:bCs/>
                <w:color w:val="FFFFFF"/>
                <w:sz w:val="22"/>
                <w:szCs w:val="22"/>
              </w:rPr>
            </w:pPr>
            <w:r w:rsidRPr="00FA4DC7">
              <w:rPr>
                <w:rFonts w:cs="Arial"/>
                <w:b/>
                <w:bCs/>
                <w:color w:val="FFFFFF"/>
                <w:sz w:val="22"/>
                <w:szCs w:val="22"/>
              </w:rPr>
              <w:t>Private rented</w:t>
            </w:r>
          </w:p>
        </w:tc>
        <w:tc>
          <w:tcPr>
            <w:tcW w:w="1316" w:type="dxa"/>
            <w:shd w:val="clear" w:color="auto" w:fill="006666"/>
            <w:vAlign w:val="bottom"/>
            <w:hideMark/>
          </w:tcPr>
          <w:p w14:paraId="2F9EC380" w14:textId="77777777" w:rsidR="00CE1BDB" w:rsidRPr="00FA4DC7" w:rsidRDefault="00CE1BDB" w:rsidP="003118C5">
            <w:pPr>
              <w:jc w:val="center"/>
              <w:rPr>
                <w:rFonts w:cs="Arial"/>
                <w:b/>
                <w:bCs/>
                <w:color w:val="FFFFFF"/>
                <w:sz w:val="22"/>
                <w:szCs w:val="22"/>
              </w:rPr>
            </w:pPr>
            <w:r w:rsidRPr="00FA4DC7">
              <w:rPr>
                <w:rFonts w:cs="Arial"/>
                <w:b/>
                <w:bCs/>
                <w:color w:val="FFFFFF"/>
                <w:sz w:val="22"/>
                <w:szCs w:val="22"/>
              </w:rPr>
              <w:t>Affordable</w:t>
            </w:r>
          </w:p>
        </w:tc>
        <w:tc>
          <w:tcPr>
            <w:tcW w:w="1060" w:type="dxa"/>
            <w:shd w:val="clear" w:color="auto" w:fill="006666"/>
            <w:vAlign w:val="bottom"/>
            <w:hideMark/>
          </w:tcPr>
          <w:p w14:paraId="78BEC45D" w14:textId="77777777" w:rsidR="00CE1BDB" w:rsidRPr="00FA4DC7" w:rsidRDefault="00CE1BDB" w:rsidP="003118C5">
            <w:pPr>
              <w:jc w:val="center"/>
              <w:rPr>
                <w:rFonts w:cs="Arial"/>
                <w:b/>
                <w:bCs/>
                <w:color w:val="FFFFFF"/>
                <w:sz w:val="22"/>
                <w:szCs w:val="22"/>
              </w:rPr>
            </w:pPr>
            <w:r w:rsidRPr="00FA4DC7">
              <w:rPr>
                <w:rFonts w:cs="Arial"/>
                <w:b/>
                <w:bCs/>
                <w:color w:val="FFFFFF"/>
                <w:sz w:val="22"/>
                <w:szCs w:val="22"/>
              </w:rPr>
              <w:t>Total</w:t>
            </w:r>
          </w:p>
        </w:tc>
        <w:tc>
          <w:tcPr>
            <w:tcW w:w="1067" w:type="dxa"/>
            <w:shd w:val="clear" w:color="auto" w:fill="006666"/>
            <w:vAlign w:val="bottom"/>
            <w:hideMark/>
          </w:tcPr>
          <w:p w14:paraId="49800CD6" w14:textId="77777777" w:rsidR="00CE1BDB" w:rsidRPr="00FA4DC7" w:rsidRDefault="00CE1BDB" w:rsidP="003118C5">
            <w:pPr>
              <w:jc w:val="center"/>
              <w:rPr>
                <w:rFonts w:cs="Arial"/>
                <w:b/>
                <w:bCs/>
                <w:color w:val="FFFFFF"/>
                <w:sz w:val="22"/>
                <w:szCs w:val="22"/>
              </w:rPr>
            </w:pPr>
            <w:r w:rsidRPr="00FA4DC7">
              <w:rPr>
                <w:rFonts w:cs="Arial"/>
                <w:b/>
                <w:bCs/>
                <w:color w:val="FFFFFF"/>
                <w:sz w:val="22"/>
                <w:szCs w:val="22"/>
              </w:rPr>
              <w:t>Base</w:t>
            </w:r>
          </w:p>
        </w:tc>
      </w:tr>
      <w:tr w:rsidR="00CE1BDB" w:rsidRPr="00FA4DC7" w14:paraId="083842C0" w14:textId="77777777" w:rsidTr="003118C5">
        <w:trPr>
          <w:trHeight w:val="320"/>
        </w:trPr>
        <w:tc>
          <w:tcPr>
            <w:tcW w:w="3834" w:type="dxa"/>
            <w:shd w:val="clear" w:color="auto" w:fill="auto"/>
            <w:noWrap/>
            <w:vAlign w:val="center"/>
            <w:hideMark/>
          </w:tcPr>
          <w:p w14:paraId="55CD870B"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Chatham</w:t>
            </w:r>
          </w:p>
        </w:tc>
        <w:tc>
          <w:tcPr>
            <w:tcW w:w="1182" w:type="dxa"/>
            <w:shd w:val="clear" w:color="auto" w:fill="auto"/>
            <w:noWrap/>
            <w:vAlign w:val="center"/>
            <w:hideMark/>
          </w:tcPr>
          <w:p w14:paraId="48C29CA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46.9%</w:t>
            </w:r>
          </w:p>
        </w:tc>
        <w:tc>
          <w:tcPr>
            <w:tcW w:w="950" w:type="dxa"/>
            <w:shd w:val="clear" w:color="auto" w:fill="auto"/>
            <w:noWrap/>
            <w:vAlign w:val="center"/>
            <w:hideMark/>
          </w:tcPr>
          <w:p w14:paraId="6D0126A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33.3%</w:t>
            </w:r>
          </w:p>
        </w:tc>
        <w:tc>
          <w:tcPr>
            <w:tcW w:w="1316" w:type="dxa"/>
            <w:shd w:val="clear" w:color="auto" w:fill="auto"/>
            <w:noWrap/>
            <w:vAlign w:val="center"/>
            <w:hideMark/>
          </w:tcPr>
          <w:p w14:paraId="6033FEE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19.9%</w:t>
            </w:r>
          </w:p>
        </w:tc>
        <w:tc>
          <w:tcPr>
            <w:tcW w:w="1060" w:type="dxa"/>
            <w:shd w:val="clear" w:color="auto" w:fill="auto"/>
            <w:noWrap/>
            <w:vAlign w:val="center"/>
            <w:hideMark/>
          </w:tcPr>
          <w:p w14:paraId="45C5B21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4C4EDB1A"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8,220</w:t>
            </w:r>
          </w:p>
        </w:tc>
      </w:tr>
      <w:tr w:rsidR="00CE1BDB" w:rsidRPr="00FA4DC7" w14:paraId="77F6C589" w14:textId="77777777" w:rsidTr="003118C5">
        <w:trPr>
          <w:trHeight w:val="320"/>
        </w:trPr>
        <w:tc>
          <w:tcPr>
            <w:tcW w:w="3834" w:type="dxa"/>
            <w:shd w:val="clear" w:color="auto" w:fill="auto"/>
            <w:noWrap/>
            <w:vAlign w:val="center"/>
            <w:hideMark/>
          </w:tcPr>
          <w:p w14:paraId="71656C1B"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 xml:space="preserve">Chatham Maritime and Gillingham (inc. St Mary’s Island &amp; Brompton) </w:t>
            </w:r>
          </w:p>
        </w:tc>
        <w:tc>
          <w:tcPr>
            <w:tcW w:w="1182" w:type="dxa"/>
            <w:shd w:val="clear" w:color="auto" w:fill="auto"/>
            <w:noWrap/>
            <w:vAlign w:val="center"/>
            <w:hideMark/>
          </w:tcPr>
          <w:p w14:paraId="5AF1360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55.1%</w:t>
            </w:r>
          </w:p>
        </w:tc>
        <w:tc>
          <w:tcPr>
            <w:tcW w:w="950" w:type="dxa"/>
            <w:shd w:val="clear" w:color="auto" w:fill="auto"/>
            <w:noWrap/>
            <w:vAlign w:val="center"/>
            <w:hideMark/>
          </w:tcPr>
          <w:p w14:paraId="72B28BD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29.7%</w:t>
            </w:r>
          </w:p>
        </w:tc>
        <w:tc>
          <w:tcPr>
            <w:tcW w:w="1316" w:type="dxa"/>
            <w:shd w:val="clear" w:color="auto" w:fill="auto"/>
            <w:noWrap/>
            <w:vAlign w:val="center"/>
            <w:hideMark/>
          </w:tcPr>
          <w:p w14:paraId="46ACE85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15.2%</w:t>
            </w:r>
          </w:p>
        </w:tc>
        <w:tc>
          <w:tcPr>
            <w:tcW w:w="1060" w:type="dxa"/>
            <w:shd w:val="clear" w:color="auto" w:fill="auto"/>
            <w:noWrap/>
            <w:vAlign w:val="center"/>
            <w:hideMark/>
          </w:tcPr>
          <w:p w14:paraId="725A350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09B17589"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21,260</w:t>
            </w:r>
          </w:p>
        </w:tc>
      </w:tr>
      <w:tr w:rsidR="00CE1BDB" w:rsidRPr="00FA4DC7" w14:paraId="782957D9" w14:textId="77777777" w:rsidTr="003118C5">
        <w:trPr>
          <w:trHeight w:val="320"/>
        </w:trPr>
        <w:tc>
          <w:tcPr>
            <w:tcW w:w="3834" w:type="dxa"/>
            <w:shd w:val="clear" w:color="auto" w:fill="auto"/>
            <w:noWrap/>
            <w:vAlign w:val="center"/>
            <w:hideMark/>
          </w:tcPr>
          <w:p w14:paraId="5104FE85"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Rainham</w:t>
            </w:r>
          </w:p>
        </w:tc>
        <w:tc>
          <w:tcPr>
            <w:tcW w:w="1182" w:type="dxa"/>
            <w:shd w:val="clear" w:color="auto" w:fill="auto"/>
            <w:noWrap/>
            <w:vAlign w:val="center"/>
            <w:hideMark/>
          </w:tcPr>
          <w:p w14:paraId="47A527E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75.9%</w:t>
            </w:r>
          </w:p>
        </w:tc>
        <w:tc>
          <w:tcPr>
            <w:tcW w:w="950" w:type="dxa"/>
            <w:shd w:val="clear" w:color="auto" w:fill="auto"/>
            <w:noWrap/>
            <w:vAlign w:val="center"/>
            <w:hideMark/>
          </w:tcPr>
          <w:p w14:paraId="25F9B9B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11.2%</w:t>
            </w:r>
          </w:p>
        </w:tc>
        <w:tc>
          <w:tcPr>
            <w:tcW w:w="1316" w:type="dxa"/>
            <w:shd w:val="clear" w:color="auto" w:fill="auto"/>
            <w:noWrap/>
            <w:vAlign w:val="center"/>
            <w:hideMark/>
          </w:tcPr>
          <w:p w14:paraId="78567CAA"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12.9%</w:t>
            </w:r>
          </w:p>
        </w:tc>
        <w:tc>
          <w:tcPr>
            <w:tcW w:w="1060" w:type="dxa"/>
            <w:shd w:val="clear" w:color="auto" w:fill="auto"/>
            <w:noWrap/>
            <w:vAlign w:val="center"/>
            <w:hideMark/>
          </w:tcPr>
          <w:p w14:paraId="28F9882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07E85C4B"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12,410</w:t>
            </w:r>
          </w:p>
        </w:tc>
      </w:tr>
      <w:tr w:rsidR="00CE1BDB" w:rsidRPr="00FA4DC7" w14:paraId="6E4E36EB" w14:textId="77777777" w:rsidTr="003118C5">
        <w:trPr>
          <w:trHeight w:val="320"/>
        </w:trPr>
        <w:tc>
          <w:tcPr>
            <w:tcW w:w="3834" w:type="dxa"/>
            <w:shd w:val="clear" w:color="auto" w:fill="auto"/>
            <w:noWrap/>
            <w:vAlign w:val="center"/>
            <w:hideMark/>
          </w:tcPr>
          <w:p w14:paraId="651C1F48"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Rochester</w:t>
            </w:r>
          </w:p>
        </w:tc>
        <w:tc>
          <w:tcPr>
            <w:tcW w:w="1182" w:type="dxa"/>
            <w:shd w:val="clear" w:color="auto" w:fill="auto"/>
            <w:noWrap/>
            <w:vAlign w:val="center"/>
            <w:hideMark/>
          </w:tcPr>
          <w:p w14:paraId="02E90C5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62.7%</w:t>
            </w:r>
          </w:p>
        </w:tc>
        <w:tc>
          <w:tcPr>
            <w:tcW w:w="950" w:type="dxa"/>
            <w:shd w:val="clear" w:color="auto" w:fill="auto"/>
            <w:noWrap/>
            <w:vAlign w:val="center"/>
            <w:hideMark/>
          </w:tcPr>
          <w:p w14:paraId="418A15E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20.2%</w:t>
            </w:r>
          </w:p>
        </w:tc>
        <w:tc>
          <w:tcPr>
            <w:tcW w:w="1316" w:type="dxa"/>
            <w:shd w:val="clear" w:color="auto" w:fill="auto"/>
            <w:noWrap/>
            <w:vAlign w:val="center"/>
            <w:hideMark/>
          </w:tcPr>
          <w:p w14:paraId="69772BA4"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17.1%</w:t>
            </w:r>
          </w:p>
        </w:tc>
        <w:tc>
          <w:tcPr>
            <w:tcW w:w="1060" w:type="dxa"/>
            <w:shd w:val="clear" w:color="auto" w:fill="auto"/>
            <w:noWrap/>
            <w:vAlign w:val="center"/>
            <w:hideMark/>
          </w:tcPr>
          <w:p w14:paraId="1BD2129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651EEBF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11,660</w:t>
            </w:r>
          </w:p>
        </w:tc>
      </w:tr>
      <w:tr w:rsidR="00CE1BDB" w:rsidRPr="00FA4DC7" w14:paraId="341AF1B8" w14:textId="77777777" w:rsidTr="003118C5">
        <w:trPr>
          <w:trHeight w:val="320"/>
        </w:trPr>
        <w:tc>
          <w:tcPr>
            <w:tcW w:w="3834" w:type="dxa"/>
            <w:shd w:val="clear" w:color="auto" w:fill="auto"/>
            <w:noWrap/>
            <w:vAlign w:val="center"/>
            <w:hideMark/>
          </w:tcPr>
          <w:p w14:paraId="499DC251"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Strood</w:t>
            </w:r>
          </w:p>
        </w:tc>
        <w:tc>
          <w:tcPr>
            <w:tcW w:w="1182" w:type="dxa"/>
            <w:shd w:val="clear" w:color="auto" w:fill="auto"/>
            <w:noWrap/>
            <w:vAlign w:val="center"/>
            <w:hideMark/>
          </w:tcPr>
          <w:p w14:paraId="44347B7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68.7%</w:t>
            </w:r>
          </w:p>
        </w:tc>
        <w:tc>
          <w:tcPr>
            <w:tcW w:w="950" w:type="dxa"/>
            <w:shd w:val="clear" w:color="auto" w:fill="auto"/>
            <w:noWrap/>
            <w:vAlign w:val="center"/>
            <w:hideMark/>
          </w:tcPr>
          <w:p w14:paraId="2C71362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15.5%</w:t>
            </w:r>
          </w:p>
        </w:tc>
        <w:tc>
          <w:tcPr>
            <w:tcW w:w="1316" w:type="dxa"/>
            <w:shd w:val="clear" w:color="auto" w:fill="auto"/>
            <w:noWrap/>
            <w:vAlign w:val="center"/>
            <w:hideMark/>
          </w:tcPr>
          <w:p w14:paraId="0E368F25"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15.8%</w:t>
            </w:r>
          </w:p>
        </w:tc>
        <w:tc>
          <w:tcPr>
            <w:tcW w:w="1060" w:type="dxa"/>
            <w:shd w:val="clear" w:color="auto" w:fill="auto"/>
            <w:noWrap/>
            <w:vAlign w:val="center"/>
            <w:hideMark/>
          </w:tcPr>
          <w:p w14:paraId="5E1E3B48"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48D525E1"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12,120</w:t>
            </w:r>
          </w:p>
        </w:tc>
      </w:tr>
      <w:tr w:rsidR="00CE1BDB" w:rsidRPr="00FA4DC7" w14:paraId="7B2C13D8" w14:textId="77777777" w:rsidTr="003118C5">
        <w:trPr>
          <w:trHeight w:val="320"/>
        </w:trPr>
        <w:tc>
          <w:tcPr>
            <w:tcW w:w="3834" w:type="dxa"/>
            <w:shd w:val="clear" w:color="auto" w:fill="auto"/>
            <w:noWrap/>
            <w:vAlign w:val="center"/>
            <w:hideMark/>
          </w:tcPr>
          <w:p w14:paraId="08B7F68A"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Chatham</w:t>
            </w:r>
          </w:p>
        </w:tc>
        <w:tc>
          <w:tcPr>
            <w:tcW w:w="1182" w:type="dxa"/>
            <w:shd w:val="clear" w:color="auto" w:fill="auto"/>
            <w:noWrap/>
            <w:vAlign w:val="center"/>
            <w:hideMark/>
          </w:tcPr>
          <w:p w14:paraId="1479C5A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46.9%</w:t>
            </w:r>
          </w:p>
        </w:tc>
        <w:tc>
          <w:tcPr>
            <w:tcW w:w="950" w:type="dxa"/>
            <w:shd w:val="clear" w:color="auto" w:fill="auto"/>
            <w:noWrap/>
            <w:vAlign w:val="center"/>
            <w:hideMark/>
          </w:tcPr>
          <w:p w14:paraId="1EA16ADF"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33.3%</w:t>
            </w:r>
          </w:p>
        </w:tc>
        <w:tc>
          <w:tcPr>
            <w:tcW w:w="1316" w:type="dxa"/>
            <w:shd w:val="clear" w:color="auto" w:fill="auto"/>
            <w:noWrap/>
            <w:vAlign w:val="center"/>
            <w:hideMark/>
          </w:tcPr>
          <w:p w14:paraId="318DAB8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19.9%</w:t>
            </w:r>
          </w:p>
        </w:tc>
        <w:tc>
          <w:tcPr>
            <w:tcW w:w="1060" w:type="dxa"/>
            <w:shd w:val="clear" w:color="auto" w:fill="auto"/>
            <w:noWrap/>
            <w:vAlign w:val="center"/>
            <w:hideMark/>
          </w:tcPr>
          <w:p w14:paraId="22F93A13"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4E35A5F2"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8,220</w:t>
            </w:r>
          </w:p>
        </w:tc>
      </w:tr>
      <w:tr w:rsidR="00CE1BDB" w:rsidRPr="00FA4DC7" w14:paraId="579166D2" w14:textId="77777777" w:rsidTr="003118C5">
        <w:trPr>
          <w:trHeight w:val="320"/>
        </w:trPr>
        <w:tc>
          <w:tcPr>
            <w:tcW w:w="3834" w:type="dxa"/>
            <w:shd w:val="clear" w:color="auto" w:fill="006666"/>
            <w:noWrap/>
            <w:vAlign w:val="bottom"/>
            <w:hideMark/>
          </w:tcPr>
          <w:p w14:paraId="65024AFD" w14:textId="77777777" w:rsidR="00CE1BDB" w:rsidRPr="00FA4DC7" w:rsidRDefault="00CE1BDB" w:rsidP="003118C5">
            <w:pPr>
              <w:rPr>
                <w:rFonts w:cs="Arial"/>
                <w:color w:val="000000"/>
                <w:sz w:val="22"/>
                <w:szCs w:val="22"/>
                <w:highlight w:val="yellow"/>
              </w:rPr>
            </w:pPr>
            <w:r w:rsidRPr="00FA4DC7">
              <w:rPr>
                <w:rFonts w:cs="Arial"/>
                <w:b/>
                <w:bCs/>
                <w:color w:val="FFFFFF"/>
                <w:sz w:val="22"/>
                <w:szCs w:val="22"/>
              </w:rPr>
              <w:t>Neighbourhood Planning Area</w:t>
            </w:r>
          </w:p>
        </w:tc>
        <w:tc>
          <w:tcPr>
            <w:tcW w:w="1182" w:type="dxa"/>
            <w:shd w:val="clear" w:color="auto" w:fill="006666"/>
            <w:noWrap/>
            <w:vAlign w:val="bottom"/>
            <w:hideMark/>
          </w:tcPr>
          <w:p w14:paraId="2403C020" w14:textId="77777777" w:rsidR="00CE1BDB" w:rsidRPr="00FA4DC7" w:rsidRDefault="00CE1BDB" w:rsidP="003118C5">
            <w:pPr>
              <w:jc w:val="center"/>
              <w:rPr>
                <w:rFonts w:cs="Arial"/>
                <w:color w:val="000000"/>
                <w:sz w:val="22"/>
                <w:szCs w:val="22"/>
                <w:highlight w:val="yellow"/>
              </w:rPr>
            </w:pPr>
            <w:r w:rsidRPr="00FA4DC7">
              <w:rPr>
                <w:rFonts w:cs="Arial"/>
                <w:b/>
                <w:bCs/>
                <w:color w:val="FFFFFF"/>
                <w:sz w:val="22"/>
                <w:szCs w:val="22"/>
              </w:rPr>
              <w:t>Owner occupied</w:t>
            </w:r>
          </w:p>
        </w:tc>
        <w:tc>
          <w:tcPr>
            <w:tcW w:w="950" w:type="dxa"/>
            <w:shd w:val="clear" w:color="auto" w:fill="006666"/>
            <w:noWrap/>
            <w:vAlign w:val="bottom"/>
            <w:hideMark/>
          </w:tcPr>
          <w:p w14:paraId="3EEE5AE6" w14:textId="77777777" w:rsidR="00CE1BDB" w:rsidRPr="00FA4DC7" w:rsidRDefault="00CE1BDB" w:rsidP="003118C5">
            <w:pPr>
              <w:jc w:val="center"/>
              <w:rPr>
                <w:rFonts w:cs="Arial"/>
                <w:color w:val="000000"/>
                <w:sz w:val="22"/>
                <w:szCs w:val="22"/>
                <w:highlight w:val="yellow"/>
              </w:rPr>
            </w:pPr>
            <w:r w:rsidRPr="00FA4DC7">
              <w:rPr>
                <w:rFonts w:cs="Arial"/>
                <w:b/>
                <w:bCs/>
                <w:color w:val="FFFFFF"/>
                <w:sz w:val="22"/>
                <w:szCs w:val="22"/>
              </w:rPr>
              <w:t>Private rented</w:t>
            </w:r>
          </w:p>
        </w:tc>
        <w:tc>
          <w:tcPr>
            <w:tcW w:w="1316" w:type="dxa"/>
            <w:shd w:val="clear" w:color="auto" w:fill="006666"/>
            <w:noWrap/>
            <w:vAlign w:val="bottom"/>
            <w:hideMark/>
          </w:tcPr>
          <w:p w14:paraId="59220A23" w14:textId="77777777" w:rsidR="00CE1BDB" w:rsidRPr="00FA4DC7" w:rsidRDefault="00CE1BDB" w:rsidP="003118C5">
            <w:pPr>
              <w:jc w:val="center"/>
              <w:rPr>
                <w:rFonts w:cs="Arial"/>
                <w:color w:val="000000"/>
                <w:sz w:val="22"/>
                <w:szCs w:val="22"/>
                <w:highlight w:val="yellow"/>
              </w:rPr>
            </w:pPr>
            <w:r w:rsidRPr="00FA4DC7">
              <w:rPr>
                <w:rFonts w:cs="Arial"/>
                <w:b/>
                <w:bCs/>
                <w:color w:val="FFFFFF"/>
                <w:sz w:val="22"/>
                <w:szCs w:val="22"/>
              </w:rPr>
              <w:t>Affordable</w:t>
            </w:r>
          </w:p>
        </w:tc>
        <w:tc>
          <w:tcPr>
            <w:tcW w:w="1060" w:type="dxa"/>
            <w:shd w:val="clear" w:color="auto" w:fill="006666"/>
            <w:noWrap/>
            <w:vAlign w:val="bottom"/>
            <w:hideMark/>
          </w:tcPr>
          <w:p w14:paraId="09EBBFBA" w14:textId="77777777" w:rsidR="00CE1BDB" w:rsidRPr="00FA4DC7" w:rsidRDefault="00CE1BDB" w:rsidP="003118C5">
            <w:pPr>
              <w:jc w:val="center"/>
              <w:rPr>
                <w:rFonts w:cs="Arial"/>
                <w:color w:val="000000"/>
                <w:sz w:val="22"/>
                <w:szCs w:val="22"/>
                <w:highlight w:val="yellow"/>
              </w:rPr>
            </w:pPr>
            <w:r w:rsidRPr="00FA4DC7">
              <w:rPr>
                <w:rFonts w:cs="Arial"/>
                <w:b/>
                <w:bCs/>
                <w:color w:val="FFFFFF"/>
                <w:sz w:val="22"/>
                <w:szCs w:val="22"/>
              </w:rPr>
              <w:t>Total</w:t>
            </w:r>
          </w:p>
        </w:tc>
        <w:tc>
          <w:tcPr>
            <w:tcW w:w="1067" w:type="dxa"/>
            <w:shd w:val="clear" w:color="auto" w:fill="006666"/>
            <w:noWrap/>
            <w:vAlign w:val="bottom"/>
            <w:hideMark/>
          </w:tcPr>
          <w:p w14:paraId="34270256" w14:textId="77777777" w:rsidR="00CE1BDB" w:rsidRPr="00FA4DC7" w:rsidRDefault="00CE1BDB" w:rsidP="003118C5">
            <w:pPr>
              <w:jc w:val="center"/>
              <w:rPr>
                <w:rFonts w:cs="Arial"/>
                <w:i/>
                <w:iCs/>
                <w:color w:val="000000"/>
                <w:sz w:val="22"/>
                <w:szCs w:val="22"/>
                <w:highlight w:val="yellow"/>
              </w:rPr>
            </w:pPr>
            <w:r w:rsidRPr="00FA4DC7">
              <w:rPr>
                <w:rFonts w:cs="Arial"/>
                <w:b/>
                <w:bCs/>
                <w:color w:val="FFFFFF"/>
                <w:sz w:val="22"/>
                <w:szCs w:val="22"/>
              </w:rPr>
              <w:t>Base</w:t>
            </w:r>
          </w:p>
        </w:tc>
      </w:tr>
      <w:tr w:rsidR="00CE1BDB" w:rsidRPr="00FA4DC7" w14:paraId="2D13DF9E" w14:textId="77777777" w:rsidTr="003118C5">
        <w:trPr>
          <w:trHeight w:val="320"/>
        </w:trPr>
        <w:tc>
          <w:tcPr>
            <w:tcW w:w="3834" w:type="dxa"/>
            <w:shd w:val="clear" w:color="auto" w:fill="auto"/>
            <w:noWrap/>
            <w:vAlign w:val="center"/>
            <w:hideMark/>
          </w:tcPr>
          <w:p w14:paraId="00226E5E" w14:textId="77777777" w:rsidR="00CE1BDB" w:rsidRPr="00FA4DC7" w:rsidRDefault="00CE1BDB" w:rsidP="00EF49A7">
            <w:pPr>
              <w:rPr>
                <w:rFonts w:cs="Arial"/>
                <w:color w:val="000000"/>
                <w:sz w:val="22"/>
                <w:szCs w:val="22"/>
                <w:highlight w:val="yellow"/>
              </w:rPr>
            </w:pPr>
            <w:r w:rsidRPr="00FA4DC7">
              <w:rPr>
                <w:rFonts w:cs="Arial"/>
                <w:color w:val="000000" w:themeColor="text1"/>
                <w:sz w:val="22"/>
                <w:szCs w:val="22"/>
              </w:rPr>
              <w:t>Cliffe and Cliffe Woods</w:t>
            </w:r>
          </w:p>
        </w:tc>
        <w:tc>
          <w:tcPr>
            <w:tcW w:w="1182" w:type="dxa"/>
            <w:shd w:val="clear" w:color="auto" w:fill="auto"/>
            <w:noWrap/>
            <w:vAlign w:val="center"/>
            <w:hideMark/>
          </w:tcPr>
          <w:p w14:paraId="43F0CB1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80.3%</w:t>
            </w:r>
          </w:p>
        </w:tc>
        <w:tc>
          <w:tcPr>
            <w:tcW w:w="950" w:type="dxa"/>
            <w:shd w:val="clear" w:color="auto" w:fill="auto"/>
            <w:noWrap/>
            <w:vAlign w:val="center"/>
            <w:hideMark/>
          </w:tcPr>
          <w:p w14:paraId="07ABFB04"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10.3%</w:t>
            </w:r>
          </w:p>
        </w:tc>
        <w:tc>
          <w:tcPr>
            <w:tcW w:w="1316" w:type="dxa"/>
            <w:shd w:val="clear" w:color="auto" w:fill="auto"/>
            <w:noWrap/>
            <w:vAlign w:val="center"/>
            <w:hideMark/>
          </w:tcPr>
          <w:p w14:paraId="6BC97927"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9.5%</w:t>
            </w:r>
          </w:p>
        </w:tc>
        <w:tc>
          <w:tcPr>
            <w:tcW w:w="1060" w:type="dxa"/>
            <w:shd w:val="clear" w:color="auto" w:fill="auto"/>
            <w:noWrap/>
            <w:vAlign w:val="center"/>
            <w:hideMark/>
          </w:tcPr>
          <w:p w14:paraId="2B39CFE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63EA42DC"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2,070</w:t>
            </w:r>
          </w:p>
        </w:tc>
      </w:tr>
      <w:tr w:rsidR="00CE1BDB" w:rsidRPr="00FA4DC7" w14:paraId="056CC0C4" w14:textId="77777777" w:rsidTr="003118C5">
        <w:trPr>
          <w:trHeight w:val="320"/>
        </w:trPr>
        <w:tc>
          <w:tcPr>
            <w:tcW w:w="3834" w:type="dxa"/>
            <w:shd w:val="clear" w:color="auto" w:fill="auto"/>
            <w:noWrap/>
            <w:vAlign w:val="center"/>
            <w:hideMark/>
          </w:tcPr>
          <w:p w14:paraId="6E76873D" w14:textId="77777777" w:rsidR="00CE1BDB" w:rsidRPr="00FA4DC7" w:rsidRDefault="00CE1BDB" w:rsidP="00EF49A7">
            <w:pPr>
              <w:rPr>
                <w:rFonts w:cs="Arial"/>
                <w:color w:val="000000"/>
                <w:sz w:val="22"/>
                <w:szCs w:val="22"/>
                <w:highlight w:val="yellow"/>
              </w:rPr>
            </w:pPr>
            <w:proofErr w:type="spellStart"/>
            <w:r w:rsidRPr="00FA4DC7">
              <w:rPr>
                <w:rFonts w:cs="Arial"/>
                <w:color w:val="000000"/>
                <w:sz w:val="22"/>
                <w:szCs w:val="22"/>
              </w:rPr>
              <w:t>Frindsbury</w:t>
            </w:r>
            <w:proofErr w:type="spellEnd"/>
            <w:r w:rsidRPr="00FA4DC7">
              <w:rPr>
                <w:rFonts w:cs="Arial"/>
                <w:color w:val="000000"/>
                <w:sz w:val="22"/>
                <w:szCs w:val="22"/>
              </w:rPr>
              <w:t xml:space="preserve"> Extra</w:t>
            </w:r>
          </w:p>
        </w:tc>
        <w:tc>
          <w:tcPr>
            <w:tcW w:w="1182" w:type="dxa"/>
            <w:shd w:val="clear" w:color="auto" w:fill="auto"/>
            <w:noWrap/>
            <w:vAlign w:val="center"/>
            <w:hideMark/>
          </w:tcPr>
          <w:p w14:paraId="542F1D01"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77.5%</w:t>
            </w:r>
          </w:p>
        </w:tc>
        <w:tc>
          <w:tcPr>
            <w:tcW w:w="950" w:type="dxa"/>
            <w:shd w:val="clear" w:color="auto" w:fill="auto"/>
            <w:noWrap/>
            <w:vAlign w:val="center"/>
            <w:hideMark/>
          </w:tcPr>
          <w:p w14:paraId="2E78944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9.7%</w:t>
            </w:r>
          </w:p>
        </w:tc>
        <w:tc>
          <w:tcPr>
            <w:tcW w:w="1316" w:type="dxa"/>
            <w:shd w:val="clear" w:color="auto" w:fill="auto"/>
            <w:noWrap/>
            <w:vAlign w:val="center"/>
            <w:hideMark/>
          </w:tcPr>
          <w:p w14:paraId="62DDCE6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12.8%</w:t>
            </w:r>
          </w:p>
        </w:tc>
        <w:tc>
          <w:tcPr>
            <w:tcW w:w="1060" w:type="dxa"/>
            <w:shd w:val="clear" w:color="auto" w:fill="auto"/>
            <w:noWrap/>
            <w:vAlign w:val="center"/>
            <w:hideMark/>
          </w:tcPr>
          <w:p w14:paraId="7244E284"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57B2E7A0"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2,750</w:t>
            </w:r>
          </w:p>
        </w:tc>
      </w:tr>
      <w:tr w:rsidR="00CE1BDB" w:rsidRPr="00FA4DC7" w14:paraId="6EC80690" w14:textId="77777777" w:rsidTr="003118C5">
        <w:trPr>
          <w:trHeight w:val="320"/>
        </w:trPr>
        <w:tc>
          <w:tcPr>
            <w:tcW w:w="3834" w:type="dxa"/>
            <w:shd w:val="clear" w:color="auto" w:fill="auto"/>
            <w:noWrap/>
            <w:vAlign w:val="center"/>
            <w:hideMark/>
          </w:tcPr>
          <w:p w14:paraId="382BD84D"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 xml:space="preserve">High </w:t>
            </w:r>
            <w:proofErr w:type="spellStart"/>
            <w:r w:rsidRPr="00FA4DC7">
              <w:rPr>
                <w:rFonts w:cs="Arial"/>
                <w:color w:val="000000"/>
                <w:sz w:val="22"/>
                <w:szCs w:val="22"/>
              </w:rPr>
              <w:t>Halstow</w:t>
            </w:r>
            <w:proofErr w:type="spellEnd"/>
          </w:p>
        </w:tc>
        <w:tc>
          <w:tcPr>
            <w:tcW w:w="1182" w:type="dxa"/>
            <w:shd w:val="clear" w:color="auto" w:fill="auto"/>
            <w:noWrap/>
            <w:vAlign w:val="center"/>
            <w:hideMark/>
          </w:tcPr>
          <w:p w14:paraId="0515C530"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89.5%</w:t>
            </w:r>
          </w:p>
        </w:tc>
        <w:tc>
          <w:tcPr>
            <w:tcW w:w="950" w:type="dxa"/>
            <w:shd w:val="clear" w:color="auto" w:fill="auto"/>
            <w:noWrap/>
            <w:vAlign w:val="center"/>
            <w:hideMark/>
          </w:tcPr>
          <w:p w14:paraId="2F3A734B"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4.7%</w:t>
            </w:r>
          </w:p>
        </w:tc>
        <w:tc>
          <w:tcPr>
            <w:tcW w:w="1316" w:type="dxa"/>
            <w:shd w:val="clear" w:color="auto" w:fill="auto"/>
            <w:noWrap/>
            <w:vAlign w:val="center"/>
            <w:hideMark/>
          </w:tcPr>
          <w:p w14:paraId="7065C834"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5.8%</w:t>
            </w:r>
          </w:p>
        </w:tc>
        <w:tc>
          <w:tcPr>
            <w:tcW w:w="1060" w:type="dxa"/>
            <w:shd w:val="clear" w:color="auto" w:fill="auto"/>
            <w:noWrap/>
            <w:vAlign w:val="center"/>
            <w:hideMark/>
          </w:tcPr>
          <w:p w14:paraId="0BBE696E"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22DF623A"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760</w:t>
            </w:r>
          </w:p>
        </w:tc>
      </w:tr>
      <w:tr w:rsidR="00CE1BDB" w:rsidRPr="00FA4DC7" w14:paraId="70221654" w14:textId="77777777" w:rsidTr="003118C5">
        <w:trPr>
          <w:trHeight w:val="320"/>
        </w:trPr>
        <w:tc>
          <w:tcPr>
            <w:tcW w:w="3834" w:type="dxa"/>
            <w:shd w:val="clear" w:color="auto" w:fill="auto"/>
            <w:noWrap/>
            <w:vAlign w:val="center"/>
            <w:hideMark/>
          </w:tcPr>
          <w:p w14:paraId="0AB0A4B2" w14:textId="77777777" w:rsidR="00CE1BDB" w:rsidRPr="00FA4DC7" w:rsidRDefault="00CE1BDB" w:rsidP="00EF49A7">
            <w:pPr>
              <w:rPr>
                <w:rFonts w:cs="Arial"/>
                <w:color w:val="000000"/>
                <w:sz w:val="22"/>
                <w:szCs w:val="22"/>
                <w:highlight w:val="yellow"/>
              </w:rPr>
            </w:pPr>
            <w:proofErr w:type="spellStart"/>
            <w:r w:rsidRPr="00FA4DC7">
              <w:rPr>
                <w:rFonts w:cs="Arial"/>
                <w:color w:val="000000"/>
                <w:sz w:val="22"/>
                <w:szCs w:val="22"/>
              </w:rPr>
              <w:t>Hoo</w:t>
            </w:r>
            <w:proofErr w:type="spellEnd"/>
            <w:r w:rsidRPr="00FA4DC7">
              <w:rPr>
                <w:rFonts w:cs="Arial"/>
                <w:color w:val="000000"/>
                <w:sz w:val="22"/>
                <w:szCs w:val="22"/>
              </w:rPr>
              <w:t xml:space="preserve"> St </w:t>
            </w:r>
            <w:proofErr w:type="spellStart"/>
            <w:r w:rsidRPr="00FA4DC7">
              <w:rPr>
                <w:rFonts w:cs="Arial"/>
                <w:color w:val="000000"/>
                <w:sz w:val="22"/>
                <w:szCs w:val="22"/>
              </w:rPr>
              <w:t>Werburgh</w:t>
            </w:r>
            <w:proofErr w:type="spellEnd"/>
            <w:r w:rsidRPr="00FA4DC7">
              <w:rPr>
                <w:rFonts w:cs="Arial"/>
                <w:color w:val="000000"/>
                <w:sz w:val="22"/>
                <w:szCs w:val="22"/>
              </w:rPr>
              <w:t>/Rural Town</w:t>
            </w:r>
          </w:p>
        </w:tc>
        <w:tc>
          <w:tcPr>
            <w:tcW w:w="1182" w:type="dxa"/>
            <w:shd w:val="clear" w:color="auto" w:fill="auto"/>
            <w:noWrap/>
            <w:vAlign w:val="center"/>
            <w:hideMark/>
          </w:tcPr>
          <w:p w14:paraId="35AB072C"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74.4%</w:t>
            </w:r>
          </w:p>
        </w:tc>
        <w:tc>
          <w:tcPr>
            <w:tcW w:w="950" w:type="dxa"/>
            <w:shd w:val="clear" w:color="auto" w:fill="auto"/>
            <w:noWrap/>
            <w:vAlign w:val="center"/>
            <w:hideMark/>
          </w:tcPr>
          <w:p w14:paraId="7D3EF9E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9.7%</w:t>
            </w:r>
          </w:p>
        </w:tc>
        <w:tc>
          <w:tcPr>
            <w:tcW w:w="1316" w:type="dxa"/>
            <w:shd w:val="clear" w:color="auto" w:fill="auto"/>
            <w:noWrap/>
            <w:vAlign w:val="center"/>
            <w:hideMark/>
          </w:tcPr>
          <w:p w14:paraId="7405E15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15.8%</w:t>
            </w:r>
          </w:p>
        </w:tc>
        <w:tc>
          <w:tcPr>
            <w:tcW w:w="1060" w:type="dxa"/>
            <w:shd w:val="clear" w:color="auto" w:fill="auto"/>
            <w:noWrap/>
            <w:vAlign w:val="center"/>
            <w:hideMark/>
          </w:tcPr>
          <w:p w14:paraId="20A3B3E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4338ABC2"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4,150</w:t>
            </w:r>
          </w:p>
        </w:tc>
      </w:tr>
      <w:tr w:rsidR="00CE1BDB" w:rsidRPr="00FA4DC7" w14:paraId="121FA8A8" w14:textId="77777777" w:rsidTr="003118C5">
        <w:trPr>
          <w:trHeight w:val="320"/>
        </w:trPr>
        <w:tc>
          <w:tcPr>
            <w:tcW w:w="3834" w:type="dxa"/>
            <w:shd w:val="clear" w:color="auto" w:fill="auto"/>
            <w:noWrap/>
            <w:vAlign w:val="center"/>
            <w:hideMark/>
          </w:tcPr>
          <w:p w14:paraId="66BF8116" w14:textId="77777777" w:rsidR="00CE1BDB" w:rsidRPr="00FA4DC7" w:rsidRDefault="00CE1BDB" w:rsidP="00EF49A7">
            <w:pPr>
              <w:rPr>
                <w:rFonts w:cs="Arial"/>
                <w:color w:val="000000"/>
                <w:sz w:val="22"/>
                <w:szCs w:val="22"/>
                <w:highlight w:val="yellow"/>
              </w:rPr>
            </w:pPr>
            <w:r w:rsidRPr="00FA4DC7">
              <w:rPr>
                <w:rFonts w:cs="Arial"/>
                <w:color w:val="000000"/>
                <w:sz w:val="22"/>
                <w:szCs w:val="22"/>
              </w:rPr>
              <w:t>Arches (Chatham)</w:t>
            </w:r>
          </w:p>
        </w:tc>
        <w:tc>
          <w:tcPr>
            <w:tcW w:w="1182" w:type="dxa"/>
            <w:shd w:val="clear" w:color="auto" w:fill="auto"/>
            <w:noWrap/>
            <w:vAlign w:val="center"/>
            <w:hideMark/>
          </w:tcPr>
          <w:p w14:paraId="5BC80A79"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45.2%</w:t>
            </w:r>
          </w:p>
        </w:tc>
        <w:tc>
          <w:tcPr>
            <w:tcW w:w="950" w:type="dxa"/>
            <w:shd w:val="clear" w:color="auto" w:fill="auto"/>
            <w:noWrap/>
            <w:vAlign w:val="center"/>
            <w:hideMark/>
          </w:tcPr>
          <w:p w14:paraId="2446A9DD"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37.5%</w:t>
            </w:r>
          </w:p>
        </w:tc>
        <w:tc>
          <w:tcPr>
            <w:tcW w:w="1316" w:type="dxa"/>
            <w:shd w:val="clear" w:color="auto" w:fill="auto"/>
            <w:noWrap/>
            <w:vAlign w:val="center"/>
            <w:hideMark/>
          </w:tcPr>
          <w:p w14:paraId="45EF37F6"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17.2%</w:t>
            </w:r>
          </w:p>
        </w:tc>
        <w:tc>
          <w:tcPr>
            <w:tcW w:w="1060" w:type="dxa"/>
            <w:shd w:val="clear" w:color="auto" w:fill="auto"/>
            <w:noWrap/>
            <w:vAlign w:val="center"/>
            <w:hideMark/>
          </w:tcPr>
          <w:p w14:paraId="0542A672" w14:textId="77777777" w:rsidR="00CE1BDB" w:rsidRPr="00FA4DC7" w:rsidRDefault="00CE1BDB" w:rsidP="00EF49A7">
            <w:pPr>
              <w:jc w:val="right"/>
              <w:rPr>
                <w:rFonts w:cs="Arial"/>
                <w:color w:val="000000"/>
                <w:sz w:val="22"/>
                <w:szCs w:val="22"/>
                <w:highlight w:val="yellow"/>
              </w:rPr>
            </w:pPr>
            <w:r w:rsidRPr="00FA4DC7">
              <w:rPr>
                <w:rFonts w:cs="Arial"/>
                <w:color w:val="000000"/>
                <w:sz w:val="22"/>
                <w:szCs w:val="22"/>
              </w:rPr>
              <w:t>100.0%</w:t>
            </w:r>
          </w:p>
        </w:tc>
        <w:tc>
          <w:tcPr>
            <w:tcW w:w="1067" w:type="dxa"/>
            <w:shd w:val="clear" w:color="auto" w:fill="auto"/>
            <w:noWrap/>
            <w:vAlign w:val="center"/>
            <w:hideMark/>
          </w:tcPr>
          <w:p w14:paraId="68F8213A" w14:textId="77777777" w:rsidR="00CE1BDB" w:rsidRPr="00FA4DC7" w:rsidRDefault="00CE1BDB" w:rsidP="00EF49A7">
            <w:pPr>
              <w:jc w:val="right"/>
              <w:rPr>
                <w:rFonts w:cs="Arial"/>
                <w:i/>
                <w:iCs/>
                <w:color w:val="000000"/>
                <w:sz w:val="22"/>
                <w:szCs w:val="22"/>
                <w:highlight w:val="yellow"/>
              </w:rPr>
            </w:pPr>
            <w:r w:rsidRPr="00FA4DC7">
              <w:rPr>
                <w:rFonts w:cs="Arial"/>
                <w:color w:val="000000"/>
                <w:sz w:val="22"/>
                <w:szCs w:val="22"/>
              </w:rPr>
              <w:t>4,490</w:t>
            </w:r>
          </w:p>
        </w:tc>
      </w:tr>
    </w:tbl>
    <w:p w14:paraId="6395EECD" w14:textId="77777777" w:rsidR="00CE1BDB" w:rsidRPr="00FA4DC7" w:rsidRDefault="00CE1BDB" w:rsidP="00CE1BDB">
      <w:pPr>
        <w:rPr>
          <w:rFonts w:cs="Arial"/>
          <w:lang w:eastAsia="en-US"/>
        </w:rPr>
      </w:pPr>
      <w:r w:rsidRPr="00FA4DC7">
        <w:rPr>
          <w:rFonts w:cs="Arial"/>
          <w:lang w:eastAsia="en-US"/>
        </w:rPr>
        <w:t>Source: 2011 Census KS402EW</w:t>
      </w:r>
    </w:p>
    <w:p w14:paraId="09F70A0A" w14:textId="77777777" w:rsidR="00CE1BDB" w:rsidRPr="00FA4DC7" w:rsidRDefault="00CE1BDB" w:rsidP="00CE1BDB">
      <w:pPr>
        <w:rPr>
          <w:rFonts w:cs="Arial"/>
          <w:highlight w:val="yellow"/>
          <w:lang w:eastAsia="en-US"/>
        </w:rPr>
      </w:pPr>
    </w:p>
    <w:p w14:paraId="6C4A19D3" w14:textId="77777777" w:rsidR="00CE1BDB" w:rsidRPr="00FA4DC7" w:rsidRDefault="00CE1BDB" w:rsidP="00CE1BDB">
      <w:pPr>
        <w:pStyle w:val="Heading2"/>
        <w:rPr>
          <w:rFonts w:cs="Arial"/>
        </w:rPr>
      </w:pPr>
      <w:bookmarkStart w:id="163" w:name="_Toc83035645"/>
      <w:r w:rsidRPr="00FA4DC7">
        <w:rPr>
          <w:rFonts w:cs="Arial"/>
        </w:rPr>
        <w:t xml:space="preserve">Tenure </w:t>
      </w:r>
      <w:bookmarkEnd w:id="159"/>
      <w:bookmarkEnd w:id="160"/>
      <w:bookmarkEnd w:id="161"/>
      <w:r w:rsidRPr="00FA4DC7">
        <w:rPr>
          <w:rFonts w:cs="Arial"/>
        </w:rPr>
        <w:t>trends</w:t>
      </w:r>
      <w:bookmarkEnd w:id="163"/>
    </w:p>
    <w:p w14:paraId="71CDA17F" w14:textId="77777777" w:rsidR="00CE1BDB" w:rsidRPr="00FA4DC7" w:rsidRDefault="00CE1BDB" w:rsidP="00CE1BDB">
      <w:pPr>
        <w:pStyle w:val="Heading2"/>
        <w:tabs>
          <w:tab w:val="left" w:pos="0"/>
          <w:tab w:val="left" w:pos="709"/>
          <w:tab w:val="left" w:pos="1418"/>
        </w:tabs>
        <w:rPr>
          <w:rFonts w:cs="Arial"/>
        </w:rPr>
      </w:pPr>
      <w:bookmarkStart w:id="164" w:name="_Toc83035646"/>
      <w:r w:rsidRPr="00FA4DC7">
        <w:rPr>
          <w:rFonts w:cs="Arial"/>
        </w:rPr>
        <w:t>The owner-occupied sector</w:t>
      </w:r>
      <w:bookmarkEnd w:id="164"/>
    </w:p>
    <w:p w14:paraId="78B96A10" w14:textId="77777777" w:rsidR="00CE1BDB" w:rsidRPr="00FA4DC7" w:rsidRDefault="00CE1BDB" w:rsidP="00CE1BDB">
      <w:pPr>
        <w:pStyle w:val="Reporttext"/>
        <w:rPr>
          <w:rFonts w:cs="Arial"/>
        </w:rPr>
      </w:pPr>
      <w:r w:rsidRPr="00FA4DC7">
        <w:rPr>
          <w:rFonts w:cs="Arial"/>
        </w:rPr>
        <w:t xml:space="preserve">An analysis of house prices and trends over time is presented in Chapter 3. </w:t>
      </w:r>
    </w:p>
    <w:p w14:paraId="7C26DB6C" w14:textId="77777777" w:rsidR="00CE1BDB" w:rsidRPr="00FA4DC7" w:rsidRDefault="00CE1BDB" w:rsidP="00CE1BDB">
      <w:pPr>
        <w:pStyle w:val="Reporttext"/>
        <w:numPr>
          <w:ilvl w:val="0"/>
          <w:numId w:val="0"/>
        </w:numPr>
        <w:tabs>
          <w:tab w:val="left" w:pos="0"/>
          <w:tab w:val="left" w:pos="709"/>
          <w:tab w:val="left" w:pos="1418"/>
        </w:tabs>
        <w:rPr>
          <w:rFonts w:cs="Arial"/>
        </w:rPr>
      </w:pPr>
      <w:r w:rsidRPr="00FA4DC7">
        <w:rPr>
          <w:rFonts w:cs="Arial"/>
          <w:highlight w:val="yellow"/>
        </w:rPr>
        <w:t xml:space="preserve"> </w:t>
      </w:r>
    </w:p>
    <w:p w14:paraId="79BCC8EC" w14:textId="77777777" w:rsidR="00CE1BDB" w:rsidRPr="00FA4DC7" w:rsidRDefault="00CE1BDB" w:rsidP="00CE1BDB">
      <w:pPr>
        <w:pStyle w:val="Heading3"/>
        <w:rPr>
          <w:rFonts w:cs="Arial"/>
        </w:rPr>
      </w:pPr>
      <w:r w:rsidRPr="00FA4DC7">
        <w:rPr>
          <w:rFonts w:cs="Arial"/>
        </w:rPr>
        <w:t>Stakeholder views on the owner-occupied sector</w:t>
      </w:r>
    </w:p>
    <w:p w14:paraId="5A750E54" w14:textId="77777777" w:rsidR="00CE1BDB" w:rsidRPr="00FA4DC7" w:rsidRDefault="00CE1BDB" w:rsidP="00CE1BDB">
      <w:pPr>
        <w:pStyle w:val="Reporttext"/>
        <w:rPr>
          <w:rFonts w:cs="Arial"/>
        </w:rPr>
      </w:pPr>
      <w:r w:rsidRPr="00FA4DC7">
        <w:rPr>
          <w:rFonts w:cs="Arial"/>
        </w:rPr>
        <w:t>A full analysis of the findings of the online stakeholder survey and from discussions with estate agents is set out in Technical Appendix E. Key points raised by stakeholders include:</w:t>
      </w:r>
    </w:p>
    <w:p w14:paraId="57B38B73" w14:textId="77777777" w:rsidR="00CE1BDB" w:rsidRPr="00FA4DC7" w:rsidRDefault="00CE1BDB" w:rsidP="00CE1BDB">
      <w:pPr>
        <w:pStyle w:val="bullet"/>
        <w:rPr>
          <w:rFonts w:cs="Arial"/>
        </w:rPr>
      </w:pPr>
      <w:r w:rsidRPr="00FA4DC7">
        <w:rPr>
          <w:rFonts w:cs="Arial"/>
        </w:rPr>
        <w:t>A wide range of dwellings are available including plenty of ‘first homes’ such as town-centre terraced properties.</w:t>
      </w:r>
    </w:p>
    <w:p w14:paraId="1DF999F0" w14:textId="77777777" w:rsidR="00CE1BDB" w:rsidRPr="00FA4DC7" w:rsidRDefault="00CE1BDB" w:rsidP="00CE1BDB">
      <w:pPr>
        <w:pStyle w:val="bullet"/>
        <w:rPr>
          <w:rFonts w:cs="Arial"/>
        </w:rPr>
      </w:pPr>
      <w:r w:rsidRPr="00FA4DC7">
        <w:rPr>
          <w:rFonts w:cs="Arial"/>
        </w:rPr>
        <w:t>Prices are lower than neighbouring areas and London which attracts in-migrants.</w:t>
      </w:r>
    </w:p>
    <w:p w14:paraId="0B9359E4" w14:textId="77777777" w:rsidR="00CE1BDB" w:rsidRPr="00FA4DC7" w:rsidRDefault="00CE1BDB" w:rsidP="00CE1BDB">
      <w:pPr>
        <w:pStyle w:val="bullet"/>
        <w:rPr>
          <w:rFonts w:cs="Arial"/>
        </w:rPr>
      </w:pPr>
      <w:r w:rsidRPr="00FA4DC7">
        <w:rPr>
          <w:rFonts w:cs="Arial"/>
        </w:rPr>
        <w:t>Greater spread of family homes should be built.</w:t>
      </w:r>
    </w:p>
    <w:p w14:paraId="2EEC412B" w14:textId="77777777" w:rsidR="00CE1BDB" w:rsidRPr="00FA4DC7" w:rsidRDefault="00CE1BDB" w:rsidP="00CE1BDB">
      <w:pPr>
        <w:pStyle w:val="bullet"/>
        <w:rPr>
          <w:rFonts w:cs="Arial"/>
        </w:rPr>
      </w:pPr>
      <w:r w:rsidRPr="00FA4DC7">
        <w:rPr>
          <w:rFonts w:cs="Arial"/>
        </w:rPr>
        <w:t xml:space="preserve">Medway has excellent transport links with </w:t>
      </w:r>
      <w:proofErr w:type="gramStart"/>
      <w:r w:rsidRPr="00FA4DC7">
        <w:rPr>
          <w:rFonts w:cs="Arial"/>
        </w:rPr>
        <w:t>London .</w:t>
      </w:r>
      <w:proofErr w:type="gramEnd"/>
    </w:p>
    <w:p w14:paraId="1C4F21A3" w14:textId="5556425A" w:rsidR="00CE1BDB" w:rsidRPr="00FA4DC7" w:rsidRDefault="00CE1BDB" w:rsidP="00CE1BDB">
      <w:pPr>
        <w:pStyle w:val="bullet"/>
        <w:numPr>
          <w:ilvl w:val="0"/>
          <w:numId w:val="0"/>
        </w:numPr>
        <w:ind w:left="1069" w:hanging="360"/>
        <w:rPr>
          <w:rFonts w:cs="Arial"/>
        </w:rPr>
      </w:pPr>
      <w:r w:rsidRPr="00FA4DC7">
        <w:rPr>
          <w:rFonts w:cs="Arial"/>
          <w:highlight w:val="yellow"/>
        </w:rPr>
        <w:t xml:space="preserve"> </w:t>
      </w:r>
    </w:p>
    <w:p w14:paraId="22CA36A5" w14:textId="77777777" w:rsidR="00CE1BDB" w:rsidRPr="00FA4DC7" w:rsidRDefault="00CE1BDB" w:rsidP="00CE1BDB">
      <w:pPr>
        <w:pStyle w:val="Heading3"/>
        <w:rPr>
          <w:rFonts w:cs="Arial"/>
        </w:rPr>
      </w:pPr>
      <w:r w:rsidRPr="00FA4DC7">
        <w:rPr>
          <w:rFonts w:cs="Arial"/>
        </w:rPr>
        <w:t>The private rented sector</w:t>
      </w:r>
    </w:p>
    <w:p w14:paraId="429F15E8" w14:textId="77777777" w:rsidR="00CE1BDB" w:rsidRPr="00FA4DC7" w:rsidRDefault="00CE1BDB" w:rsidP="00CE1BDB">
      <w:pPr>
        <w:pStyle w:val="Reporttext"/>
        <w:tabs>
          <w:tab w:val="left" w:pos="0"/>
          <w:tab w:val="left" w:pos="709"/>
          <w:tab w:val="left" w:pos="1418"/>
        </w:tabs>
        <w:rPr>
          <w:rFonts w:cs="Arial"/>
        </w:rPr>
      </w:pPr>
      <w:r w:rsidRPr="00FA4DC7">
        <w:rPr>
          <w:rFonts w:cs="Arial"/>
        </w:rPr>
        <w:t>The private rented sector has become an important tenure in both meeting people’s housing needs and providing flexible housing options for those moving for employment and to respond to changing circumstances. Across the borough, the proportion of households renting increased from 10.8% in 2001 to around 14.2% in 2018 (ONS tenure estimates). Increasing house prices pre-</w:t>
      </w:r>
      <w:r w:rsidRPr="00FA4DC7">
        <w:rPr>
          <w:rFonts w:cs="Arial"/>
        </w:rPr>
        <w:lastRenderedPageBreak/>
        <w:t>2007 and the struggling sales market when the downturn came are both factors that have underpinned the growth of the rental market for both ‘active choice’ renters and ‘frustrated would-be’ homeowners. Tenure reform and less accessible social rented housing are also likely to be an increasing factor to the growth in the private rented sector and the sector clearly now plays a vital role in meeting housing need, affordable need as well as providing an alternative to homeownership.</w:t>
      </w:r>
    </w:p>
    <w:p w14:paraId="6C18476F"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Local authorities have an important enabling and regulatory role in ensuring that the private rented sector helps to meet housing need. Balancing good quality supply with demand will help to stabilise rents and encouraging good quality management will improve the reputation of the sector and encourage longer term lets and lower turnover. However, this is a challenging task where existing partners need to be encouraged to participate and new partners and investors need to be identified. </w:t>
      </w:r>
    </w:p>
    <w:p w14:paraId="7A796B93" w14:textId="5CEE4652" w:rsidR="00CE1BDB" w:rsidRDefault="00CE1BDB" w:rsidP="003118C5">
      <w:pPr>
        <w:rPr>
          <w:highlight w:val="yellow"/>
        </w:rPr>
      </w:pPr>
    </w:p>
    <w:p w14:paraId="3C0C8DBB" w14:textId="7B1504FA" w:rsidR="00D1568E" w:rsidRPr="00D1568E" w:rsidRDefault="00D1568E" w:rsidP="00D1568E">
      <w:pPr>
        <w:pStyle w:val="Heading3"/>
        <w:rPr>
          <w:rFonts w:cs="Arial"/>
        </w:rPr>
      </w:pPr>
      <w:r>
        <w:rPr>
          <w:rFonts w:cs="Arial"/>
        </w:rPr>
        <w:t>Build to Rent</w:t>
      </w:r>
    </w:p>
    <w:p w14:paraId="4B992CB2" w14:textId="1CD44A31" w:rsidR="00D1568E" w:rsidRPr="00043E05" w:rsidRDefault="00D1568E" w:rsidP="00D1568E">
      <w:pPr>
        <w:pStyle w:val="Reporttext"/>
        <w:tabs>
          <w:tab w:val="clear" w:pos="2128"/>
          <w:tab w:val="num" w:pos="1419"/>
        </w:tabs>
        <w:rPr>
          <w:rFonts w:cs="Arial"/>
          <w:color w:val="000000"/>
        </w:rPr>
      </w:pPr>
      <w:r w:rsidRPr="00043E05">
        <w:rPr>
          <w:rFonts w:cs="Arial"/>
        </w:rPr>
        <w:t>Build</w:t>
      </w:r>
      <w:r w:rsidRPr="00043E05">
        <w:rPr>
          <w:rFonts w:cs="Arial"/>
          <w:color w:val="000000"/>
        </w:rPr>
        <w:t xml:space="preserve"> to Rent schemes have a number of benefits. Schemes can quickly increase supply </w:t>
      </w:r>
      <w:r>
        <w:rPr>
          <w:rFonts w:cs="Arial"/>
          <w:color w:val="000000"/>
        </w:rPr>
        <w:t>and provide</w:t>
      </w:r>
      <w:r w:rsidRPr="00043E05">
        <w:rPr>
          <w:rFonts w:cs="Arial"/>
          <w:color w:val="000000"/>
        </w:rPr>
        <w:t xml:space="preserve"> improved quality and wider choice in housing markets; the accommodation and service offer provide better tenure options for households looking to rent longer term compared to what is available in the current PRS. Standards are more professional, tenancies longer and by introducing an affordable offer (minimum 20% below market rents), these schemes can meet an identified and specific need as affordable rental accommodation.</w:t>
      </w:r>
    </w:p>
    <w:p w14:paraId="4E548CB1" w14:textId="77777777" w:rsidR="00D1568E" w:rsidRPr="00D1568E" w:rsidRDefault="00D1568E" w:rsidP="00D1568E">
      <w:pPr>
        <w:pStyle w:val="Reporttext"/>
        <w:tabs>
          <w:tab w:val="clear" w:pos="2128"/>
          <w:tab w:val="num" w:pos="1419"/>
        </w:tabs>
        <w:rPr>
          <w:rFonts w:cs="Arial"/>
          <w:color w:val="000000"/>
        </w:rPr>
      </w:pPr>
      <w:r w:rsidRPr="00043E05">
        <w:rPr>
          <w:rFonts w:cs="Arial"/>
        </w:rPr>
        <w:t xml:space="preserve">Local authorities already have tools and powers at their disposal to support Build to Rent. For example, as part of their plan-making and decision taking </w:t>
      </w:r>
      <w:r w:rsidRPr="00D1568E">
        <w:rPr>
          <w:rFonts w:cs="Arial"/>
        </w:rPr>
        <w:t>processes, authorities can:</w:t>
      </w:r>
    </w:p>
    <w:p w14:paraId="1CA64EF3" w14:textId="77777777" w:rsidR="00D1568E" w:rsidRPr="00D1568E" w:rsidRDefault="00D1568E" w:rsidP="003118C5">
      <w:pPr>
        <w:pStyle w:val="bullet"/>
      </w:pPr>
      <w:r w:rsidRPr="00D1568E">
        <w:t>Identify sites in their Strategic Land Availability Assessments which might be well suited to particular types of development.</w:t>
      </w:r>
    </w:p>
    <w:p w14:paraId="332F824A" w14:textId="77777777" w:rsidR="00D1568E" w:rsidRPr="00D1568E" w:rsidRDefault="00D1568E" w:rsidP="003118C5">
      <w:pPr>
        <w:pStyle w:val="bullet"/>
      </w:pPr>
      <w:r w:rsidRPr="00D1568E">
        <w:t>Include policies in their local plans on Build to Rent</w:t>
      </w:r>
    </w:p>
    <w:p w14:paraId="40A62BB2" w14:textId="77777777" w:rsidR="00D1568E" w:rsidRPr="00D1568E" w:rsidRDefault="00D1568E" w:rsidP="003118C5">
      <w:pPr>
        <w:pStyle w:val="bullet"/>
      </w:pPr>
      <w:r w:rsidRPr="00D1568E">
        <w:t xml:space="preserve">Choose whether or not to deploy the nationally described space standard, </w:t>
      </w:r>
      <w:proofErr w:type="gramStart"/>
      <w:r w:rsidRPr="00D1568E">
        <w:t>taking into account</w:t>
      </w:r>
      <w:proofErr w:type="gramEnd"/>
      <w:r w:rsidRPr="00D1568E">
        <w:t xml:space="preserve"> viability and need considerations.</w:t>
      </w:r>
    </w:p>
    <w:p w14:paraId="41E72B33" w14:textId="370227A2" w:rsidR="00D1568E" w:rsidRDefault="00D1568E" w:rsidP="00D1568E">
      <w:pPr>
        <w:pStyle w:val="Reporttext"/>
        <w:tabs>
          <w:tab w:val="clear" w:pos="2128"/>
          <w:tab w:val="num" w:pos="1419"/>
        </w:tabs>
        <w:rPr>
          <w:rFonts w:cs="Arial"/>
        </w:rPr>
      </w:pPr>
      <w:r w:rsidRPr="00043E05">
        <w:rPr>
          <w:rFonts w:cs="Arial"/>
        </w:rPr>
        <w:t>Local authorities also have non-planning powers at their disposal through which they can support Build to Rent</w:t>
      </w:r>
      <w:r>
        <w:rPr>
          <w:rFonts w:cs="Arial"/>
        </w:rPr>
        <w:t xml:space="preserve">, </w:t>
      </w:r>
      <w:r w:rsidRPr="00043E05">
        <w:rPr>
          <w:rFonts w:cs="Arial"/>
        </w:rPr>
        <w:t>such as using their own council land holdings.</w:t>
      </w:r>
    </w:p>
    <w:p w14:paraId="1470EF4E" w14:textId="77777777" w:rsidR="00D1568E" w:rsidRPr="00D1568E" w:rsidRDefault="00D1568E" w:rsidP="00D1568E">
      <w:pPr>
        <w:rPr>
          <w:highlight w:val="yellow"/>
          <w:lang w:eastAsia="en-US"/>
        </w:rPr>
      </w:pPr>
    </w:p>
    <w:p w14:paraId="1F20E928" w14:textId="77777777" w:rsidR="00CE1BDB" w:rsidRPr="00FA4DC7" w:rsidRDefault="00CE1BDB" w:rsidP="00CE1BDB">
      <w:pPr>
        <w:pStyle w:val="Heading3"/>
        <w:tabs>
          <w:tab w:val="left" w:pos="0"/>
          <w:tab w:val="left" w:pos="709"/>
          <w:tab w:val="left" w:pos="1418"/>
        </w:tabs>
        <w:rPr>
          <w:rFonts w:cs="Arial"/>
        </w:rPr>
      </w:pPr>
      <w:r w:rsidRPr="00FA4DC7">
        <w:rPr>
          <w:rFonts w:cs="Arial"/>
        </w:rPr>
        <w:t>Stakeholder views on the private rented sector</w:t>
      </w:r>
    </w:p>
    <w:p w14:paraId="4C9D55A8" w14:textId="77777777" w:rsidR="00CE1BDB" w:rsidRPr="00FA4DC7" w:rsidRDefault="00CE1BDB" w:rsidP="00CE1BDB">
      <w:pPr>
        <w:pStyle w:val="Reporttext"/>
        <w:rPr>
          <w:rFonts w:cs="Arial"/>
        </w:rPr>
      </w:pPr>
      <w:r w:rsidRPr="00FA4DC7">
        <w:rPr>
          <w:rFonts w:cs="Arial"/>
        </w:rPr>
        <w:t xml:space="preserve">A full analysis of the findings of the online stakeholder survey is set out in Technical Appendix E. A short summary for the private rented sector is provided here. </w:t>
      </w:r>
    </w:p>
    <w:p w14:paraId="4AEBFBBA" w14:textId="77777777" w:rsidR="00CE1BDB" w:rsidRPr="00FA4DC7" w:rsidRDefault="00CE1BDB" w:rsidP="00CE1BDB">
      <w:pPr>
        <w:pStyle w:val="Reporttext"/>
        <w:rPr>
          <w:rFonts w:cs="Arial"/>
        </w:rPr>
      </w:pPr>
      <w:r w:rsidRPr="00FA4DC7">
        <w:rPr>
          <w:rFonts w:cs="Arial"/>
        </w:rPr>
        <w:t>Stakeholders commented that:</w:t>
      </w:r>
    </w:p>
    <w:p w14:paraId="5A24E569" w14:textId="77777777" w:rsidR="00CE1BDB" w:rsidRPr="00FA4DC7" w:rsidRDefault="00CE1BDB" w:rsidP="003118C5">
      <w:pPr>
        <w:pStyle w:val="bullet"/>
      </w:pPr>
      <w:r w:rsidRPr="00FA4DC7">
        <w:t>Private rents are ever increasing, with significant shortfalls between the LHA rate and market rents</w:t>
      </w:r>
    </w:p>
    <w:p w14:paraId="42B886BD" w14:textId="2EF040B7" w:rsidR="00D1568E" w:rsidRDefault="00CE1BDB" w:rsidP="003118C5">
      <w:pPr>
        <w:pStyle w:val="bullet"/>
      </w:pPr>
      <w:r w:rsidRPr="00FA4DC7">
        <w:t>Private rented sector is small</w:t>
      </w:r>
      <w:r w:rsidR="00D1568E">
        <w:t>.</w:t>
      </w:r>
    </w:p>
    <w:p w14:paraId="2910F909" w14:textId="2AEED95C" w:rsidR="00D1568E" w:rsidRPr="00D1568E" w:rsidRDefault="00D1568E" w:rsidP="003118C5">
      <w:pPr>
        <w:pStyle w:val="bullet"/>
      </w:pPr>
      <w:r>
        <w:lastRenderedPageBreak/>
        <w:t xml:space="preserve">A </w:t>
      </w:r>
      <w:r w:rsidRPr="00D1568E">
        <w:t>Built to Rent programme would help deliver new homes in Medway</w:t>
      </w:r>
    </w:p>
    <w:p w14:paraId="14BB00B1" w14:textId="77777777" w:rsidR="00CE1BDB" w:rsidRPr="00FA4DC7" w:rsidRDefault="00CE1BDB" w:rsidP="00CE1BDB">
      <w:pPr>
        <w:pStyle w:val="Reporttext"/>
        <w:numPr>
          <w:ilvl w:val="0"/>
          <w:numId w:val="0"/>
        </w:numPr>
        <w:tabs>
          <w:tab w:val="left" w:pos="0"/>
          <w:tab w:val="left" w:pos="1418"/>
        </w:tabs>
        <w:rPr>
          <w:rFonts w:cs="Arial"/>
          <w:highlight w:val="yellow"/>
        </w:rPr>
      </w:pPr>
    </w:p>
    <w:p w14:paraId="6516458A" w14:textId="77777777" w:rsidR="00CE1BDB" w:rsidRPr="00FA4DC7" w:rsidRDefault="00CE1BDB" w:rsidP="00CE1BDB">
      <w:pPr>
        <w:pStyle w:val="Heading2"/>
        <w:tabs>
          <w:tab w:val="left" w:pos="0"/>
          <w:tab w:val="left" w:pos="709"/>
          <w:tab w:val="left" w:pos="1418"/>
        </w:tabs>
        <w:rPr>
          <w:rFonts w:cs="Arial"/>
        </w:rPr>
      </w:pPr>
      <w:bookmarkStart w:id="165" w:name="_Toc83035647"/>
      <w:r w:rsidRPr="00FA4DC7">
        <w:rPr>
          <w:rFonts w:cs="Arial"/>
        </w:rPr>
        <w:t>Affordable housing</w:t>
      </w:r>
      <w:bookmarkEnd w:id="165"/>
    </w:p>
    <w:p w14:paraId="57B25283" w14:textId="5E107D40" w:rsidR="00BC3D36" w:rsidRDefault="00BC3D36" w:rsidP="00CE1BDB">
      <w:pPr>
        <w:pStyle w:val="Reporttext"/>
        <w:rPr>
          <w:rFonts w:cs="Arial"/>
        </w:rPr>
      </w:pPr>
      <w:r>
        <w:rPr>
          <w:rFonts w:cs="Arial"/>
        </w:rPr>
        <w:t xml:space="preserve">In 2020, the total affordable housing stock across Medway is </w:t>
      </w:r>
      <w:r w:rsidRPr="00BC3D36">
        <w:rPr>
          <w:rFonts w:cs="Arial"/>
          <w:b/>
          <w:bCs/>
        </w:rPr>
        <w:t>16,365</w:t>
      </w:r>
      <w:r>
        <w:rPr>
          <w:rFonts w:cs="Arial"/>
        </w:rPr>
        <w:t xml:space="preserve"> which comprises:</w:t>
      </w:r>
    </w:p>
    <w:p w14:paraId="59F68CB1" w14:textId="1571EF7A" w:rsidR="00BC3D36" w:rsidRDefault="00BC3D36" w:rsidP="00FC07B8">
      <w:pPr>
        <w:pStyle w:val="bullet"/>
      </w:pPr>
      <w:r>
        <w:t>From Regulator of Social Housing Statistical Data Return 2020 data:</w:t>
      </w:r>
    </w:p>
    <w:p w14:paraId="3F6FD3C7" w14:textId="2B6EEFE9" w:rsidR="00BC3D36" w:rsidRDefault="00BC3D36" w:rsidP="00FC07B8">
      <w:pPr>
        <w:pStyle w:val="bulletlevel2"/>
      </w:pPr>
      <w:r>
        <w:t>2,992 Local Authority rented dwellings</w:t>
      </w:r>
    </w:p>
    <w:p w14:paraId="0AD770ED" w14:textId="6C0FC3A7" w:rsidR="00BC3D36" w:rsidRDefault="00BC3D36" w:rsidP="00FC07B8">
      <w:pPr>
        <w:pStyle w:val="bulletlevel2"/>
      </w:pPr>
      <w:r>
        <w:t xml:space="preserve">6,547 registered provider dwellings </w:t>
      </w:r>
    </w:p>
    <w:p w14:paraId="0751B557" w14:textId="207199A4" w:rsidR="00BC3D36" w:rsidRDefault="00BC3D36" w:rsidP="00FC07B8">
      <w:pPr>
        <w:pStyle w:val="bullet"/>
      </w:pPr>
      <w:r>
        <w:t>In addition:</w:t>
      </w:r>
    </w:p>
    <w:p w14:paraId="275734B1" w14:textId="4EFCCCD9" w:rsidR="00BC3D36" w:rsidRDefault="00BC3D36" w:rsidP="00FC07B8">
      <w:pPr>
        <w:pStyle w:val="bulletlevel2"/>
      </w:pPr>
      <w:r>
        <w:t>6,826 Medway Housing Society dwellings</w:t>
      </w:r>
    </w:p>
    <w:p w14:paraId="2276A4AA" w14:textId="534B7D25" w:rsidR="00CE1BDB" w:rsidRPr="00FA4DC7" w:rsidRDefault="00BC3D36" w:rsidP="00BC3D36">
      <w:pPr>
        <w:pStyle w:val="Reporttext"/>
        <w:rPr>
          <w:rFonts w:cs="Arial"/>
        </w:rPr>
      </w:pPr>
      <w:r>
        <w:rPr>
          <w:rFonts w:cs="Arial"/>
        </w:rPr>
        <w:t xml:space="preserve">These figures include </w:t>
      </w:r>
      <w:r w:rsidR="00CE1BDB" w:rsidRPr="00FA4DC7">
        <w:rPr>
          <w:rFonts w:cs="Arial"/>
        </w:rPr>
        <w:t xml:space="preserve">1,547 supported housing/housing for older people dwellings and 1,344 </w:t>
      </w:r>
      <w:proofErr w:type="gramStart"/>
      <w:r w:rsidR="00CE1BDB" w:rsidRPr="00FA4DC7">
        <w:rPr>
          <w:rFonts w:cs="Arial"/>
        </w:rPr>
        <w:t>low cost</w:t>
      </w:r>
      <w:proofErr w:type="gramEnd"/>
      <w:r w:rsidR="00CE1BDB" w:rsidRPr="00FA4DC7">
        <w:rPr>
          <w:rFonts w:cs="Arial"/>
        </w:rPr>
        <w:t xml:space="preserve"> home ownership dwellings</w:t>
      </w:r>
      <w:r>
        <w:rPr>
          <w:rFonts w:cs="Arial"/>
        </w:rPr>
        <w:t xml:space="preserve">. </w:t>
      </w:r>
    </w:p>
    <w:p w14:paraId="3C97C5F4" w14:textId="77777777" w:rsidR="00CE1BDB" w:rsidRPr="00FA4DC7" w:rsidRDefault="00CE1BDB" w:rsidP="00FC07B8">
      <w:pPr>
        <w:rPr>
          <w:highlight w:val="yellow"/>
        </w:rPr>
      </w:pPr>
    </w:p>
    <w:p w14:paraId="25920453" w14:textId="77777777" w:rsidR="00CE1BDB" w:rsidRPr="00FA4DC7" w:rsidRDefault="00CE1BDB" w:rsidP="00CE1BDB">
      <w:pPr>
        <w:pStyle w:val="Heading3"/>
        <w:tabs>
          <w:tab w:val="left" w:pos="0"/>
          <w:tab w:val="left" w:pos="709"/>
          <w:tab w:val="left" w:pos="1418"/>
        </w:tabs>
        <w:rPr>
          <w:rFonts w:cs="Arial"/>
        </w:rPr>
      </w:pPr>
      <w:r w:rsidRPr="00FA4DC7">
        <w:rPr>
          <w:rFonts w:cs="Arial"/>
        </w:rPr>
        <w:t>Stakeholder views on affordable housing</w:t>
      </w:r>
    </w:p>
    <w:p w14:paraId="6DBCA018" w14:textId="77777777" w:rsidR="00CE1BDB" w:rsidRPr="00FA4DC7" w:rsidRDefault="00CE1BDB" w:rsidP="00CE1BDB">
      <w:pPr>
        <w:pStyle w:val="Reporttext"/>
        <w:rPr>
          <w:rFonts w:cs="Arial"/>
        </w:rPr>
      </w:pPr>
      <w:r w:rsidRPr="00FA4DC7">
        <w:rPr>
          <w:rFonts w:cs="Arial"/>
        </w:rPr>
        <w:t xml:space="preserve">A full analysis of the findings of the online stakeholder survey is set out in Technical Appendix E. A short summary for the affordable sector is provided here. </w:t>
      </w:r>
    </w:p>
    <w:p w14:paraId="78569E8B" w14:textId="77777777" w:rsidR="00CE1BDB" w:rsidRPr="00FA4DC7" w:rsidRDefault="00CE1BDB" w:rsidP="00CE1BDB">
      <w:pPr>
        <w:pStyle w:val="Reporttext"/>
        <w:rPr>
          <w:rFonts w:cs="Arial"/>
        </w:rPr>
      </w:pPr>
      <w:r w:rsidRPr="00FA4DC7">
        <w:rPr>
          <w:rFonts w:cs="Arial"/>
        </w:rPr>
        <w:t>Stakeholders commented that:</w:t>
      </w:r>
    </w:p>
    <w:p w14:paraId="2E0D3501" w14:textId="77777777" w:rsidR="00CE1BDB" w:rsidRPr="00FA4DC7" w:rsidRDefault="00CE1BDB" w:rsidP="00FC07B8">
      <w:pPr>
        <w:pStyle w:val="bullet"/>
      </w:pPr>
      <w:r w:rsidRPr="00FA4DC7">
        <w:t>A general lack of affordable housing.</w:t>
      </w:r>
    </w:p>
    <w:p w14:paraId="4BB7409A" w14:textId="77777777" w:rsidR="00CE1BDB" w:rsidRPr="00FA4DC7" w:rsidRDefault="00CE1BDB" w:rsidP="00FC07B8">
      <w:pPr>
        <w:pStyle w:val="bullet"/>
      </w:pPr>
      <w:r w:rsidRPr="00FA4DC7">
        <w:t>Housing affordability is an issue in Medway with the house prices against local earnings making options limited for many local people.</w:t>
      </w:r>
    </w:p>
    <w:p w14:paraId="50363A99" w14:textId="77777777" w:rsidR="00CE1BDB" w:rsidRPr="00FA4DC7" w:rsidRDefault="00CE1BDB" w:rsidP="00FC07B8">
      <w:pPr>
        <w:pStyle w:val="bullet"/>
      </w:pPr>
      <w:r w:rsidRPr="00FA4DC7">
        <w:t>Very low level of affordable housing to rent or buy.</w:t>
      </w:r>
    </w:p>
    <w:p w14:paraId="4B72D394" w14:textId="77777777" w:rsidR="00CE1BDB" w:rsidRPr="00FA4DC7" w:rsidRDefault="00CE1BDB" w:rsidP="00FC07B8">
      <w:pPr>
        <w:pStyle w:val="bullet"/>
        <w:rPr>
          <w:bCs/>
          <w:color w:val="000000" w:themeColor="text1"/>
        </w:rPr>
      </w:pPr>
      <w:r w:rsidRPr="00FA4DC7">
        <w:rPr>
          <w:bCs/>
          <w:color w:val="000000" w:themeColor="text1"/>
        </w:rPr>
        <w:t xml:space="preserve">Maximising and enabling the delivery of affordable housing and ensuring it is of the right type/tenure mix to meet the needs of Medway residents (social rent, affordable </w:t>
      </w:r>
      <w:proofErr w:type="gramStart"/>
      <w:r w:rsidRPr="00FA4DC7">
        <w:rPr>
          <w:bCs/>
          <w:color w:val="000000" w:themeColor="text1"/>
        </w:rPr>
        <w:t>rent</w:t>
      </w:r>
      <w:proofErr w:type="gramEnd"/>
      <w:r w:rsidRPr="00FA4DC7">
        <w:rPr>
          <w:bCs/>
          <w:color w:val="000000" w:themeColor="text1"/>
        </w:rPr>
        <w:t xml:space="preserve"> and shared ownership).</w:t>
      </w:r>
    </w:p>
    <w:p w14:paraId="0F2B9FFF" w14:textId="77777777" w:rsidR="00CE1BDB" w:rsidRPr="00FA4DC7" w:rsidRDefault="00CE1BDB" w:rsidP="00FC07B8">
      <w:pPr>
        <w:pStyle w:val="bullet"/>
      </w:pPr>
      <w:r w:rsidRPr="00FA4DC7">
        <w:t>Lack of council properties in the rural communities which reflects former local authority geography and the sale of council housing in rural areas</w:t>
      </w:r>
      <w:proofErr w:type="gramStart"/>
      <w:r w:rsidRPr="00FA4DC7">
        <w:t>. .</w:t>
      </w:r>
      <w:proofErr w:type="gramEnd"/>
    </w:p>
    <w:p w14:paraId="17A5BB34" w14:textId="77777777" w:rsidR="00CE1BDB" w:rsidRPr="00FA4DC7" w:rsidRDefault="00CE1BDB" w:rsidP="00FC07B8">
      <w:pPr>
        <w:pStyle w:val="bullet"/>
      </w:pPr>
      <w:r w:rsidRPr="00FA4DC7">
        <w:t>There is too much social rented in large pockets.</w:t>
      </w:r>
    </w:p>
    <w:p w14:paraId="4C0B6AE5" w14:textId="16BCD187" w:rsidR="00CE1BDB" w:rsidRDefault="00CE1BDB" w:rsidP="00FC07B8">
      <w:pPr>
        <w:pStyle w:val="bullet"/>
      </w:pPr>
      <w:r w:rsidRPr="00FA4DC7">
        <w:t>Build more social housing for people who work but are on low incomes.</w:t>
      </w:r>
    </w:p>
    <w:p w14:paraId="64BEF67E" w14:textId="7D3FD26A" w:rsidR="00F2167F" w:rsidRPr="00FA4DC7" w:rsidRDefault="00F2167F" w:rsidP="00FC07B8">
      <w:pPr>
        <w:pStyle w:val="bullet"/>
      </w:pPr>
      <w:r>
        <w:t xml:space="preserve">Differences in the level of </w:t>
      </w:r>
      <w:r w:rsidR="001A51F7">
        <w:t xml:space="preserve">local authority </w:t>
      </w:r>
      <w:r>
        <w:t>affordable housing provision can be traced back to former local authority areas and decisions taken regarding affordable stock. Rochester Council sold off its stock, mainly to Medway Housing Company; and Gillingham BC retained its stock. Rural areas were located in the former Rochester</w:t>
      </w:r>
      <w:r w:rsidR="001A51F7">
        <w:t>-upon-Medway</w:t>
      </w:r>
      <w:r>
        <w:t xml:space="preserve"> BC.</w:t>
      </w:r>
    </w:p>
    <w:p w14:paraId="6D10A516" w14:textId="77777777" w:rsidR="00CE1BDB" w:rsidRPr="00FA4DC7" w:rsidRDefault="00CE1BDB" w:rsidP="00CE1BDB">
      <w:pPr>
        <w:rPr>
          <w:rFonts w:cs="Arial"/>
          <w:highlight w:val="yellow"/>
          <w:lang w:eastAsia="en-US"/>
        </w:rPr>
      </w:pPr>
    </w:p>
    <w:p w14:paraId="38584F3D" w14:textId="77777777" w:rsidR="00FC07B8" w:rsidRDefault="00FC07B8">
      <w:pPr>
        <w:rPr>
          <w:rFonts w:cs="Arial"/>
          <w:bCs/>
          <w:iCs/>
          <w:color w:val="006666"/>
          <w:sz w:val="32"/>
          <w:szCs w:val="28"/>
          <w:lang w:eastAsia="en-US"/>
        </w:rPr>
      </w:pPr>
      <w:r>
        <w:rPr>
          <w:rFonts w:cs="Arial"/>
        </w:rPr>
        <w:br w:type="page"/>
      </w:r>
    </w:p>
    <w:p w14:paraId="329A2B4A" w14:textId="62D24971" w:rsidR="00CE1BDB" w:rsidRPr="00FA4DC7" w:rsidRDefault="00CE1BDB" w:rsidP="00CE1BDB">
      <w:pPr>
        <w:pStyle w:val="Heading2"/>
        <w:tabs>
          <w:tab w:val="left" w:pos="0"/>
          <w:tab w:val="left" w:pos="709"/>
          <w:tab w:val="left" w:pos="1418"/>
        </w:tabs>
        <w:rPr>
          <w:rFonts w:cs="Arial"/>
        </w:rPr>
      </w:pPr>
      <w:bookmarkStart w:id="166" w:name="_Toc83035648"/>
      <w:r w:rsidRPr="00FA4DC7">
        <w:rPr>
          <w:rFonts w:cs="Arial"/>
        </w:rPr>
        <w:lastRenderedPageBreak/>
        <w:t>Past trends in housing delivery</w:t>
      </w:r>
      <w:bookmarkEnd w:id="166"/>
    </w:p>
    <w:p w14:paraId="5F7B77BE" w14:textId="4FE566D2" w:rsidR="00CE1BDB" w:rsidRPr="00FA4DC7" w:rsidRDefault="00CE1BDB" w:rsidP="00CE1BDB">
      <w:pPr>
        <w:pStyle w:val="Reporttext"/>
        <w:tabs>
          <w:tab w:val="left" w:pos="709"/>
          <w:tab w:val="left" w:pos="1418"/>
        </w:tabs>
        <w:rPr>
          <w:rFonts w:cs="Arial"/>
        </w:rPr>
      </w:pPr>
      <w:r w:rsidRPr="00FA4DC7">
        <w:rPr>
          <w:rFonts w:cs="Arial"/>
        </w:rPr>
        <w:t xml:space="preserve">Over the </w:t>
      </w:r>
      <w:r w:rsidRPr="00FA4DC7">
        <w:rPr>
          <w:rFonts w:cs="Arial"/>
          <w:lang w:val="en-US"/>
        </w:rPr>
        <w:t xml:space="preserve">past </w:t>
      </w:r>
      <w:r w:rsidRPr="00FA4DC7">
        <w:rPr>
          <w:rFonts w:cs="Arial"/>
        </w:rPr>
        <w:t>10 years</w:t>
      </w:r>
      <w:r w:rsidRPr="00FA4DC7">
        <w:rPr>
          <w:rFonts w:cs="Arial"/>
          <w:lang w:val="en-US"/>
        </w:rPr>
        <w:t xml:space="preserve"> (2010/11 to 2019/20</w:t>
      </w:r>
      <w:proofErr w:type="gramStart"/>
      <w:r w:rsidRPr="00FA4DC7">
        <w:rPr>
          <w:rFonts w:cs="Arial"/>
          <w:lang w:val="en-US"/>
        </w:rPr>
        <w:t>)</w:t>
      </w:r>
      <w:r w:rsidRPr="00FA4DC7">
        <w:rPr>
          <w:rFonts w:cs="Arial"/>
        </w:rPr>
        <w:t xml:space="preserve">  6,</w:t>
      </w:r>
      <w:r w:rsidR="00F519C1">
        <w:rPr>
          <w:rFonts w:cs="Arial"/>
        </w:rPr>
        <w:t>745</w:t>
      </w:r>
      <w:proofErr w:type="gramEnd"/>
      <w:r w:rsidRPr="00FA4DC7">
        <w:rPr>
          <w:rFonts w:cs="Arial"/>
        </w:rPr>
        <w:t xml:space="preserve"> net new dwellings have been built or converted across  Medway (Table 2.11), over half of which have been built in the five years to 2019/20. In the past 5 years, an annual average of 730 net completions have been achieved. A comparison of annual completions with the annual housing requirement is presented in Figure 2.</w:t>
      </w:r>
      <w:r w:rsidR="009626AC">
        <w:rPr>
          <w:rFonts w:cs="Arial"/>
        </w:rPr>
        <w:t>1</w:t>
      </w:r>
      <w:r w:rsidRPr="00FA4DC7">
        <w:rPr>
          <w:rFonts w:cs="Arial"/>
        </w:rPr>
        <w:t xml:space="preserve">. There has been a consistent shortfall in delivery against annual housing requirements. The cumulative shortfall over the 10 years from 2010/11 has been 3,649 dwellings. </w:t>
      </w:r>
    </w:p>
    <w:p w14:paraId="1EADA744" w14:textId="3B7C41A3" w:rsidR="00CE1BDB" w:rsidRPr="00FA4DC7" w:rsidRDefault="00CE1BDB" w:rsidP="001A51F7">
      <w:pPr>
        <w:pStyle w:val="Reporttext"/>
        <w:numPr>
          <w:ilvl w:val="0"/>
          <w:numId w:val="0"/>
        </w:numPr>
        <w:ind w:left="709"/>
        <w:rPr>
          <w:rFonts w:cs="Arial"/>
          <w:shd w:val="clear" w:color="auto" w:fill="FFFFFF"/>
          <w:lang w:eastAsia="en-GB"/>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979"/>
        <w:gridCol w:w="852"/>
        <w:gridCol w:w="991"/>
        <w:gridCol w:w="1135"/>
        <w:gridCol w:w="975"/>
        <w:gridCol w:w="1395"/>
        <w:gridCol w:w="1853"/>
      </w:tblGrid>
      <w:tr w:rsidR="00FC07B8" w:rsidRPr="00FA4DC7" w14:paraId="2D9ADDA8" w14:textId="77777777" w:rsidTr="00FC07B8">
        <w:tc>
          <w:tcPr>
            <w:tcW w:w="5000" w:type="pct"/>
            <w:gridSpan w:val="7"/>
            <w:shd w:val="clear" w:color="auto" w:fill="006666"/>
          </w:tcPr>
          <w:p w14:paraId="3DF65154" w14:textId="2CBC1DA3" w:rsidR="00FC07B8" w:rsidRPr="00FA4DC7" w:rsidRDefault="00FC07B8" w:rsidP="00EF49A7">
            <w:pPr>
              <w:pStyle w:val="Tableheading1"/>
              <w:rPr>
                <w:rFonts w:cs="Arial"/>
              </w:rPr>
            </w:pPr>
            <w:bookmarkStart w:id="167" w:name="_Toc83036064"/>
            <w:r w:rsidRPr="00FA4DC7">
              <w:rPr>
                <w:rFonts w:cs="Arial"/>
              </w:rPr>
              <w:t>Table 2.11</w:t>
            </w:r>
            <w:r w:rsidRPr="00FA4DC7">
              <w:rPr>
                <w:rFonts w:cs="Arial"/>
              </w:rPr>
              <w:tab/>
              <w:t>Dwelling completions 2010/11 to 2019/20</w:t>
            </w:r>
            <w:bookmarkEnd w:id="167"/>
          </w:p>
        </w:tc>
      </w:tr>
      <w:tr w:rsidR="00FC07B8" w:rsidRPr="00FA4DC7" w14:paraId="6469769E" w14:textId="77777777" w:rsidTr="00FC07B8">
        <w:tc>
          <w:tcPr>
            <w:tcW w:w="1078" w:type="pct"/>
            <w:vMerge w:val="restart"/>
            <w:shd w:val="clear" w:color="auto" w:fill="006666"/>
            <w:noWrap/>
            <w:vAlign w:val="bottom"/>
            <w:hideMark/>
          </w:tcPr>
          <w:p w14:paraId="29363D37" w14:textId="77777777" w:rsidR="00FC07B8" w:rsidRPr="00FA4DC7" w:rsidRDefault="00FC07B8" w:rsidP="00FC07B8">
            <w:pPr>
              <w:tabs>
                <w:tab w:val="left" w:pos="0"/>
                <w:tab w:val="left" w:pos="709"/>
                <w:tab w:val="left" w:pos="1418"/>
              </w:tabs>
              <w:jc w:val="center"/>
              <w:rPr>
                <w:rFonts w:cs="Arial"/>
                <w:b/>
                <w:color w:val="FFFFFF" w:themeColor="background1"/>
                <w:sz w:val="22"/>
                <w:szCs w:val="22"/>
              </w:rPr>
            </w:pPr>
            <w:r w:rsidRPr="00FA4DC7">
              <w:rPr>
                <w:rFonts w:cs="Arial"/>
                <w:b/>
                <w:color w:val="FFFFFF" w:themeColor="background1"/>
                <w:sz w:val="22"/>
                <w:szCs w:val="22"/>
              </w:rPr>
              <w:t>Year</w:t>
            </w:r>
          </w:p>
        </w:tc>
        <w:tc>
          <w:tcPr>
            <w:tcW w:w="2153" w:type="pct"/>
            <w:gridSpan w:val="4"/>
            <w:shd w:val="clear" w:color="auto" w:fill="006666"/>
            <w:noWrap/>
            <w:vAlign w:val="bottom"/>
          </w:tcPr>
          <w:p w14:paraId="7A54E72F" w14:textId="25F7CBE2" w:rsidR="00FC07B8" w:rsidRPr="00FA4DC7" w:rsidRDefault="00FC07B8" w:rsidP="00FC07B8">
            <w:pPr>
              <w:tabs>
                <w:tab w:val="left" w:pos="0"/>
                <w:tab w:val="left" w:pos="709"/>
                <w:tab w:val="left" w:pos="1418"/>
              </w:tabs>
              <w:jc w:val="center"/>
              <w:rPr>
                <w:rFonts w:cs="Arial"/>
                <w:b/>
                <w:color w:val="FFFFFF" w:themeColor="background1"/>
                <w:sz w:val="22"/>
                <w:szCs w:val="22"/>
              </w:rPr>
            </w:pPr>
            <w:r w:rsidRPr="00FA4DC7">
              <w:rPr>
                <w:rFonts w:cs="Arial"/>
                <w:b/>
                <w:bCs/>
                <w:color w:val="FFFFFF"/>
                <w:sz w:val="22"/>
                <w:szCs w:val="22"/>
              </w:rPr>
              <w:t>Completions</w:t>
            </w:r>
          </w:p>
        </w:tc>
        <w:tc>
          <w:tcPr>
            <w:tcW w:w="760" w:type="pct"/>
            <w:vMerge w:val="restart"/>
            <w:shd w:val="clear" w:color="auto" w:fill="006666"/>
            <w:noWrap/>
            <w:vAlign w:val="bottom"/>
          </w:tcPr>
          <w:p w14:paraId="26360078" w14:textId="77777777" w:rsidR="00FC07B8" w:rsidRPr="00FA4DC7" w:rsidRDefault="00FC07B8" w:rsidP="00FC07B8">
            <w:pPr>
              <w:tabs>
                <w:tab w:val="left" w:pos="0"/>
                <w:tab w:val="left" w:pos="709"/>
                <w:tab w:val="left" w:pos="1418"/>
              </w:tabs>
              <w:jc w:val="center"/>
              <w:rPr>
                <w:rFonts w:cs="Arial"/>
                <w:b/>
                <w:color w:val="FFFFFF" w:themeColor="background1"/>
                <w:sz w:val="22"/>
                <w:szCs w:val="22"/>
              </w:rPr>
            </w:pPr>
            <w:r w:rsidRPr="00FA4DC7">
              <w:rPr>
                <w:rFonts w:cs="Arial"/>
                <w:b/>
                <w:bCs/>
                <w:color w:val="FFFFFF"/>
                <w:sz w:val="22"/>
                <w:szCs w:val="22"/>
              </w:rPr>
              <w:t>Annual Housing Requirement (AHR)</w:t>
            </w:r>
          </w:p>
        </w:tc>
        <w:tc>
          <w:tcPr>
            <w:tcW w:w="1009" w:type="pct"/>
            <w:vMerge w:val="restart"/>
            <w:shd w:val="clear" w:color="auto" w:fill="006666"/>
            <w:vAlign w:val="bottom"/>
          </w:tcPr>
          <w:p w14:paraId="00BCC1F5" w14:textId="77777777" w:rsidR="00FC07B8" w:rsidRPr="00FA4DC7" w:rsidRDefault="00FC07B8" w:rsidP="00FC07B8">
            <w:pPr>
              <w:tabs>
                <w:tab w:val="left" w:pos="0"/>
                <w:tab w:val="left" w:pos="709"/>
                <w:tab w:val="left" w:pos="1418"/>
              </w:tabs>
              <w:jc w:val="center"/>
              <w:rPr>
                <w:rFonts w:cs="Arial"/>
                <w:b/>
                <w:bCs/>
                <w:color w:val="FFFFFF"/>
                <w:sz w:val="22"/>
                <w:szCs w:val="22"/>
              </w:rPr>
            </w:pPr>
            <w:r w:rsidRPr="00FA4DC7">
              <w:rPr>
                <w:rFonts w:cs="Arial"/>
                <w:b/>
                <w:color w:val="FFFFFF" w:themeColor="background1"/>
                <w:sz w:val="22"/>
                <w:szCs w:val="22"/>
              </w:rPr>
              <w:t>Annual shortfall/surplus (Net Total – AHR)</w:t>
            </w:r>
          </w:p>
        </w:tc>
      </w:tr>
      <w:tr w:rsidR="00FC07B8" w:rsidRPr="00FA4DC7" w14:paraId="76158FE4" w14:textId="77777777" w:rsidTr="00FC07B8">
        <w:trPr>
          <w:trHeight w:val="445"/>
        </w:trPr>
        <w:tc>
          <w:tcPr>
            <w:tcW w:w="1078" w:type="pct"/>
            <w:vMerge/>
            <w:shd w:val="clear" w:color="auto" w:fill="006666"/>
            <w:noWrap/>
            <w:vAlign w:val="bottom"/>
          </w:tcPr>
          <w:p w14:paraId="3CF88875" w14:textId="77777777" w:rsidR="00FC07B8" w:rsidRPr="00FA4DC7" w:rsidRDefault="00FC07B8" w:rsidP="00FC07B8">
            <w:pPr>
              <w:tabs>
                <w:tab w:val="left" w:pos="0"/>
                <w:tab w:val="left" w:pos="709"/>
                <w:tab w:val="left" w:pos="1418"/>
              </w:tabs>
              <w:jc w:val="center"/>
              <w:rPr>
                <w:rFonts w:cs="Arial"/>
                <w:b/>
                <w:color w:val="FFFFFF" w:themeColor="background1"/>
                <w:sz w:val="22"/>
                <w:szCs w:val="22"/>
              </w:rPr>
            </w:pPr>
          </w:p>
        </w:tc>
        <w:tc>
          <w:tcPr>
            <w:tcW w:w="464" w:type="pct"/>
            <w:shd w:val="clear" w:color="auto" w:fill="006666"/>
            <w:noWrap/>
            <w:vAlign w:val="bottom"/>
          </w:tcPr>
          <w:p w14:paraId="2597B584" w14:textId="77777777" w:rsidR="00FC07B8" w:rsidRPr="00FA4DC7" w:rsidRDefault="00FC07B8" w:rsidP="00FC07B8">
            <w:pPr>
              <w:tabs>
                <w:tab w:val="left" w:pos="0"/>
                <w:tab w:val="left" w:pos="709"/>
                <w:tab w:val="left" w:pos="1418"/>
              </w:tabs>
              <w:jc w:val="center"/>
              <w:rPr>
                <w:rFonts w:cs="Arial"/>
                <w:b/>
                <w:bCs/>
                <w:color w:val="FFFFFF"/>
                <w:sz w:val="22"/>
                <w:szCs w:val="22"/>
              </w:rPr>
            </w:pPr>
            <w:r w:rsidRPr="00FA4DC7">
              <w:rPr>
                <w:rFonts w:cs="Arial"/>
                <w:b/>
                <w:bCs/>
                <w:color w:val="FFFFFF"/>
                <w:sz w:val="22"/>
                <w:szCs w:val="22"/>
              </w:rPr>
              <w:t>Gross Total</w:t>
            </w:r>
          </w:p>
        </w:tc>
        <w:tc>
          <w:tcPr>
            <w:tcW w:w="540" w:type="pct"/>
            <w:shd w:val="clear" w:color="auto" w:fill="006666"/>
            <w:vAlign w:val="bottom"/>
          </w:tcPr>
          <w:p w14:paraId="481B4798" w14:textId="77777777" w:rsidR="00FC07B8" w:rsidRPr="00FA4DC7" w:rsidRDefault="00FC07B8" w:rsidP="00FC07B8">
            <w:pPr>
              <w:tabs>
                <w:tab w:val="left" w:pos="0"/>
                <w:tab w:val="left" w:pos="709"/>
                <w:tab w:val="left" w:pos="1418"/>
              </w:tabs>
              <w:jc w:val="center"/>
              <w:rPr>
                <w:rFonts w:cs="Arial"/>
                <w:b/>
                <w:color w:val="FFFFFF" w:themeColor="background1"/>
                <w:sz w:val="22"/>
                <w:szCs w:val="22"/>
              </w:rPr>
            </w:pPr>
            <w:r w:rsidRPr="00FA4DC7">
              <w:rPr>
                <w:rFonts w:cs="Arial"/>
                <w:b/>
                <w:color w:val="FFFFFF" w:themeColor="background1"/>
                <w:sz w:val="22"/>
                <w:szCs w:val="22"/>
              </w:rPr>
              <w:t>Gross Market</w:t>
            </w:r>
          </w:p>
        </w:tc>
        <w:tc>
          <w:tcPr>
            <w:tcW w:w="618" w:type="pct"/>
            <w:shd w:val="clear" w:color="auto" w:fill="006666"/>
            <w:vAlign w:val="bottom"/>
          </w:tcPr>
          <w:p w14:paraId="5996665D" w14:textId="77777777" w:rsidR="00FC07B8" w:rsidRPr="00FA4DC7" w:rsidRDefault="00FC07B8" w:rsidP="00FC07B8">
            <w:pPr>
              <w:tabs>
                <w:tab w:val="left" w:pos="0"/>
                <w:tab w:val="left" w:pos="709"/>
                <w:tab w:val="left" w:pos="1418"/>
              </w:tabs>
              <w:jc w:val="center"/>
              <w:rPr>
                <w:rFonts w:cs="Arial"/>
                <w:b/>
                <w:bCs/>
                <w:color w:val="FFFFFF"/>
                <w:sz w:val="22"/>
                <w:szCs w:val="22"/>
              </w:rPr>
            </w:pPr>
            <w:r w:rsidRPr="00FA4DC7">
              <w:rPr>
                <w:rFonts w:cs="Arial"/>
                <w:b/>
                <w:bCs/>
                <w:color w:val="FFFFFF"/>
                <w:sz w:val="22"/>
                <w:szCs w:val="22"/>
              </w:rPr>
              <w:t>Gross</w:t>
            </w:r>
          </w:p>
          <w:p w14:paraId="79E1D6F2" w14:textId="77777777" w:rsidR="00FC07B8" w:rsidRPr="00FA4DC7" w:rsidRDefault="00FC07B8" w:rsidP="00FC07B8">
            <w:pPr>
              <w:tabs>
                <w:tab w:val="left" w:pos="0"/>
                <w:tab w:val="left" w:pos="709"/>
                <w:tab w:val="left" w:pos="1418"/>
              </w:tabs>
              <w:jc w:val="center"/>
              <w:rPr>
                <w:rFonts w:cs="Arial"/>
                <w:b/>
                <w:bCs/>
                <w:color w:val="FFFFFF"/>
                <w:sz w:val="22"/>
                <w:szCs w:val="22"/>
              </w:rPr>
            </w:pPr>
            <w:r w:rsidRPr="00FA4DC7">
              <w:rPr>
                <w:rFonts w:cs="Arial"/>
                <w:b/>
                <w:bCs/>
                <w:color w:val="FFFFFF"/>
                <w:sz w:val="22"/>
                <w:szCs w:val="22"/>
              </w:rPr>
              <w:t>Affordable</w:t>
            </w:r>
          </w:p>
        </w:tc>
        <w:tc>
          <w:tcPr>
            <w:tcW w:w="531" w:type="pct"/>
            <w:shd w:val="clear" w:color="auto" w:fill="006666"/>
            <w:vAlign w:val="bottom"/>
          </w:tcPr>
          <w:p w14:paraId="680007F5" w14:textId="77777777" w:rsidR="00FC07B8" w:rsidRPr="00FA4DC7" w:rsidRDefault="00FC07B8" w:rsidP="00FC07B8">
            <w:pPr>
              <w:tabs>
                <w:tab w:val="left" w:pos="0"/>
                <w:tab w:val="left" w:pos="709"/>
                <w:tab w:val="left" w:pos="1418"/>
              </w:tabs>
              <w:jc w:val="center"/>
              <w:rPr>
                <w:rFonts w:cs="Arial"/>
                <w:b/>
                <w:bCs/>
                <w:color w:val="FFFFFF"/>
                <w:sz w:val="22"/>
                <w:szCs w:val="22"/>
              </w:rPr>
            </w:pPr>
            <w:r w:rsidRPr="00FA4DC7">
              <w:rPr>
                <w:rFonts w:cs="Arial"/>
                <w:b/>
                <w:bCs/>
                <w:color w:val="FFFFFF"/>
                <w:sz w:val="22"/>
                <w:szCs w:val="22"/>
              </w:rPr>
              <w:t>Net Total</w:t>
            </w:r>
          </w:p>
        </w:tc>
        <w:tc>
          <w:tcPr>
            <w:tcW w:w="760" w:type="pct"/>
            <w:vMerge/>
            <w:shd w:val="clear" w:color="auto" w:fill="006666"/>
            <w:noWrap/>
          </w:tcPr>
          <w:p w14:paraId="643E408E" w14:textId="77777777" w:rsidR="00FC07B8" w:rsidRPr="00FA4DC7" w:rsidRDefault="00FC07B8" w:rsidP="00EF49A7">
            <w:pPr>
              <w:tabs>
                <w:tab w:val="left" w:pos="0"/>
                <w:tab w:val="left" w:pos="709"/>
                <w:tab w:val="left" w:pos="1418"/>
              </w:tabs>
              <w:jc w:val="center"/>
              <w:rPr>
                <w:rFonts w:cs="Arial"/>
                <w:b/>
                <w:color w:val="FFFFFF" w:themeColor="background1"/>
                <w:sz w:val="22"/>
                <w:szCs w:val="22"/>
              </w:rPr>
            </w:pPr>
          </w:p>
        </w:tc>
        <w:tc>
          <w:tcPr>
            <w:tcW w:w="1009" w:type="pct"/>
            <w:vMerge/>
            <w:shd w:val="clear" w:color="auto" w:fill="006666"/>
          </w:tcPr>
          <w:p w14:paraId="433F7FC5" w14:textId="77777777" w:rsidR="00FC07B8" w:rsidRPr="00FA4DC7" w:rsidRDefault="00FC07B8" w:rsidP="00EF49A7">
            <w:pPr>
              <w:tabs>
                <w:tab w:val="left" w:pos="0"/>
                <w:tab w:val="left" w:pos="709"/>
                <w:tab w:val="left" w:pos="1418"/>
              </w:tabs>
              <w:jc w:val="center"/>
              <w:rPr>
                <w:rFonts w:cs="Arial"/>
                <w:b/>
                <w:color w:val="FFFFFF" w:themeColor="background1"/>
                <w:sz w:val="22"/>
                <w:szCs w:val="22"/>
              </w:rPr>
            </w:pPr>
          </w:p>
        </w:tc>
      </w:tr>
      <w:tr w:rsidR="00FC07B8" w:rsidRPr="00FA4DC7" w14:paraId="5D3F7B9E" w14:textId="77777777" w:rsidTr="00FC07B8">
        <w:tc>
          <w:tcPr>
            <w:tcW w:w="1078" w:type="pct"/>
            <w:shd w:val="clear" w:color="auto" w:fill="auto"/>
            <w:noWrap/>
            <w:tcMar>
              <w:left w:w="108" w:type="dxa"/>
              <w:right w:w="108" w:type="dxa"/>
            </w:tcMar>
            <w:vAlign w:val="center"/>
          </w:tcPr>
          <w:p w14:paraId="343E0A2D" w14:textId="234F9E27" w:rsidR="00F519C1" w:rsidRPr="001A51F7" w:rsidRDefault="00F519C1" w:rsidP="00FC07B8">
            <w:pPr>
              <w:tabs>
                <w:tab w:val="left" w:pos="0"/>
                <w:tab w:val="left" w:pos="709"/>
                <w:tab w:val="left" w:pos="1418"/>
              </w:tabs>
              <w:jc w:val="center"/>
              <w:rPr>
                <w:rFonts w:cs="Arial"/>
                <w:color w:val="000000" w:themeColor="text1"/>
                <w:sz w:val="22"/>
                <w:szCs w:val="22"/>
                <w:highlight w:val="yellow"/>
              </w:rPr>
            </w:pPr>
            <w:r>
              <w:rPr>
                <w:rFonts w:cs="Arial"/>
                <w:color w:val="000000"/>
                <w:sz w:val="22"/>
                <w:szCs w:val="22"/>
              </w:rPr>
              <w:t>2010/11</w:t>
            </w:r>
          </w:p>
        </w:tc>
        <w:tc>
          <w:tcPr>
            <w:tcW w:w="464" w:type="pct"/>
            <w:shd w:val="clear" w:color="auto" w:fill="auto"/>
            <w:noWrap/>
            <w:tcMar>
              <w:left w:w="108" w:type="dxa"/>
              <w:right w:w="108" w:type="dxa"/>
            </w:tcMar>
            <w:vAlign w:val="center"/>
          </w:tcPr>
          <w:p w14:paraId="4B192D00" w14:textId="1556B0FC" w:rsidR="00F519C1" w:rsidRPr="001A51F7" w:rsidRDefault="00F519C1" w:rsidP="00FC07B8">
            <w:pPr>
              <w:tabs>
                <w:tab w:val="left" w:pos="0"/>
                <w:tab w:val="left" w:pos="709"/>
                <w:tab w:val="left" w:pos="1418"/>
              </w:tabs>
              <w:jc w:val="right"/>
              <w:rPr>
                <w:rFonts w:cs="Arial"/>
                <w:color w:val="000000" w:themeColor="text1"/>
                <w:sz w:val="22"/>
                <w:szCs w:val="22"/>
                <w:highlight w:val="yellow"/>
              </w:rPr>
            </w:pPr>
            <w:r>
              <w:rPr>
                <w:rFonts w:cs="Arial"/>
                <w:color w:val="000000"/>
                <w:sz w:val="22"/>
                <w:szCs w:val="22"/>
              </w:rPr>
              <w:t>725</w:t>
            </w:r>
          </w:p>
        </w:tc>
        <w:tc>
          <w:tcPr>
            <w:tcW w:w="540" w:type="pct"/>
            <w:tcMar>
              <w:left w:w="108" w:type="dxa"/>
              <w:right w:w="108" w:type="dxa"/>
            </w:tcMar>
            <w:vAlign w:val="center"/>
          </w:tcPr>
          <w:p w14:paraId="1FE02BDF" w14:textId="0ECA57CA" w:rsidR="00F519C1" w:rsidRPr="001A51F7" w:rsidRDefault="00F519C1" w:rsidP="00FC07B8">
            <w:pPr>
              <w:tabs>
                <w:tab w:val="left" w:pos="0"/>
                <w:tab w:val="left" w:pos="709"/>
                <w:tab w:val="left" w:pos="1418"/>
              </w:tabs>
              <w:jc w:val="right"/>
              <w:rPr>
                <w:rFonts w:cs="Arial"/>
                <w:color w:val="000000" w:themeColor="text1"/>
                <w:sz w:val="22"/>
                <w:szCs w:val="22"/>
                <w:highlight w:val="yellow"/>
              </w:rPr>
            </w:pPr>
            <w:r>
              <w:rPr>
                <w:rFonts w:cs="Arial"/>
                <w:color w:val="000000"/>
                <w:sz w:val="22"/>
                <w:szCs w:val="22"/>
              </w:rPr>
              <w:t>405</w:t>
            </w:r>
          </w:p>
        </w:tc>
        <w:tc>
          <w:tcPr>
            <w:tcW w:w="618" w:type="pct"/>
            <w:tcMar>
              <w:left w:w="108" w:type="dxa"/>
              <w:right w:w="108" w:type="dxa"/>
            </w:tcMar>
            <w:vAlign w:val="center"/>
          </w:tcPr>
          <w:p w14:paraId="75FFDFCD" w14:textId="43F2423D" w:rsidR="00F519C1" w:rsidRPr="001A51F7" w:rsidRDefault="00F519C1" w:rsidP="00FC07B8">
            <w:pPr>
              <w:tabs>
                <w:tab w:val="left" w:pos="0"/>
                <w:tab w:val="left" w:pos="709"/>
                <w:tab w:val="left" w:pos="1418"/>
              </w:tabs>
              <w:jc w:val="right"/>
              <w:rPr>
                <w:rFonts w:cs="Arial"/>
                <w:color w:val="000000" w:themeColor="text1"/>
                <w:highlight w:val="yellow"/>
              </w:rPr>
            </w:pPr>
            <w:r>
              <w:rPr>
                <w:rFonts w:cs="Arial"/>
                <w:color w:val="000000"/>
                <w:sz w:val="22"/>
                <w:szCs w:val="22"/>
              </w:rPr>
              <w:t>252</w:t>
            </w:r>
          </w:p>
        </w:tc>
        <w:tc>
          <w:tcPr>
            <w:tcW w:w="531" w:type="pct"/>
            <w:tcMar>
              <w:left w:w="108" w:type="dxa"/>
              <w:right w:w="108" w:type="dxa"/>
            </w:tcMar>
            <w:vAlign w:val="center"/>
          </w:tcPr>
          <w:p w14:paraId="7439BAD9" w14:textId="280CC568" w:rsidR="00F519C1" w:rsidRPr="001A51F7" w:rsidRDefault="00F519C1" w:rsidP="00FC07B8">
            <w:pPr>
              <w:tabs>
                <w:tab w:val="left" w:pos="0"/>
                <w:tab w:val="left" w:pos="709"/>
                <w:tab w:val="left" w:pos="1418"/>
              </w:tabs>
              <w:jc w:val="right"/>
              <w:rPr>
                <w:rFonts w:cs="Arial"/>
                <w:color w:val="000000" w:themeColor="text1"/>
                <w:highlight w:val="yellow"/>
              </w:rPr>
            </w:pPr>
            <w:r>
              <w:rPr>
                <w:rFonts w:cs="Arial"/>
                <w:color w:val="000000"/>
                <w:sz w:val="22"/>
                <w:szCs w:val="22"/>
              </w:rPr>
              <w:t>657</w:t>
            </w:r>
          </w:p>
        </w:tc>
        <w:tc>
          <w:tcPr>
            <w:tcW w:w="760" w:type="pct"/>
            <w:shd w:val="clear" w:color="auto" w:fill="auto"/>
            <w:noWrap/>
            <w:tcMar>
              <w:left w:w="108" w:type="dxa"/>
              <w:right w:w="108" w:type="dxa"/>
            </w:tcMar>
            <w:vAlign w:val="center"/>
          </w:tcPr>
          <w:p w14:paraId="65C20EF1" w14:textId="04376A4C" w:rsidR="00F519C1" w:rsidRPr="001A51F7" w:rsidRDefault="00F519C1" w:rsidP="00FC07B8">
            <w:pPr>
              <w:tabs>
                <w:tab w:val="left" w:pos="0"/>
                <w:tab w:val="left" w:pos="709"/>
                <w:tab w:val="left" w:pos="1418"/>
              </w:tabs>
              <w:jc w:val="right"/>
              <w:rPr>
                <w:rFonts w:cs="Arial"/>
                <w:i/>
                <w:iCs/>
                <w:color w:val="000000" w:themeColor="text1"/>
                <w:sz w:val="22"/>
                <w:szCs w:val="22"/>
                <w:highlight w:val="yellow"/>
              </w:rPr>
            </w:pPr>
            <w:r>
              <w:rPr>
                <w:rFonts w:cs="Arial"/>
                <w:color w:val="000000"/>
                <w:sz w:val="22"/>
                <w:szCs w:val="22"/>
              </w:rPr>
              <w:t>815</w:t>
            </w:r>
          </w:p>
        </w:tc>
        <w:tc>
          <w:tcPr>
            <w:tcW w:w="1009" w:type="pct"/>
            <w:tcMar>
              <w:left w:w="108" w:type="dxa"/>
              <w:right w:w="108" w:type="dxa"/>
            </w:tcMar>
            <w:vAlign w:val="center"/>
          </w:tcPr>
          <w:p w14:paraId="60C413FB" w14:textId="52B72CEB" w:rsidR="00F519C1" w:rsidRPr="001A51F7" w:rsidRDefault="00F519C1" w:rsidP="00FC07B8">
            <w:pPr>
              <w:tabs>
                <w:tab w:val="left" w:pos="0"/>
                <w:tab w:val="left" w:pos="709"/>
                <w:tab w:val="left" w:pos="1418"/>
              </w:tabs>
              <w:jc w:val="right"/>
              <w:rPr>
                <w:rFonts w:cs="Arial"/>
                <w:i/>
                <w:iCs/>
                <w:color w:val="000000" w:themeColor="text1"/>
                <w:sz w:val="22"/>
                <w:szCs w:val="22"/>
                <w:highlight w:val="yellow"/>
              </w:rPr>
            </w:pPr>
            <w:r>
              <w:rPr>
                <w:rFonts w:cs="Arial"/>
                <w:color w:val="000000"/>
                <w:sz w:val="22"/>
                <w:szCs w:val="22"/>
              </w:rPr>
              <w:t>-158</w:t>
            </w:r>
          </w:p>
        </w:tc>
      </w:tr>
      <w:tr w:rsidR="00FC07B8" w:rsidRPr="00FA4DC7" w14:paraId="0BA68858" w14:textId="77777777" w:rsidTr="00FC07B8">
        <w:tc>
          <w:tcPr>
            <w:tcW w:w="1078" w:type="pct"/>
            <w:shd w:val="clear" w:color="auto" w:fill="auto"/>
            <w:noWrap/>
            <w:tcMar>
              <w:left w:w="108" w:type="dxa"/>
              <w:right w:w="108" w:type="dxa"/>
            </w:tcMar>
            <w:vAlign w:val="bottom"/>
            <w:hideMark/>
          </w:tcPr>
          <w:p w14:paraId="67764AC4"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color w:val="000000"/>
                <w:sz w:val="22"/>
                <w:szCs w:val="22"/>
              </w:rPr>
              <w:t>2011/12</w:t>
            </w:r>
          </w:p>
        </w:tc>
        <w:tc>
          <w:tcPr>
            <w:tcW w:w="464" w:type="pct"/>
            <w:shd w:val="clear" w:color="auto" w:fill="auto"/>
            <w:noWrap/>
            <w:tcMar>
              <w:left w:w="108" w:type="dxa"/>
              <w:right w:w="108" w:type="dxa"/>
            </w:tcMar>
            <w:vAlign w:val="bottom"/>
          </w:tcPr>
          <w:p w14:paraId="401F3066"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869</w:t>
            </w:r>
          </w:p>
        </w:tc>
        <w:tc>
          <w:tcPr>
            <w:tcW w:w="540" w:type="pct"/>
            <w:tcMar>
              <w:left w:w="108" w:type="dxa"/>
              <w:right w:w="108" w:type="dxa"/>
            </w:tcMar>
            <w:vAlign w:val="bottom"/>
          </w:tcPr>
          <w:p w14:paraId="079081D0"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566</w:t>
            </w:r>
          </w:p>
        </w:tc>
        <w:tc>
          <w:tcPr>
            <w:tcW w:w="618" w:type="pct"/>
            <w:tcMar>
              <w:left w:w="108" w:type="dxa"/>
              <w:right w:w="108" w:type="dxa"/>
            </w:tcMar>
            <w:vAlign w:val="bottom"/>
          </w:tcPr>
          <w:p w14:paraId="4DD0CA59"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303</w:t>
            </w:r>
          </w:p>
        </w:tc>
        <w:tc>
          <w:tcPr>
            <w:tcW w:w="531" w:type="pct"/>
            <w:tcMar>
              <w:left w:w="108" w:type="dxa"/>
              <w:right w:w="108" w:type="dxa"/>
            </w:tcMar>
            <w:vAlign w:val="bottom"/>
          </w:tcPr>
          <w:p w14:paraId="5DEFA49A"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809</w:t>
            </w:r>
          </w:p>
        </w:tc>
        <w:tc>
          <w:tcPr>
            <w:tcW w:w="760" w:type="pct"/>
            <w:shd w:val="clear" w:color="auto" w:fill="auto"/>
            <w:noWrap/>
            <w:tcMar>
              <w:left w:w="108" w:type="dxa"/>
              <w:right w:w="108" w:type="dxa"/>
            </w:tcMar>
            <w:vAlign w:val="bottom"/>
          </w:tcPr>
          <w:p w14:paraId="4D8A93D7"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1009" w:type="pct"/>
            <w:tcMar>
              <w:left w:w="108" w:type="dxa"/>
              <w:right w:w="108" w:type="dxa"/>
            </w:tcMar>
            <w:vAlign w:val="bottom"/>
          </w:tcPr>
          <w:p w14:paraId="58568E86"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-191</w:t>
            </w:r>
          </w:p>
        </w:tc>
      </w:tr>
      <w:tr w:rsidR="00FC07B8" w:rsidRPr="00FA4DC7" w14:paraId="49531BD5" w14:textId="77777777" w:rsidTr="00FC07B8">
        <w:tc>
          <w:tcPr>
            <w:tcW w:w="1078" w:type="pct"/>
            <w:shd w:val="clear" w:color="auto" w:fill="auto"/>
            <w:noWrap/>
            <w:tcMar>
              <w:left w:w="108" w:type="dxa"/>
              <w:right w:w="108" w:type="dxa"/>
            </w:tcMar>
            <w:vAlign w:val="bottom"/>
          </w:tcPr>
          <w:p w14:paraId="0EC94D65"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color w:val="000000"/>
                <w:sz w:val="22"/>
                <w:szCs w:val="22"/>
              </w:rPr>
              <w:t>2012/13</w:t>
            </w:r>
          </w:p>
        </w:tc>
        <w:tc>
          <w:tcPr>
            <w:tcW w:w="464" w:type="pct"/>
            <w:shd w:val="clear" w:color="auto" w:fill="auto"/>
            <w:noWrap/>
            <w:tcMar>
              <w:left w:w="108" w:type="dxa"/>
              <w:right w:w="108" w:type="dxa"/>
            </w:tcMar>
            <w:vAlign w:val="bottom"/>
          </w:tcPr>
          <w:p w14:paraId="5BAAE2B9"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635</w:t>
            </w:r>
          </w:p>
        </w:tc>
        <w:tc>
          <w:tcPr>
            <w:tcW w:w="540" w:type="pct"/>
            <w:tcMar>
              <w:left w:w="108" w:type="dxa"/>
              <w:right w:w="108" w:type="dxa"/>
            </w:tcMar>
            <w:vAlign w:val="bottom"/>
          </w:tcPr>
          <w:p w14:paraId="45C8B48A"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424</w:t>
            </w:r>
          </w:p>
        </w:tc>
        <w:tc>
          <w:tcPr>
            <w:tcW w:w="618" w:type="pct"/>
            <w:tcMar>
              <w:left w:w="108" w:type="dxa"/>
              <w:right w:w="108" w:type="dxa"/>
            </w:tcMar>
            <w:vAlign w:val="bottom"/>
          </w:tcPr>
          <w:p w14:paraId="3FC2EA19"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211</w:t>
            </w:r>
          </w:p>
        </w:tc>
        <w:tc>
          <w:tcPr>
            <w:tcW w:w="531" w:type="pct"/>
            <w:tcMar>
              <w:left w:w="108" w:type="dxa"/>
              <w:right w:w="108" w:type="dxa"/>
            </w:tcMar>
            <w:vAlign w:val="bottom"/>
          </w:tcPr>
          <w:p w14:paraId="339BA45D"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565</w:t>
            </w:r>
          </w:p>
        </w:tc>
        <w:tc>
          <w:tcPr>
            <w:tcW w:w="760" w:type="pct"/>
            <w:shd w:val="clear" w:color="auto" w:fill="auto"/>
            <w:noWrap/>
            <w:tcMar>
              <w:left w:w="108" w:type="dxa"/>
              <w:right w:w="108" w:type="dxa"/>
            </w:tcMar>
            <w:vAlign w:val="bottom"/>
          </w:tcPr>
          <w:p w14:paraId="74FD511C"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1009" w:type="pct"/>
            <w:tcMar>
              <w:left w:w="108" w:type="dxa"/>
              <w:right w:w="108" w:type="dxa"/>
            </w:tcMar>
            <w:vAlign w:val="bottom"/>
          </w:tcPr>
          <w:p w14:paraId="351D8A65"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-435</w:t>
            </w:r>
          </w:p>
        </w:tc>
      </w:tr>
      <w:tr w:rsidR="00FC07B8" w:rsidRPr="00FA4DC7" w14:paraId="554B673C" w14:textId="77777777" w:rsidTr="00FC07B8">
        <w:tc>
          <w:tcPr>
            <w:tcW w:w="1078" w:type="pct"/>
            <w:shd w:val="clear" w:color="auto" w:fill="auto"/>
            <w:noWrap/>
            <w:tcMar>
              <w:left w:w="108" w:type="dxa"/>
              <w:right w:w="108" w:type="dxa"/>
            </w:tcMar>
            <w:vAlign w:val="bottom"/>
          </w:tcPr>
          <w:p w14:paraId="145F9DBD"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color w:val="000000"/>
                <w:sz w:val="22"/>
                <w:szCs w:val="22"/>
              </w:rPr>
              <w:t>2013/14</w:t>
            </w:r>
          </w:p>
        </w:tc>
        <w:tc>
          <w:tcPr>
            <w:tcW w:w="464" w:type="pct"/>
            <w:shd w:val="clear" w:color="auto" w:fill="auto"/>
            <w:noWrap/>
            <w:tcMar>
              <w:left w:w="108" w:type="dxa"/>
              <w:right w:w="108" w:type="dxa"/>
            </w:tcMar>
            <w:vAlign w:val="bottom"/>
          </w:tcPr>
          <w:p w14:paraId="33330998"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597</w:t>
            </w:r>
          </w:p>
        </w:tc>
        <w:tc>
          <w:tcPr>
            <w:tcW w:w="540" w:type="pct"/>
            <w:tcMar>
              <w:left w:w="108" w:type="dxa"/>
              <w:right w:w="108" w:type="dxa"/>
            </w:tcMar>
            <w:vAlign w:val="bottom"/>
          </w:tcPr>
          <w:p w14:paraId="4803CCF5"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440</w:t>
            </w:r>
          </w:p>
        </w:tc>
        <w:tc>
          <w:tcPr>
            <w:tcW w:w="618" w:type="pct"/>
            <w:tcMar>
              <w:left w:w="108" w:type="dxa"/>
              <w:right w:w="108" w:type="dxa"/>
            </w:tcMar>
            <w:vAlign w:val="bottom"/>
          </w:tcPr>
          <w:p w14:paraId="54DAAA72"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157</w:t>
            </w:r>
          </w:p>
        </w:tc>
        <w:tc>
          <w:tcPr>
            <w:tcW w:w="531" w:type="pct"/>
            <w:tcMar>
              <w:left w:w="108" w:type="dxa"/>
              <w:right w:w="108" w:type="dxa"/>
            </w:tcMar>
            <w:vAlign w:val="bottom"/>
          </w:tcPr>
          <w:p w14:paraId="63C9B047"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579</w:t>
            </w:r>
          </w:p>
        </w:tc>
        <w:tc>
          <w:tcPr>
            <w:tcW w:w="760" w:type="pct"/>
            <w:shd w:val="clear" w:color="auto" w:fill="auto"/>
            <w:noWrap/>
            <w:tcMar>
              <w:left w:w="108" w:type="dxa"/>
              <w:right w:w="108" w:type="dxa"/>
            </w:tcMar>
            <w:vAlign w:val="bottom"/>
          </w:tcPr>
          <w:p w14:paraId="4B7C7DF7"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1009" w:type="pct"/>
            <w:tcMar>
              <w:left w:w="108" w:type="dxa"/>
              <w:right w:w="108" w:type="dxa"/>
            </w:tcMar>
            <w:vAlign w:val="bottom"/>
          </w:tcPr>
          <w:p w14:paraId="01F95556"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-421</w:t>
            </w:r>
          </w:p>
        </w:tc>
      </w:tr>
      <w:tr w:rsidR="00FC07B8" w:rsidRPr="00FA4DC7" w14:paraId="5721E372" w14:textId="77777777" w:rsidTr="00FC07B8">
        <w:tc>
          <w:tcPr>
            <w:tcW w:w="1078" w:type="pct"/>
            <w:shd w:val="clear" w:color="auto" w:fill="auto"/>
            <w:noWrap/>
            <w:tcMar>
              <w:left w:w="108" w:type="dxa"/>
              <w:right w:w="108" w:type="dxa"/>
            </w:tcMar>
            <w:vAlign w:val="bottom"/>
          </w:tcPr>
          <w:p w14:paraId="48C43BF8"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color w:val="000000"/>
                <w:sz w:val="22"/>
                <w:szCs w:val="22"/>
              </w:rPr>
              <w:t>2014/15</w:t>
            </w:r>
          </w:p>
        </w:tc>
        <w:tc>
          <w:tcPr>
            <w:tcW w:w="464" w:type="pct"/>
            <w:shd w:val="clear" w:color="auto" w:fill="auto"/>
            <w:noWrap/>
            <w:tcMar>
              <w:left w:w="108" w:type="dxa"/>
              <w:right w:w="108" w:type="dxa"/>
            </w:tcMar>
            <w:vAlign w:val="bottom"/>
          </w:tcPr>
          <w:p w14:paraId="2B3D7B67"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532</w:t>
            </w:r>
          </w:p>
        </w:tc>
        <w:tc>
          <w:tcPr>
            <w:tcW w:w="540" w:type="pct"/>
            <w:tcMar>
              <w:left w:w="108" w:type="dxa"/>
              <w:right w:w="108" w:type="dxa"/>
            </w:tcMar>
            <w:vAlign w:val="bottom"/>
          </w:tcPr>
          <w:p w14:paraId="70B3DDE1"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358</w:t>
            </w:r>
          </w:p>
        </w:tc>
        <w:tc>
          <w:tcPr>
            <w:tcW w:w="618" w:type="pct"/>
            <w:tcMar>
              <w:left w:w="108" w:type="dxa"/>
              <w:right w:w="108" w:type="dxa"/>
            </w:tcMar>
            <w:vAlign w:val="bottom"/>
          </w:tcPr>
          <w:p w14:paraId="3F53FB2C"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174</w:t>
            </w:r>
          </w:p>
        </w:tc>
        <w:tc>
          <w:tcPr>
            <w:tcW w:w="531" w:type="pct"/>
            <w:tcMar>
              <w:left w:w="108" w:type="dxa"/>
              <w:right w:w="108" w:type="dxa"/>
            </w:tcMar>
            <w:vAlign w:val="bottom"/>
          </w:tcPr>
          <w:p w14:paraId="13D79955"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483</w:t>
            </w:r>
          </w:p>
        </w:tc>
        <w:tc>
          <w:tcPr>
            <w:tcW w:w="760" w:type="pct"/>
            <w:shd w:val="clear" w:color="auto" w:fill="auto"/>
            <w:noWrap/>
            <w:tcMar>
              <w:left w:w="108" w:type="dxa"/>
              <w:right w:w="108" w:type="dxa"/>
            </w:tcMar>
            <w:vAlign w:val="bottom"/>
          </w:tcPr>
          <w:p w14:paraId="51221D42"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1009" w:type="pct"/>
            <w:tcMar>
              <w:left w:w="108" w:type="dxa"/>
              <w:right w:w="108" w:type="dxa"/>
            </w:tcMar>
            <w:vAlign w:val="bottom"/>
          </w:tcPr>
          <w:p w14:paraId="24C93C7A"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-517</w:t>
            </w:r>
          </w:p>
        </w:tc>
      </w:tr>
      <w:tr w:rsidR="00FC07B8" w:rsidRPr="00FA4DC7" w14:paraId="02B0C720" w14:textId="77777777" w:rsidTr="00FC07B8">
        <w:tc>
          <w:tcPr>
            <w:tcW w:w="1078" w:type="pct"/>
            <w:shd w:val="clear" w:color="auto" w:fill="auto"/>
            <w:noWrap/>
            <w:tcMar>
              <w:left w:w="108" w:type="dxa"/>
              <w:right w:w="108" w:type="dxa"/>
            </w:tcMar>
            <w:vAlign w:val="bottom"/>
          </w:tcPr>
          <w:p w14:paraId="4A1F5F0F"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color w:val="000000"/>
                <w:sz w:val="22"/>
                <w:szCs w:val="22"/>
              </w:rPr>
              <w:t>2015/16</w:t>
            </w:r>
          </w:p>
        </w:tc>
        <w:tc>
          <w:tcPr>
            <w:tcW w:w="464" w:type="pct"/>
            <w:shd w:val="clear" w:color="auto" w:fill="auto"/>
            <w:noWrap/>
            <w:tcMar>
              <w:left w:w="108" w:type="dxa"/>
              <w:right w:w="108" w:type="dxa"/>
            </w:tcMar>
            <w:vAlign w:val="bottom"/>
          </w:tcPr>
          <w:p w14:paraId="308EA9B4"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630</w:t>
            </w:r>
          </w:p>
        </w:tc>
        <w:tc>
          <w:tcPr>
            <w:tcW w:w="540" w:type="pct"/>
            <w:tcMar>
              <w:left w:w="108" w:type="dxa"/>
              <w:right w:w="108" w:type="dxa"/>
            </w:tcMar>
            <w:vAlign w:val="bottom"/>
          </w:tcPr>
          <w:p w14:paraId="6C111D67"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458</w:t>
            </w:r>
          </w:p>
        </w:tc>
        <w:tc>
          <w:tcPr>
            <w:tcW w:w="618" w:type="pct"/>
            <w:tcMar>
              <w:left w:w="108" w:type="dxa"/>
              <w:right w:w="108" w:type="dxa"/>
            </w:tcMar>
            <w:vAlign w:val="bottom"/>
          </w:tcPr>
          <w:p w14:paraId="67A1EF67"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172</w:t>
            </w:r>
          </w:p>
        </w:tc>
        <w:tc>
          <w:tcPr>
            <w:tcW w:w="531" w:type="pct"/>
            <w:tcMar>
              <w:left w:w="108" w:type="dxa"/>
              <w:right w:w="108" w:type="dxa"/>
            </w:tcMar>
            <w:vAlign w:val="bottom"/>
          </w:tcPr>
          <w:p w14:paraId="4A6A2D57"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553</w:t>
            </w:r>
          </w:p>
        </w:tc>
        <w:tc>
          <w:tcPr>
            <w:tcW w:w="760" w:type="pct"/>
            <w:shd w:val="clear" w:color="auto" w:fill="auto"/>
            <w:noWrap/>
            <w:tcMar>
              <w:left w:w="108" w:type="dxa"/>
              <w:right w:w="108" w:type="dxa"/>
            </w:tcMar>
            <w:vAlign w:val="bottom"/>
          </w:tcPr>
          <w:p w14:paraId="665A4429"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1009" w:type="pct"/>
            <w:tcMar>
              <w:left w:w="108" w:type="dxa"/>
              <w:right w:w="108" w:type="dxa"/>
            </w:tcMar>
            <w:vAlign w:val="bottom"/>
          </w:tcPr>
          <w:p w14:paraId="2FF5C5C4"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-447</w:t>
            </w:r>
          </w:p>
        </w:tc>
      </w:tr>
      <w:tr w:rsidR="00FC07B8" w:rsidRPr="00FA4DC7" w14:paraId="79015781" w14:textId="77777777" w:rsidTr="00FC07B8">
        <w:tc>
          <w:tcPr>
            <w:tcW w:w="1078" w:type="pct"/>
            <w:shd w:val="clear" w:color="auto" w:fill="auto"/>
            <w:noWrap/>
            <w:tcMar>
              <w:left w:w="108" w:type="dxa"/>
              <w:right w:w="108" w:type="dxa"/>
            </w:tcMar>
            <w:vAlign w:val="bottom"/>
          </w:tcPr>
          <w:p w14:paraId="52D3BEB6"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color w:val="000000"/>
                <w:sz w:val="22"/>
                <w:szCs w:val="22"/>
              </w:rPr>
              <w:t>2016/17</w:t>
            </w:r>
          </w:p>
        </w:tc>
        <w:tc>
          <w:tcPr>
            <w:tcW w:w="464" w:type="pct"/>
            <w:shd w:val="clear" w:color="auto" w:fill="auto"/>
            <w:noWrap/>
            <w:tcMar>
              <w:left w:w="108" w:type="dxa"/>
              <w:right w:w="108" w:type="dxa"/>
            </w:tcMar>
            <w:vAlign w:val="bottom"/>
          </w:tcPr>
          <w:p w14:paraId="20482CC7"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675</w:t>
            </w:r>
          </w:p>
        </w:tc>
        <w:tc>
          <w:tcPr>
            <w:tcW w:w="540" w:type="pct"/>
            <w:tcMar>
              <w:left w:w="108" w:type="dxa"/>
              <w:right w:w="108" w:type="dxa"/>
            </w:tcMar>
            <w:vAlign w:val="bottom"/>
          </w:tcPr>
          <w:p w14:paraId="0BEAA4EA"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584</w:t>
            </w:r>
          </w:p>
        </w:tc>
        <w:tc>
          <w:tcPr>
            <w:tcW w:w="618" w:type="pct"/>
            <w:tcMar>
              <w:left w:w="108" w:type="dxa"/>
              <w:right w:w="108" w:type="dxa"/>
            </w:tcMar>
            <w:vAlign w:val="bottom"/>
          </w:tcPr>
          <w:p w14:paraId="43C55796"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91</w:t>
            </w:r>
          </w:p>
        </w:tc>
        <w:tc>
          <w:tcPr>
            <w:tcW w:w="531" w:type="pct"/>
            <w:tcMar>
              <w:left w:w="108" w:type="dxa"/>
              <w:right w:w="108" w:type="dxa"/>
            </w:tcMar>
            <w:vAlign w:val="bottom"/>
          </w:tcPr>
          <w:p w14:paraId="04BDE046"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642</w:t>
            </w:r>
          </w:p>
        </w:tc>
        <w:tc>
          <w:tcPr>
            <w:tcW w:w="760" w:type="pct"/>
            <w:shd w:val="clear" w:color="auto" w:fill="auto"/>
            <w:noWrap/>
            <w:tcMar>
              <w:left w:w="108" w:type="dxa"/>
              <w:right w:w="108" w:type="dxa"/>
            </w:tcMar>
            <w:vAlign w:val="bottom"/>
          </w:tcPr>
          <w:p w14:paraId="03519B8D"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1009" w:type="pct"/>
            <w:tcMar>
              <w:left w:w="108" w:type="dxa"/>
              <w:right w:w="108" w:type="dxa"/>
            </w:tcMar>
            <w:vAlign w:val="bottom"/>
          </w:tcPr>
          <w:p w14:paraId="6CC91396"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-358</w:t>
            </w:r>
          </w:p>
        </w:tc>
      </w:tr>
      <w:tr w:rsidR="00FC07B8" w:rsidRPr="00FA4DC7" w14:paraId="44C07ECC" w14:textId="77777777" w:rsidTr="00FC07B8">
        <w:tc>
          <w:tcPr>
            <w:tcW w:w="1078" w:type="pct"/>
            <w:shd w:val="clear" w:color="auto" w:fill="auto"/>
            <w:noWrap/>
            <w:tcMar>
              <w:left w:w="108" w:type="dxa"/>
              <w:right w:w="108" w:type="dxa"/>
            </w:tcMar>
            <w:vAlign w:val="bottom"/>
          </w:tcPr>
          <w:p w14:paraId="4386E3ED"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sz w:val="22"/>
                <w:szCs w:val="22"/>
              </w:rPr>
              <w:t>2017/18</w:t>
            </w:r>
          </w:p>
        </w:tc>
        <w:tc>
          <w:tcPr>
            <w:tcW w:w="464" w:type="pct"/>
            <w:shd w:val="clear" w:color="auto" w:fill="auto"/>
            <w:noWrap/>
            <w:tcMar>
              <w:left w:w="108" w:type="dxa"/>
              <w:right w:w="108" w:type="dxa"/>
            </w:tcMar>
            <w:vAlign w:val="bottom"/>
          </w:tcPr>
          <w:p w14:paraId="28E2E2E0"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695</w:t>
            </w:r>
          </w:p>
        </w:tc>
        <w:tc>
          <w:tcPr>
            <w:tcW w:w="540" w:type="pct"/>
            <w:tcMar>
              <w:left w:w="108" w:type="dxa"/>
              <w:right w:w="108" w:type="dxa"/>
            </w:tcMar>
            <w:vAlign w:val="bottom"/>
          </w:tcPr>
          <w:p w14:paraId="232674CF"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564</w:t>
            </w:r>
          </w:p>
        </w:tc>
        <w:tc>
          <w:tcPr>
            <w:tcW w:w="618" w:type="pct"/>
            <w:tcMar>
              <w:left w:w="108" w:type="dxa"/>
              <w:right w:w="108" w:type="dxa"/>
            </w:tcMar>
            <w:vAlign w:val="bottom"/>
          </w:tcPr>
          <w:p w14:paraId="155BDCFA"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131</w:t>
            </w:r>
          </w:p>
        </w:tc>
        <w:tc>
          <w:tcPr>
            <w:tcW w:w="531" w:type="pct"/>
            <w:tcMar>
              <w:left w:w="108" w:type="dxa"/>
              <w:right w:w="108" w:type="dxa"/>
            </w:tcMar>
            <w:vAlign w:val="bottom"/>
          </w:tcPr>
          <w:p w14:paraId="00392A02"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680</w:t>
            </w:r>
          </w:p>
        </w:tc>
        <w:tc>
          <w:tcPr>
            <w:tcW w:w="760" w:type="pct"/>
            <w:shd w:val="clear" w:color="auto" w:fill="auto"/>
            <w:noWrap/>
            <w:tcMar>
              <w:left w:w="108" w:type="dxa"/>
              <w:right w:w="108" w:type="dxa"/>
            </w:tcMar>
            <w:vAlign w:val="bottom"/>
          </w:tcPr>
          <w:p w14:paraId="2C0D3145" w14:textId="77777777" w:rsidR="00CE1BDB" w:rsidRPr="00FA4DC7" w:rsidRDefault="00CE1BDB" w:rsidP="00FC07B8">
            <w:pPr>
              <w:tabs>
                <w:tab w:val="left" w:pos="0"/>
                <w:tab w:val="left" w:pos="709"/>
                <w:tab w:val="left" w:pos="1418"/>
              </w:tabs>
              <w:jc w:val="right"/>
              <w:rPr>
                <w:rFonts w:cs="Arial"/>
                <w:color w:val="000000"/>
              </w:rPr>
            </w:pPr>
            <w:r w:rsidRPr="00FA4DC7">
              <w:rPr>
                <w:rFonts w:cs="Arial"/>
                <w:color w:val="000000"/>
                <w:sz w:val="22"/>
                <w:szCs w:val="22"/>
              </w:rPr>
              <w:t>1,000</w:t>
            </w:r>
          </w:p>
        </w:tc>
        <w:tc>
          <w:tcPr>
            <w:tcW w:w="1009" w:type="pct"/>
            <w:tcMar>
              <w:left w:w="108" w:type="dxa"/>
              <w:right w:w="108" w:type="dxa"/>
            </w:tcMar>
            <w:vAlign w:val="bottom"/>
          </w:tcPr>
          <w:p w14:paraId="1127F3CB" w14:textId="77777777" w:rsidR="00CE1BDB" w:rsidRPr="00FA4DC7" w:rsidRDefault="00CE1BDB" w:rsidP="00FC07B8">
            <w:pPr>
              <w:tabs>
                <w:tab w:val="left" w:pos="0"/>
                <w:tab w:val="left" w:pos="709"/>
                <w:tab w:val="left" w:pos="1418"/>
              </w:tabs>
              <w:jc w:val="right"/>
              <w:rPr>
                <w:rFonts w:cs="Arial"/>
                <w:i/>
                <w:iCs/>
                <w:sz w:val="22"/>
                <w:szCs w:val="22"/>
              </w:rPr>
            </w:pPr>
            <w:r w:rsidRPr="00FA4DC7">
              <w:rPr>
                <w:rFonts w:cs="Arial"/>
                <w:color w:val="000000"/>
                <w:sz w:val="22"/>
                <w:szCs w:val="22"/>
              </w:rPr>
              <w:t>-320</w:t>
            </w:r>
          </w:p>
        </w:tc>
      </w:tr>
      <w:tr w:rsidR="00FC07B8" w:rsidRPr="00FA4DC7" w14:paraId="292293F6" w14:textId="77777777" w:rsidTr="00FC07B8">
        <w:tc>
          <w:tcPr>
            <w:tcW w:w="1078" w:type="pct"/>
            <w:shd w:val="clear" w:color="auto" w:fill="auto"/>
            <w:noWrap/>
            <w:tcMar>
              <w:left w:w="108" w:type="dxa"/>
              <w:right w:w="108" w:type="dxa"/>
            </w:tcMar>
            <w:vAlign w:val="bottom"/>
          </w:tcPr>
          <w:p w14:paraId="27CD3FF6" w14:textId="77777777" w:rsidR="00CE1BDB" w:rsidRPr="00FA4DC7" w:rsidRDefault="00CE1BDB" w:rsidP="00FC07B8">
            <w:pPr>
              <w:tabs>
                <w:tab w:val="left" w:pos="0"/>
                <w:tab w:val="left" w:pos="709"/>
                <w:tab w:val="left" w:pos="1418"/>
              </w:tabs>
              <w:jc w:val="center"/>
              <w:rPr>
                <w:rFonts w:cs="Arial"/>
                <w:sz w:val="22"/>
                <w:szCs w:val="22"/>
              </w:rPr>
            </w:pPr>
            <w:r w:rsidRPr="00FA4DC7">
              <w:rPr>
                <w:rFonts w:cs="Arial"/>
                <w:sz w:val="22"/>
                <w:szCs w:val="22"/>
              </w:rPr>
              <w:t>2018/19</w:t>
            </w:r>
          </w:p>
        </w:tc>
        <w:tc>
          <w:tcPr>
            <w:tcW w:w="464" w:type="pct"/>
            <w:shd w:val="clear" w:color="auto" w:fill="auto"/>
            <w:noWrap/>
            <w:tcMar>
              <w:left w:w="108" w:type="dxa"/>
              <w:right w:w="108" w:type="dxa"/>
            </w:tcMar>
            <w:vAlign w:val="bottom"/>
          </w:tcPr>
          <w:p w14:paraId="081B90C5"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695</w:t>
            </w:r>
          </w:p>
        </w:tc>
        <w:tc>
          <w:tcPr>
            <w:tcW w:w="540" w:type="pct"/>
            <w:tcMar>
              <w:left w:w="108" w:type="dxa"/>
              <w:right w:w="108" w:type="dxa"/>
            </w:tcMar>
            <w:vAlign w:val="bottom"/>
          </w:tcPr>
          <w:p w14:paraId="248D8539"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514</w:t>
            </w:r>
          </w:p>
        </w:tc>
        <w:tc>
          <w:tcPr>
            <w:tcW w:w="618" w:type="pct"/>
            <w:tcMar>
              <w:left w:w="108" w:type="dxa"/>
              <w:right w:w="108" w:type="dxa"/>
            </w:tcMar>
            <w:vAlign w:val="bottom"/>
          </w:tcPr>
          <w:p w14:paraId="643CA343" w14:textId="77777777" w:rsidR="00CE1BDB" w:rsidRPr="00FA4DC7" w:rsidRDefault="00CE1BDB" w:rsidP="00FC07B8">
            <w:pPr>
              <w:tabs>
                <w:tab w:val="left" w:pos="0"/>
                <w:tab w:val="left" w:pos="709"/>
                <w:tab w:val="left" w:pos="1418"/>
              </w:tabs>
              <w:jc w:val="right"/>
              <w:rPr>
                <w:rFonts w:cs="Arial"/>
                <w:sz w:val="22"/>
                <w:szCs w:val="22"/>
              </w:rPr>
            </w:pPr>
            <w:r w:rsidRPr="00FA4DC7">
              <w:rPr>
                <w:rFonts w:cs="Arial"/>
                <w:color w:val="000000"/>
                <w:sz w:val="22"/>
                <w:szCs w:val="22"/>
              </w:rPr>
              <w:t>181</w:t>
            </w:r>
          </w:p>
        </w:tc>
        <w:tc>
          <w:tcPr>
            <w:tcW w:w="531" w:type="pct"/>
            <w:tcMar>
              <w:left w:w="108" w:type="dxa"/>
              <w:right w:w="108" w:type="dxa"/>
            </w:tcMar>
            <w:vAlign w:val="bottom"/>
          </w:tcPr>
          <w:p w14:paraId="05502D17"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647</w:t>
            </w:r>
          </w:p>
        </w:tc>
        <w:tc>
          <w:tcPr>
            <w:tcW w:w="760" w:type="pct"/>
            <w:shd w:val="clear" w:color="auto" w:fill="auto"/>
            <w:noWrap/>
            <w:tcMar>
              <w:left w:w="108" w:type="dxa"/>
              <w:right w:w="108" w:type="dxa"/>
            </w:tcMar>
            <w:vAlign w:val="bottom"/>
          </w:tcPr>
          <w:p w14:paraId="6FDE8679" w14:textId="77777777" w:rsidR="00CE1BDB" w:rsidRPr="00FA4DC7" w:rsidRDefault="00CE1BDB" w:rsidP="00FC07B8">
            <w:pPr>
              <w:tabs>
                <w:tab w:val="left" w:pos="0"/>
                <w:tab w:val="left" w:pos="709"/>
                <w:tab w:val="left" w:pos="1418"/>
              </w:tabs>
              <w:jc w:val="right"/>
              <w:rPr>
                <w:rFonts w:cs="Arial"/>
                <w:color w:val="000000"/>
              </w:rPr>
            </w:pPr>
            <w:r w:rsidRPr="00FA4DC7">
              <w:rPr>
                <w:rFonts w:cs="Arial"/>
                <w:color w:val="000000"/>
                <w:sz w:val="22"/>
                <w:szCs w:val="22"/>
              </w:rPr>
              <w:t>1,000</w:t>
            </w:r>
          </w:p>
        </w:tc>
        <w:tc>
          <w:tcPr>
            <w:tcW w:w="1009" w:type="pct"/>
            <w:tcMar>
              <w:left w:w="108" w:type="dxa"/>
              <w:right w:w="108" w:type="dxa"/>
            </w:tcMar>
            <w:vAlign w:val="bottom"/>
          </w:tcPr>
          <w:p w14:paraId="46D9B5DC" w14:textId="77777777" w:rsidR="00CE1BDB" w:rsidRPr="00FA4DC7" w:rsidRDefault="00CE1BDB" w:rsidP="00FC07B8">
            <w:pPr>
              <w:tabs>
                <w:tab w:val="left" w:pos="0"/>
                <w:tab w:val="left" w:pos="709"/>
                <w:tab w:val="left" w:pos="1418"/>
              </w:tabs>
              <w:jc w:val="right"/>
              <w:rPr>
                <w:rFonts w:cs="Arial"/>
                <w:i/>
                <w:iCs/>
                <w:color w:val="000000"/>
                <w:sz w:val="22"/>
                <w:szCs w:val="22"/>
              </w:rPr>
            </w:pPr>
            <w:r w:rsidRPr="00FA4DC7">
              <w:rPr>
                <w:rFonts w:cs="Arial"/>
                <w:color w:val="000000"/>
                <w:sz w:val="22"/>
                <w:szCs w:val="22"/>
              </w:rPr>
              <w:t>-353</w:t>
            </w:r>
          </w:p>
        </w:tc>
      </w:tr>
      <w:tr w:rsidR="00FC07B8" w:rsidRPr="00FA4DC7" w14:paraId="24834608" w14:textId="77777777" w:rsidTr="00FC07B8">
        <w:tc>
          <w:tcPr>
            <w:tcW w:w="1078" w:type="pct"/>
            <w:shd w:val="clear" w:color="auto" w:fill="auto"/>
            <w:noWrap/>
            <w:tcMar>
              <w:left w:w="108" w:type="dxa"/>
              <w:right w:w="108" w:type="dxa"/>
            </w:tcMar>
            <w:vAlign w:val="bottom"/>
          </w:tcPr>
          <w:p w14:paraId="2E931272" w14:textId="77777777" w:rsidR="00CE1BDB" w:rsidRPr="00FA4DC7" w:rsidRDefault="00CE1BDB" w:rsidP="00FC07B8">
            <w:pPr>
              <w:tabs>
                <w:tab w:val="left" w:pos="0"/>
                <w:tab w:val="left" w:pos="709"/>
                <w:tab w:val="left" w:pos="1418"/>
              </w:tabs>
              <w:jc w:val="center"/>
              <w:rPr>
                <w:rFonts w:cs="Arial"/>
                <w:color w:val="000000"/>
                <w:sz w:val="22"/>
                <w:szCs w:val="22"/>
              </w:rPr>
            </w:pPr>
            <w:r w:rsidRPr="00FA4DC7">
              <w:rPr>
                <w:rFonts w:cs="Arial"/>
                <w:color w:val="000000"/>
                <w:sz w:val="22"/>
                <w:szCs w:val="22"/>
              </w:rPr>
              <w:t>2019/20</w:t>
            </w:r>
          </w:p>
        </w:tc>
        <w:tc>
          <w:tcPr>
            <w:tcW w:w="464" w:type="pct"/>
            <w:shd w:val="clear" w:color="auto" w:fill="auto"/>
            <w:noWrap/>
            <w:tcMar>
              <w:left w:w="108" w:type="dxa"/>
              <w:right w:w="108" w:type="dxa"/>
            </w:tcMar>
            <w:vAlign w:val="bottom"/>
          </w:tcPr>
          <w:p w14:paraId="5B375D3B"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1,222</w:t>
            </w:r>
          </w:p>
        </w:tc>
        <w:tc>
          <w:tcPr>
            <w:tcW w:w="540" w:type="pct"/>
            <w:tcMar>
              <w:left w:w="108" w:type="dxa"/>
              <w:right w:w="108" w:type="dxa"/>
            </w:tcMar>
            <w:vAlign w:val="bottom"/>
          </w:tcPr>
          <w:p w14:paraId="760074A6"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1,000</w:t>
            </w:r>
          </w:p>
        </w:tc>
        <w:tc>
          <w:tcPr>
            <w:tcW w:w="618" w:type="pct"/>
            <w:tcMar>
              <w:left w:w="108" w:type="dxa"/>
              <w:right w:w="108" w:type="dxa"/>
            </w:tcMar>
            <w:vAlign w:val="bottom"/>
          </w:tcPr>
          <w:p w14:paraId="0A880ACE"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222</w:t>
            </w:r>
          </w:p>
        </w:tc>
        <w:tc>
          <w:tcPr>
            <w:tcW w:w="531" w:type="pct"/>
            <w:tcMar>
              <w:left w:w="108" w:type="dxa"/>
              <w:right w:w="108" w:type="dxa"/>
            </w:tcMar>
            <w:vAlign w:val="bottom"/>
          </w:tcPr>
          <w:p w14:paraId="2013361D"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1,130</w:t>
            </w:r>
          </w:p>
        </w:tc>
        <w:tc>
          <w:tcPr>
            <w:tcW w:w="760" w:type="pct"/>
            <w:shd w:val="clear" w:color="auto" w:fill="auto"/>
            <w:noWrap/>
            <w:tcMar>
              <w:left w:w="108" w:type="dxa"/>
              <w:right w:w="108" w:type="dxa"/>
            </w:tcMar>
            <w:vAlign w:val="bottom"/>
          </w:tcPr>
          <w:p w14:paraId="1C0FAFA2"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1,662</w:t>
            </w:r>
          </w:p>
        </w:tc>
        <w:tc>
          <w:tcPr>
            <w:tcW w:w="1009" w:type="pct"/>
            <w:tcMar>
              <w:left w:w="108" w:type="dxa"/>
              <w:right w:w="108" w:type="dxa"/>
            </w:tcMar>
            <w:vAlign w:val="bottom"/>
          </w:tcPr>
          <w:p w14:paraId="20D19D11" w14:textId="77777777" w:rsidR="00CE1BDB" w:rsidRPr="00FA4DC7" w:rsidRDefault="00CE1BDB" w:rsidP="00FC07B8">
            <w:pPr>
              <w:tabs>
                <w:tab w:val="left" w:pos="0"/>
                <w:tab w:val="left" w:pos="709"/>
                <w:tab w:val="left" w:pos="1418"/>
              </w:tabs>
              <w:jc w:val="right"/>
              <w:rPr>
                <w:rFonts w:cs="Arial"/>
                <w:i/>
                <w:iCs/>
                <w:color w:val="000000"/>
                <w:sz w:val="22"/>
                <w:szCs w:val="22"/>
              </w:rPr>
            </w:pPr>
            <w:r w:rsidRPr="00FA4DC7">
              <w:rPr>
                <w:rFonts w:cs="Arial"/>
                <w:color w:val="000000"/>
                <w:sz w:val="22"/>
                <w:szCs w:val="22"/>
              </w:rPr>
              <w:t>-532</w:t>
            </w:r>
          </w:p>
        </w:tc>
      </w:tr>
      <w:tr w:rsidR="00FC07B8" w:rsidRPr="00FA4DC7" w14:paraId="5049B245" w14:textId="77777777" w:rsidTr="00FC07B8">
        <w:tc>
          <w:tcPr>
            <w:tcW w:w="1078" w:type="pct"/>
            <w:shd w:val="clear" w:color="auto" w:fill="auto"/>
            <w:noWrap/>
            <w:tcMar>
              <w:left w:w="108" w:type="dxa"/>
              <w:right w:w="108" w:type="dxa"/>
            </w:tcMar>
            <w:vAlign w:val="bottom"/>
          </w:tcPr>
          <w:p w14:paraId="252305BC" w14:textId="77777777" w:rsidR="00FC07B8" w:rsidRDefault="00F519C1" w:rsidP="00FC07B8">
            <w:pPr>
              <w:tabs>
                <w:tab w:val="left" w:pos="0"/>
                <w:tab w:val="left" w:pos="709"/>
                <w:tab w:val="left" w:pos="1418"/>
              </w:tabs>
              <w:rPr>
                <w:rFonts w:cs="Arial"/>
                <w:b/>
                <w:bCs/>
                <w:color w:val="000000"/>
                <w:sz w:val="22"/>
                <w:szCs w:val="22"/>
              </w:rPr>
            </w:pPr>
            <w:r w:rsidRPr="00FA4DC7">
              <w:rPr>
                <w:rFonts w:cs="Arial"/>
                <w:b/>
                <w:bCs/>
                <w:color w:val="000000"/>
                <w:sz w:val="22"/>
                <w:szCs w:val="22"/>
              </w:rPr>
              <w:t>TOTAL</w:t>
            </w:r>
          </w:p>
          <w:p w14:paraId="5B2264DD" w14:textId="68DDEEE7" w:rsidR="00F519C1" w:rsidRPr="00FA4DC7" w:rsidRDefault="00F519C1" w:rsidP="00FC07B8">
            <w:pPr>
              <w:tabs>
                <w:tab w:val="left" w:pos="0"/>
                <w:tab w:val="left" w:pos="709"/>
                <w:tab w:val="left" w:pos="1418"/>
              </w:tabs>
              <w:rPr>
                <w:rFonts w:cs="Arial"/>
                <w:b/>
                <w:bCs/>
                <w:sz w:val="22"/>
                <w:szCs w:val="22"/>
              </w:rPr>
            </w:pPr>
            <w:r w:rsidRPr="00FA4DC7">
              <w:rPr>
                <w:rFonts w:cs="Arial"/>
                <w:b/>
                <w:bCs/>
                <w:color w:val="000000"/>
                <w:sz w:val="22"/>
                <w:szCs w:val="22"/>
              </w:rPr>
              <w:t>(10 years)</w:t>
            </w:r>
          </w:p>
        </w:tc>
        <w:tc>
          <w:tcPr>
            <w:tcW w:w="464" w:type="pct"/>
            <w:shd w:val="clear" w:color="auto" w:fill="auto"/>
            <w:noWrap/>
            <w:tcMar>
              <w:left w:w="108" w:type="dxa"/>
              <w:right w:w="108" w:type="dxa"/>
            </w:tcMar>
            <w:vAlign w:val="center"/>
          </w:tcPr>
          <w:p w14:paraId="518468D2" w14:textId="1D7F7E10" w:rsidR="00F519C1" w:rsidRPr="00FA4DC7" w:rsidRDefault="00F519C1" w:rsidP="00FC07B8">
            <w:pPr>
              <w:tabs>
                <w:tab w:val="left" w:pos="0"/>
                <w:tab w:val="left" w:pos="709"/>
                <w:tab w:val="left" w:pos="1418"/>
              </w:tabs>
              <w:jc w:val="right"/>
              <w:rPr>
                <w:rFonts w:cs="Arial"/>
                <w:b/>
                <w:bCs/>
                <w:color w:val="000000"/>
                <w:sz w:val="22"/>
                <w:szCs w:val="22"/>
              </w:rPr>
            </w:pPr>
            <w:r>
              <w:rPr>
                <w:rFonts w:cs="Arial"/>
                <w:color w:val="000000"/>
                <w:sz w:val="22"/>
                <w:szCs w:val="22"/>
              </w:rPr>
              <w:t>7,275</w:t>
            </w:r>
          </w:p>
        </w:tc>
        <w:tc>
          <w:tcPr>
            <w:tcW w:w="540" w:type="pct"/>
            <w:tcMar>
              <w:left w:w="108" w:type="dxa"/>
              <w:right w:w="108" w:type="dxa"/>
            </w:tcMar>
            <w:vAlign w:val="center"/>
          </w:tcPr>
          <w:p w14:paraId="5FB627C3" w14:textId="7B77C860" w:rsidR="00F519C1" w:rsidRPr="00FA4DC7" w:rsidRDefault="00F519C1" w:rsidP="00FC07B8">
            <w:pPr>
              <w:tabs>
                <w:tab w:val="left" w:pos="0"/>
                <w:tab w:val="left" w:pos="709"/>
                <w:tab w:val="left" w:pos="1418"/>
              </w:tabs>
              <w:jc w:val="right"/>
              <w:rPr>
                <w:rFonts w:cs="Arial"/>
                <w:b/>
                <w:bCs/>
                <w:color w:val="000000"/>
                <w:sz w:val="22"/>
                <w:szCs w:val="22"/>
              </w:rPr>
            </w:pPr>
            <w:r>
              <w:rPr>
                <w:rFonts w:cs="Arial"/>
                <w:color w:val="000000"/>
                <w:sz w:val="22"/>
                <w:szCs w:val="22"/>
              </w:rPr>
              <w:t>5,313</w:t>
            </w:r>
          </w:p>
        </w:tc>
        <w:tc>
          <w:tcPr>
            <w:tcW w:w="618" w:type="pct"/>
            <w:tcMar>
              <w:left w:w="108" w:type="dxa"/>
              <w:right w:w="108" w:type="dxa"/>
            </w:tcMar>
            <w:vAlign w:val="center"/>
          </w:tcPr>
          <w:p w14:paraId="6A205E1F" w14:textId="1B159F47" w:rsidR="00F519C1" w:rsidRPr="00FA4DC7" w:rsidRDefault="00F519C1" w:rsidP="00FC07B8">
            <w:pPr>
              <w:tabs>
                <w:tab w:val="left" w:pos="0"/>
                <w:tab w:val="left" w:pos="709"/>
                <w:tab w:val="left" w:pos="1418"/>
              </w:tabs>
              <w:jc w:val="right"/>
              <w:rPr>
                <w:rFonts w:cs="Arial"/>
                <w:b/>
                <w:bCs/>
                <w:color w:val="000000"/>
                <w:sz w:val="22"/>
                <w:szCs w:val="22"/>
              </w:rPr>
            </w:pPr>
            <w:r>
              <w:rPr>
                <w:rFonts w:cs="Arial"/>
                <w:color w:val="000000"/>
                <w:sz w:val="22"/>
                <w:szCs w:val="22"/>
              </w:rPr>
              <w:t>1,894</w:t>
            </w:r>
          </w:p>
        </w:tc>
        <w:tc>
          <w:tcPr>
            <w:tcW w:w="531" w:type="pct"/>
            <w:tcMar>
              <w:left w:w="108" w:type="dxa"/>
              <w:right w:w="108" w:type="dxa"/>
            </w:tcMar>
            <w:vAlign w:val="center"/>
          </w:tcPr>
          <w:p w14:paraId="76C7B5E2" w14:textId="43F584F4" w:rsidR="00F519C1" w:rsidRPr="00FA4DC7" w:rsidRDefault="00F519C1" w:rsidP="00FC07B8">
            <w:pPr>
              <w:tabs>
                <w:tab w:val="left" w:pos="0"/>
                <w:tab w:val="left" w:pos="709"/>
                <w:tab w:val="left" w:pos="1418"/>
              </w:tabs>
              <w:jc w:val="right"/>
              <w:rPr>
                <w:rFonts w:cs="Arial"/>
                <w:b/>
                <w:bCs/>
                <w:color w:val="000000"/>
                <w:sz w:val="22"/>
                <w:szCs w:val="22"/>
              </w:rPr>
            </w:pPr>
            <w:r>
              <w:rPr>
                <w:rFonts w:cs="Arial"/>
                <w:color w:val="000000"/>
                <w:sz w:val="22"/>
                <w:szCs w:val="22"/>
              </w:rPr>
              <w:t>6,745</w:t>
            </w:r>
          </w:p>
        </w:tc>
        <w:tc>
          <w:tcPr>
            <w:tcW w:w="760" w:type="pct"/>
            <w:shd w:val="clear" w:color="auto" w:fill="auto"/>
            <w:noWrap/>
            <w:tcMar>
              <w:left w:w="108" w:type="dxa"/>
              <w:right w:w="108" w:type="dxa"/>
            </w:tcMar>
            <w:vAlign w:val="center"/>
          </w:tcPr>
          <w:p w14:paraId="66998B25" w14:textId="6EC1E6ED" w:rsidR="00F519C1" w:rsidRPr="00FA4DC7" w:rsidRDefault="00F519C1" w:rsidP="00FC07B8">
            <w:pPr>
              <w:tabs>
                <w:tab w:val="left" w:pos="0"/>
                <w:tab w:val="left" w:pos="709"/>
                <w:tab w:val="left" w:pos="1418"/>
              </w:tabs>
              <w:jc w:val="right"/>
              <w:rPr>
                <w:rFonts w:cs="Arial"/>
                <w:b/>
                <w:bCs/>
                <w:color w:val="000000"/>
                <w:sz w:val="22"/>
                <w:szCs w:val="22"/>
              </w:rPr>
            </w:pPr>
            <w:r>
              <w:rPr>
                <w:rFonts w:cs="Arial"/>
                <w:color w:val="000000"/>
                <w:sz w:val="22"/>
                <w:szCs w:val="22"/>
              </w:rPr>
              <w:t>10,477</w:t>
            </w:r>
          </w:p>
        </w:tc>
        <w:tc>
          <w:tcPr>
            <w:tcW w:w="1009" w:type="pct"/>
            <w:tcMar>
              <w:left w:w="108" w:type="dxa"/>
              <w:right w:w="108" w:type="dxa"/>
            </w:tcMar>
            <w:vAlign w:val="center"/>
          </w:tcPr>
          <w:p w14:paraId="2B7C07F3" w14:textId="65B24D46" w:rsidR="00F519C1" w:rsidRPr="00FA4DC7" w:rsidRDefault="00F519C1" w:rsidP="00FC07B8">
            <w:pPr>
              <w:tabs>
                <w:tab w:val="left" w:pos="0"/>
                <w:tab w:val="left" w:pos="709"/>
                <w:tab w:val="left" w:pos="1418"/>
              </w:tabs>
              <w:jc w:val="right"/>
              <w:rPr>
                <w:rFonts w:cs="Arial"/>
                <w:b/>
                <w:bCs/>
                <w:i/>
                <w:iCs/>
                <w:color w:val="000000"/>
                <w:sz w:val="22"/>
                <w:szCs w:val="22"/>
              </w:rPr>
            </w:pPr>
            <w:r>
              <w:rPr>
                <w:rFonts w:cs="Arial"/>
                <w:color w:val="000000"/>
                <w:sz w:val="22"/>
                <w:szCs w:val="22"/>
              </w:rPr>
              <w:t>-3,732</w:t>
            </w:r>
          </w:p>
        </w:tc>
      </w:tr>
      <w:tr w:rsidR="00FC07B8" w:rsidRPr="00FA4DC7" w14:paraId="325DC34B" w14:textId="77777777" w:rsidTr="00FC07B8">
        <w:tc>
          <w:tcPr>
            <w:tcW w:w="1078" w:type="pct"/>
            <w:shd w:val="clear" w:color="auto" w:fill="auto"/>
            <w:noWrap/>
            <w:tcMar>
              <w:left w:w="108" w:type="dxa"/>
              <w:right w:w="108" w:type="dxa"/>
            </w:tcMar>
            <w:vAlign w:val="bottom"/>
          </w:tcPr>
          <w:p w14:paraId="3648D55D" w14:textId="77777777" w:rsidR="00CE1BDB" w:rsidRPr="00FA4DC7" w:rsidRDefault="00CE1BDB" w:rsidP="00FC07B8">
            <w:pPr>
              <w:tabs>
                <w:tab w:val="left" w:pos="0"/>
                <w:tab w:val="left" w:pos="709"/>
                <w:tab w:val="left" w:pos="1418"/>
              </w:tabs>
              <w:rPr>
                <w:rFonts w:cs="Arial"/>
                <w:b/>
                <w:bCs/>
                <w:sz w:val="22"/>
                <w:szCs w:val="22"/>
              </w:rPr>
            </w:pPr>
            <w:r w:rsidRPr="00FA4DC7">
              <w:rPr>
                <w:rFonts w:cs="Arial"/>
                <w:b/>
                <w:bCs/>
                <w:sz w:val="22"/>
                <w:szCs w:val="22"/>
              </w:rPr>
              <w:t>Total</w:t>
            </w:r>
          </w:p>
          <w:p w14:paraId="232E1186" w14:textId="77777777" w:rsidR="00CE1BDB" w:rsidRPr="00FA4DC7" w:rsidRDefault="00CE1BDB" w:rsidP="00FC07B8">
            <w:pPr>
              <w:tabs>
                <w:tab w:val="left" w:pos="0"/>
                <w:tab w:val="left" w:pos="709"/>
                <w:tab w:val="left" w:pos="1418"/>
              </w:tabs>
              <w:rPr>
                <w:rFonts w:cs="Arial"/>
                <w:b/>
                <w:bCs/>
                <w:sz w:val="22"/>
                <w:szCs w:val="22"/>
              </w:rPr>
            </w:pPr>
            <w:r w:rsidRPr="00FA4DC7">
              <w:rPr>
                <w:rFonts w:cs="Arial"/>
                <w:b/>
                <w:bCs/>
                <w:sz w:val="22"/>
                <w:szCs w:val="22"/>
              </w:rPr>
              <w:t>(</w:t>
            </w:r>
            <w:proofErr w:type="gramStart"/>
            <w:r w:rsidRPr="00FA4DC7">
              <w:rPr>
                <w:rFonts w:cs="Arial"/>
                <w:b/>
                <w:bCs/>
                <w:sz w:val="22"/>
                <w:szCs w:val="22"/>
              </w:rPr>
              <w:t>past</w:t>
            </w:r>
            <w:proofErr w:type="gramEnd"/>
            <w:r w:rsidRPr="00FA4DC7">
              <w:rPr>
                <w:rFonts w:cs="Arial"/>
                <w:b/>
                <w:bCs/>
                <w:sz w:val="22"/>
                <w:szCs w:val="22"/>
              </w:rPr>
              <w:t xml:space="preserve"> 5 years)</w:t>
            </w:r>
          </w:p>
        </w:tc>
        <w:tc>
          <w:tcPr>
            <w:tcW w:w="464" w:type="pct"/>
            <w:shd w:val="clear" w:color="auto" w:fill="auto"/>
            <w:noWrap/>
            <w:tcMar>
              <w:left w:w="108" w:type="dxa"/>
              <w:right w:w="108" w:type="dxa"/>
            </w:tcMar>
            <w:vAlign w:val="center"/>
          </w:tcPr>
          <w:p w14:paraId="3963191F"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3,917</w:t>
            </w:r>
          </w:p>
        </w:tc>
        <w:tc>
          <w:tcPr>
            <w:tcW w:w="540" w:type="pct"/>
            <w:tcMar>
              <w:left w:w="108" w:type="dxa"/>
              <w:right w:w="108" w:type="dxa"/>
            </w:tcMar>
            <w:vAlign w:val="center"/>
          </w:tcPr>
          <w:p w14:paraId="29C79321"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3,120</w:t>
            </w:r>
          </w:p>
        </w:tc>
        <w:tc>
          <w:tcPr>
            <w:tcW w:w="618" w:type="pct"/>
            <w:tcMar>
              <w:left w:w="108" w:type="dxa"/>
              <w:right w:w="108" w:type="dxa"/>
            </w:tcMar>
            <w:vAlign w:val="center"/>
          </w:tcPr>
          <w:p w14:paraId="68641CCC"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797</w:t>
            </w:r>
          </w:p>
        </w:tc>
        <w:tc>
          <w:tcPr>
            <w:tcW w:w="531" w:type="pct"/>
            <w:tcMar>
              <w:left w:w="108" w:type="dxa"/>
              <w:right w:w="108" w:type="dxa"/>
            </w:tcMar>
            <w:vAlign w:val="center"/>
          </w:tcPr>
          <w:p w14:paraId="63B1A6B5"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3,652</w:t>
            </w:r>
          </w:p>
        </w:tc>
        <w:tc>
          <w:tcPr>
            <w:tcW w:w="760" w:type="pct"/>
            <w:shd w:val="clear" w:color="auto" w:fill="auto"/>
            <w:noWrap/>
            <w:tcMar>
              <w:left w:w="108" w:type="dxa"/>
              <w:right w:w="108" w:type="dxa"/>
            </w:tcMar>
            <w:vAlign w:val="center"/>
          </w:tcPr>
          <w:p w14:paraId="31555D79" w14:textId="77777777" w:rsidR="00CE1BDB" w:rsidRPr="00FA4DC7" w:rsidRDefault="00CE1BDB" w:rsidP="00FC07B8">
            <w:pPr>
              <w:tabs>
                <w:tab w:val="left" w:pos="0"/>
                <w:tab w:val="left" w:pos="709"/>
                <w:tab w:val="left" w:pos="1418"/>
              </w:tabs>
              <w:jc w:val="right"/>
              <w:rPr>
                <w:rFonts w:cs="Arial"/>
                <w:color w:val="000000"/>
              </w:rPr>
            </w:pPr>
            <w:r w:rsidRPr="00FA4DC7">
              <w:rPr>
                <w:rFonts w:cs="Arial"/>
                <w:color w:val="000000"/>
                <w:sz w:val="22"/>
                <w:szCs w:val="22"/>
              </w:rPr>
              <w:t>5,662</w:t>
            </w:r>
          </w:p>
        </w:tc>
        <w:tc>
          <w:tcPr>
            <w:tcW w:w="1009" w:type="pct"/>
            <w:tcMar>
              <w:left w:w="108" w:type="dxa"/>
              <w:right w:w="108" w:type="dxa"/>
            </w:tcMar>
            <w:vAlign w:val="center"/>
          </w:tcPr>
          <w:p w14:paraId="32EFBE21" w14:textId="77777777" w:rsidR="00CE1BDB" w:rsidRPr="00FA4DC7" w:rsidRDefault="00CE1BDB" w:rsidP="00FC07B8">
            <w:pPr>
              <w:tabs>
                <w:tab w:val="left" w:pos="0"/>
                <w:tab w:val="left" w:pos="709"/>
                <w:tab w:val="left" w:pos="1418"/>
              </w:tabs>
              <w:jc w:val="right"/>
              <w:rPr>
                <w:rFonts w:cs="Arial"/>
                <w:color w:val="000000"/>
                <w:sz w:val="22"/>
                <w:szCs w:val="22"/>
              </w:rPr>
            </w:pPr>
            <w:r w:rsidRPr="00FA4DC7">
              <w:rPr>
                <w:rFonts w:cs="Arial"/>
                <w:color w:val="000000"/>
                <w:sz w:val="22"/>
                <w:szCs w:val="22"/>
              </w:rPr>
              <w:t>-2,010</w:t>
            </w:r>
          </w:p>
        </w:tc>
      </w:tr>
      <w:tr w:rsidR="00FC07B8" w:rsidRPr="00FA4DC7" w14:paraId="5DFA1003" w14:textId="77777777" w:rsidTr="00FC07B8">
        <w:tc>
          <w:tcPr>
            <w:tcW w:w="1078" w:type="pct"/>
            <w:shd w:val="clear" w:color="auto" w:fill="auto"/>
            <w:noWrap/>
            <w:tcMar>
              <w:left w:w="108" w:type="dxa"/>
              <w:right w:w="108" w:type="dxa"/>
            </w:tcMar>
            <w:vAlign w:val="bottom"/>
          </w:tcPr>
          <w:p w14:paraId="07E5B147" w14:textId="77777777" w:rsidR="00FC07B8" w:rsidRDefault="00CE1BDB" w:rsidP="00FC07B8">
            <w:pPr>
              <w:tabs>
                <w:tab w:val="left" w:pos="0"/>
                <w:tab w:val="left" w:pos="709"/>
                <w:tab w:val="left" w:pos="1418"/>
              </w:tabs>
              <w:rPr>
                <w:rFonts w:cs="Arial"/>
                <w:b/>
                <w:sz w:val="22"/>
                <w:szCs w:val="22"/>
              </w:rPr>
            </w:pPr>
            <w:r w:rsidRPr="00FA4DC7">
              <w:rPr>
                <w:rFonts w:cs="Arial"/>
                <w:b/>
                <w:sz w:val="22"/>
                <w:szCs w:val="22"/>
              </w:rPr>
              <w:t>Annual average</w:t>
            </w:r>
          </w:p>
          <w:p w14:paraId="5219DCC7" w14:textId="4D8BD135" w:rsidR="00CE1BDB" w:rsidRPr="00FA4DC7" w:rsidRDefault="00CE1BDB" w:rsidP="00FC07B8">
            <w:pPr>
              <w:tabs>
                <w:tab w:val="left" w:pos="0"/>
                <w:tab w:val="left" w:pos="709"/>
                <w:tab w:val="left" w:pos="1418"/>
              </w:tabs>
              <w:rPr>
                <w:rFonts w:cs="Arial"/>
                <w:b/>
                <w:sz w:val="22"/>
                <w:szCs w:val="22"/>
              </w:rPr>
            </w:pPr>
            <w:r w:rsidRPr="00FA4DC7">
              <w:rPr>
                <w:rFonts w:cs="Arial"/>
                <w:b/>
                <w:sz w:val="22"/>
                <w:szCs w:val="22"/>
              </w:rPr>
              <w:t>(</w:t>
            </w:r>
            <w:proofErr w:type="gramStart"/>
            <w:r w:rsidRPr="00FA4DC7">
              <w:rPr>
                <w:rFonts w:cs="Arial"/>
                <w:b/>
                <w:sz w:val="22"/>
                <w:szCs w:val="22"/>
              </w:rPr>
              <w:t>past</w:t>
            </w:r>
            <w:proofErr w:type="gramEnd"/>
            <w:r w:rsidRPr="00FA4DC7">
              <w:rPr>
                <w:rFonts w:cs="Arial"/>
                <w:b/>
                <w:sz w:val="22"/>
                <w:szCs w:val="22"/>
              </w:rPr>
              <w:t xml:space="preserve"> 5 years)</w:t>
            </w:r>
          </w:p>
        </w:tc>
        <w:tc>
          <w:tcPr>
            <w:tcW w:w="464" w:type="pct"/>
            <w:shd w:val="clear" w:color="auto" w:fill="auto"/>
            <w:noWrap/>
            <w:tcMar>
              <w:left w:w="108" w:type="dxa"/>
              <w:right w:w="108" w:type="dxa"/>
            </w:tcMar>
            <w:vAlign w:val="center"/>
          </w:tcPr>
          <w:p w14:paraId="4537918A" w14:textId="77777777" w:rsidR="00CE1BDB" w:rsidRPr="00FA4DC7" w:rsidRDefault="00CE1BDB" w:rsidP="00FC07B8">
            <w:pPr>
              <w:tabs>
                <w:tab w:val="left" w:pos="0"/>
                <w:tab w:val="left" w:pos="709"/>
                <w:tab w:val="left" w:pos="1418"/>
              </w:tabs>
              <w:jc w:val="right"/>
              <w:rPr>
                <w:rFonts w:cs="Arial"/>
                <w:b/>
                <w:sz w:val="22"/>
                <w:szCs w:val="22"/>
              </w:rPr>
            </w:pPr>
            <w:r w:rsidRPr="00FA4DC7">
              <w:rPr>
                <w:rFonts w:cs="Arial"/>
                <w:color w:val="000000"/>
                <w:sz w:val="22"/>
                <w:szCs w:val="22"/>
              </w:rPr>
              <w:t>783</w:t>
            </w:r>
          </w:p>
        </w:tc>
        <w:tc>
          <w:tcPr>
            <w:tcW w:w="540" w:type="pct"/>
            <w:tcMar>
              <w:left w:w="108" w:type="dxa"/>
              <w:right w:w="108" w:type="dxa"/>
            </w:tcMar>
            <w:vAlign w:val="center"/>
          </w:tcPr>
          <w:p w14:paraId="7FD72D67" w14:textId="77777777" w:rsidR="00CE1BDB" w:rsidRPr="00FA4DC7" w:rsidRDefault="00CE1BDB" w:rsidP="00FC07B8">
            <w:pPr>
              <w:tabs>
                <w:tab w:val="left" w:pos="0"/>
                <w:tab w:val="left" w:pos="709"/>
                <w:tab w:val="left" w:pos="1418"/>
              </w:tabs>
              <w:jc w:val="right"/>
              <w:rPr>
                <w:rFonts w:cs="Arial"/>
                <w:bCs/>
                <w:sz w:val="22"/>
                <w:szCs w:val="22"/>
              </w:rPr>
            </w:pPr>
            <w:r w:rsidRPr="00FA4DC7">
              <w:rPr>
                <w:rFonts w:cs="Arial"/>
                <w:bCs/>
                <w:sz w:val="22"/>
                <w:szCs w:val="22"/>
              </w:rPr>
              <w:t>624</w:t>
            </w:r>
          </w:p>
        </w:tc>
        <w:tc>
          <w:tcPr>
            <w:tcW w:w="618" w:type="pct"/>
            <w:tcMar>
              <w:left w:w="108" w:type="dxa"/>
              <w:right w:w="108" w:type="dxa"/>
            </w:tcMar>
            <w:vAlign w:val="center"/>
          </w:tcPr>
          <w:p w14:paraId="7CF5B330" w14:textId="77777777" w:rsidR="00CE1BDB" w:rsidRPr="00FA4DC7" w:rsidRDefault="00CE1BDB" w:rsidP="00FC07B8">
            <w:pPr>
              <w:tabs>
                <w:tab w:val="left" w:pos="0"/>
                <w:tab w:val="left" w:pos="709"/>
                <w:tab w:val="left" w:pos="1418"/>
              </w:tabs>
              <w:jc w:val="right"/>
              <w:rPr>
                <w:rFonts w:cs="Arial"/>
                <w:b/>
                <w:sz w:val="22"/>
                <w:szCs w:val="22"/>
              </w:rPr>
            </w:pPr>
            <w:r w:rsidRPr="00FA4DC7">
              <w:rPr>
                <w:rFonts w:cs="Arial"/>
                <w:color w:val="000000"/>
                <w:sz w:val="22"/>
                <w:szCs w:val="22"/>
              </w:rPr>
              <w:t>159</w:t>
            </w:r>
          </w:p>
        </w:tc>
        <w:tc>
          <w:tcPr>
            <w:tcW w:w="531" w:type="pct"/>
            <w:tcMar>
              <w:left w:w="108" w:type="dxa"/>
              <w:right w:w="108" w:type="dxa"/>
            </w:tcMar>
            <w:vAlign w:val="center"/>
          </w:tcPr>
          <w:p w14:paraId="78E8327E" w14:textId="77777777" w:rsidR="00CE1BDB" w:rsidRPr="00FA4DC7" w:rsidRDefault="00CE1BDB" w:rsidP="00FC07B8">
            <w:pPr>
              <w:tabs>
                <w:tab w:val="left" w:pos="0"/>
                <w:tab w:val="left" w:pos="709"/>
                <w:tab w:val="left" w:pos="1418"/>
              </w:tabs>
              <w:jc w:val="right"/>
              <w:rPr>
                <w:rFonts w:cs="Arial"/>
                <w:b/>
                <w:sz w:val="22"/>
                <w:szCs w:val="22"/>
              </w:rPr>
            </w:pPr>
            <w:r w:rsidRPr="00FA4DC7">
              <w:rPr>
                <w:rFonts w:cs="Arial"/>
                <w:color w:val="000000"/>
                <w:sz w:val="22"/>
                <w:szCs w:val="22"/>
              </w:rPr>
              <w:t>730</w:t>
            </w:r>
          </w:p>
        </w:tc>
        <w:tc>
          <w:tcPr>
            <w:tcW w:w="760" w:type="pct"/>
            <w:shd w:val="clear" w:color="auto" w:fill="auto"/>
            <w:noWrap/>
            <w:tcMar>
              <w:left w:w="108" w:type="dxa"/>
              <w:right w:w="108" w:type="dxa"/>
            </w:tcMar>
            <w:vAlign w:val="center"/>
          </w:tcPr>
          <w:p w14:paraId="7EE607ED" w14:textId="77777777" w:rsidR="00CE1BDB" w:rsidRPr="00FA4DC7" w:rsidRDefault="00CE1BDB" w:rsidP="00FC07B8">
            <w:pPr>
              <w:tabs>
                <w:tab w:val="left" w:pos="0"/>
                <w:tab w:val="left" w:pos="709"/>
                <w:tab w:val="left" w:pos="1418"/>
              </w:tabs>
              <w:jc w:val="right"/>
              <w:rPr>
                <w:rFonts w:cs="Arial"/>
                <w:color w:val="000000"/>
              </w:rPr>
            </w:pPr>
            <w:r w:rsidRPr="00FA4DC7">
              <w:rPr>
                <w:rFonts w:cs="Arial"/>
                <w:color w:val="000000"/>
                <w:sz w:val="22"/>
                <w:szCs w:val="22"/>
              </w:rPr>
              <w:t>1,132</w:t>
            </w:r>
          </w:p>
        </w:tc>
        <w:tc>
          <w:tcPr>
            <w:tcW w:w="1009" w:type="pct"/>
            <w:tcMar>
              <w:left w:w="108" w:type="dxa"/>
              <w:right w:w="108" w:type="dxa"/>
            </w:tcMar>
            <w:vAlign w:val="center"/>
          </w:tcPr>
          <w:p w14:paraId="59CB0E8D" w14:textId="77777777" w:rsidR="00CE1BDB" w:rsidRPr="00FA4DC7" w:rsidRDefault="00CE1BDB" w:rsidP="00FC07B8">
            <w:pPr>
              <w:tabs>
                <w:tab w:val="left" w:pos="0"/>
                <w:tab w:val="left" w:pos="709"/>
                <w:tab w:val="left" w:pos="1418"/>
              </w:tabs>
              <w:jc w:val="right"/>
              <w:rPr>
                <w:rFonts w:cs="Arial"/>
                <w:b/>
                <w:sz w:val="22"/>
                <w:szCs w:val="22"/>
              </w:rPr>
            </w:pPr>
            <w:r w:rsidRPr="00FA4DC7">
              <w:rPr>
                <w:rFonts w:cs="Arial"/>
                <w:color w:val="000000"/>
                <w:sz w:val="22"/>
                <w:szCs w:val="22"/>
              </w:rPr>
              <w:t>-402</w:t>
            </w:r>
          </w:p>
        </w:tc>
      </w:tr>
    </w:tbl>
    <w:p w14:paraId="5D45264B" w14:textId="77777777" w:rsidR="00CE1BDB" w:rsidRPr="00FA4DC7" w:rsidRDefault="00CE1BDB" w:rsidP="00CE1BDB">
      <w:pPr>
        <w:tabs>
          <w:tab w:val="left" w:pos="0"/>
          <w:tab w:val="left" w:pos="709"/>
          <w:tab w:val="left" w:pos="1418"/>
        </w:tabs>
        <w:rPr>
          <w:rFonts w:cs="Arial"/>
          <w:sz w:val="16"/>
          <w:szCs w:val="16"/>
        </w:rPr>
      </w:pPr>
      <w:r w:rsidRPr="00FA4DC7">
        <w:rPr>
          <w:rFonts w:cs="Arial"/>
          <w:sz w:val="16"/>
          <w:szCs w:val="16"/>
        </w:rPr>
        <w:t>Sources:</w:t>
      </w:r>
    </w:p>
    <w:p w14:paraId="40DAF7F8" w14:textId="77777777" w:rsidR="00CE1BDB" w:rsidRPr="00FA4DC7" w:rsidRDefault="00CE1BDB" w:rsidP="00CE1BDB">
      <w:pPr>
        <w:pStyle w:val="Reporttext"/>
        <w:numPr>
          <w:ilvl w:val="0"/>
          <w:numId w:val="0"/>
        </w:numPr>
        <w:ind w:left="709" w:hanging="709"/>
        <w:rPr>
          <w:rFonts w:cs="Arial"/>
          <w:sz w:val="16"/>
          <w:szCs w:val="16"/>
        </w:rPr>
      </w:pPr>
      <w:r w:rsidRPr="00FA4DC7">
        <w:rPr>
          <w:rFonts w:cs="Arial"/>
          <w:sz w:val="16"/>
          <w:szCs w:val="16"/>
        </w:rPr>
        <w:t>Medway Council Annual Monitoring Returns/Reports</w:t>
      </w:r>
    </w:p>
    <w:p w14:paraId="2B67AE13" w14:textId="77777777" w:rsidR="00CE1BDB" w:rsidRPr="00FA4DC7" w:rsidRDefault="00CE1BDB" w:rsidP="00CE1BDB">
      <w:pPr>
        <w:rPr>
          <w:rFonts w:cs="Arial"/>
          <w:highlight w:val="yellow"/>
          <w:shd w:val="clear" w:color="auto" w:fill="FFFFFF"/>
        </w:rPr>
        <w:sectPr w:rsidR="00CE1BDB" w:rsidRPr="00FA4DC7" w:rsidSect="00EF49A7">
          <w:pgSz w:w="11906" w:h="16838"/>
          <w:pgMar w:top="1440" w:right="1276" w:bottom="1134" w:left="1440" w:header="708" w:footer="708" w:gutter="0"/>
          <w:cols w:space="708"/>
          <w:docGrid w:linePitch="360"/>
        </w:sectPr>
      </w:pPr>
    </w:p>
    <w:p w14:paraId="438DE598" w14:textId="0724F137" w:rsidR="00CE1BDB" w:rsidRPr="00FA4DC7" w:rsidRDefault="00CE1BDB" w:rsidP="00CE1BDB">
      <w:pPr>
        <w:pStyle w:val="Figureheading0"/>
        <w:tabs>
          <w:tab w:val="left" w:pos="709"/>
          <w:tab w:val="left" w:pos="1418"/>
        </w:tabs>
        <w:spacing w:after="120"/>
        <w:rPr>
          <w:shd w:val="clear" w:color="auto" w:fill="FFFFFF"/>
          <w:lang w:eastAsia="en-GB"/>
        </w:rPr>
      </w:pPr>
      <w:bookmarkStart w:id="168" w:name="_Toc83036144"/>
      <w:r w:rsidRPr="00FA4DC7">
        <w:rPr>
          <w:shd w:val="clear" w:color="auto" w:fill="FFFFFF"/>
          <w:lang w:eastAsia="en-GB"/>
        </w:rPr>
        <w:lastRenderedPageBreak/>
        <w:t>Figure 2.</w:t>
      </w:r>
      <w:r w:rsidR="009626AC">
        <w:rPr>
          <w:shd w:val="clear" w:color="auto" w:fill="FFFFFF"/>
          <w:lang w:eastAsia="en-GB"/>
        </w:rPr>
        <w:t>1</w:t>
      </w:r>
      <w:r w:rsidRPr="00FA4DC7">
        <w:rPr>
          <w:shd w:val="clear" w:color="auto" w:fill="FFFFFF"/>
          <w:lang w:eastAsia="en-GB"/>
        </w:rPr>
        <w:tab/>
        <w:t>Dwelling completions compared with the annual requirement, 2010/11 to 2019/20</w:t>
      </w:r>
      <w:bookmarkEnd w:id="168"/>
      <w:r w:rsidRPr="00FA4DC7">
        <w:rPr>
          <w:shd w:val="clear" w:color="auto" w:fill="FFFFFF"/>
          <w:lang w:eastAsia="en-GB"/>
        </w:rPr>
        <w:t xml:space="preserve"> </w:t>
      </w:r>
    </w:p>
    <w:p w14:paraId="35ADD821" w14:textId="77777777" w:rsidR="00CE1BDB" w:rsidRPr="00FA4DC7" w:rsidRDefault="00CE1BDB" w:rsidP="00FC07B8">
      <w:pPr>
        <w:rPr>
          <w:noProof/>
          <w:highlight w:val="yellow"/>
        </w:rPr>
      </w:pPr>
      <w:r w:rsidRPr="00FA4DC7">
        <w:rPr>
          <w:noProof/>
        </w:rPr>
        <w:t xml:space="preserve"> </w:t>
      </w:r>
      <w:bookmarkStart w:id="169" w:name="_Toc81323730"/>
      <w:r w:rsidRPr="00FA4DC7">
        <w:rPr>
          <w:noProof/>
        </w:rPr>
        <w:drawing>
          <wp:inline distT="0" distB="0" distL="0" distR="0" wp14:anchorId="7E30FBCB" wp14:editId="49877297">
            <wp:extent cx="8846820" cy="4337896"/>
            <wp:effectExtent l="0" t="0" r="5080" b="5715"/>
            <wp:docPr id="8" name="Picture 8" descr="Graph showing dwelling completions compared with annual requirement 2010/11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dwelling completions compared with annual requirement 2010/11 to 2019/20"/>
                    <pic:cNvPicPr/>
                  </pic:nvPicPr>
                  <pic:blipFill>
                    <a:blip r:embed="rId23"/>
                    <a:stretch>
                      <a:fillRect/>
                    </a:stretch>
                  </pic:blipFill>
                  <pic:spPr>
                    <a:xfrm>
                      <a:off x="0" y="0"/>
                      <a:ext cx="8853063" cy="4340957"/>
                    </a:xfrm>
                    <a:prstGeom prst="rect">
                      <a:avLst/>
                    </a:prstGeom>
                  </pic:spPr>
                </pic:pic>
              </a:graphicData>
            </a:graphic>
          </wp:inline>
        </w:drawing>
      </w:r>
      <w:bookmarkEnd w:id="169"/>
      <w:r w:rsidRPr="00FA4DC7">
        <w:rPr>
          <w:noProof/>
          <w:highlight w:val="yellow"/>
        </w:rPr>
        <w:t xml:space="preserve"> </w:t>
      </w:r>
    </w:p>
    <w:p w14:paraId="694930A5" w14:textId="77777777" w:rsidR="00CE1BDB" w:rsidRPr="00FA4DC7" w:rsidRDefault="00CE1BDB" w:rsidP="00CE1BDB">
      <w:pPr>
        <w:pStyle w:val="Reporttext"/>
        <w:numPr>
          <w:ilvl w:val="0"/>
          <w:numId w:val="0"/>
        </w:numPr>
        <w:ind w:left="709" w:hanging="709"/>
        <w:rPr>
          <w:rFonts w:cs="Arial"/>
          <w:sz w:val="22"/>
          <w:szCs w:val="22"/>
          <w:shd w:val="clear" w:color="auto" w:fill="FFFFFF"/>
        </w:rPr>
      </w:pPr>
      <w:r w:rsidRPr="00FA4DC7">
        <w:rPr>
          <w:rFonts w:cs="Arial"/>
          <w:sz w:val="22"/>
          <w:szCs w:val="22"/>
          <w:shd w:val="clear" w:color="auto" w:fill="FFFFFF"/>
        </w:rPr>
        <w:t>Source: Medway Annual Monitoring Returns/Reports</w:t>
      </w:r>
    </w:p>
    <w:p w14:paraId="37DC0ECC" w14:textId="77777777" w:rsidR="00CE1BDB" w:rsidRPr="00FA4DC7" w:rsidRDefault="00CE1BDB" w:rsidP="00CE1BDB">
      <w:pPr>
        <w:tabs>
          <w:tab w:val="left" w:pos="0"/>
          <w:tab w:val="left" w:pos="709"/>
          <w:tab w:val="left" w:pos="1418"/>
        </w:tabs>
        <w:rPr>
          <w:rFonts w:cs="Arial"/>
          <w:color w:val="FF0000"/>
          <w:sz w:val="20"/>
          <w:szCs w:val="20"/>
          <w:highlight w:val="yellow"/>
          <w:shd w:val="clear" w:color="auto" w:fill="FFFFFF"/>
        </w:rPr>
      </w:pPr>
    </w:p>
    <w:p w14:paraId="10306E52" w14:textId="77777777" w:rsidR="00CE1BDB" w:rsidRPr="00FA4DC7" w:rsidRDefault="00CE1BDB" w:rsidP="00CE1BDB">
      <w:pPr>
        <w:tabs>
          <w:tab w:val="left" w:pos="0"/>
          <w:tab w:val="left" w:pos="709"/>
          <w:tab w:val="left" w:pos="1418"/>
        </w:tabs>
        <w:rPr>
          <w:rFonts w:cs="Arial"/>
          <w:color w:val="FF0000"/>
          <w:sz w:val="20"/>
          <w:szCs w:val="20"/>
          <w:highlight w:val="yellow"/>
          <w:shd w:val="clear" w:color="auto" w:fill="FFFFFF"/>
        </w:rPr>
        <w:sectPr w:rsidR="00CE1BDB" w:rsidRPr="00FA4DC7" w:rsidSect="00EF49A7">
          <w:headerReference w:type="default" r:id="rId24"/>
          <w:pgSz w:w="16838" w:h="11906" w:orient="landscape"/>
          <w:pgMar w:top="1276" w:right="1134" w:bottom="1440" w:left="1440" w:header="708" w:footer="708" w:gutter="0"/>
          <w:cols w:space="708"/>
          <w:docGrid w:linePitch="360"/>
        </w:sectPr>
      </w:pPr>
    </w:p>
    <w:p w14:paraId="5A278082" w14:textId="77777777" w:rsidR="00CE1BDB" w:rsidRPr="00FA4DC7" w:rsidRDefault="00CE1BDB" w:rsidP="00CE1BDB">
      <w:pPr>
        <w:pStyle w:val="Heading2"/>
        <w:rPr>
          <w:rFonts w:cs="Arial"/>
        </w:rPr>
      </w:pPr>
      <w:bookmarkStart w:id="170" w:name="_Toc46497064"/>
      <w:bookmarkStart w:id="171" w:name="_Toc83035649"/>
      <w:r w:rsidRPr="00FA4DC7">
        <w:rPr>
          <w:rFonts w:cs="Arial"/>
        </w:rPr>
        <w:lastRenderedPageBreak/>
        <w:t>Demographic drivers: population and households</w:t>
      </w:r>
      <w:bookmarkEnd w:id="170"/>
      <w:bookmarkEnd w:id="171"/>
    </w:p>
    <w:p w14:paraId="3879D97D" w14:textId="77777777" w:rsidR="00CE1BDB" w:rsidRPr="00FA4DC7" w:rsidRDefault="00CE1BDB" w:rsidP="00CE1BDB">
      <w:pPr>
        <w:pStyle w:val="Heading3"/>
        <w:rPr>
          <w:rFonts w:cs="Arial"/>
        </w:rPr>
      </w:pPr>
      <w:r w:rsidRPr="00FA4DC7">
        <w:rPr>
          <w:rFonts w:cs="Arial"/>
        </w:rPr>
        <w:t>Population projections</w:t>
      </w:r>
    </w:p>
    <w:p w14:paraId="35995738" w14:textId="61A12D78" w:rsidR="00CE1BDB" w:rsidRPr="00FA4DC7" w:rsidRDefault="00CE1BDB" w:rsidP="00CE1BDB">
      <w:pPr>
        <w:pStyle w:val="Reporttext"/>
        <w:rPr>
          <w:rFonts w:cs="Arial"/>
        </w:rPr>
      </w:pPr>
      <w:r w:rsidRPr="00FA4DC7">
        <w:rPr>
          <w:rFonts w:cs="Arial"/>
        </w:rPr>
        <w:t>The ONS produces population projections every two years. A principal projection is produced along with variant projections which consider alternative migration assumptions. The latest 2018-based principal ONS population projections report a 2021 population of 280,040 across the borough which is expected to increase by 8,732 (3.1%) to 288,722 by 2037(Table 2.11 and Figure 2.</w:t>
      </w:r>
      <w:r w:rsidR="001E6B07">
        <w:rPr>
          <w:rFonts w:cs="Arial"/>
        </w:rPr>
        <w:t>2</w:t>
      </w:r>
      <w:r w:rsidRPr="00FA4DC7">
        <w:rPr>
          <w:rFonts w:cs="Arial"/>
        </w:rPr>
        <w:t xml:space="preserve">). There is a projected reduction in younger under 40 age cohorts. Older age groups are expected to increase the most, with </w:t>
      </w:r>
      <w:proofErr w:type="gramStart"/>
      <w:r w:rsidRPr="00FA4DC7">
        <w:rPr>
          <w:rFonts w:cs="Arial"/>
        </w:rPr>
        <w:t>a  25.6</w:t>
      </w:r>
      <w:proofErr w:type="gramEnd"/>
      <w:r w:rsidRPr="00FA4DC7">
        <w:rPr>
          <w:rFonts w:cs="Arial"/>
        </w:rPr>
        <w:t xml:space="preserve">% increase in population aged 65 and over overall, and a 59.5% increase in population aged 85 and over. Table 2.12 also extends the data to 2040 – although similar trends are observed there is an increase in the proportion aged 85 and over. </w:t>
      </w:r>
    </w:p>
    <w:p w14:paraId="56B3CBC5" w14:textId="77777777" w:rsidR="00CE1BDB" w:rsidRPr="00FA4DC7" w:rsidRDefault="00CE1BDB" w:rsidP="00CE1BDB">
      <w:pPr>
        <w:pStyle w:val="Reporttext"/>
        <w:numPr>
          <w:ilvl w:val="0"/>
          <w:numId w:val="0"/>
        </w:num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012"/>
        <w:gridCol w:w="1012"/>
        <w:gridCol w:w="1012"/>
        <w:gridCol w:w="1109"/>
        <w:gridCol w:w="1145"/>
        <w:gridCol w:w="1279"/>
        <w:gridCol w:w="1281"/>
      </w:tblGrid>
      <w:tr w:rsidR="00CE1BDB" w:rsidRPr="00FA4DC7" w14:paraId="0A36BB5A" w14:textId="77777777" w:rsidTr="00FC07B8">
        <w:trPr>
          <w:trHeight w:val="300"/>
        </w:trPr>
        <w:tc>
          <w:tcPr>
            <w:tcW w:w="5000" w:type="pct"/>
            <w:gridSpan w:val="8"/>
            <w:shd w:val="clear" w:color="auto" w:fill="006666"/>
            <w:vAlign w:val="center"/>
            <w:hideMark/>
          </w:tcPr>
          <w:p w14:paraId="4A9D28E5" w14:textId="77777777" w:rsidR="00CE1BDB" w:rsidRPr="00FA4DC7" w:rsidRDefault="00CE1BDB" w:rsidP="00FC07B8">
            <w:pPr>
              <w:pStyle w:val="Tableheading1"/>
            </w:pPr>
            <w:bookmarkStart w:id="172" w:name="_Toc83036065"/>
            <w:r w:rsidRPr="00FC07B8">
              <w:t>Table</w:t>
            </w:r>
            <w:r w:rsidRPr="00FA4DC7">
              <w:t xml:space="preserve"> 2.12 </w:t>
            </w:r>
            <w:r w:rsidRPr="00FA4DC7">
              <w:tab/>
              <w:t>Change in population 2021-2040 by age group</w:t>
            </w:r>
            <w:bookmarkEnd w:id="172"/>
          </w:p>
        </w:tc>
      </w:tr>
      <w:tr w:rsidR="00CE1BDB" w:rsidRPr="00FA4DC7" w14:paraId="7412788D" w14:textId="77777777" w:rsidTr="00FC07B8">
        <w:trPr>
          <w:trHeight w:val="1280"/>
        </w:trPr>
        <w:tc>
          <w:tcPr>
            <w:tcW w:w="652" w:type="pct"/>
            <w:shd w:val="clear" w:color="auto" w:fill="006666"/>
            <w:noWrap/>
            <w:vAlign w:val="bottom"/>
            <w:hideMark/>
          </w:tcPr>
          <w:p w14:paraId="70BE1D38" w14:textId="77777777" w:rsidR="00CE1BDB" w:rsidRPr="00FA4DC7" w:rsidRDefault="00CE1BDB" w:rsidP="00FC07B8">
            <w:pPr>
              <w:rPr>
                <w:rFonts w:cs="Arial"/>
                <w:b/>
                <w:bCs/>
                <w:color w:val="FFFFFF"/>
                <w:sz w:val="22"/>
                <w:szCs w:val="22"/>
              </w:rPr>
            </w:pPr>
            <w:r w:rsidRPr="00FA4DC7">
              <w:rPr>
                <w:rFonts w:cs="Arial"/>
                <w:b/>
                <w:bCs/>
                <w:color w:val="FFFFFF"/>
                <w:sz w:val="22"/>
                <w:szCs w:val="22"/>
              </w:rPr>
              <w:t>Age groups</w:t>
            </w:r>
          </w:p>
        </w:tc>
        <w:tc>
          <w:tcPr>
            <w:tcW w:w="580" w:type="pct"/>
            <w:shd w:val="clear" w:color="auto" w:fill="006666"/>
            <w:vAlign w:val="bottom"/>
            <w:hideMark/>
          </w:tcPr>
          <w:p w14:paraId="4873F005"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2021</w:t>
            </w:r>
          </w:p>
        </w:tc>
        <w:tc>
          <w:tcPr>
            <w:tcW w:w="517" w:type="pct"/>
            <w:shd w:val="clear" w:color="auto" w:fill="006666"/>
            <w:vAlign w:val="bottom"/>
            <w:hideMark/>
          </w:tcPr>
          <w:p w14:paraId="22CBC144"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2037</w:t>
            </w:r>
          </w:p>
        </w:tc>
        <w:tc>
          <w:tcPr>
            <w:tcW w:w="517" w:type="pct"/>
            <w:shd w:val="clear" w:color="auto" w:fill="006666"/>
            <w:vAlign w:val="bottom"/>
            <w:hideMark/>
          </w:tcPr>
          <w:p w14:paraId="7DC2122F"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2040</w:t>
            </w:r>
          </w:p>
        </w:tc>
        <w:tc>
          <w:tcPr>
            <w:tcW w:w="633" w:type="pct"/>
            <w:shd w:val="clear" w:color="auto" w:fill="006666"/>
            <w:vAlign w:val="bottom"/>
            <w:hideMark/>
          </w:tcPr>
          <w:p w14:paraId="19409607"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Number change 2021-2037</w:t>
            </w:r>
          </w:p>
        </w:tc>
        <w:tc>
          <w:tcPr>
            <w:tcW w:w="652" w:type="pct"/>
            <w:shd w:val="clear" w:color="auto" w:fill="006666"/>
            <w:vAlign w:val="bottom"/>
            <w:hideMark/>
          </w:tcPr>
          <w:p w14:paraId="5DC8553F"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2021-2037</w:t>
            </w:r>
          </w:p>
        </w:tc>
        <w:tc>
          <w:tcPr>
            <w:tcW w:w="724" w:type="pct"/>
            <w:shd w:val="clear" w:color="auto" w:fill="006666"/>
            <w:vAlign w:val="bottom"/>
            <w:hideMark/>
          </w:tcPr>
          <w:p w14:paraId="697B2F65"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Number change 2021-2040</w:t>
            </w:r>
          </w:p>
        </w:tc>
        <w:tc>
          <w:tcPr>
            <w:tcW w:w="725" w:type="pct"/>
            <w:shd w:val="clear" w:color="auto" w:fill="006666"/>
            <w:vAlign w:val="bottom"/>
            <w:hideMark/>
          </w:tcPr>
          <w:p w14:paraId="35D629E8"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2021-2040</w:t>
            </w:r>
          </w:p>
        </w:tc>
      </w:tr>
      <w:tr w:rsidR="00CE1BDB" w:rsidRPr="00FA4DC7" w14:paraId="4B30711C" w14:textId="77777777" w:rsidTr="00FC07B8">
        <w:trPr>
          <w:trHeight w:val="320"/>
        </w:trPr>
        <w:tc>
          <w:tcPr>
            <w:tcW w:w="652" w:type="pct"/>
            <w:shd w:val="clear" w:color="auto" w:fill="auto"/>
            <w:vAlign w:val="bottom"/>
            <w:hideMark/>
          </w:tcPr>
          <w:p w14:paraId="03A7C02C" w14:textId="77777777" w:rsidR="00CE1BDB" w:rsidRPr="00FA4DC7" w:rsidRDefault="00CE1BDB" w:rsidP="00EF49A7">
            <w:pPr>
              <w:rPr>
                <w:rFonts w:cs="Arial"/>
                <w:color w:val="000000"/>
                <w:sz w:val="22"/>
                <w:szCs w:val="22"/>
              </w:rPr>
            </w:pPr>
            <w:r w:rsidRPr="00FA4DC7">
              <w:rPr>
                <w:rFonts w:cs="Arial"/>
                <w:color w:val="000000"/>
                <w:sz w:val="22"/>
                <w:szCs w:val="22"/>
              </w:rPr>
              <w:t>0-19</w:t>
            </w:r>
          </w:p>
        </w:tc>
        <w:tc>
          <w:tcPr>
            <w:tcW w:w="580" w:type="pct"/>
            <w:shd w:val="clear" w:color="auto" w:fill="auto"/>
            <w:noWrap/>
            <w:vAlign w:val="bottom"/>
            <w:hideMark/>
          </w:tcPr>
          <w:p w14:paraId="558410B4" w14:textId="77777777" w:rsidR="00CE1BDB" w:rsidRPr="00FA4DC7" w:rsidRDefault="00CE1BDB" w:rsidP="00EF49A7">
            <w:pPr>
              <w:jc w:val="right"/>
              <w:rPr>
                <w:rFonts w:cs="Arial"/>
                <w:color w:val="000000"/>
                <w:sz w:val="22"/>
                <w:szCs w:val="22"/>
              </w:rPr>
            </w:pPr>
            <w:r w:rsidRPr="00FA4DC7">
              <w:rPr>
                <w:rFonts w:cs="Arial"/>
                <w:color w:val="000000"/>
                <w:sz w:val="22"/>
                <w:szCs w:val="22"/>
              </w:rPr>
              <w:t>71,925</w:t>
            </w:r>
          </w:p>
        </w:tc>
        <w:tc>
          <w:tcPr>
            <w:tcW w:w="517" w:type="pct"/>
            <w:shd w:val="clear" w:color="auto" w:fill="auto"/>
            <w:noWrap/>
            <w:vAlign w:val="bottom"/>
            <w:hideMark/>
          </w:tcPr>
          <w:p w14:paraId="4681B67C" w14:textId="77777777" w:rsidR="00CE1BDB" w:rsidRPr="00FA4DC7" w:rsidRDefault="00CE1BDB" w:rsidP="00EF49A7">
            <w:pPr>
              <w:jc w:val="right"/>
              <w:rPr>
                <w:rFonts w:cs="Arial"/>
                <w:color w:val="000000"/>
                <w:sz w:val="22"/>
                <w:szCs w:val="22"/>
              </w:rPr>
            </w:pPr>
            <w:r w:rsidRPr="00FA4DC7">
              <w:rPr>
                <w:rFonts w:cs="Arial"/>
                <w:color w:val="000000"/>
                <w:sz w:val="22"/>
                <w:szCs w:val="22"/>
              </w:rPr>
              <w:t>69,899</w:t>
            </w:r>
          </w:p>
        </w:tc>
        <w:tc>
          <w:tcPr>
            <w:tcW w:w="517" w:type="pct"/>
            <w:shd w:val="clear" w:color="auto" w:fill="auto"/>
            <w:noWrap/>
            <w:vAlign w:val="bottom"/>
            <w:hideMark/>
          </w:tcPr>
          <w:p w14:paraId="79429EDE" w14:textId="77777777" w:rsidR="00CE1BDB" w:rsidRPr="00FA4DC7" w:rsidRDefault="00CE1BDB" w:rsidP="00EF49A7">
            <w:pPr>
              <w:jc w:val="right"/>
              <w:rPr>
                <w:rFonts w:cs="Arial"/>
                <w:color w:val="000000"/>
                <w:sz w:val="22"/>
                <w:szCs w:val="22"/>
              </w:rPr>
            </w:pPr>
            <w:r w:rsidRPr="00FA4DC7">
              <w:rPr>
                <w:rFonts w:cs="Arial"/>
                <w:color w:val="000000"/>
                <w:sz w:val="22"/>
                <w:szCs w:val="22"/>
              </w:rPr>
              <w:t>70,165</w:t>
            </w:r>
          </w:p>
        </w:tc>
        <w:tc>
          <w:tcPr>
            <w:tcW w:w="633" w:type="pct"/>
            <w:shd w:val="clear" w:color="auto" w:fill="auto"/>
            <w:noWrap/>
            <w:vAlign w:val="bottom"/>
            <w:hideMark/>
          </w:tcPr>
          <w:p w14:paraId="0BD5931A" w14:textId="77777777" w:rsidR="00CE1BDB" w:rsidRPr="00FA4DC7" w:rsidRDefault="00CE1BDB" w:rsidP="00EF49A7">
            <w:pPr>
              <w:jc w:val="right"/>
              <w:rPr>
                <w:rFonts w:cs="Arial"/>
                <w:color w:val="000000"/>
                <w:sz w:val="22"/>
                <w:szCs w:val="22"/>
              </w:rPr>
            </w:pPr>
            <w:r w:rsidRPr="00FA4DC7">
              <w:rPr>
                <w:rFonts w:cs="Arial"/>
                <w:color w:val="000000"/>
                <w:sz w:val="22"/>
                <w:szCs w:val="22"/>
              </w:rPr>
              <w:t>-2,025</w:t>
            </w:r>
          </w:p>
        </w:tc>
        <w:tc>
          <w:tcPr>
            <w:tcW w:w="652" w:type="pct"/>
            <w:shd w:val="clear" w:color="auto" w:fill="auto"/>
            <w:noWrap/>
            <w:vAlign w:val="bottom"/>
            <w:hideMark/>
          </w:tcPr>
          <w:p w14:paraId="1B790804" w14:textId="77777777" w:rsidR="00CE1BDB" w:rsidRPr="00FA4DC7" w:rsidRDefault="00CE1BDB" w:rsidP="00EF49A7">
            <w:pPr>
              <w:jc w:val="right"/>
              <w:rPr>
                <w:rFonts w:cs="Arial"/>
                <w:color w:val="000000"/>
                <w:sz w:val="22"/>
                <w:szCs w:val="22"/>
              </w:rPr>
            </w:pPr>
            <w:r w:rsidRPr="00FA4DC7">
              <w:rPr>
                <w:rFonts w:cs="Arial"/>
                <w:color w:val="000000"/>
                <w:sz w:val="22"/>
                <w:szCs w:val="22"/>
              </w:rPr>
              <w:t>-2.8%</w:t>
            </w:r>
          </w:p>
        </w:tc>
        <w:tc>
          <w:tcPr>
            <w:tcW w:w="724" w:type="pct"/>
            <w:shd w:val="clear" w:color="auto" w:fill="auto"/>
            <w:noWrap/>
            <w:vAlign w:val="bottom"/>
            <w:hideMark/>
          </w:tcPr>
          <w:p w14:paraId="0D354471" w14:textId="77777777" w:rsidR="00CE1BDB" w:rsidRPr="00FA4DC7" w:rsidRDefault="00CE1BDB" w:rsidP="00EF49A7">
            <w:pPr>
              <w:jc w:val="right"/>
              <w:rPr>
                <w:rFonts w:cs="Arial"/>
                <w:color w:val="000000"/>
                <w:sz w:val="22"/>
                <w:szCs w:val="22"/>
              </w:rPr>
            </w:pPr>
            <w:r w:rsidRPr="00FA4DC7">
              <w:rPr>
                <w:rFonts w:cs="Arial"/>
                <w:color w:val="000000"/>
                <w:sz w:val="22"/>
                <w:szCs w:val="22"/>
              </w:rPr>
              <w:t>-1,760</w:t>
            </w:r>
          </w:p>
        </w:tc>
        <w:tc>
          <w:tcPr>
            <w:tcW w:w="725" w:type="pct"/>
            <w:shd w:val="clear" w:color="auto" w:fill="auto"/>
            <w:noWrap/>
            <w:vAlign w:val="bottom"/>
            <w:hideMark/>
          </w:tcPr>
          <w:p w14:paraId="4F8F655D" w14:textId="77777777" w:rsidR="00CE1BDB" w:rsidRPr="00FA4DC7" w:rsidRDefault="00CE1BDB" w:rsidP="00EF49A7">
            <w:pPr>
              <w:jc w:val="right"/>
              <w:rPr>
                <w:rFonts w:cs="Arial"/>
                <w:color w:val="000000"/>
                <w:sz w:val="22"/>
                <w:szCs w:val="22"/>
              </w:rPr>
            </w:pPr>
            <w:r w:rsidRPr="00FA4DC7">
              <w:rPr>
                <w:rFonts w:cs="Arial"/>
                <w:color w:val="000000"/>
                <w:sz w:val="22"/>
                <w:szCs w:val="22"/>
              </w:rPr>
              <w:t>-2.4%</w:t>
            </w:r>
          </w:p>
        </w:tc>
      </w:tr>
      <w:tr w:rsidR="00CE1BDB" w:rsidRPr="00FA4DC7" w14:paraId="406EC46D" w14:textId="77777777" w:rsidTr="00FC07B8">
        <w:trPr>
          <w:trHeight w:val="320"/>
        </w:trPr>
        <w:tc>
          <w:tcPr>
            <w:tcW w:w="652" w:type="pct"/>
            <w:shd w:val="clear" w:color="auto" w:fill="auto"/>
            <w:vAlign w:val="bottom"/>
            <w:hideMark/>
          </w:tcPr>
          <w:p w14:paraId="1C700E39" w14:textId="77777777" w:rsidR="00CE1BDB" w:rsidRPr="00FA4DC7" w:rsidRDefault="00CE1BDB" w:rsidP="00EF49A7">
            <w:pPr>
              <w:rPr>
                <w:rFonts w:cs="Arial"/>
                <w:color w:val="000000"/>
                <w:sz w:val="22"/>
                <w:szCs w:val="22"/>
              </w:rPr>
            </w:pPr>
            <w:r w:rsidRPr="00FA4DC7">
              <w:rPr>
                <w:rFonts w:cs="Arial"/>
                <w:color w:val="000000"/>
                <w:sz w:val="22"/>
                <w:szCs w:val="22"/>
              </w:rPr>
              <w:t>20-39</w:t>
            </w:r>
          </w:p>
        </w:tc>
        <w:tc>
          <w:tcPr>
            <w:tcW w:w="580" w:type="pct"/>
            <w:shd w:val="clear" w:color="auto" w:fill="auto"/>
            <w:noWrap/>
            <w:vAlign w:val="bottom"/>
            <w:hideMark/>
          </w:tcPr>
          <w:p w14:paraId="11DE6C63" w14:textId="77777777" w:rsidR="00CE1BDB" w:rsidRPr="00FA4DC7" w:rsidRDefault="00CE1BDB" w:rsidP="00EF49A7">
            <w:pPr>
              <w:jc w:val="right"/>
              <w:rPr>
                <w:rFonts w:cs="Arial"/>
                <w:color w:val="000000"/>
                <w:sz w:val="22"/>
                <w:szCs w:val="22"/>
              </w:rPr>
            </w:pPr>
            <w:r w:rsidRPr="00FA4DC7">
              <w:rPr>
                <w:rFonts w:cs="Arial"/>
                <w:color w:val="000000"/>
                <w:sz w:val="22"/>
                <w:szCs w:val="22"/>
              </w:rPr>
              <w:t>74,083</w:t>
            </w:r>
          </w:p>
        </w:tc>
        <w:tc>
          <w:tcPr>
            <w:tcW w:w="517" w:type="pct"/>
            <w:shd w:val="clear" w:color="auto" w:fill="auto"/>
            <w:noWrap/>
            <w:vAlign w:val="bottom"/>
            <w:hideMark/>
          </w:tcPr>
          <w:p w14:paraId="1CF0D6FA" w14:textId="77777777" w:rsidR="00CE1BDB" w:rsidRPr="00FA4DC7" w:rsidRDefault="00CE1BDB" w:rsidP="00EF49A7">
            <w:pPr>
              <w:jc w:val="right"/>
              <w:rPr>
                <w:rFonts w:cs="Arial"/>
                <w:color w:val="000000"/>
                <w:sz w:val="22"/>
                <w:szCs w:val="22"/>
              </w:rPr>
            </w:pPr>
            <w:r w:rsidRPr="00FA4DC7">
              <w:rPr>
                <w:rFonts w:cs="Arial"/>
                <w:color w:val="000000"/>
                <w:sz w:val="22"/>
                <w:szCs w:val="22"/>
              </w:rPr>
              <w:t>71,873</w:t>
            </w:r>
          </w:p>
        </w:tc>
        <w:tc>
          <w:tcPr>
            <w:tcW w:w="517" w:type="pct"/>
            <w:shd w:val="clear" w:color="auto" w:fill="auto"/>
            <w:noWrap/>
            <w:vAlign w:val="bottom"/>
            <w:hideMark/>
          </w:tcPr>
          <w:p w14:paraId="5E73F375" w14:textId="77777777" w:rsidR="00CE1BDB" w:rsidRPr="00FA4DC7" w:rsidRDefault="00CE1BDB" w:rsidP="00EF49A7">
            <w:pPr>
              <w:jc w:val="right"/>
              <w:rPr>
                <w:rFonts w:cs="Arial"/>
                <w:color w:val="000000"/>
                <w:sz w:val="22"/>
                <w:szCs w:val="22"/>
              </w:rPr>
            </w:pPr>
            <w:r w:rsidRPr="00FA4DC7">
              <w:rPr>
                <w:rFonts w:cs="Arial"/>
                <w:color w:val="000000"/>
                <w:sz w:val="22"/>
                <w:szCs w:val="22"/>
              </w:rPr>
              <w:t>72,596</w:t>
            </w:r>
          </w:p>
        </w:tc>
        <w:tc>
          <w:tcPr>
            <w:tcW w:w="633" w:type="pct"/>
            <w:shd w:val="clear" w:color="auto" w:fill="auto"/>
            <w:noWrap/>
            <w:vAlign w:val="bottom"/>
            <w:hideMark/>
          </w:tcPr>
          <w:p w14:paraId="214FCA04" w14:textId="77777777" w:rsidR="00CE1BDB" w:rsidRPr="00FA4DC7" w:rsidRDefault="00CE1BDB" w:rsidP="00EF49A7">
            <w:pPr>
              <w:jc w:val="right"/>
              <w:rPr>
                <w:rFonts w:cs="Arial"/>
                <w:color w:val="000000"/>
                <w:sz w:val="22"/>
                <w:szCs w:val="22"/>
              </w:rPr>
            </w:pPr>
            <w:r w:rsidRPr="00FA4DC7">
              <w:rPr>
                <w:rFonts w:cs="Arial"/>
                <w:color w:val="000000"/>
                <w:sz w:val="22"/>
                <w:szCs w:val="22"/>
              </w:rPr>
              <w:t>-2,210</w:t>
            </w:r>
          </w:p>
        </w:tc>
        <w:tc>
          <w:tcPr>
            <w:tcW w:w="652" w:type="pct"/>
            <w:shd w:val="clear" w:color="auto" w:fill="auto"/>
            <w:noWrap/>
            <w:vAlign w:val="bottom"/>
            <w:hideMark/>
          </w:tcPr>
          <w:p w14:paraId="0D05AE42" w14:textId="77777777" w:rsidR="00CE1BDB" w:rsidRPr="00FA4DC7" w:rsidRDefault="00CE1BDB" w:rsidP="00EF49A7">
            <w:pPr>
              <w:jc w:val="right"/>
              <w:rPr>
                <w:rFonts w:cs="Arial"/>
                <w:color w:val="000000"/>
                <w:sz w:val="22"/>
                <w:szCs w:val="22"/>
              </w:rPr>
            </w:pPr>
            <w:r w:rsidRPr="00FA4DC7">
              <w:rPr>
                <w:rFonts w:cs="Arial"/>
                <w:color w:val="000000"/>
                <w:sz w:val="22"/>
                <w:szCs w:val="22"/>
              </w:rPr>
              <w:t>-3.0%</w:t>
            </w:r>
          </w:p>
        </w:tc>
        <w:tc>
          <w:tcPr>
            <w:tcW w:w="724" w:type="pct"/>
            <w:shd w:val="clear" w:color="auto" w:fill="auto"/>
            <w:noWrap/>
            <w:vAlign w:val="bottom"/>
            <w:hideMark/>
          </w:tcPr>
          <w:p w14:paraId="2DFAD34C" w14:textId="77777777" w:rsidR="00CE1BDB" w:rsidRPr="00FA4DC7" w:rsidRDefault="00CE1BDB" w:rsidP="00EF49A7">
            <w:pPr>
              <w:jc w:val="right"/>
              <w:rPr>
                <w:rFonts w:cs="Arial"/>
                <w:color w:val="000000"/>
                <w:sz w:val="22"/>
                <w:szCs w:val="22"/>
              </w:rPr>
            </w:pPr>
            <w:r w:rsidRPr="00FA4DC7">
              <w:rPr>
                <w:rFonts w:cs="Arial"/>
                <w:color w:val="000000"/>
                <w:sz w:val="22"/>
                <w:szCs w:val="22"/>
              </w:rPr>
              <w:t>-1,487</w:t>
            </w:r>
          </w:p>
        </w:tc>
        <w:tc>
          <w:tcPr>
            <w:tcW w:w="725" w:type="pct"/>
            <w:shd w:val="clear" w:color="auto" w:fill="auto"/>
            <w:noWrap/>
            <w:vAlign w:val="bottom"/>
            <w:hideMark/>
          </w:tcPr>
          <w:p w14:paraId="0A88E2BB" w14:textId="77777777" w:rsidR="00CE1BDB" w:rsidRPr="00FA4DC7" w:rsidRDefault="00CE1BDB" w:rsidP="00EF49A7">
            <w:pPr>
              <w:jc w:val="right"/>
              <w:rPr>
                <w:rFonts w:cs="Arial"/>
                <w:color w:val="000000"/>
                <w:sz w:val="22"/>
                <w:szCs w:val="22"/>
              </w:rPr>
            </w:pPr>
            <w:r w:rsidRPr="00FA4DC7">
              <w:rPr>
                <w:rFonts w:cs="Arial"/>
                <w:color w:val="000000"/>
                <w:sz w:val="22"/>
                <w:szCs w:val="22"/>
              </w:rPr>
              <w:t>-2.0%</w:t>
            </w:r>
          </w:p>
        </w:tc>
      </w:tr>
      <w:tr w:rsidR="00CE1BDB" w:rsidRPr="00FA4DC7" w14:paraId="6E61E804" w14:textId="77777777" w:rsidTr="00FC07B8">
        <w:trPr>
          <w:trHeight w:val="320"/>
        </w:trPr>
        <w:tc>
          <w:tcPr>
            <w:tcW w:w="652" w:type="pct"/>
            <w:shd w:val="clear" w:color="auto" w:fill="auto"/>
            <w:vAlign w:val="bottom"/>
            <w:hideMark/>
          </w:tcPr>
          <w:p w14:paraId="74724EAE" w14:textId="77777777" w:rsidR="00CE1BDB" w:rsidRPr="00FA4DC7" w:rsidRDefault="00CE1BDB" w:rsidP="00EF49A7">
            <w:pPr>
              <w:rPr>
                <w:rFonts w:cs="Arial"/>
                <w:color w:val="000000"/>
                <w:sz w:val="22"/>
                <w:szCs w:val="22"/>
              </w:rPr>
            </w:pPr>
            <w:r w:rsidRPr="00FA4DC7">
              <w:rPr>
                <w:rFonts w:cs="Arial"/>
                <w:color w:val="000000"/>
                <w:sz w:val="22"/>
                <w:szCs w:val="22"/>
              </w:rPr>
              <w:t>40-54</w:t>
            </w:r>
          </w:p>
        </w:tc>
        <w:tc>
          <w:tcPr>
            <w:tcW w:w="580" w:type="pct"/>
            <w:shd w:val="clear" w:color="auto" w:fill="auto"/>
            <w:noWrap/>
            <w:vAlign w:val="bottom"/>
            <w:hideMark/>
          </w:tcPr>
          <w:p w14:paraId="6041552E" w14:textId="77777777" w:rsidR="00CE1BDB" w:rsidRPr="00FA4DC7" w:rsidRDefault="00CE1BDB" w:rsidP="00EF49A7">
            <w:pPr>
              <w:jc w:val="right"/>
              <w:rPr>
                <w:rFonts w:cs="Arial"/>
                <w:color w:val="000000"/>
                <w:sz w:val="22"/>
                <w:szCs w:val="22"/>
              </w:rPr>
            </w:pPr>
            <w:r w:rsidRPr="00FA4DC7">
              <w:rPr>
                <w:rFonts w:cs="Arial"/>
                <w:color w:val="000000"/>
                <w:sz w:val="22"/>
                <w:szCs w:val="22"/>
              </w:rPr>
              <w:t>54,155</w:t>
            </w:r>
          </w:p>
        </w:tc>
        <w:tc>
          <w:tcPr>
            <w:tcW w:w="517" w:type="pct"/>
            <w:shd w:val="clear" w:color="auto" w:fill="auto"/>
            <w:noWrap/>
            <w:vAlign w:val="bottom"/>
            <w:hideMark/>
          </w:tcPr>
          <w:p w14:paraId="456DBC2C" w14:textId="77777777" w:rsidR="00CE1BDB" w:rsidRPr="00FA4DC7" w:rsidRDefault="00CE1BDB" w:rsidP="00EF49A7">
            <w:pPr>
              <w:jc w:val="right"/>
              <w:rPr>
                <w:rFonts w:cs="Arial"/>
                <w:color w:val="000000"/>
                <w:sz w:val="22"/>
                <w:szCs w:val="22"/>
              </w:rPr>
            </w:pPr>
            <w:r w:rsidRPr="00FA4DC7">
              <w:rPr>
                <w:rFonts w:cs="Arial"/>
                <w:color w:val="000000"/>
                <w:sz w:val="22"/>
                <w:szCs w:val="22"/>
              </w:rPr>
              <w:t>57,625</w:t>
            </w:r>
          </w:p>
        </w:tc>
        <w:tc>
          <w:tcPr>
            <w:tcW w:w="517" w:type="pct"/>
            <w:shd w:val="clear" w:color="auto" w:fill="auto"/>
            <w:noWrap/>
            <w:vAlign w:val="bottom"/>
            <w:hideMark/>
          </w:tcPr>
          <w:p w14:paraId="1DD8C47F" w14:textId="77777777" w:rsidR="00CE1BDB" w:rsidRPr="00FA4DC7" w:rsidRDefault="00CE1BDB" w:rsidP="00EF49A7">
            <w:pPr>
              <w:jc w:val="right"/>
              <w:rPr>
                <w:rFonts w:cs="Arial"/>
                <w:color w:val="000000"/>
                <w:sz w:val="22"/>
                <w:szCs w:val="22"/>
              </w:rPr>
            </w:pPr>
            <w:r w:rsidRPr="00FA4DC7">
              <w:rPr>
                <w:rFonts w:cs="Arial"/>
                <w:color w:val="000000"/>
                <w:sz w:val="22"/>
                <w:szCs w:val="22"/>
              </w:rPr>
              <w:t>56,883</w:t>
            </w:r>
          </w:p>
        </w:tc>
        <w:tc>
          <w:tcPr>
            <w:tcW w:w="633" w:type="pct"/>
            <w:shd w:val="clear" w:color="auto" w:fill="auto"/>
            <w:noWrap/>
            <w:vAlign w:val="bottom"/>
            <w:hideMark/>
          </w:tcPr>
          <w:p w14:paraId="1FF6EDD1" w14:textId="77777777" w:rsidR="00CE1BDB" w:rsidRPr="00FA4DC7" w:rsidRDefault="00CE1BDB" w:rsidP="00EF49A7">
            <w:pPr>
              <w:jc w:val="right"/>
              <w:rPr>
                <w:rFonts w:cs="Arial"/>
                <w:color w:val="000000"/>
                <w:sz w:val="22"/>
                <w:szCs w:val="22"/>
              </w:rPr>
            </w:pPr>
            <w:r w:rsidRPr="00FA4DC7">
              <w:rPr>
                <w:rFonts w:cs="Arial"/>
                <w:color w:val="000000"/>
                <w:sz w:val="22"/>
                <w:szCs w:val="22"/>
              </w:rPr>
              <w:t>3,470</w:t>
            </w:r>
          </w:p>
        </w:tc>
        <w:tc>
          <w:tcPr>
            <w:tcW w:w="652" w:type="pct"/>
            <w:shd w:val="clear" w:color="auto" w:fill="auto"/>
            <w:noWrap/>
            <w:vAlign w:val="bottom"/>
            <w:hideMark/>
          </w:tcPr>
          <w:p w14:paraId="5F0E2ECF" w14:textId="77777777" w:rsidR="00CE1BDB" w:rsidRPr="00FA4DC7" w:rsidRDefault="00CE1BDB" w:rsidP="00EF49A7">
            <w:pPr>
              <w:jc w:val="right"/>
              <w:rPr>
                <w:rFonts w:cs="Arial"/>
                <w:color w:val="000000"/>
                <w:sz w:val="22"/>
                <w:szCs w:val="22"/>
              </w:rPr>
            </w:pPr>
            <w:r w:rsidRPr="00FA4DC7">
              <w:rPr>
                <w:rFonts w:cs="Arial"/>
                <w:color w:val="000000"/>
                <w:sz w:val="22"/>
                <w:szCs w:val="22"/>
              </w:rPr>
              <w:t>6.4%</w:t>
            </w:r>
          </w:p>
        </w:tc>
        <w:tc>
          <w:tcPr>
            <w:tcW w:w="724" w:type="pct"/>
            <w:shd w:val="clear" w:color="auto" w:fill="auto"/>
            <w:noWrap/>
            <w:vAlign w:val="bottom"/>
            <w:hideMark/>
          </w:tcPr>
          <w:p w14:paraId="3E26AAC5" w14:textId="77777777" w:rsidR="00CE1BDB" w:rsidRPr="00FA4DC7" w:rsidRDefault="00CE1BDB" w:rsidP="00EF49A7">
            <w:pPr>
              <w:jc w:val="right"/>
              <w:rPr>
                <w:rFonts w:cs="Arial"/>
                <w:color w:val="000000"/>
                <w:sz w:val="22"/>
                <w:szCs w:val="22"/>
              </w:rPr>
            </w:pPr>
            <w:r w:rsidRPr="00FA4DC7">
              <w:rPr>
                <w:rFonts w:cs="Arial"/>
                <w:color w:val="000000"/>
                <w:sz w:val="22"/>
                <w:szCs w:val="22"/>
              </w:rPr>
              <w:t>2,728</w:t>
            </w:r>
          </w:p>
        </w:tc>
        <w:tc>
          <w:tcPr>
            <w:tcW w:w="725" w:type="pct"/>
            <w:shd w:val="clear" w:color="auto" w:fill="auto"/>
            <w:noWrap/>
            <w:vAlign w:val="bottom"/>
            <w:hideMark/>
          </w:tcPr>
          <w:p w14:paraId="6C720CCC" w14:textId="77777777" w:rsidR="00CE1BDB" w:rsidRPr="00FA4DC7" w:rsidRDefault="00CE1BDB" w:rsidP="00EF49A7">
            <w:pPr>
              <w:jc w:val="right"/>
              <w:rPr>
                <w:rFonts w:cs="Arial"/>
                <w:color w:val="000000"/>
                <w:sz w:val="22"/>
                <w:szCs w:val="22"/>
              </w:rPr>
            </w:pPr>
            <w:r w:rsidRPr="00FA4DC7">
              <w:rPr>
                <w:rFonts w:cs="Arial"/>
                <w:color w:val="000000"/>
                <w:sz w:val="22"/>
                <w:szCs w:val="22"/>
              </w:rPr>
              <w:t>5.0%</w:t>
            </w:r>
          </w:p>
        </w:tc>
      </w:tr>
      <w:tr w:rsidR="00CE1BDB" w:rsidRPr="00FA4DC7" w14:paraId="32F93257" w14:textId="77777777" w:rsidTr="00FC07B8">
        <w:trPr>
          <w:trHeight w:val="320"/>
        </w:trPr>
        <w:tc>
          <w:tcPr>
            <w:tcW w:w="652" w:type="pct"/>
            <w:shd w:val="clear" w:color="auto" w:fill="auto"/>
            <w:vAlign w:val="bottom"/>
            <w:hideMark/>
          </w:tcPr>
          <w:p w14:paraId="3D0ECFAC" w14:textId="77777777" w:rsidR="00CE1BDB" w:rsidRPr="00FA4DC7" w:rsidRDefault="00CE1BDB" w:rsidP="00EF49A7">
            <w:pPr>
              <w:rPr>
                <w:rFonts w:cs="Arial"/>
                <w:color w:val="000000"/>
                <w:sz w:val="22"/>
                <w:szCs w:val="22"/>
              </w:rPr>
            </w:pPr>
            <w:r w:rsidRPr="00FA4DC7">
              <w:rPr>
                <w:rFonts w:cs="Arial"/>
                <w:color w:val="000000"/>
                <w:sz w:val="22"/>
                <w:szCs w:val="22"/>
              </w:rPr>
              <w:t>55-64</w:t>
            </w:r>
          </w:p>
        </w:tc>
        <w:tc>
          <w:tcPr>
            <w:tcW w:w="580" w:type="pct"/>
            <w:shd w:val="clear" w:color="auto" w:fill="auto"/>
            <w:noWrap/>
            <w:vAlign w:val="bottom"/>
            <w:hideMark/>
          </w:tcPr>
          <w:p w14:paraId="7C41DAD0" w14:textId="77777777" w:rsidR="00CE1BDB" w:rsidRPr="00FA4DC7" w:rsidRDefault="00CE1BDB" w:rsidP="00EF49A7">
            <w:pPr>
              <w:jc w:val="right"/>
              <w:rPr>
                <w:rFonts w:cs="Arial"/>
                <w:color w:val="000000"/>
                <w:sz w:val="22"/>
                <w:szCs w:val="22"/>
              </w:rPr>
            </w:pPr>
            <w:r w:rsidRPr="00FA4DC7">
              <w:rPr>
                <w:rFonts w:cs="Arial"/>
                <w:color w:val="000000"/>
                <w:sz w:val="22"/>
                <w:szCs w:val="22"/>
              </w:rPr>
              <w:t>34,158</w:t>
            </w:r>
          </w:p>
        </w:tc>
        <w:tc>
          <w:tcPr>
            <w:tcW w:w="517" w:type="pct"/>
            <w:shd w:val="clear" w:color="auto" w:fill="auto"/>
            <w:noWrap/>
            <w:vAlign w:val="bottom"/>
            <w:hideMark/>
          </w:tcPr>
          <w:p w14:paraId="05745BE5" w14:textId="77777777" w:rsidR="00CE1BDB" w:rsidRPr="00FA4DC7" w:rsidRDefault="00CE1BDB" w:rsidP="00EF49A7">
            <w:pPr>
              <w:jc w:val="right"/>
              <w:rPr>
                <w:rFonts w:cs="Arial"/>
                <w:color w:val="000000"/>
                <w:sz w:val="22"/>
                <w:szCs w:val="22"/>
              </w:rPr>
            </w:pPr>
            <w:r w:rsidRPr="00FA4DC7">
              <w:rPr>
                <w:rFonts w:cs="Arial"/>
                <w:color w:val="000000"/>
                <w:sz w:val="22"/>
                <w:szCs w:val="22"/>
              </w:rPr>
              <w:t>31,943</w:t>
            </w:r>
          </w:p>
        </w:tc>
        <w:tc>
          <w:tcPr>
            <w:tcW w:w="517" w:type="pct"/>
            <w:shd w:val="clear" w:color="auto" w:fill="auto"/>
            <w:noWrap/>
            <w:vAlign w:val="bottom"/>
            <w:hideMark/>
          </w:tcPr>
          <w:p w14:paraId="5BF61D42" w14:textId="77777777" w:rsidR="00CE1BDB" w:rsidRPr="00FA4DC7" w:rsidRDefault="00CE1BDB" w:rsidP="00EF49A7">
            <w:pPr>
              <w:jc w:val="right"/>
              <w:rPr>
                <w:rFonts w:cs="Arial"/>
                <w:color w:val="000000"/>
                <w:sz w:val="22"/>
                <w:szCs w:val="22"/>
              </w:rPr>
            </w:pPr>
            <w:r w:rsidRPr="00FA4DC7">
              <w:rPr>
                <w:rFonts w:cs="Arial"/>
                <w:color w:val="000000"/>
                <w:sz w:val="22"/>
                <w:szCs w:val="22"/>
              </w:rPr>
              <w:t>32,911</w:t>
            </w:r>
          </w:p>
        </w:tc>
        <w:tc>
          <w:tcPr>
            <w:tcW w:w="633" w:type="pct"/>
            <w:shd w:val="clear" w:color="auto" w:fill="auto"/>
            <w:noWrap/>
            <w:vAlign w:val="bottom"/>
            <w:hideMark/>
          </w:tcPr>
          <w:p w14:paraId="0BCD483E" w14:textId="77777777" w:rsidR="00CE1BDB" w:rsidRPr="00FA4DC7" w:rsidRDefault="00CE1BDB" w:rsidP="00EF49A7">
            <w:pPr>
              <w:jc w:val="right"/>
              <w:rPr>
                <w:rFonts w:cs="Arial"/>
                <w:color w:val="000000"/>
                <w:sz w:val="22"/>
                <w:szCs w:val="22"/>
              </w:rPr>
            </w:pPr>
            <w:r w:rsidRPr="00FA4DC7">
              <w:rPr>
                <w:rFonts w:cs="Arial"/>
                <w:color w:val="000000"/>
                <w:sz w:val="22"/>
                <w:szCs w:val="22"/>
              </w:rPr>
              <w:t>-2,216</w:t>
            </w:r>
          </w:p>
        </w:tc>
        <w:tc>
          <w:tcPr>
            <w:tcW w:w="652" w:type="pct"/>
            <w:shd w:val="clear" w:color="auto" w:fill="auto"/>
            <w:noWrap/>
            <w:vAlign w:val="bottom"/>
            <w:hideMark/>
          </w:tcPr>
          <w:p w14:paraId="5D592F24" w14:textId="77777777" w:rsidR="00CE1BDB" w:rsidRPr="00FA4DC7" w:rsidRDefault="00CE1BDB" w:rsidP="00EF49A7">
            <w:pPr>
              <w:jc w:val="right"/>
              <w:rPr>
                <w:rFonts w:cs="Arial"/>
                <w:color w:val="000000"/>
                <w:sz w:val="22"/>
                <w:szCs w:val="22"/>
              </w:rPr>
            </w:pPr>
            <w:r w:rsidRPr="00FA4DC7">
              <w:rPr>
                <w:rFonts w:cs="Arial"/>
                <w:color w:val="000000"/>
                <w:sz w:val="22"/>
                <w:szCs w:val="22"/>
              </w:rPr>
              <w:t>-6.5%</w:t>
            </w:r>
          </w:p>
        </w:tc>
        <w:tc>
          <w:tcPr>
            <w:tcW w:w="724" w:type="pct"/>
            <w:shd w:val="clear" w:color="auto" w:fill="auto"/>
            <w:noWrap/>
            <w:vAlign w:val="bottom"/>
            <w:hideMark/>
          </w:tcPr>
          <w:p w14:paraId="41724FE5" w14:textId="77777777" w:rsidR="00CE1BDB" w:rsidRPr="00FA4DC7" w:rsidRDefault="00CE1BDB" w:rsidP="00EF49A7">
            <w:pPr>
              <w:jc w:val="right"/>
              <w:rPr>
                <w:rFonts w:cs="Arial"/>
                <w:color w:val="000000"/>
                <w:sz w:val="22"/>
                <w:szCs w:val="22"/>
              </w:rPr>
            </w:pPr>
            <w:r w:rsidRPr="00FA4DC7">
              <w:rPr>
                <w:rFonts w:cs="Arial"/>
                <w:color w:val="000000"/>
                <w:sz w:val="22"/>
                <w:szCs w:val="22"/>
              </w:rPr>
              <w:t>-1,248</w:t>
            </w:r>
          </w:p>
        </w:tc>
        <w:tc>
          <w:tcPr>
            <w:tcW w:w="725" w:type="pct"/>
            <w:shd w:val="clear" w:color="auto" w:fill="auto"/>
            <w:noWrap/>
            <w:vAlign w:val="bottom"/>
            <w:hideMark/>
          </w:tcPr>
          <w:p w14:paraId="596FD989" w14:textId="77777777" w:rsidR="00CE1BDB" w:rsidRPr="00FA4DC7" w:rsidRDefault="00CE1BDB" w:rsidP="00EF49A7">
            <w:pPr>
              <w:jc w:val="right"/>
              <w:rPr>
                <w:rFonts w:cs="Arial"/>
                <w:color w:val="000000"/>
                <w:sz w:val="22"/>
                <w:szCs w:val="22"/>
              </w:rPr>
            </w:pPr>
            <w:r w:rsidRPr="00FA4DC7">
              <w:rPr>
                <w:rFonts w:cs="Arial"/>
                <w:color w:val="000000"/>
                <w:sz w:val="22"/>
                <w:szCs w:val="22"/>
              </w:rPr>
              <w:t>-3.7%</w:t>
            </w:r>
          </w:p>
        </w:tc>
      </w:tr>
      <w:tr w:rsidR="00CE1BDB" w:rsidRPr="00FA4DC7" w14:paraId="17FE17C1" w14:textId="77777777" w:rsidTr="00FC07B8">
        <w:trPr>
          <w:trHeight w:val="320"/>
        </w:trPr>
        <w:tc>
          <w:tcPr>
            <w:tcW w:w="652" w:type="pct"/>
            <w:shd w:val="clear" w:color="auto" w:fill="auto"/>
            <w:vAlign w:val="bottom"/>
            <w:hideMark/>
          </w:tcPr>
          <w:p w14:paraId="1D0CF7B8" w14:textId="77777777" w:rsidR="00CE1BDB" w:rsidRPr="00FA4DC7" w:rsidRDefault="00CE1BDB" w:rsidP="00EF49A7">
            <w:pPr>
              <w:rPr>
                <w:rFonts w:cs="Arial"/>
                <w:color w:val="000000"/>
                <w:sz w:val="22"/>
                <w:szCs w:val="22"/>
              </w:rPr>
            </w:pPr>
            <w:r w:rsidRPr="00FA4DC7">
              <w:rPr>
                <w:rFonts w:cs="Arial"/>
                <w:color w:val="000000"/>
                <w:sz w:val="22"/>
                <w:szCs w:val="22"/>
              </w:rPr>
              <w:t>65-74</w:t>
            </w:r>
          </w:p>
        </w:tc>
        <w:tc>
          <w:tcPr>
            <w:tcW w:w="580" w:type="pct"/>
            <w:shd w:val="clear" w:color="auto" w:fill="auto"/>
            <w:noWrap/>
            <w:vAlign w:val="bottom"/>
            <w:hideMark/>
          </w:tcPr>
          <w:p w14:paraId="15880598" w14:textId="77777777" w:rsidR="00CE1BDB" w:rsidRPr="00FA4DC7" w:rsidRDefault="00CE1BDB" w:rsidP="00EF49A7">
            <w:pPr>
              <w:jc w:val="right"/>
              <w:rPr>
                <w:rFonts w:cs="Arial"/>
                <w:color w:val="000000"/>
                <w:sz w:val="22"/>
                <w:szCs w:val="22"/>
              </w:rPr>
            </w:pPr>
            <w:r w:rsidRPr="00FA4DC7">
              <w:rPr>
                <w:rFonts w:cs="Arial"/>
                <w:color w:val="000000"/>
                <w:sz w:val="22"/>
                <w:szCs w:val="22"/>
              </w:rPr>
              <w:t>25,291</w:t>
            </w:r>
          </w:p>
        </w:tc>
        <w:tc>
          <w:tcPr>
            <w:tcW w:w="517" w:type="pct"/>
            <w:shd w:val="clear" w:color="auto" w:fill="auto"/>
            <w:noWrap/>
            <w:vAlign w:val="bottom"/>
            <w:hideMark/>
          </w:tcPr>
          <w:p w14:paraId="1E4B5117" w14:textId="77777777" w:rsidR="00CE1BDB" w:rsidRPr="00FA4DC7" w:rsidRDefault="00CE1BDB" w:rsidP="00EF49A7">
            <w:pPr>
              <w:jc w:val="right"/>
              <w:rPr>
                <w:rFonts w:cs="Arial"/>
                <w:color w:val="000000"/>
                <w:sz w:val="22"/>
                <w:szCs w:val="22"/>
              </w:rPr>
            </w:pPr>
            <w:r w:rsidRPr="00FA4DC7">
              <w:rPr>
                <w:rFonts w:cs="Arial"/>
                <w:color w:val="000000"/>
                <w:sz w:val="22"/>
                <w:szCs w:val="22"/>
              </w:rPr>
              <w:t>29,535</w:t>
            </w:r>
          </w:p>
        </w:tc>
        <w:tc>
          <w:tcPr>
            <w:tcW w:w="517" w:type="pct"/>
            <w:shd w:val="clear" w:color="auto" w:fill="auto"/>
            <w:noWrap/>
            <w:vAlign w:val="bottom"/>
            <w:hideMark/>
          </w:tcPr>
          <w:p w14:paraId="4A72B406" w14:textId="77777777" w:rsidR="00CE1BDB" w:rsidRPr="00FA4DC7" w:rsidRDefault="00CE1BDB" w:rsidP="00EF49A7">
            <w:pPr>
              <w:jc w:val="right"/>
              <w:rPr>
                <w:rFonts w:cs="Arial"/>
                <w:color w:val="000000"/>
                <w:sz w:val="22"/>
                <w:szCs w:val="22"/>
              </w:rPr>
            </w:pPr>
            <w:r w:rsidRPr="00FA4DC7">
              <w:rPr>
                <w:rFonts w:cs="Arial"/>
                <w:color w:val="000000"/>
                <w:sz w:val="22"/>
                <w:szCs w:val="22"/>
              </w:rPr>
              <w:t>28,441</w:t>
            </w:r>
          </w:p>
        </w:tc>
        <w:tc>
          <w:tcPr>
            <w:tcW w:w="633" w:type="pct"/>
            <w:shd w:val="clear" w:color="auto" w:fill="auto"/>
            <w:noWrap/>
            <w:vAlign w:val="bottom"/>
            <w:hideMark/>
          </w:tcPr>
          <w:p w14:paraId="2D712DC3" w14:textId="77777777" w:rsidR="00CE1BDB" w:rsidRPr="00FA4DC7" w:rsidRDefault="00CE1BDB" w:rsidP="00EF49A7">
            <w:pPr>
              <w:jc w:val="right"/>
              <w:rPr>
                <w:rFonts w:cs="Arial"/>
                <w:color w:val="000000"/>
                <w:sz w:val="22"/>
                <w:szCs w:val="22"/>
              </w:rPr>
            </w:pPr>
            <w:r w:rsidRPr="00FA4DC7">
              <w:rPr>
                <w:rFonts w:cs="Arial"/>
                <w:color w:val="000000"/>
                <w:sz w:val="22"/>
                <w:szCs w:val="22"/>
              </w:rPr>
              <w:t>4,244</w:t>
            </w:r>
          </w:p>
        </w:tc>
        <w:tc>
          <w:tcPr>
            <w:tcW w:w="652" w:type="pct"/>
            <w:shd w:val="clear" w:color="auto" w:fill="auto"/>
            <w:noWrap/>
            <w:vAlign w:val="bottom"/>
            <w:hideMark/>
          </w:tcPr>
          <w:p w14:paraId="69F554AC" w14:textId="77777777" w:rsidR="00CE1BDB" w:rsidRPr="00FA4DC7" w:rsidRDefault="00CE1BDB" w:rsidP="00EF49A7">
            <w:pPr>
              <w:jc w:val="right"/>
              <w:rPr>
                <w:rFonts w:cs="Arial"/>
                <w:color w:val="000000"/>
                <w:sz w:val="22"/>
                <w:szCs w:val="22"/>
              </w:rPr>
            </w:pPr>
            <w:r w:rsidRPr="00FA4DC7">
              <w:rPr>
                <w:rFonts w:cs="Arial"/>
                <w:color w:val="000000"/>
                <w:sz w:val="22"/>
                <w:szCs w:val="22"/>
              </w:rPr>
              <w:t>16.8%</w:t>
            </w:r>
          </w:p>
        </w:tc>
        <w:tc>
          <w:tcPr>
            <w:tcW w:w="724" w:type="pct"/>
            <w:shd w:val="clear" w:color="auto" w:fill="auto"/>
            <w:noWrap/>
            <w:vAlign w:val="bottom"/>
            <w:hideMark/>
          </w:tcPr>
          <w:p w14:paraId="03BE4B97" w14:textId="77777777" w:rsidR="00CE1BDB" w:rsidRPr="00FA4DC7" w:rsidRDefault="00CE1BDB" w:rsidP="00EF49A7">
            <w:pPr>
              <w:jc w:val="right"/>
              <w:rPr>
                <w:rFonts w:cs="Arial"/>
                <w:color w:val="000000"/>
                <w:sz w:val="22"/>
                <w:szCs w:val="22"/>
              </w:rPr>
            </w:pPr>
            <w:r w:rsidRPr="00FA4DC7">
              <w:rPr>
                <w:rFonts w:cs="Arial"/>
                <w:color w:val="000000"/>
                <w:sz w:val="22"/>
                <w:szCs w:val="22"/>
              </w:rPr>
              <w:t>3,150</w:t>
            </w:r>
          </w:p>
        </w:tc>
        <w:tc>
          <w:tcPr>
            <w:tcW w:w="725" w:type="pct"/>
            <w:shd w:val="clear" w:color="auto" w:fill="auto"/>
            <w:noWrap/>
            <w:vAlign w:val="bottom"/>
            <w:hideMark/>
          </w:tcPr>
          <w:p w14:paraId="3666920F" w14:textId="77777777" w:rsidR="00CE1BDB" w:rsidRPr="00FA4DC7" w:rsidRDefault="00CE1BDB" w:rsidP="00EF49A7">
            <w:pPr>
              <w:jc w:val="right"/>
              <w:rPr>
                <w:rFonts w:cs="Arial"/>
                <w:color w:val="000000"/>
                <w:sz w:val="22"/>
                <w:szCs w:val="22"/>
              </w:rPr>
            </w:pPr>
            <w:r w:rsidRPr="00FA4DC7">
              <w:rPr>
                <w:rFonts w:cs="Arial"/>
                <w:color w:val="000000"/>
                <w:sz w:val="22"/>
                <w:szCs w:val="22"/>
              </w:rPr>
              <w:t>12.5%</w:t>
            </w:r>
          </w:p>
        </w:tc>
      </w:tr>
      <w:tr w:rsidR="00CE1BDB" w:rsidRPr="00FA4DC7" w14:paraId="25D2100F" w14:textId="77777777" w:rsidTr="00FC07B8">
        <w:trPr>
          <w:trHeight w:val="320"/>
        </w:trPr>
        <w:tc>
          <w:tcPr>
            <w:tcW w:w="652" w:type="pct"/>
            <w:shd w:val="clear" w:color="auto" w:fill="auto"/>
            <w:vAlign w:val="bottom"/>
            <w:hideMark/>
          </w:tcPr>
          <w:p w14:paraId="09E1F379" w14:textId="77777777" w:rsidR="00CE1BDB" w:rsidRPr="00FA4DC7" w:rsidRDefault="00CE1BDB" w:rsidP="00EF49A7">
            <w:pPr>
              <w:rPr>
                <w:rFonts w:cs="Arial"/>
                <w:color w:val="000000"/>
                <w:sz w:val="22"/>
                <w:szCs w:val="22"/>
              </w:rPr>
            </w:pPr>
            <w:r w:rsidRPr="00FA4DC7">
              <w:rPr>
                <w:rFonts w:cs="Arial"/>
                <w:color w:val="000000"/>
                <w:sz w:val="22"/>
                <w:szCs w:val="22"/>
              </w:rPr>
              <w:t>75-84</w:t>
            </w:r>
          </w:p>
        </w:tc>
        <w:tc>
          <w:tcPr>
            <w:tcW w:w="580" w:type="pct"/>
            <w:shd w:val="clear" w:color="auto" w:fill="auto"/>
            <w:noWrap/>
            <w:vAlign w:val="bottom"/>
            <w:hideMark/>
          </w:tcPr>
          <w:p w14:paraId="3C4630D0" w14:textId="77777777" w:rsidR="00CE1BDB" w:rsidRPr="00FA4DC7" w:rsidRDefault="00CE1BDB" w:rsidP="00EF49A7">
            <w:pPr>
              <w:jc w:val="right"/>
              <w:rPr>
                <w:rFonts w:cs="Arial"/>
                <w:color w:val="000000"/>
                <w:sz w:val="22"/>
                <w:szCs w:val="22"/>
              </w:rPr>
            </w:pPr>
            <w:r w:rsidRPr="00FA4DC7">
              <w:rPr>
                <w:rFonts w:cs="Arial"/>
                <w:color w:val="000000"/>
                <w:sz w:val="22"/>
                <w:szCs w:val="22"/>
              </w:rPr>
              <w:t>15,092</w:t>
            </w:r>
          </w:p>
        </w:tc>
        <w:tc>
          <w:tcPr>
            <w:tcW w:w="517" w:type="pct"/>
            <w:shd w:val="clear" w:color="auto" w:fill="auto"/>
            <w:noWrap/>
            <w:vAlign w:val="bottom"/>
            <w:hideMark/>
          </w:tcPr>
          <w:p w14:paraId="6BCB7CD1" w14:textId="77777777" w:rsidR="00CE1BDB" w:rsidRPr="00FA4DC7" w:rsidRDefault="00CE1BDB" w:rsidP="00EF49A7">
            <w:pPr>
              <w:jc w:val="right"/>
              <w:rPr>
                <w:rFonts w:cs="Arial"/>
                <w:color w:val="000000"/>
                <w:sz w:val="22"/>
                <w:szCs w:val="22"/>
              </w:rPr>
            </w:pPr>
            <w:r w:rsidRPr="00FA4DC7">
              <w:rPr>
                <w:rFonts w:cs="Arial"/>
                <w:color w:val="000000"/>
                <w:sz w:val="22"/>
                <w:szCs w:val="22"/>
              </w:rPr>
              <w:t>19,388</w:t>
            </w:r>
          </w:p>
        </w:tc>
        <w:tc>
          <w:tcPr>
            <w:tcW w:w="517" w:type="pct"/>
            <w:shd w:val="clear" w:color="auto" w:fill="auto"/>
            <w:noWrap/>
            <w:vAlign w:val="bottom"/>
            <w:hideMark/>
          </w:tcPr>
          <w:p w14:paraId="78805549" w14:textId="77777777" w:rsidR="00CE1BDB" w:rsidRPr="00FA4DC7" w:rsidRDefault="00CE1BDB" w:rsidP="00EF49A7">
            <w:pPr>
              <w:jc w:val="right"/>
              <w:rPr>
                <w:rFonts w:cs="Arial"/>
                <w:color w:val="000000"/>
                <w:sz w:val="22"/>
                <w:szCs w:val="22"/>
              </w:rPr>
            </w:pPr>
            <w:r w:rsidRPr="00FA4DC7">
              <w:rPr>
                <w:rFonts w:cs="Arial"/>
                <w:color w:val="000000"/>
                <w:sz w:val="22"/>
                <w:szCs w:val="22"/>
              </w:rPr>
              <w:t>21,024</w:t>
            </w:r>
          </w:p>
        </w:tc>
        <w:tc>
          <w:tcPr>
            <w:tcW w:w="633" w:type="pct"/>
            <w:shd w:val="clear" w:color="auto" w:fill="auto"/>
            <w:noWrap/>
            <w:vAlign w:val="bottom"/>
            <w:hideMark/>
          </w:tcPr>
          <w:p w14:paraId="6E54B8FE" w14:textId="77777777" w:rsidR="00CE1BDB" w:rsidRPr="00FA4DC7" w:rsidRDefault="00CE1BDB" w:rsidP="00EF49A7">
            <w:pPr>
              <w:jc w:val="right"/>
              <w:rPr>
                <w:rFonts w:cs="Arial"/>
                <w:color w:val="000000"/>
                <w:sz w:val="22"/>
                <w:szCs w:val="22"/>
              </w:rPr>
            </w:pPr>
            <w:r w:rsidRPr="00FA4DC7">
              <w:rPr>
                <w:rFonts w:cs="Arial"/>
                <w:color w:val="000000"/>
                <w:sz w:val="22"/>
                <w:szCs w:val="22"/>
              </w:rPr>
              <w:t>4,296</w:t>
            </w:r>
          </w:p>
        </w:tc>
        <w:tc>
          <w:tcPr>
            <w:tcW w:w="652" w:type="pct"/>
            <w:shd w:val="clear" w:color="auto" w:fill="auto"/>
            <w:noWrap/>
            <w:vAlign w:val="bottom"/>
            <w:hideMark/>
          </w:tcPr>
          <w:p w14:paraId="4349E2A2" w14:textId="77777777" w:rsidR="00CE1BDB" w:rsidRPr="00FA4DC7" w:rsidRDefault="00CE1BDB" w:rsidP="00EF49A7">
            <w:pPr>
              <w:jc w:val="right"/>
              <w:rPr>
                <w:rFonts w:cs="Arial"/>
                <w:color w:val="000000"/>
                <w:sz w:val="22"/>
                <w:szCs w:val="22"/>
              </w:rPr>
            </w:pPr>
            <w:r w:rsidRPr="00FA4DC7">
              <w:rPr>
                <w:rFonts w:cs="Arial"/>
                <w:color w:val="000000"/>
                <w:sz w:val="22"/>
                <w:szCs w:val="22"/>
              </w:rPr>
              <w:t>28.5%</w:t>
            </w:r>
          </w:p>
        </w:tc>
        <w:tc>
          <w:tcPr>
            <w:tcW w:w="724" w:type="pct"/>
            <w:shd w:val="clear" w:color="auto" w:fill="auto"/>
            <w:noWrap/>
            <w:vAlign w:val="bottom"/>
            <w:hideMark/>
          </w:tcPr>
          <w:p w14:paraId="04882C29" w14:textId="77777777" w:rsidR="00CE1BDB" w:rsidRPr="00FA4DC7" w:rsidRDefault="00CE1BDB" w:rsidP="00EF49A7">
            <w:pPr>
              <w:jc w:val="right"/>
              <w:rPr>
                <w:rFonts w:cs="Arial"/>
                <w:color w:val="000000"/>
                <w:sz w:val="22"/>
                <w:szCs w:val="22"/>
              </w:rPr>
            </w:pPr>
            <w:r w:rsidRPr="00FA4DC7">
              <w:rPr>
                <w:rFonts w:cs="Arial"/>
                <w:color w:val="000000"/>
                <w:sz w:val="22"/>
                <w:szCs w:val="22"/>
              </w:rPr>
              <w:t>5,931</w:t>
            </w:r>
          </w:p>
        </w:tc>
        <w:tc>
          <w:tcPr>
            <w:tcW w:w="725" w:type="pct"/>
            <w:shd w:val="clear" w:color="auto" w:fill="auto"/>
            <w:noWrap/>
            <w:vAlign w:val="bottom"/>
            <w:hideMark/>
          </w:tcPr>
          <w:p w14:paraId="7712C30F" w14:textId="77777777" w:rsidR="00CE1BDB" w:rsidRPr="00FA4DC7" w:rsidRDefault="00CE1BDB" w:rsidP="00EF49A7">
            <w:pPr>
              <w:jc w:val="right"/>
              <w:rPr>
                <w:rFonts w:cs="Arial"/>
                <w:color w:val="000000"/>
                <w:sz w:val="22"/>
                <w:szCs w:val="22"/>
              </w:rPr>
            </w:pPr>
            <w:r w:rsidRPr="00FA4DC7">
              <w:rPr>
                <w:rFonts w:cs="Arial"/>
                <w:color w:val="000000"/>
                <w:sz w:val="22"/>
                <w:szCs w:val="22"/>
              </w:rPr>
              <w:t>39.3%</w:t>
            </w:r>
          </w:p>
        </w:tc>
      </w:tr>
      <w:tr w:rsidR="00CE1BDB" w:rsidRPr="00FA4DC7" w14:paraId="07A5AF3F" w14:textId="77777777" w:rsidTr="00FC07B8">
        <w:trPr>
          <w:trHeight w:val="320"/>
        </w:trPr>
        <w:tc>
          <w:tcPr>
            <w:tcW w:w="652" w:type="pct"/>
            <w:shd w:val="clear" w:color="auto" w:fill="auto"/>
            <w:vAlign w:val="bottom"/>
            <w:hideMark/>
          </w:tcPr>
          <w:p w14:paraId="06BEE1CD" w14:textId="77777777" w:rsidR="00CE1BDB" w:rsidRPr="00FA4DC7" w:rsidRDefault="00CE1BDB" w:rsidP="00EF49A7">
            <w:pPr>
              <w:rPr>
                <w:rFonts w:cs="Arial"/>
                <w:color w:val="000000"/>
                <w:sz w:val="22"/>
                <w:szCs w:val="22"/>
              </w:rPr>
            </w:pPr>
            <w:r w:rsidRPr="00FA4DC7">
              <w:rPr>
                <w:rFonts w:cs="Arial"/>
                <w:color w:val="000000"/>
                <w:sz w:val="22"/>
                <w:szCs w:val="22"/>
              </w:rPr>
              <w:t>85+</w:t>
            </w:r>
          </w:p>
        </w:tc>
        <w:tc>
          <w:tcPr>
            <w:tcW w:w="580" w:type="pct"/>
            <w:shd w:val="clear" w:color="auto" w:fill="auto"/>
            <w:noWrap/>
            <w:vAlign w:val="bottom"/>
            <w:hideMark/>
          </w:tcPr>
          <w:p w14:paraId="63E91A7C" w14:textId="77777777" w:rsidR="00CE1BDB" w:rsidRPr="00FA4DC7" w:rsidRDefault="00CE1BDB" w:rsidP="00EF49A7">
            <w:pPr>
              <w:jc w:val="right"/>
              <w:rPr>
                <w:rFonts w:cs="Arial"/>
                <w:color w:val="000000"/>
                <w:sz w:val="22"/>
                <w:szCs w:val="22"/>
              </w:rPr>
            </w:pPr>
            <w:r w:rsidRPr="00FA4DC7">
              <w:rPr>
                <w:rFonts w:cs="Arial"/>
                <w:color w:val="000000"/>
                <w:sz w:val="22"/>
                <w:szCs w:val="22"/>
              </w:rPr>
              <w:t>5,336</w:t>
            </w:r>
          </w:p>
        </w:tc>
        <w:tc>
          <w:tcPr>
            <w:tcW w:w="517" w:type="pct"/>
            <w:shd w:val="clear" w:color="auto" w:fill="auto"/>
            <w:noWrap/>
            <w:vAlign w:val="bottom"/>
            <w:hideMark/>
          </w:tcPr>
          <w:p w14:paraId="00A9FCEA" w14:textId="77777777" w:rsidR="00CE1BDB" w:rsidRPr="00FA4DC7" w:rsidRDefault="00CE1BDB" w:rsidP="00EF49A7">
            <w:pPr>
              <w:jc w:val="right"/>
              <w:rPr>
                <w:rFonts w:cs="Arial"/>
                <w:color w:val="000000"/>
                <w:sz w:val="22"/>
                <w:szCs w:val="22"/>
              </w:rPr>
            </w:pPr>
            <w:r w:rsidRPr="00FA4DC7">
              <w:rPr>
                <w:rFonts w:cs="Arial"/>
                <w:color w:val="000000"/>
                <w:sz w:val="22"/>
                <w:szCs w:val="22"/>
              </w:rPr>
              <w:t>8,509</w:t>
            </w:r>
          </w:p>
        </w:tc>
        <w:tc>
          <w:tcPr>
            <w:tcW w:w="517" w:type="pct"/>
            <w:shd w:val="clear" w:color="auto" w:fill="auto"/>
            <w:noWrap/>
            <w:vAlign w:val="bottom"/>
            <w:hideMark/>
          </w:tcPr>
          <w:p w14:paraId="145845C6" w14:textId="77777777" w:rsidR="00CE1BDB" w:rsidRPr="00FA4DC7" w:rsidRDefault="00CE1BDB" w:rsidP="00EF49A7">
            <w:pPr>
              <w:jc w:val="right"/>
              <w:rPr>
                <w:rFonts w:cs="Arial"/>
                <w:color w:val="000000"/>
                <w:sz w:val="22"/>
                <w:szCs w:val="22"/>
              </w:rPr>
            </w:pPr>
            <w:r w:rsidRPr="00FA4DC7">
              <w:rPr>
                <w:rFonts w:cs="Arial"/>
                <w:color w:val="000000"/>
                <w:sz w:val="22"/>
                <w:szCs w:val="22"/>
              </w:rPr>
              <w:t>8,714</w:t>
            </w:r>
          </w:p>
        </w:tc>
        <w:tc>
          <w:tcPr>
            <w:tcW w:w="633" w:type="pct"/>
            <w:shd w:val="clear" w:color="auto" w:fill="auto"/>
            <w:noWrap/>
            <w:vAlign w:val="bottom"/>
            <w:hideMark/>
          </w:tcPr>
          <w:p w14:paraId="19796937" w14:textId="77777777" w:rsidR="00CE1BDB" w:rsidRPr="00FA4DC7" w:rsidRDefault="00CE1BDB" w:rsidP="00EF49A7">
            <w:pPr>
              <w:jc w:val="right"/>
              <w:rPr>
                <w:rFonts w:cs="Arial"/>
                <w:color w:val="000000"/>
                <w:sz w:val="22"/>
                <w:szCs w:val="22"/>
              </w:rPr>
            </w:pPr>
            <w:r w:rsidRPr="00FA4DC7">
              <w:rPr>
                <w:rFonts w:cs="Arial"/>
                <w:color w:val="000000"/>
                <w:sz w:val="22"/>
                <w:szCs w:val="22"/>
              </w:rPr>
              <w:t>3,173</w:t>
            </w:r>
          </w:p>
        </w:tc>
        <w:tc>
          <w:tcPr>
            <w:tcW w:w="652" w:type="pct"/>
            <w:shd w:val="clear" w:color="auto" w:fill="auto"/>
            <w:noWrap/>
            <w:vAlign w:val="bottom"/>
            <w:hideMark/>
          </w:tcPr>
          <w:p w14:paraId="61C62F5E" w14:textId="77777777" w:rsidR="00CE1BDB" w:rsidRPr="00FA4DC7" w:rsidRDefault="00CE1BDB" w:rsidP="00EF49A7">
            <w:pPr>
              <w:jc w:val="right"/>
              <w:rPr>
                <w:rFonts w:cs="Arial"/>
                <w:color w:val="000000"/>
                <w:sz w:val="22"/>
                <w:szCs w:val="22"/>
              </w:rPr>
            </w:pPr>
            <w:r w:rsidRPr="00FA4DC7">
              <w:rPr>
                <w:rFonts w:cs="Arial"/>
                <w:color w:val="000000"/>
                <w:sz w:val="22"/>
                <w:szCs w:val="22"/>
              </w:rPr>
              <w:t>59.5%</w:t>
            </w:r>
          </w:p>
        </w:tc>
        <w:tc>
          <w:tcPr>
            <w:tcW w:w="724" w:type="pct"/>
            <w:shd w:val="clear" w:color="auto" w:fill="auto"/>
            <w:noWrap/>
            <w:vAlign w:val="bottom"/>
            <w:hideMark/>
          </w:tcPr>
          <w:p w14:paraId="0B141D2E" w14:textId="77777777" w:rsidR="00CE1BDB" w:rsidRPr="00FA4DC7" w:rsidRDefault="00CE1BDB" w:rsidP="00EF49A7">
            <w:pPr>
              <w:jc w:val="right"/>
              <w:rPr>
                <w:rFonts w:cs="Arial"/>
                <w:color w:val="000000"/>
                <w:sz w:val="22"/>
                <w:szCs w:val="22"/>
              </w:rPr>
            </w:pPr>
            <w:r w:rsidRPr="00FA4DC7">
              <w:rPr>
                <w:rFonts w:cs="Arial"/>
                <w:color w:val="000000"/>
                <w:sz w:val="22"/>
                <w:szCs w:val="22"/>
              </w:rPr>
              <w:t>3,378</w:t>
            </w:r>
          </w:p>
        </w:tc>
        <w:tc>
          <w:tcPr>
            <w:tcW w:w="725" w:type="pct"/>
            <w:shd w:val="clear" w:color="auto" w:fill="auto"/>
            <w:noWrap/>
            <w:vAlign w:val="bottom"/>
            <w:hideMark/>
          </w:tcPr>
          <w:p w14:paraId="1DB0186C" w14:textId="77777777" w:rsidR="00CE1BDB" w:rsidRPr="00FA4DC7" w:rsidRDefault="00CE1BDB" w:rsidP="00EF49A7">
            <w:pPr>
              <w:jc w:val="right"/>
              <w:rPr>
                <w:rFonts w:cs="Arial"/>
                <w:color w:val="000000"/>
                <w:sz w:val="22"/>
                <w:szCs w:val="22"/>
              </w:rPr>
            </w:pPr>
            <w:r w:rsidRPr="00FA4DC7">
              <w:rPr>
                <w:rFonts w:cs="Arial"/>
                <w:color w:val="000000"/>
                <w:sz w:val="22"/>
                <w:szCs w:val="22"/>
              </w:rPr>
              <w:t>63.3%</w:t>
            </w:r>
          </w:p>
        </w:tc>
      </w:tr>
      <w:tr w:rsidR="00CE1BDB" w:rsidRPr="00FA4DC7" w14:paraId="5BC038B2" w14:textId="77777777" w:rsidTr="00FC07B8">
        <w:trPr>
          <w:trHeight w:val="320"/>
        </w:trPr>
        <w:tc>
          <w:tcPr>
            <w:tcW w:w="652" w:type="pct"/>
            <w:shd w:val="clear" w:color="auto" w:fill="auto"/>
            <w:vAlign w:val="bottom"/>
            <w:hideMark/>
          </w:tcPr>
          <w:p w14:paraId="7A40A65A" w14:textId="77777777" w:rsidR="00CE1BDB" w:rsidRPr="00FA4DC7" w:rsidRDefault="00CE1BDB" w:rsidP="00EF49A7">
            <w:pPr>
              <w:rPr>
                <w:rFonts w:cs="Arial"/>
                <w:color w:val="000000"/>
                <w:sz w:val="22"/>
                <w:szCs w:val="22"/>
              </w:rPr>
            </w:pPr>
            <w:r w:rsidRPr="00FA4DC7">
              <w:rPr>
                <w:rFonts w:cs="Arial"/>
                <w:color w:val="000000"/>
                <w:sz w:val="22"/>
                <w:szCs w:val="22"/>
              </w:rPr>
              <w:t>All Ages</w:t>
            </w:r>
          </w:p>
        </w:tc>
        <w:tc>
          <w:tcPr>
            <w:tcW w:w="580" w:type="pct"/>
            <w:shd w:val="clear" w:color="auto" w:fill="auto"/>
            <w:noWrap/>
            <w:vAlign w:val="bottom"/>
            <w:hideMark/>
          </w:tcPr>
          <w:p w14:paraId="1D3AB9D1" w14:textId="77777777" w:rsidR="00CE1BDB" w:rsidRPr="00FA4DC7" w:rsidRDefault="00CE1BDB" w:rsidP="00EF49A7">
            <w:pPr>
              <w:jc w:val="right"/>
              <w:rPr>
                <w:rFonts w:cs="Arial"/>
                <w:color w:val="000000"/>
                <w:sz w:val="22"/>
                <w:szCs w:val="22"/>
              </w:rPr>
            </w:pPr>
            <w:r w:rsidRPr="00FA4DC7">
              <w:rPr>
                <w:rFonts w:cs="Arial"/>
                <w:color w:val="000000"/>
                <w:sz w:val="22"/>
                <w:szCs w:val="22"/>
              </w:rPr>
              <w:t>280,040</w:t>
            </w:r>
          </w:p>
        </w:tc>
        <w:tc>
          <w:tcPr>
            <w:tcW w:w="517" w:type="pct"/>
            <w:shd w:val="clear" w:color="auto" w:fill="auto"/>
            <w:noWrap/>
            <w:vAlign w:val="bottom"/>
            <w:hideMark/>
          </w:tcPr>
          <w:p w14:paraId="70F748C9" w14:textId="77777777" w:rsidR="00CE1BDB" w:rsidRPr="00FA4DC7" w:rsidRDefault="00CE1BDB" w:rsidP="00EF49A7">
            <w:pPr>
              <w:jc w:val="right"/>
              <w:rPr>
                <w:rFonts w:cs="Arial"/>
                <w:color w:val="000000"/>
                <w:sz w:val="22"/>
                <w:szCs w:val="22"/>
              </w:rPr>
            </w:pPr>
            <w:r w:rsidRPr="00FA4DC7">
              <w:rPr>
                <w:rFonts w:cs="Arial"/>
                <w:color w:val="000000"/>
                <w:sz w:val="22"/>
                <w:szCs w:val="22"/>
              </w:rPr>
              <w:t>288,772</w:t>
            </w:r>
          </w:p>
        </w:tc>
        <w:tc>
          <w:tcPr>
            <w:tcW w:w="517" w:type="pct"/>
            <w:shd w:val="clear" w:color="auto" w:fill="auto"/>
            <w:noWrap/>
            <w:vAlign w:val="bottom"/>
            <w:hideMark/>
          </w:tcPr>
          <w:p w14:paraId="59B03A42" w14:textId="77777777" w:rsidR="00CE1BDB" w:rsidRPr="00FA4DC7" w:rsidRDefault="00CE1BDB" w:rsidP="00EF49A7">
            <w:pPr>
              <w:jc w:val="right"/>
              <w:rPr>
                <w:rFonts w:cs="Arial"/>
                <w:color w:val="000000"/>
                <w:sz w:val="22"/>
                <w:szCs w:val="22"/>
              </w:rPr>
            </w:pPr>
            <w:r w:rsidRPr="00FA4DC7">
              <w:rPr>
                <w:rFonts w:cs="Arial"/>
                <w:color w:val="000000"/>
                <w:sz w:val="22"/>
                <w:szCs w:val="22"/>
              </w:rPr>
              <w:t>290,734</w:t>
            </w:r>
          </w:p>
        </w:tc>
        <w:tc>
          <w:tcPr>
            <w:tcW w:w="633" w:type="pct"/>
            <w:shd w:val="clear" w:color="auto" w:fill="auto"/>
            <w:noWrap/>
            <w:vAlign w:val="bottom"/>
            <w:hideMark/>
          </w:tcPr>
          <w:p w14:paraId="58B7DDE7" w14:textId="77777777" w:rsidR="00CE1BDB" w:rsidRPr="00FA4DC7" w:rsidRDefault="00CE1BDB" w:rsidP="00EF49A7">
            <w:pPr>
              <w:jc w:val="right"/>
              <w:rPr>
                <w:rFonts w:cs="Arial"/>
                <w:color w:val="000000"/>
                <w:sz w:val="22"/>
                <w:szCs w:val="22"/>
              </w:rPr>
            </w:pPr>
            <w:r w:rsidRPr="00FA4DC7">
              <w:rPr>
                <w:rFonts w:cs="Arial"/>
                <w:color w:val="000000"/>
                <w:sz w:val="22"/>
                <w:szCs w:val="22"/>
              </w:rPr>
              <w:t>8,732</w:t>
            </w:r>
          </w:p>
        </w:tc>
        <w:tc>
          <w:tcPr>
            <w:tcW w:w="652" w:type="pct"/>
            <w:shd w:val="clear" w:color="auto" w:fill="auto"/>
            <w:noWrap/>
            <w:vAlign w:val="bottom"/>
            <w:hideMark/>
          </w:tcPr>
          <w:p w14:paraId="20C8BE49" w14:textId="77777777" w:rsidR="00CE1BDB" w:rsidRPr="00FA4DC7" w:rsidRDefault="00CE1BDB" w:rsidP="00EF49A7">
            <w:pPr>
              <w:jc w:val="right"/>
              <w:rPr>
                <w:rFonts w:cs="Arial"/>
                <w:color w:val="000000"/>
                <w:sz w:val="22"/>
                <w:szCs w:val="22"/>
              </w:rPr>
            </w:pPr>
            <w:r w:rsidRPr="00FA4DC7">
              <w:rPr>
                <w:rFonts w:cs="Arial"/>
                <w:color w:val="000000"/>
                <w:sz w:val="22"/>
                <w:szCs w:val="22"/>
              </w:rPr>
              <w:t>3.1%</w:t>
            </w:r>
          </w:p>
        </w:tc>
        <w:tc>
          <w:tcPr>
            <w:tcW w:w="724" w:type="pct"/>
            <w:shd w:val="clear" w:color="auto" w:fill="auto"/>
            <w:noWrap/>
            <w:vAlign w:val="bottom"/>
            <w:hideMark/>
          </w:tcPr>
          <w:p w14:paraId="5038C86A" w14:textId="77777777" w:rsidR="00CE1BDB" w:rsidRPr="00FA4DC7" w:rsidRDefault="00CE1BDB" w:rsidP="00EF49A7">
            <w:pPr>
              <w:jc w:val="right"/>
              <w:rPr>
                <w:rFonts w:cs="Arial"/>
                <w:color w:val="000000"/>
                <w:sz w:val="22"/>
                <w:szCs w:val="22"/>
              </w:rPr>
            </w:pPr>
            <w:r w:rsidRPr="00FA4DC7">
              <w:rPr>
                <w:rFonts w:cs="Arial"/>
                <w:color w:val="000000"/>
                <w:sz w:val="22"/>
                <w:szCs w:val="22"/>
              </w:rPr>
              <w:t>10,694</w:t>
            </w:r>
          </w:p>
        </w:tc>
        <w:tc>
          <w:tcPr>
            <w:tcW w:w="725" w:type="pct"/>
            <w:shd w:val="clear" w:color="auto" w:fill="auto"/>
            <w:noWrap/>
            <w:vAlign w:val="bottom"/>
            <w:hideMark/>
          </w:tcPr>
          <w:p w14:paraId="2D6D78CE" w14:textId="77777777" w:rsidR="00CE1BDB" w:rsidRPr="00FA4DC7" w:rsidRDefault="00CE1BDB" w:rsidP="00EF49A7">
            <w:pPr>
              <w:jc w:val="right"/>
              <w:rPr>
                <w:rFonts w:cs="Arial"/>
                <w:color w:val="000000"/>
                <w:sz w:val="22"/>
                <w:szCs w:val="22"/>
              </w:rPr>
            </w:pPr>
            <w:r w:rsidRPr="00FA4DC7">
              <w:rPr>
                <w:rFonts w:cs="Arial"/>
                <w:color w:val="000000"/>
                <w:sz w:val="22"/>
                <w:szCs w:val="22"/>
              </w:rPr>
              <w:t>3.8%</w:t>
            </w:r>
          </w:p>
        </w:tc>
      </w:tr>
    </w:tbl>
    <w:p w14:paraId="784BF7E7" w14:textId="77777777" w:rsidR="00CE1BDB" w:rsidRPr="00FA4DC7" w:rsidRDefault="00CE1BDB" w:rsidP="00FC07B8">
      <w:pPr>
        <w:pStyle w:val="Reporttext"/>
        <w:numPr>
          <w:ilvl w:val="0"/>
          <w:numId w:val="0"/>
        </w:numPr>
        <w:rPr>
          <w:rFonts w:cs="Arial"/>
          <w:sz w:val="22"/>
          <w:szCs w:val="22"/>
        </w:rPr>
      </w:pPr>
      <w:r w:rsidRPr="00FA4DC7">
        <w:rPr>
          <w:rFonts w:cs="Arial"/>
          <w:sz w:val="22"/>
          <w:szCs w:val="22"/>
        </w:rPr>
        <w:t>Source: 2018-based ONS population projections</w:t>
      </w:r>
    </w:p>
    <w:p w14:paraId="157240B2" w14:textId="77777777" w:rsidR="00CE1BDB" w:rsidRPr="00FA4DC7" w:rsidRDefault="00CE1BDB" w:rsidP="00CE1BDB">
      <w:pPr>
        <w:pStyle w:val="Reporttext"/>
        <w:numPr>
          <w:ilvl w:val="0"/>
          <w:numId w:val="0"/>
        </w:numPr>
        <w:ind w:left="709" w:hanging="709"/>
        <w:rPr>
          <w:rFonts w:cs="Arial"/>
          <w:sz w:val="20"/>
          <w:szCs w:val="20"/>
          <w:highlight w:val="yellow"/>
        </w:rPr>
      </w:pPr>
    </w:p>
    <w:p w14:paraId="5B28B62B" w14:textId="35BA2481" w:rsidR="00CE1BDB" w:rsidRPr="00FA4DC7" w:rsidRDefault="00CE1BDB" w:rsidP="00CE1BDB">
      <w:pPr>
        <w:pStyle w:val="Reporttext"/>
        <w:rPr>
          <w:rFonts w:cs="Arial"/>
        </w:rPr>
      </w:pPr>
      <w:r w:rsidRPr="00FA4DC7">
        <w:rPr>
          <w:rFonts w:cs="Arial"/>
        </w:rPr>
        <w:t xml:space="preserve">The overall change in population 2021 to 2037/2040 based on variant 2018-based population projections are shown in Figure 2.7 and summarised in Table 2.13. The principal projection indicates an overall population change of around 8,732 or 3.1% to 2036 and 10,694 or 3.8% to 2040.  Variant projections indicates population changes ranging between 0.7% and 8.6% to 2021-2037 </w:t>
      </w:r>
      <w:proofErr w:type="gramStart"/>
      <w:r w:rsidRPr="00FA4DC7">
        <w:rPr>
          <w:rFonts w:cs="Arial"/>
        </w:rPr>
        <w:t>and  0.7</w:t>
      </w:r>
      <w:proofErr w:type="gramEnd"/>
      <w:r w:rsidRPr="00FA4DC7">
        <w:rPr>
          <w:rFonts w:cs="Arial"/>
        </w:rPr>
        <w:t xml:space="preserve">% to 10.1% 2021-2040). </w:t>
      </w:r>
      <w:r w:rsidR="00F2167F">
        <w:rPr>
          <w:rFonts w:cs="Arial"/>
        </w:rPr>
        <w:t xml:space="preserve">Table 2.13 also presents data from the 2014-based ONS population projections which suggest a higher population base figure in 2021 and a higher proportionate increase in population to 2037. These projections underpin the 2014-based household projections used in the standard method to calculate overall housing need. </w:t>
      </w:r>
    </w:p>
    <w:p w14:paraId="43E170BA" w14:textId="77777777" w:rsidR="00CE1BDB" w:rsidRPr="00FA4DC7" w:rsidRDefault="00CE1BDB" w:rsidP="00CE1BDB">
      <w:pPr>
        <w:pStyle w:val="Reporttext"/>
        <w:numPr>
          <w:ilvl w:val="0"/>
          <w:numId w:val="0"/>
        </w:numPr>
        <w:ind w:left="709"/>
        <w:rPr>
          <w:rFonts w:cs="Arial"/>
          <w:highlight w:val="yellow"/>
        </w:rPr>
      </w:pPr>
    </w:p>
    <w:p w14:paraId="3AAE78FF" w14:textId="63488697" w:rsidR="00FC07B8" w:rsidRDefault="00FC07B8">
      <w:pPr>
        <w:rPr>
          <w:rFonts w:cs="Arial"/>
          <w:highlight w:val="yellow"/>
          <w:lang w:eastAsia="en-US"/>
        </w:rPr>
      </w:pPr>
      <w:r>
        <w:rPr>
          <w:rFonts w:cs="Arial"/>
          <w:highlight w:val="yell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968"/>
        <w:gridCol w:w="968"/>
        <w:gridCol w:w="968"/>
        <w:gridCol w:w="1150"/>
        <w:gridCol w:w="1165"/>
        <w:gridCol w:w="1037"/>
        <w:gridCol w:w="1005"/>
      </w:tblGrid>
      <w:tr w:rsidR="00CE1BDB" w:rsidRPr="00FA4DC7" w14:paraId="26A75D69" w14:textId="77777777" w:rsidTr="00FC07B8">
        <w:trPr>
          <w:trHeight w:val="300"/>
        </w:trPr>
        <w:tc>
          <w:tcPr>
            <w:tcW w:w="5000" w:type="pct"/>
            <w:gridSpan w:val="8"/>
            <w:shd w:val="clear" w:color="auto" w:fill="006666"/>
            <w:vAlign w:val="center"/>
            <w:hideMark/>
          </w:tcPr>
          <w:p w14:paraId="7F02BA05" w14:textId="77777777" w:rsidR="00CE1BDB" w:rsidRPr="00FA4DC7" w:rsidRDefault="00CE1BDB" w:rsidP="00FC07B8">
            <w:pPr>
              <w:pStyle w:val="Tableheading1"/>
            </w:pPr>
            <w:bookmarkStart w:id="173" w:name="_Toc83036066"/>
            <w:r w:rsidRPr="00FA4DC7">
              <w:lastRenderedPageBreak/>
              <w:t xml:space="preserve">Table 2.13 </w:t>
            </w:r>
            <w:r w:rsidRPr="00FA4DC7">
              <w:tab/>
            </w:r>
            <w:r w:rsidRPr="00FC07B8">
              <w:t>Change</w:t>
            </w:r>
            <w:r w:rsidRPr="00FA4DC7">
              <w:t xml:space="preserve"> in population 2021-2040 under alternative scenarios</w:t>
            </w:r>
            <w:bookmarkEnd w:id="173"/>
          </w:p>
        </w:tc>
      </w:tr>
      <w:tr w:rsidR="00CE1BDB" w:rsidRPr="00FA4DC7" w14:paraId="1D2FD449" w14:textId="77777777" w:rsidTr="00FC07B8">
        <w:trPr>
          <w:trHeight w:val="1300"/>
        </w:trPr>
        <w:tc>
          <w:tcPr>
            <w:tcW w:w="1092" w:type="pct"/>
            <w:shd w:val="clear" w:color="auto" w:fill="006666"/>
            <w:noWrap/>
            <w:vAlign w:val="bottom"/>
            <w:hideMark/>
          </w:tcPr>
          <w:p w14:paraId="7DB747E7" w14:textId="77777777" w:rsidR="00CE1BDB" w:rsidRPr="00FA4DC7" w:rsidRDefault="00CE1BDB" w:rsidP="00FC07B8">
            <w:pPr>
              <w:rPr>
                <w:rFonts w:cs="Arial"/>
                <w:b/>
                <w:bCs/>
                <w:color w:val="FFFFFF"/>
                <w:sz w:val="22"/>
                <w:szCs w:val="22"/>
              </w:rPr>
            </w:pPr>
            <w:r w:rsidRPr="00FA4DC7">
              <w:rPr>
                <w:rFonts w:cs="Arial"/>
                <w:b/>
                <w:bCs/>
                <w:color w:val="FFFFFF"/>
                <w:sz w:val="22"/>
                <w:szCs w:val="22"/>
              </w:rPr>
              <w:t>Scenario</w:t>
            </w:r>
          </w:p>
        </w:tc>
        <w:tc>
          <w:tcPr>
            <w:tcW w:w="521" w:type="pct"/>
            <w:shd w:val="clear" w:color="auto" w:fill="006666"/>
            <w:vAlign w:val="bottom"/>
            <w:hideMark/>
          </w:tcPr>
          <w:p w14:paraId="7B4E630C"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2021</w:t>
            </w:r>
          </w:p>
        </w:tc>
        <w:tc>
          <w:tcPr>
            <w:tcW w:w="521" w:type="pct"/>
            <w:shd w:val="clear" w:color="auto" w:fill="006666"/>
            <w:vAlign w:val="bottom"/>
            <w:hideMark/>
          </w:tcPr>
          <w:p w14:paraId="093AC690"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2037</w:t>
            </w:r>
          </w:p>
        </w:tc>
        <w:tc>
          <w:tcPr>
            <w:tcW w:w="521" w:type="pct"/>
            <w:shd w:val="clear" w:color="auto" w:fill="006666"/>
            <w:vAlign w:val="bottom"/>
            <w:hideMark/>
          </w:tcPr>
          <w:p w14:paraId="2EE037E3"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2040</w:t>
            </w:r>
          </w:p>
        </w:tc>
        <w:tc>
          <w:tcPr>
            <w:tcW w:w="619" w:type="pct"/>
            <w:shd w:val="clear" w:color="auto" w:fill="006666"/>
            <w:tcMar>
              <w:left w:w="0" w:type="dxa"/>
              <w:right w:w="0" w:type="dxa"/>
            </w:tcMar>
            <w:vAlign w:val="bottom"/>
            <w:hideMark/>
          </w:tcPr>
          <w:p w14:paraId="6ACCD46E"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Number change 2021-2037</w:t>
            </w:r>
          </w:p>
        </w:tc>
        <w:tc>
          <w:tcPr>
            <w:tcW w:w="627" w:type="pct"/>
            <w:shd w:val="clear" w:color="auto" w:fill="006666"/>
            <w:tcMar>
              <w:left w:w="0" w:type="dxa"/>
              <w:right w:w="0" w:type="dxa"/>
            </w:tcMar>
            <w:vAlign w:val="bottom"/>
            <w:hideMark/>
          </w:tcPr>
          <w:p w14:paraId="4EFE7F6A"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2021-2037</w:t>
            </w:r>
          </w:p>
        </w:tc>
        <w:tc>
          <w:tcPr>
            <w:tcW w:w="558" w:type="pct"/>
            <w:shd w:val="clear" w:color="auto" w:fill="006666"/>
            <w:tcMar>
              <w:left w:w="0" w:type="dxa"/>
              <w:right w:w="0" w:type="dxa"/>
            </w:tcMar>
            <w:vAlign w:val="bottom"/>
            <w:hideMark/>
          </w:tcPr>
          <w:p w14:paraId="146ADE4D"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Number change 2021-2040</w:t>
            </w:r>
          </w:p>
        </w:tc>
        <w:tc>
          <w:tcPr>
            <w:tcW w:w="541" w:type="pct"/>
            <w:shd w:val="clear" w:color="auto" w:fill="006666"/>
            <w:tcMar>
              <w:left w:w="0" w:type="dxa"/>
              <w:right w:w="0" w:type="dxa"/>
            </w:tcMar>
            <w:vAlign w:val="bottom"/>
            <w:hideMark/>
          </w:tcPr>
          <w:p w14:paraId="62DEECD0" w14:textId="77777777" w:rsidR="00CE1BDB" w:rsidRPr="00FA4DC7" w:rsidRDefault="00CE1BDB" w:rsidP="00FC07B8">
            <w:pPr>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2021-2040</w:t>
            </w:r>
          </w:p>
        </w:tc>
      </w:tr>
      <w:tr w:rsidR="00CE1BDB" w:rsidRPr="00FA4DC7" w14:paraId="614F33C5" w14:textId="77777777" w:rsidTr="00FC07B8">
        <w:trPr>
          <w:trHeight w:val="340"/>
        </w:trPr>
        <w:tc>
          <w:tcPr>
            <w:tcW w:w="1092" w:type="pct"/>
            <w:shd w:val="clear" w:color="auto" w:fill="auto"/>
            <w:vAlign w:val="center"/>
            <w:hideMark/>
          </w:tcPr>
          <w:p w14:paraId="4EEFBD80" w14:textId="77777777" w:rsidR="00CE1BDB" w:rsidRPr="00FA4DC7" w:rsidRDefault="00CE1BDB" w:rsidP="00EF49A7">
            <w:pPr>
              <w:rPr>
                <w:rFonts w:cs="Arial"/>
                <w:color w:val="000000"/>
                <w:sz w:val="22"/>
                <w:szCs w:val="22"/>
              </w:rPr>
            </w:pPr>
            <w:r w:rsidRPr="00FA4DC7">
              <w:rPr>
                <w:rFonts w:cs="Arial"/>
                <w:color w:val="000000"/>
                <w:sz w:val="22"/>
                <w:szCs w:val="22"/>
              </w:rPr>
              <w:t>Principal</w:t>
            </w:r>
          </w:p>
        </w:tc>
        <w:tc>
          <w:tcPr>
            <w:tcW w:w="521" w:type="pct"/>
            <w:shd w:val="clear" w:color="auto" w:fill="auto"/>
            <w:noWrap/>
            <w:tcMar>
              <w:left w:w="0" w:type="dxa"/>
            </w:tcMar>
            <w:vAlign w:val="center"/>
            <w:hideMark/>
          </w:tcPr>
          <w:p w14:paraId="5E45AE31" w14:textId="77777777" w:rsidR="00CE1BDB" w:rsidRPr="00FA4DC7" w:rsidRDefault="00CE1BDB" w:rsidP="00EF49A7">
            <w:pPr>
              <w:jc w:val="right"/>
              <w:rPr>
                <w:rFonts w:cs="Arial"/>
                <w:color w:val="000000"/>
                <w:sz w:val="22"/>
                <w:szCs w:val="22"/>
              </w:rPr>
            </w:pPr>
            <w:r w:rsidRPr="00FA4DC7">
              <w:rPr>
                <w:rFonts w:cs="Arial"/>
                <w:color w:val="000000"/>
                <w:sz w:val="22"/>
                <w:szCs w:val="22"/>
              </w:rPr>
              <w:t>280,040</w:t>
            </w:r>
          </w:p>
        </w:tc>
        <w:tc>
          <w:tcPr>
            <w:tcW w:w="521" w:type="pct"/>
            <w:shd w:val="clear" w:color="auto" w:fill="auto"/>
            <w:noWrap/>
            <w:tcMar>
              <w:left w:w="0" w:type="dxa"/>
            </w:tcMar>
            <w:vAlign w:val="center"/>
            <w:hideMark/>
          </w:tcPr>
          <w:p w14:paraId="32386DB6" w14:textId="77777777" w:rsidR="00CE1BDB" w:rsidRPr="00FA4DC7" w:rsidRDefault="00CE1BDB" w:rsidP="00EF49A7">
            <w:pPr>
              <w:jc w:val="right"/>
              <w:rPr>
                <w:rFonts w:cs="Arial"/>
                <w:color w:val="000000"/>
                <w:sz w:val="22"/>
                <w:szCs w:val="22"/>
              </w:rPr>
            </w:pPr>
            <w:r w:rsidRPr="00FA4DC7">
              <w:rPr>
                <w:rFonts w:cs="Arial"/>
                <w:color w:val="000000"/>
                <w:sz w:val="22"/>
                <w:szCs w:val="22"/>
              </w:rPr>
              <w:t>288,772</w:t>
            </w:r>
          </w:p>
        </w:tc>
        <w:tc>
          <w:tcPr>
            <w:tcW w:w="521" w:type="pct"/>
            <w:shd w:val="clear" w:color="auto" w:fill="auto"/>
            <w:noWrap/>
            <w:tcMar>
              <w:left w:w="0" w:type="dxa"/>
            </w:tcMar>
            <w:vAlign w:val="center"/>
            <w:hideMark/>
          </w:tcPr>
          <w:p w14:paraId="39D5A5C6" w14:textId="77777777" w:rsidR="00CE1BDB" w:rsidRPr="00FA4DC7" w:rsidRDefault="00CE1BDB" w:rsidP="00EF49A7">
            <w:pPr>
              <w:jc w:val="right"/>
              <w:rPr>
                <w:rFonts w:cs="Arial"/>
                <w:color w:val="000000"/>
                <w:sz w:val="22"/>
                <w:szCs w:val="22"/>
              </w:rPr>
            </w:pPr>
            <w:r w:rsidRPr="00FA4DC7">
              <w:rPr>
                <w:rFonts w:cs="Arial"/>
                <w:color w:val="000000"/>
                <w:sz w:val="22"/>
                <w:szCs w:val="22"/>
              </w:rPr>
              <w:t>290,734</w:t>
            </w:r>
          </w:p>
        </w:tc>
        <w:tc>
          <w:tcPr>
            <w:tcW w:w="619" w:type="pct"/>
            <w:shd w:val="clear" w:color="auto" w:fill="auto"/>
            <w:noWrap/>
            <w:tcMar>
              <w:left w:w="0" w:type="dxa"/>
            </w:tcMar>
            <w:vAlign w:val="center"/>
            <w:hideMark/>
          </w:tcPr>
          <w:p w14:paraId="544581C8" w14:textId="77777777" w:rsidR="00CE1BDB" w:rsidRPr="00FA4DC7" w:rsidRDefault="00CE1BDB" w:rsidP="00EF49A7">
            <w:pPr>
              <w:jc w:val="right"/>
              <w:rPr>
                <w:rFonts w:cs="Arial"/>
                <w:color w:val="000000"/>
                <w:sz w:val="22"/>
                <w:szCs w:val="22"/>
              </w:rPr>
            </w:pPr>
            <w:r w:rsidRPr="00FA4DC7">
              <w:rPr>
                <w:rFonts w:cs="Arial"/>
                <w:color w:val="000000"/>
                <w:sz w:val="22"/>
                <w:szCs w:val="22"/>
              </w:rPr>
              <w:t>8,732</w:t>
            </w:r>
          </w:p>
        </w:tc>
        <w:tc>
          <w:tcPr>
            <w:tcW w:w="627" w:type="pct"/>
            <w:shd w:val="clear" w:color="auto" w:fill="auto"/>
            <w:noWrap/>
            <w:tcMar>
              <w:left w:w="0" w:type="dxa"/>
            </w:tcMar>
            <w:vAlign w:val="center"/>
            <w:hideMark/>
          </w:tcPr>
          <w:p w14:paraId="0990C23B" w14:textId="77777777" w:rsidR="00CE1BDB" w:rsidRPr="00FA4DC7" w:rsidRDefault="00CE1BDB" w:rsidP="00EF49A7">
            <w:pPr>
              <w:jc w:val="right"/>
              <w:rPr>
                <w:rFonts w:cs="Arial"/>
                <w:color w:val="000000"/>
                <w:sz w:val="22"/>
                <w:szCs w:val="22"/>
              </w:rPr>
            </w:pPr>
            <w:r w:rsidRPr="00FA4DC7">
              <w:rPr>
                <w:rFonts w:cs="Arial"/>
                <w:color w:val="000000"/>
                <w:sz w:val="22"/>
                <w:szCs w:val="22"/>
              </w:rPr>
              <w:t>3.1%</w:t>
            </w:r>
          </w:p>
        </w:tc>
        <w:tc>
          <w:tcPr>
            <w:tcW w:w="558" w:type="pct"/>
            <w:shd w:val="clear" w:color="auto" w:fill="auto"/>
            <w:noWrap/>
            <w:tcMar>
              <w:left w:w="0" w:type="dxa"/>
            </w:tcMar>
            <w:vAlign w:val="center"/>
            <w:hideMark/>
          </w:tcPr>
          <w:p w14:paraId="11780C7B" w14:textId="77777777" w:rsidR="00CE1BDB" w:rsidRPr="00FA4DC7" w:rsidRDefault="00CE1BDB" w:rsidP="00EF49A7">
            <w:pPr>
              <w:jc w:val="right"/>
              <w:rPr>
                <w:rFonts w:cs="Arial"/>
                <w:color w:val="000000"/>
                <w:sz w:val="22"/>
                <w:szCs w:val="22"/>
              </w:rPr>
            </w:pPr>
            <w:r w:rsidRPr="00FA4DC7">
              <w:rPr>
                <w:rFonts w:cs="Arial"/>
                <w:color w:val="000000"/>
                <w:sz w:val="22"/>
                <w:szCs w:val="22"/>
              </w:rPr>
              <w:t>10,694</w:t>
            </w:r>
          </w:p>
        </w:tc>
        <w:tc>
          <w:tcPr>
            <w:tcW w:w="541" w:type="pct"/>
            <w:shd w:val="clear" w:color="auto" w:fill="auto"/>
            <w:noWrap/>
            <w:tcMar>
              <w:left w:w="0" w:type="dxa"/>
            </w:tcMar>
            <w:vAlign w:val="center"/>
            <w:hideMark/>
          </w:tcPr>
          <w:p w14:paraId="45838341" w14:textId="77777777" w:rsidR="00CE1BDB" w:rsidRPr="00FA4DC7" w:rsidRDefault="00CE1BDB" w:rsidP="00EF49A7">
            <w:pPr>
              <w:jc w:val="right"/>
              <w:rPr>
                <w:rFonts w:cs="Arial"/>
                <w:color w:val="000000"/>
                <w:sz w:val="22"/>
                <w:szCs w:val="22"/>
              </w:rPr>
            </w:pPr>
            <w:r w:rsidRPr="00FA4DC7">
              <w:rPr>
                <w:rFonts w:cs="Arial"/>
                <w:color w:val="000000"/>
                <w:sz w:val="22"/>
                <w:szCs w:val="22"/>
              </w:rPr>
              <w:t>3.8%</w:t>
            </w:r>
          </w:p>
        </w:tc>
      </w:tr>
      <w:tr w:rsidR="00CE1BDB" w:rsidRPr="00FA4DC7" w14:paraId="514E9912" w14:textId="77777777" w:rsidTr="00FC07B8">
        <w:trPr>
          <w:trHeight w:val="340"/>
        </w:trPr>
        <w:tc>
          <w:tcPr>
            <w:tcW w:w="1092" w:type="pct"/>
            <w:shd w:val="clear" w:color="auto" w:fill="auto"/>
            <w:vAlign w:val="center"/>
            <w:hideMark/>
          </w:tcPr>
          <w:p w14:paraId="368200A2" w14:textId="77777777" w:rsidR="00CE1BDB" w:rsidRPr="00FA4DC7" w:rsidRDefault="00CE1BDB" w:rsidP="00EF49A7">
            <w:pPr>
              <w:rPr>
                <w:rFonts w:cs="Arial"/>
                <w:color w:val="000000"/>
                <w:sz w:val="22"/>
                <w:szCs w:val="22"/>
              </w:rPr>
            </w:pPr>
            <w:r w:rsidRPr="00FA4DC7">
              <w:rPr>
                <w:rFonts w:cs="Arial"/>
                <w:color w:val="000000"/>
                <w:sz w:val="22"/>
                <w:szCs w:val="22"/>
              </w:rPr>
              <w:t>10-year migration</w:t>
            </w:r>
          </w:p>
        </w:tc>
        <w:tc>
          <w:tcPr>
            <w:tcW w:w="521" w:type="pct"/>
            <w:shd w:val="clear" w:color="auto" w:fill="auto"/>
            <w:noWrap/>
            <w:tcMar>
              <w:left w:w="0" w:type="dxa"/>
            </w:tcMar>
            <w:vAlign w:val="center"/>
            <w:hideMark/>
          </w:tcPr>
          <w:p w14:paraId="345F0831" w14:textId="77777777" w:rsidR="00CE1BDB" w:rsidRPr="00FA4DC7" w:rsidRDefault="00CE1BDB" w:rsidP="00EF49A7">
            <w:pPr>
              <w:jc w:val="right"/>
              <w:rPr>
                <w:rFonts w:cs="Arial"/>
                <w:color w:val="000000"/>
                <w:sz w:val="22"/>
                <w:szCs w:val="22"/>
              </w:rPr>
            </w:pPr>
            <w:r w:rsidRPr="00FA4DC7">
              <w:rPr>
                <w:rFonts w:cs="Arial"/>
                <w:color w:val="000000"/>
                <w:sz w:val="22"/>
                <w:szCs w:val="22"/>
              </w:rPr>
              <w:t>283,701</w:t>
            </w:r>
          </w:p>
        </w:tc>
        <w:tc>
          <w:tcPr>
            <w:tcW w:w="521" w:type="pct"/>
            <w:shd w:val="clear" w:color="auto" w:fill="auto"/>
            <w:noWrap/>
            <w:tcMar>
              <w:left w:w="0" w:type="dxa"/>
            </w:tcMar>
            <w:vAlign w:val="center"/>
            <w:hideMark/>
          </w:tcPr>
          <w:p w14:paraId="3CCA0243" w14:textId="77777777" w:rsidR="00CE1BDB" w:rsidRPr="00FA4DC7" w:rsidRDefault="00CE1BDB" w:rsidP="00EF49A7">
            <w:pPr>
              <w:jc w:val="right"/>
              <w:rPr>
                <w:rFonts w:cs="Arial"/>
                <w:color w:val="000000"/>
                <w:sz w:val="22"/>
                <w:szCs w:val="22"/>
              </w:rPr>
            </w:pPr>
            <w:r w:rsidRPr="00FA4DC7">
              <w:rPr>
                <w:rFonts w:cs="Arial"/>
                <w:color w:val="000000"/>
                <w:sz w:val="22"/>
                <w:szCs w:val="22"/>
              </w:rPr>
              <w:t>308,010</w:t>
            </w:r>
          </w:p>
        </w:tc>
        <w:tc>
          <w:tcPr>
            <w:tcW w:w="521" w:type="pct"/>
            <w:shd w:val="clear" w:color="auto" w:fill="auto"/>
            <w:noWrap/>
            <w:tcMar>
              <w:left w:w="0" w:type="dxa"/>
            </w:tcMar>
            <w:vAlign w:val="center"/>
            <w:hideMark/>
          </w:tcPr>
          <w:p w14:paraId="2CC5A29A" w14:textId="77777777" w:rsidR="00CE1BDB" w:rsidRPr="00FA4DC7" w:rsidRDefault="00CE1BDB" w:rsidP="00EF49A7">
            <w:pPr>
              <w:jc w:val="right"/>
              <w:rPr>
                <w:rFonts w:cs="Arial"/>
                <w:color w:val="000000"/>
                <w:sz w:val="22"/>
                <w:szCs w:val="22"/>
              </w:rPr>
            </w:pPr>
            <w:r w:rsidRPr="00FA4DC7">
              <w:rPr>
                <w:rFonts w:cs="Arial"/>
                <w:color w:val="000000"/>
                <w:sz w:val="22"/>
                <w:szCs w:val="22"/>
              </w:rPr>
              <w:t>312,345</w:t>
            </w:r>
          </w:p>
        </w:tc>
        <w:tc>
          <w:tcPr>
            <w:tcW w:w="619" w:type="pct"/>
            <w:shd w:val="clear" w:color="auto" w:fill="auto"/>
            <w:noWrap/>
            <w:tcMar>
              <w:left w:w="0" w:type="dxa"/>
            </w:tcMar>
            <w:vAlign w:val="center"/>
            <w:hideMark/>
          </w:tcPr>
          <w:p w14:paraId="34FBB4C1" w14:textId="77777777" w:rsidR="00CE1BDB" w:rsidRPr="00FA4DC7" w:rsidRDefault="00CE1BDB" w:rsidP="00EF49A7">
            <w:pPr>
              <w:jc w:val="right"/>
              <w:rPr>
                <w:rFonts w:cs="Arial"/>
                <w:color w:val="000000"/>
                <w:sz w:val="22"/>
                <w:szCs w:val="22"/>
              </w:rPr>
            </w:pPr>
            <w:r w:rsidRPr="00FA4DC7">
              <w:rPr>
                <w:rFonts w:cs="Arial"/>
                <w:color w:val="000000"/>
                <w:sz w:val="22"/>
                <w:szCs w:val="22"/>
              </w:rPr>
              <w:t>24,309</w:t>
            </w:r>
          </w:p>
        </w:tc>
        <w:tc>
          <w:tcPr>
            <w:tcW w:w="627" w:type="pct"/>
            <w:shd w:val="clear" w:color="auto" w:fill="auto"/>
            <w:noWrap/>
            <w:tcMar>
              <w:left w:w="0" w:type="dxa"/>
            </w:tcMar>
            <w:vAlign w:val="center"/>
            <w:hideMark/>
          </w:tcPr>
          <w:p w14:paraId="37521C8A" w14:textId="77777777" w:rsidR="00CE1BDB" w:rsidRPr="00FA4DC7" w:rsidRDefault="00CE1BDB" w:rsidP="00EF49A7">
            <w:pPr>
              <w:jc w:val="right"/>
              <w:rPr>
                <w:rFonts w:cs="Arial"/>
                <w:color w:val="000000"/>
                <w:sz w:val="22"/>
                <w:szCs w:val="22"/>
              </w:rPr>
            </w:pPr>
            <w:r w:rsidRPr="00FA4DC7">
              <w:rPr>
                <w:rFonts w:cs="Arial"/>
                <w:color w:val="000000"/>
                <w:sz w:val="22"/>
                <w:szCs w:val="22"/>
              </w:rPr>
              <w:t>8.6%</w:t>
            </w:r>
          </w:p>
        </w:tc>
        <w:tc>
          <w:tcPr>
            <w:tcW w:w="558" w:type="pct"/>
            <w:shd w:val="clear" w:color="auto" w:fill="auto"/>
            <w:noWrap/>
            <w:tcMar>
              <w:left w:w="0" w:type="dxa"/>
            </w:tcMar>
            <w:vAlign w:val="center"/>
            <w:hideMark/>
          </w:tcPr>
          <w:p w14:paraId="641DBE76" w14:textId="77777777" w:rsidR="00CE1BDB" w:rsidRPr="00FA4DC7" w:rsidRDefault="00CE1BDB" w:rsidP="00EF49A7">
            <w:pPr>
              <w:jc w:val="right"/>
              <w:rPr>
                <w:rFonts w:cs="Arial"/>
                <w:color w:val="000000"/>
                <w:sz w:val="22"/>
                <w:szCs w:val="22"/>
              </w:rPr>
            </w:pPr>
            <w:r w:rsidRPr="00FA4DC7">
              <w:rPr>
                <w:rFonts w:cs="Arial"/>
                <w:color w:val="000000"/>
                <w:sz w:val="22"/>
                <w:szCs w:val="22"/>
              </w:rPr>
              <w:t>28,644</w:t>
            </w:r>
          </w:p>
        </w:tc>
        <w:tc>
          <w:tcPr>
            <w:tcW w:w="541" w:type="pct"/>
            <w:shd w:val="clear" w:color="auto" w:fill="auto"/>
            <w:noWrap/>
            <w:tcMar>
              <w:left w:w="0" w:type="dxa"/>
            </w:tcMar>
            <w:vAlign w:val="center"/>
            <w:hideMark/>
          </w:tcPr>
          <w:p w14:paraId="64209705" w14:textId="77777777" w:rsidR="00CE1BDB" w:rsidRPr="00FA4DC7" w:rsidRDefault="00CE1BDB" w:rsidP="00EF49A7">
            <w:pPr>
              <w:jc w:val="right"/>
              <w:rPr>
                <w:rFonts w:cs="Arial"/>
                <w:color w:val="000000"/>
                <w:sz w:val="22"/>
                <w:szCs w:val="22"/>
              </w:rPr>
            </w:pPr>
            <w:r w:rsidRPr="00FA4DC7">
              <w:rPr>
                <w:rFonts w:cs="Arial"/>
                <w:color w:val="000000"/>
                <w:sz w:val="22"/>
                <w:szCs w:val="22"/>
              </w:rPr>
              <w:t>10.1%</w:t>
            </w:r>
          </w:p>
        </w:tc>
      </w:tr>
      <w:tr w:rsidR="00CE1BDB" w:rsidRPr="00FA4DC7" w14:paraId="6BCE08B9" w14:textId="77777777" w:rsidTr="00FC07B8">
        <w:trPr>
          <w:trHeight w:val="340"/>
        </w:trPr>
        <w:tc>
          <w:tcPr>
            <w:tcW w:w="1092" w:type="pct"/>
            <w:shd w:val="clear" w:color="auto" w:fill="auto"/>
            <w:vAlign w:val="center"/>
            <w:hideMark/>
          </w:tcPr>
          <w:p w14:paraId="4F5323DA" w14:textId="77777777" w:rsidR="00CE1BDB" w:rsidRPr="00FA4DC7" w:rsidRDefault="00CE1BDB" w:rsidP="00EF49A7">
            <w:pPr>
              <w:rPr>
                <w:rFonts w:cs="Arial"/>
                <w:color w:val="000000"/>
                <w:sz w:val="22"/>
                <w:szCs w:val="22"/>
              </w:rPr>
            </w:pPr>
            <w:r w:rsidRPr="00FA4DC7">
              <w:rPr>
                <w:rFonts w:cs="Arial"/>
                <w:color w:val="000000"/>
                <w:sz w:val="22"/>
                <w:szCs w:val="22"/>
              </w:rPr>
              <w:t>Higher international</w:t>
            </w:r>
          </w:p>
        </w:tc>
        <w:tc>
          <w:tcPr>
            <w:tcW w:w="521" w:type="pct"/>
            <w:shd w:val="clear" w:color="auto" w:fill="auto"/>
            <w:noWrap/>
            <w:tcMar>
              <w:left w:w="0" w:type="dxa"/>
            </w:tcMar>
            <w:vAlign w:val="center"/>
            <w:hideMark/>
          </w:tcPr>
          <w:p w14:paraId="439333A4" w14:textId="77777777" w:rsidR="00CE1BDB" w:rsidRPr="00FA4DC7" w:rsidRDefault="00CE1BDB" w:rsidP="00EF49A7">
            <w:pPr>
              <w:jc w:val="right"/>
              <w:rPr>
                <w:rFonts w:cs="Arial"/>
                <w:color w:val="000000"/>
                <w:sz w:val="22"/>
                <w:szCs w:val="22"/>
              </w:rPr>
            </w:pPr>
            <w:r w:rsidRPr="00FA4DC7">
              <w:rPr>
                <w:rFonts w:cs="Arial"/>
                <w:color w:val="000000"/>
                <w:sz w:val="22"/>
                <w:szCs w:val="22"/>
              </w:rPr>
              <w:t>280,311</w:t>
            </w:r>
          </w:p>
        </w:tc>
        <w:tc>
          <w:tcPr>
            <w:tcW w:w="521" w:type="pct"/>
            <w:shd w:val="clear" w:color="auto" w:fill="auto"/>
            <w:noWrap/>
            <w:tcMar>
              <w:left w:w="0" w:type="dxa"/>
            </w:tcMar>
            <w:vAlign w:val="center"/>
            <w:hideMark/>
          </w:tcPr>
          <w:p w14:paraId="0131056E" w14:textId="77777777" w:rsidR="00CE1BDB" w:rsidRPr="00FA4DC7" w:rsidRDefault="00CE1BDB" w:rsidP="00EF49A7">
            <w:pPr>
              <w:jc w:val="right"/>
              <w:rPr>
                <w:rFonts w:cs="Arial"/>
                <w:color w:val="000000"/>
                <w:sz w:val="22"/>
                <w:szCs w:val="22"/>
              </w:rPr>
            </w:pPr>
            <w:r w:rsidRPr="00FA4DC7">
              <w:rPr>
                <w:rFonts w:cs="Arial"/>
                <w:color w:val="000000"/>
                <w:sz w:val="22"/>
                <w:szCs w:val="22"/>
              </w:rPr>
              <w:t>295,918</w:t>
            </w:r>
          </w:p>
        </w:tc>
        <w:tc>
          <w:tcPr>
            <w:tcW w:w="521" w:type="pct"/>
            <w:shd w:val="clear" w:color="auto" w:fill="auto"/>
            <w:noWrap/>
            <w:tcMar>
              <w:left w:w="0" w:type="dxa"/>
            </w:tcMar>
            <w:vAlign w:val="center"/>
            <w:hideMark/>
          </w:tcPr>
          <w:p w14:paraId="50AA012F" w14:textId="77777777" w:rsidR="00CE1BDB" w:rsidRPr="00FA4DC7" w:rsidRDefault="00CE1BDB" w:rsidP="00EF49A7">
            <w:pPr>
              <w:jc w:val="right"/>
              <w:rPr>
                <w:rFonts w:cs="Arial"/>
                <w:color w:val="000000"/>
                <w:sz w:val="22"/>
                <w:szCs w:val="22"/>
              </w:rPr>
            </w:pPr>
            <w:r w:rsidRPr="00FA4DC7">
              <w:rPr>
                <w:rFonts w:cs="Arial"/>
                <w:color w:val="000000"/>
                <w:sz w:val="22"/>
                <w:szCs w:val="22"/>
              </w:rPr>
              <w:t>299,621</w:t>
            </w:r>
          </w:p>
        </w:tc>
        <w:tc>
          <w:tcPr>
            <w:tcW w:w="619" w:type="pct"/>
            <w:shd w:val="clear" w:color="auto" w:fill="auto"/>
            <w:noWrap/>
            <w:tcMar>
              <w:left w:w="0" w:type="dxa"/>
            </w:tcMar>
            <w:vAlign w:val="center"/>
            <w:hideMark/>
          </w:tcPr>
          <w:p w14:paraId="24FC5912" w14:textId="77777777" w:rsidR="00CE1BDB" w:rsidRPr="00FA4DC7" w:rsidRDefault="00CE1BDB" w:rsidP="00EF49A7">
            <w:pPr>
              <w:jc w:val="right"/>
              <w:rPr>
                <w:rFonts w:cs="Arial"/>
                <w:color w:val="000000"/>
                <w:sz w:val="22"/>
                <w:szCs w:val="22"/>
              </w:rPr>
            </w:pPr>
            <w:r w:rsidRPr="00FA4DC7">
              <w:rPr>
                <w:rFonts w:cs="Arial"/>
                <w:color w:val="000000"/>
                <w:sz w:val="22"/>
                <w:szCs w:val="22"/>
              </w:rPr>
              <w:t>15,607</w:t>
            </w:r>
          </w:p>
        </w:tc>
        <w:tc>
          <w:tcPr>
            <w:tcW w:w="627" w:type="pct"/>
            <w:shd w:val="clear" w:color="auto" w:fill="auto"/>
            <w:noWrap/>
            <w:tcMar>
              <w:left w:w="0" w:type="dxa"/>
            </w:tcMar>
            <w:vAlign w:val="center"/>
            <w:hideMark/>
          </w:tcPr>
          <w:p w14:paraId="7FF1C32E" w14:textId="77777777" w:rsidR="00CE1BDB" w:rsidRPr="00FA4DC7" w:rsidRDefault="00CE1BDB" w:rsidP="00EF49A7">
            <w:pPr>
              <w:jc w:val="right"/>
              <w:rPr>
                <w:rFonts w:cs="Arial"/>
                <w:color w:val="000000"/>
                <w:sz w:val="22"/>
                <w:szCs w:val="22"/>
              </w:rPr>
            </w:pPr>
            <w:r w:rsidRPr="00FA4DC7">
              <w:rPr>
                <w:rFonts w:cs="Arial"/>
                <w:color w:val="000000"/>
                <w:sz w:val="22"/>
                <w:szCs w:val="22"/>
              </w:rPr>
              <w:t>5.6%</w:t>
            </w:r>
          </w:p>
        </w:tc>
        <w:tc>
          <w:tcPr>
            <w:tcW w:w="558" w:type="pct"/>
            <w:shd w:val="clear" w:color="auto" w:fill="auto"/>
            <w:noWrap/>
            <w:tcMar>
              <w:left w:w="0" w:type="dxa"/>
            </w:tcMar>
            <w:vAlign w:val="center"/>
            <w:hideMark/>
          </w:tcPr>
          <w:p w14:paraId="78D9AC06" w14:textId="77777777" w:rsidR="00CE1BDB" w:rsidRPr="00FA4DC7" w:rsidRDefault="00CE1BDB" w:rsidP="00EF49A7">
            <w:pPr>
              <w:jc w:val="right"/>
              <w:rPr>
                <w:rFonts w:cs="Arial"/>
                <w:color w:val="000000"/>
                <w:sz w:val="22"/>
                <w:szCs w:val="22"/>
              </w:rPr>
            </w:pPr>
            <w:r w:rsidRPr="00FA4DC7">
              <w:rPr>
                <w:rFonts w:cs="Arial"/>
                <w:color w:val="000000"/>
                <w:sz w:val="22"/>
                <w:szCs w:val="22"/>
              </w:rPr>
              <w:t>19,309</w:t>
            </w:r>
          </w:p>
        </w:tc>
        <w:tc>
          <w:tcPr>
            <w:tcW w:w="541" w:type="pct"/>
            <w:shd w:val="clear" w:color="auto" w:fill="auto"/>
            <w:noWrap/>
            <w:tcMar>
              <w:left w:w="0" w:type="dxa"/>
            </w:tcMar>
            <w:vAlign w:val="center"/>
            <w:hideMark/>
          </w:tcPr>
          <w:p w14:paraId="51A96D2C" w14:textId="77777777" w:rsidR="00CE1BDB" w:rsidRPr="00FA4DC7" w:rsidRDefault="00CE1BDB" w:rsidP="00EF49A7">
            <w:pPr>
              <w:jc w:val="right"/>
              <w:rPr>
                <w:rFonts w:cs="Arial"/>
                <w:color w:val="000000"/>
                <w:sz w:val="22"/>
                <w:szCs w:val="22"/>
              </w:rPr>
            </w:pPr>
            <w:r w:rsidRPr="00FA4DC7">
              <w:rPr>
                <w:rFonts w:cs="Arial"/>
                <w:color w:val="000000"/>
                <w:sz w:val="22"/>
                <w:szCs w:val="22"/>
              </w:rPr>
              <w:t>6.9%</w:t>
            </w:r>
          </w:p>
        </w:tc>
      </w:tr>
      <w:tr w:rsidR="00CE1BDB" w:rsidRPr="00FA4DC7" w14:paraId="6292A1FA" w14:textId="77777777" w:rsidTr="00FC07B8">
        <w:trPr>
          <w:trHeight w:val="340"/>
        </w:trPr>
        <w:tc>
          <w:tcPr>
            <w:tcW w:w="1092" w:type="pct"/>
            <w:shd w:val="clear" w:color="auto" w:fill="auto"/>
            <w:vAlign w:val="center"/>
            <w:hideMark/>
          </w:tcPr>
          <w:p w14:paraId="5A3195F2" w14:textId="77777777" w:rsidR="00CE1BDB" w:rsidRPr="00FA4DC7" w:rsidRDefault="00CE1BDB" w:rsidP="00EF49A7">
            <w:pPr>
              <w:rPr>
                <w:rFonts w:cs="Arial"/>
                <w:color w:val="000000"/>
                <w:sz w:val="22"/>
                <w:szCs w:val="22"/>
              </w:rPr>
            </w:pPr>
            <w:r w:rsidRPr="00FA4DC7">
              <w:rPr>
                <w:rFonts w:cs="Arial"/>
                <w:color w:val="000000"/>
                <w:sz w:val="22"/>
                <w:szCs w:val="22"/>
              </w:rPr>
              <w:t>Low international</w:t>
            </w:r>
          </w:p>
        </w:tc>
        <w:tc>
          <w:tcPr>
            <w:tcW w:w="521" w:type="pct"/>
            <w:shd w:val="clear" w:color="auto" w:fill="auto"/>
            <w:noWrap/>
            <w:tcMar>
              <w:left w:w="0" w:type="dxa"/>
            </w:tcMar>
            <w:vAlign w:val="center"/>
            <w:hideMark/>
          </w:tcPr>
          <w:p w14:paraId="3B523EC1" w14:textId="77777777" w:rsidR="00CE1BDB" w:rsidRPr="00FA4DC7" w:rsidRDefault="00CE1BDB" w:rsidP="00EF49A7">
            <w:pPr>
              <w:jc w:val="right"/>
              <w:rPr>
                <w:rFonts w:cs="Arial"/>
                <w:color w:val="000000"/>
                <w:sz w:val="22"/>
                <w:szCs w:val="22"/>
              </w:rPr>
            </w:pPr>
            <w:r w:rsidRPr="00FA4DC7">
              <w:rPr>
                <w:rFonts w:cs="Arial"/>
                <w:color w:val="000000"/>
                <w:sz w:val="22"/>
                <w:szCs w:val="22"/>
              </w:rPr>
              <w:t>279,768</w:t>
            </w:r>
          </w:p>
        </w:tc>
        <w:tc>
          <w:tcPr>
            <w:tcW w:w="521" w:type="pct"/>
            <w:shd w:val="clear" w:color="auto" w:fill="auto"/>
            <w:noWrap/>
            <w:tcMar>
              <w:left w:w="0" w:type="dxa"/>
            </w:tcMar>
            <w:vAlign w:val="center"/>
            <w:hideMark/>
          </w:tcPr>
          <w:p w14:paraId="5D3E43C9" w14:textId="77777777" w:rsidR="00CE1BDB" w:rsidRPr="00FA4DC7" w:rsidRDefault="00CE1BDB" w:rsidP="00EF49A7">
            <w:pPr>
              <w:jc w:val="right"/>
              <w:rPr>
                <w:rFonts w:cs="Arial"/>
                <w:color w:val="000000"/>
                <w:sz w:val="22"/>
                <w:szCs w:val="22"/>
              </w:rPr>
            </w:pPr>
            <w:r w:rsidRPr="00FA4DC7">
              <w:rPr>
                <w:rFonts w:cs="Arial"/>
                <w:color w:val="000000"/>
                <w:sz w:val="22"/>
                <w:szCs w:val="22"/>
              </w:rPr>
              <w:t>281,618</w:t>
            </w:r>
          </w:p>
        </w:tc>
        <w:tc>
          <w:tcPr>
            <w:tcW w:w="521" w:type="pct"/>
            <w:shd w:val="clear" w:color="auto" w:fill="auto"/>
            <w:noWrap/>
            <w:tcMar>
              <w:left w:w="0" w:type="dxa"/>
            </w:tcMar>
            <w:vAlign w:val="center"/>
            <w:hideMark/>
          </w:tcPr>
          <w:p w14:paraId="38BB4F69" w14:textId="77777777" w:rsidR="00CE1BDB" w:rsidRPr="00FA4DC7" w:rsidRDefault="00CE1BDB" w:rsidP="00EF49A7">
            <w:pPr>
              <w:jc w:val="right"/>
              <w:rPr>
                <w:rFonts w:cs="Arial"/>
                <w:color w:val="000000"/>
                <w:sz w:val="22"/>
                <w:szCs w:val="22"/>
              </w:rPr>
            </w:pPr>
            <w:r w:rsidRPr="00FA4DC7">
              <w:rPr>
                <w:rFonts w:cs="Arial"/>
                <w:color w:val="000000"/>
                <w:sz w:val="22"/>
                <w:szCs w:val="22"/>
              </w:rPr>
              <w:t>281,840</w:t>
            </w:r>
          </w:p>
        </w:tc>
        <w:tc>
          <w:tcPr>
            <w:tcW w:w="619" w:type="pct"/>
            <w:shd w:val="clear" w:color="auto" w:fill="auto"/>
            <w:noWrap/>
            <w:tcMar>
              <w:left w:w="0" w:type="dxa"/>
            </w:tcMar>
            <w:vAlign w:val="center"/>
            <w:hideMark/>
          </w:tcPr>
          <w:p w14:paraId="04E23D60" w14:textId="77777777" w:rsidR="00CE1BDB" w:rsidRPr="00FA4DC7" w:rsidRDefault="00CE1BDB" w:rsidP="00EF49A7">
            <w:pPr>
              <w:jc w:val="right"/>
              <w:rPr>
                <w:rFonts w:cs="Arial"/>
                <w:color w:val="000000"/>
                <w:sz w:val="22"/>
                <w:szCs w:val="22"/>
              </w:rPr>
            </w:pPr>
            <w:r w:rsidRPr="00FA4DC7">
              <w:rPr>
                <w:rFonts w:cs="Arial"/>
                <w:color w:val="000000"/>
                <w:sz w:val="22"/>
                <w:szCs w:val="22"/>
              </w:rPr>
              <w:t>1,849</w:t>
            </w:r>
          </w:p>
        </w:tc>
        <w:tc>
          <w:tcPr>
            <w:tcW w:w="627" w:type="pct"/>
            <w:shd w:val="clear" w:color="auto" w:fill="auto"/>
            <w:noWrap/>
            <w:tcMar>
              <w:left w:w="0" w:type="dxa"/>
            </w:tcMar>
            <w:vAlign w:val="center"/>
            <w:hideMark/>
          </w:tcPr>
          <w:p w14:paraId="76593143" w14:textId="77777777" w:rsidR="00CE1BDB" w:rsidRPr="00FA4DC7" w:rsidRDefault="00CE1BDB" w:rsidP="00EF49A7">
            <w:pPr>
              <w:jc w:val="right"/>
              <w:rPr>
                <w:rFonts w:cs="Arial"/>
                <w:color w:val="000000"/>
                <w:sz w:val="22"/>
                <w:szCs w:val="22"/>
              </w:rPr>
            </w:pPr>
            <w:r w:rsidRPr="00FA4DC7">
              <w:rPr>
                <w:rFonts w:cs="Arial"/>
                <w:color w:val="000000"/>
                <w:sz w:val="22"/>
                <w:szCs w:val="22"/>
              </w:rPr>
              <w:t>0.7%</w:t>
            </w:r>
          </w:p>
        </w:tc>
        <w:tc>
          <w:tcPr>
            <w:tcW w:w="558" w:type="pct"/>
            <w:shd w:val="clear" w:color="auto" w:fill="auto"/>
            <w:noWrap/>
            <w:tcMar>
              <w:left w:w="0" w:type="dxa"/>
            </w:tcMar>
            <w:vAlign w:val="center"/>
            <w:hideMark/>
          </w:tcPr>
          <w:p w14:paraId="56C3C9AE" w14:textId="77777777" w:rsidR="00CE1BDB" w:rsidRPr="00FA4DC7" w:rsidRDefault="00CE1BDB" w:rsidP="00EF49A7">
            <w:pPr>
              <w:jc w:val="right"/>
              <w:rPr>
                <w:rFonts w:cs="Arial"/>
                <w:color w:val="000000"/>
                <w:sz w:val="22"/>
                <w:szCs w:val="22"/>
              </w:rPr>
            </w:pPr>
            <w:r w:rsidRPr="00FA4DC7">
              <w:rPr>
                <w:rFonts w:cs="Arial"/>
                <w:color w:val="000000"/>
                <w:sz w:val="22"/>
                <w:szCs w:val="22"/>
              </w:rPr>
              <w:t>2,072</w:t>
            </w:r>
          </w:p>
        </w:tc>
        <w:tc>
          <w:tcPr>
            <w:tcW w:w="541" w:type="pct"/>
            <w:shd w:val="clear" w:color="auto" w:fill="auto"/>
            <w:noWrap/>
            <w:tcMar>
              <w:left w:w="0" w:type="dxa"/>
            </w:tcMar>
            <w:vAlign w:val="center"/>
            <w:hideMark/>
          </w:tcPr>
          <w:p w14:paraId="301CF93F" w14:textId="77777777" w:rsidR="00CE1BDB" w:rsidRPr="00FA4DC7" w:rsidRDefault="00CE1BDB" w:rsidP="00EF49A7">
            <w:pPr>
              <w:jc w:val="right"/>
              <w:rPr>
                <w:rFonts w:cs="Arial"/>
                <w:color w:val="000000"/>
                <w:sz w:val="22"/>
                <w:szCs w:val="22"/>
              </w:rPr>
            </w:pPr>
            <w:r w:rsidRPr="00FA4DC7">
              <w:rPr>
                <w:rFonts w:cs="Arial"/>
                <w:color w:val="000000"/>
                <w:sz w:val="22"/>
                <w:szCs w:val="22"/>
              </w:rPr>
              <w:t>0.7%</w:t>
            </w:r>
          </w:p>
        </w:tc>
      </w:tr>
      <w:tr w:rsidR="00CE1BDB" w:rsidRPr="00FA4DC7" w14:paraId="484129B4" w14:textId="77777777" w:rsidTr="00FC07B8">
        <w:trPr>
          <w:trHeight w:val="660"/>
        </w:trPr>
        <w:tc>
          <w:tcPr>
            <w:tcW w:w="1092" w:type="pct"/>
            <w:shd w:val="clear" w:color="auto" w:fill="auto"/>
            <w:vAlign w:val="center"/>
            <w:hideMark/>
          </w:tcPr>
          <w:p w14:paraId="2E5CE796" w14:textId="77777777" w:rsidR="00CE1BDB" w:rsidRPr="00FA4DC7" w:rsidRDefault="00CE1BDB" w:rsidP="00EF49A7">
            <w:pPr>
              <w:rPr>
                <w:rFonts w:cs="Arial"/>
                <w:color w:val="000000"/>
                <w:sz w:val="22"/>
                <w:szCs w:val="22"/>
              </w:rPr>
            </w:pPr>
            <w:r w:rsidRPr="00FA4DC7">
              <w:rPr>
                <w:rFonts w:cs="Arial"/>
                <w:color w:val="000000"/>
                <w:sz w:val="22"/>
                <w:szCs w:val="22"/>
              </w:rPr>
              <w:t>Alternative internal migration</w:t>
            </w:r>
          </w:p>
        </w:tc>
        <w:tc>
          <w:tcPr>
            <w:tcW w:w="521" w:type="pct"/>
            <w:shd w:val="clear" w:color="auto" w:fill="auto"/>
            <w:noWrap/>
            <w:tcMar>
              <w:left w:w="0" w:type="dxa"/>
            </w:tcMar>
            <w:vAlign w:val="center"/>
            <w:hideMark/>
          </w:tcPr>
          <w:p w14:paraId="3D2D3152" w14:textId="77777777" w:rsidR="00CE1BDB" w:rsidRPr="00FA4DC7" w:rsidRDefault="00CE1BDB" w:rsidP="00EF49A7">
            <w:pPr>
              <w:jc w:val="right"/>
              <w:rPr>
                <w:rFonts w:cs="Arial"/>
                <w:color w:val="000000"/>
                <w:sz w:val="22"/>
                <w:szCs w:val="22"/>
              </w:rPr>
            </w:pPr>
            <w:r w:rsidRPr="00FA4DC7">
              <w:rPr>
                <w:rFonts w:cs="Arial"/>
                <w:color w:val="000000"/>
                <w:sz w:val="22"/>
                <w:szCs w:val="22"/>
              </w:rPr>
              <w:t>282,056</w:t>
            </w:r>
          </w:p>
        </w:tc>
        <w:tc>
          <w:tcPr>
            <w:tcW w:w="521" w:type="pct"/>
            <w:shd w:val="clear" w:color="auto" w:fill="auto"/>
            <w:noWrap/>
            <w:tcMar>
              <w:left w:w="0" w:type="dxa"/>
            </w:tcMar>
            <w:vAlign w:val="center"/>
            <w:hideMark/>
          </w:tcPr>
          <w:p w14:paraId="09C9E9BD" w14:textId="77777777" w:rsidR="00CE1BDB" w:rsidRPr="00FA4DC7" w:rsidRDefault="00CE1BDB" w:rsidP="00EF49A7">
            <w:pPr>
              <w:jc w:val="right"/>
              <w:rPr>
                <w:rFonts w:cs="Arial"/>
                <w:color w:val="000000"/>
                <w:sz w:val="22"/>
                <w:szCs w:val="22"/>
              </w:rPr>
            </w:pPr>
            <w:r w:rsidRPr="00FA4DC7">
              <w:rPr>
                <w:rFonts w:cs="Arial"/>
                <w:color w:val="000000"/>
                <w:sz w:val="22"/>
                <w:szCs w:val="22"/>
              </w:rPr>
              <w:t>299,716</w:t>
            </w:r>
          </w:p>
        </w:tc>
        <w:tc>
          <w:tcPr>
            <w:tcW w:w="521" w:type="pct"/>
            <w:shd w:val="clear" w:color="auto" w:fill="auto"/>
            <w:noWrap/>
            <w:tcMar>
              <w:left w:w="0" w:type="dxa"/>
            </w:tcMar>
            <w:vAlign w:val="center"/>
            <w:hideMark/>
          </w:tcPr>
          <w:p w14:paraId="2218AE0F" w14:textId="77777777" w:rsidR="00CE1BDB" w:rsidRPr="00FA4DC7" w:rsidRDefault="00CE1BDB" w:rsidP="00EF49A7">
            <w:pPr>
              <w:jc w:val="right"/>
              <w:rPr>
                <w:rFonts w:cs="Arial"/>
                <w:color w:val="000000"/>
                <w:sz w:val="22"/>
                <w:szCs w:val="22"/>
              </w:rPr>
            </w:pPr>
            <w:r w:rsidRPr="00FA4DC7">
              <w:rPr>
                <w:rFonts w:cs="Arial"/>
                <w:color w:val="000000"/>
                <w:sz w:val="22"/>
                <w:szCs w:val="22"/>
              </w:rPr>
              <w:t>302,981</w:t>
            </w:r>
          </w:p>
        </w:tc>
        <w:tc>
          <w:tcPr>
            <w:tcW w:w="619" w:type="pct"/>
            <w:shd w:val="clear" w:color="auto" w:fill="auto"/>
            <w:noWrap/>
            <w:tcMar>
              <w:left w:w="0" w:type="dxa"/>
            </w:tcMar>
            <w:vAlign w:val="center"/>
            <w:hideMark/>
          </w:tcPr>
          <w:p w14:paraId="27DA4A58" w14:textId="77777777" w:rsidR="00CE1BDB" w:rsidRPr="00FA4DC7" w:rsidRDefault="00CE1BDB" w:rsidP="00EF49A7">
            <w:pPr>
              <w:jc w:val="right"/>
              <w:rPr>
                <w:rFonts w:cs="Arial"/>
                <w:color w:val="000000"/>
                <w:sz w:val="22"/>
                <w:szCs w:val="22"/>
              </w:rPr>
            </w:pPr>
            <w:r w:rsidRPr="00FA4DC7">
              <w:rPr>
                <w:rFonts w:cs="Arial"/>
                <w:color w:val="000000"/>
                <w:sz w:val="22"/>
                <w:szCs w:val="22"/>
              </w:rPr>
              <w:t>17,659</w:t>
            </w:r>
          </w:p>
        </w:tc>
        <w:tc>
          <w:tcPr>
            <w:tcW w:w="627" w:type="pct"/>
            <w:shd w:val="clear" w:color="auto" w:fill="auto"/>
            <w:noWrap/>
            <w:tcMar>
              <w:left w:w="0" w:type="dxa"/>
            </w:tcMar>
            <w:vAlign w:val="center"/>
            <w:hideMark/>
          </w:tcPr>
          <w:p w14:paraId="7C62E416" w14:textId="77777777" w:rsidR="00CE1BDB" w:rsidRPr="00FA4DC7" w:rsidRDefault="00CE1BDB" w:rsidP="00EF49A7">
            <w:pPr>
              <w:jc w:val="right"/>
              <w:rPr>
                <w:rFonts w:cs="Arial"/>
                <w:color w:val="000000"/>
                <w:sz w:val="22"/>
                <w:szCs w:val="22"/>
              </w:rPr>
            </w:pPr>
            <w:r w:rsidRPr="00FA4DC7">
              <w:rPr>
                <w:rFonts w:cs="Arial"/>
                <w:color w:val="000000"/>
                <w:sz w:val="22"/>
                <w:szCs w:val="22"/>
              </w:rPr>
              <w:t>6.3%</w:t>
            </w:r>
          </w:p>
        </w:tc>
        <w:tc>
          <w:tcPr>
            <w:tcW w:w="558" w:type="pct"/>
            <w:shd w:val="clear" w:color="auto" w:fill="auto"/>
            <w:noWrap/>
            <w:tcMar>
              <w:left w:w="0" w:type="dxa"/>
            </w:tcMar>
            <w:vAlign w:val="center"/>
            <w:hideMark/>
          </w:tcPr>
          <w:p w14:paraId="78D52330" w14:textId="77777777" w:rsidR="00CE1BDB" w:rsidRPr="00FA4DC7" w:rsidRDefault="00CE1BDB" w:rsidP="00EF49A7">
            <w:pPr>
              <w:jc w:val="right"/>
              <w:rPr>
                <w:rFonts w:cs="Arial"/>
                <w:color w:val="000000"/>
                <w:sz w:val="22"/>
                <w:szCs w:val="22"/>
              </w:rPr>
            </w:pPr>
            <w:r w:rsidRPr="00FA4DC7">
              <w:rPr>
                <w:rFonts w:cs="Arial"/>
                <w:color w:val="000000"/>
                <w:sz w:val="22"/>
                <w:szCs w:val="22"/>
              </w:rPr>
              <w:t>20,925</w:t>
            </w:r>
          </w:p>
        </w:tc>
        <w:tc>
          <w:tcPr>
            <w:tcW w:w="541" w:type="pct"/>
            <w:shd w:val="clear" w:color="auto" w:fill="auto"/>
            <w:noWrap/>
            <w:tcMar>
              <w:left w:w="0" w:type="dxa"/>
            </w:tcMar>
            <w:vAlign w:val="center"/>
            <w:hideMark/>
          </w:tcPr>
          <w:p w14:paraId="23B3EABD" w14:textId="77777777" w:rsidR="00CE1BDB" w:rsidRPr="00FA4DC7" w:rsidRDefault="00CE1BDB" w:rsidP="00EF49A7">
            <w:pPr>
              <w:jc w:val="right"/>
              <w:rPr>
                <w:rFonts w:cs="Arial"/>
                <w:color w:val="000000"/>
                <w:sz w:val="22"/>
                <w:szCs w:val="22"/>
              </w:rPr>
            </w:pPr>
            <w:r w:rsidRPr="00FA4DC7">
              <w:rPr>
                <w:rFonts w:cs="Arial"/>
                <w:color w:val="000000"/>
                <w:sz w:val="22"/>
                <w:szCs w:val="22"/>
              </w:rPr>
              <w:t>7.4%</w:t>
            </w:r>
          </w:p>
        </w:tc>
      </w:tr>
      <w:tr w:rsidR="00F2167F" w:rsidRPr="00FA4DC7" w14:paraId="350A4836" w14:textId="77777777" w:rsidTr="00FC07B8">
        <w:trPr>
          <w:trHeight w:val="660"/>
        </w:trPr>
        <w:tc>
          <w:tcPr>
            <w:tcW w:w="1092" w:type="pct"/>
            <w:shd w:val="clear" w:color="auto" w:fill="006666"/>
            <w:vAlign w:val="bottom"/>
          </w:tcPr>
          <w:p w14:paraId="3784B5F9" w14:textId="231798AE" w:rsidR="00F2167F" w:rsidRDefault="00F2167F" w:rsidP="00FC07B8">
            <w:pPr>
              <w:rPr>
                <w:rFonts w:cs="Arial"/>
                <w:color w:val="000000"/>
                <w:sz w:val="22"/>
                <w:szCs w:val="22"/>
              </w:rPr>
            </w:pPr>
            <w:r>
              <w:rPr>
                <w:rFonts w:cs="Arial"/>
                <w:b/>
                <w:bCs/>
                <w:color w:val="FFFFFF"/>
                <w:sz w:val="22"/>
                <w:szCs w:val="22"/>
              </w:rPr>
              <w:t>Comparison with 2014-based projections</w:t>
            </w:r>
          </w:p>
        </w:tc>
        <w:tc>
          <w:tcPr>
            <w:tcW w:w="521" w:type="pct"/>
            <w:shd w:val="clear" w:color="auto" w:fill="006666"/>
            <w:noWrap/>
            <w:tcMar>
              <w:left w:w="0" w:type="dxa"/>
              <w:right w:w="0" w:type="dxa"/>
            </w:tcMar>
            <w:vAlign w:val="bottom"/>
          </w:tcPr>
          <w:p w14:paraId="7945D052" w14:textId="60040302" w:rsidR="00F2167F" w:rsidRPr="00FA4DC7" w:rsidRDefault="00F2167F" w:rsidP="00FC07B8">
            <w:pPr>
              <w:jc w:val="center"/>
              <w:rPr>
                <w:rFonts w:cs="Arial"/>
                <w:color w:val="000000"/>
                <w:sz w:val="22"/>
                <w:szCs w:val="22"/>
              </w:rPr>
            </w:pPr>
            <w:r w:rsidRPr="00FA4DC7">
              <w:rPr>
                <w:rFonts w:cs="Arial"/>
                <w:b/>
                <w:bCs/>
                <w:color w:val="FFFFFF"/>
                <w:sz w:val="22"/>
                <w:szCs w:val="22"/>
              </w:rPr>
              <w:t>2021</w:t>
            </w:r>
          </w:p>
        </w:tc>
        <w:tc>
          <w:tcPr>
            <w:tcW w:w="521" w:type="pct"/>
            <w:shd w:val="clear" w:color="auto" w:fill="006666"/>
            <w:noWrap/>
            <w:tcMar>
              <w:left w:w="0" w:type="dxa"/>
              <w:right w:w="0" w:type="dxa"/>
            </w:tcMar>
            <w:vAlign w:val="bottom"/>
          </w:tcPr>
          <w:p w14:paraId="0655C2D8" w14:textId="14F44CEE" w:rsidR="00F2167F" w:rsidRPr="00FA4DC7" w:rsidRDefault="00F2167F" w:rsidP="00FC07B8">
            <w:pPr>
              <w:jc w:val="center"/>
              <w:rPr>
                <w:rFonts w:cs="Arial"/>
                <w:color w:val="000000"/>
                <w:sz w:val="22"/>
                <w:szCs w:val="22"/>
              </w:rPr>
            </w:pPr>
            <w:r w:rsidRPr="00FA4DC7">
              <w:rPr>
                <w:rFonts w:cs="Arial"/>
                <w:b/>
                <w:bCs/>
                <w:color w:val="FFFFFF"/>
                <w:sz w:val="22"/>
                <w:szCs w:val="22"/>
              </w:rPr>
              <w:t>2037</w:t>
            </w:r>
          </w:p>
        </w:tc>
        <w:tc>
          <w:tcPr>
            <w:tcW w:w="521" w:type="pct"/>
            <w:shd w:val="clear" w:color="auto" w:fill="006666"/>
            <w:noWrap/>
            <w:tcMar>
              <w:left w:w="0" w:type="dxa"/>
              <w:right w:w="0" w:type="dxa"/>
            </w:tcMar>
            <w:vAlign w:val="bottom"/>
          </w:tcPr>
          <w:p w14:paraId="23207F0F" w14:textId="7B37FAD5" w:rsidR="00F2167F" w:rsidRPr="00FA4DC7" w:rsidRDefault="00F2167F" w:rsidP="00FC07B8">
            <w:pPr>
              <w:jc w:val="center"/>
              <w:rPr>
                <w:rFonts w:cs="Arial"/>
                <w:color w:val="000000"/>
                <w:sz w:val="22"/>
                <w:szCs w:val="22"/>
              </w:rPr>
            </w:pPr>
            <w:r w:rsidRPr="00FA4DC7">
              <w:rPr>
                <w:rFonts w:cs="Arial"/>
                <w:b/>
                <w:bCs/>
                <w:color w:val="FFFFFF"/>
                <w:sz w:val="22"/>
                <w:szCs w:val="22"/>
              </w:rPr>
              <w:t>2040</w:t>
            </w:r>
          </w:p>
        </w:tc>
        <w:tc>
          <w:tcPr>
            <w:tcW w:w="619" w:type="pct"/>
            <w:shd w:val="clear" w:color="auto" w:fill="006666"/>
            <w:noWrap/>
            <w:tcMar>
              <w:left w:w="0" w:type="dxa"/>
              <w:right w:w="0" w:type="dxa"/>
            </w:tcMar>
            <w:vAlign w:val="bottom"/>
          </w:tcPr>
          <w:p w14:paraId="30B72AD5" w14:textId="2D9EBC4F" w:rsidR="00F2167F" w:rsidRPr="00FA4DC7" w:rsidRDefault="00F2167F" w:rsidP="00FC07B8">
            <w:pPr>
              <w:jc w:val="center"/>
              <w:rPr>
                <w:rFonts w:cs="Arial"/>
                <w:color w:val="000000"/>
                <w:sz w:val="22"/>
                <w:szCs w:val="22"/>
              </w:rPr>
            </w:pPr>
            <w:r w:rsidRPr="00FA4DC7">
              <w:rPr>
                <w:rFonts w:cs="Arial"/>
                <w:b/>
                <w:bCs/>
                <w:color w:val="FFFFFF"/>
                <w:sz w:val="22"/>
                <w:szCs w:val="22"/>
              </w:rPr>
              <w:t>Number change 2021-2037</w:t>
            </w:r>
          </w:p>
        </w:tc>
        <w:tc>
          <w:tcPr>
            <w:tcW w:w="627" w:type="pct"/>
            <w:shd w:val="clear" w:color="auto" w:fill="006666"/>
            <w:noWrap/>
            <w:tcMar>
              <w:left w:w="0" w:type="dxa"/>
              <w:right w:w="0" w:type="dxa"/>
            </w:tcMar>
            <w:vAlign w:val="bottom"/>
          </w:tcPr>
          <w:p w14:paraId="7DF2F2AF" w14:textId="3DAAF126" w:rsidR="00F2167F" w:rsidRPr="00FA4DC7" w:rsidRDefault="00F2167F" w:rsidP="00FC07B8">
            <w:pPr>
              <w:jc w:val="center"/>
              <w:rPr>
                <w:rFonts w:cs="Arial"/>
                <w:color w:val="000000"/>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2021-2037</w:t>
            </w:r>
          </w:p>
        </w:tc>
        <w:tc>
          <w:tcPr>
            <w:tcW w:w="558" w:type="pct"/>
            <w:shd w:val="clear" w:color="auto" w:fill="006666"/>
            <w:noWrap/>
            <w:tcMar>
              <w:left w:w="0" w:type="dxa"/>
              <w:right w:w="0" w:type="dxa"/>
            </w:tcMar>
            <w:vAlign w:val="bottom"/>
          </w:tcPr>
          <w:p w14:paraId="6C552473" w14:textId="73756DE4" w:rsidR="00F2167F" w:rsidRPr="00FA4DC7" w:rsidRDefault="00F2167F" w:rsidP="00FC07B8">
            <w:pPr>
              <w:jc w:val="center"/>
              <w:rPr>
                <w:rFonts w:cs="Arial"/>
                <w:color w:val="000000"/>
                <w:sz w:val="22"/>
                <w:szCs w:val="22"/>
              </w:rPr>
            </w:pPr>
            <w:r w:rsidRPr="00FA4DC7">
              <w:rPr>
                <w:rFonts w:cs="Arial"/>
                <w:b/>
                <w:bCs/>
                <w:color w:val="FFFFFF"/>
                <w:sz w:val="22"/>
                <w:szCs w:val="22"/>
              </w:rPr>
              <w:t>Number change 2021-20</w:t>
            </w:r>
            <w:r>
              <w:rPr>
                <w:rFonts w:cs="Arial"/>
                <w:b/>
                <w:bCs/>
                <w:color w:val="FFFFFF"/>
                <w:sz w:val="22"/>
                <w:szCs w:val="22"/>
              </w:rPr>
              <w:t>39</w:t>
            </w:r>
          </w:p>
        </w:tc>
        <w:tc>
          <w:tcPr>
            <w:tcW w:w="541" w:type="pct"/>
            <w:shd w:val="clear" w:color="auto" w:fill="006666"/>
            <w:noWrap/>
            <w:tcMar>
              <w:left w:w="0" w:type="dxa"/>
              <w:right w:w="0" w:type="dxa"/>
            </w:tcMar>
            <w:vAlign w:val="bottom"/>
          </w:tcPr>
          <w:p w14:paraId="196439CE" w14:textId="2D1E6838" w:rsidR="00F2167F" w:rsidRPr="00FA4DC7" w:rsidRDefault="00F2167F" w:rsidP="00FC07B8">
            <w:pPr>
              <w:jc w:val="center"/>
              <w:rPr>
                <w:rFonts w:cs="Arial"/>
                <w:color w:val="000000"/>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2021-20</w:t>
            </w:r>
            <w:r>
              <w:rPr>
                <w:rFonts w:cs="Arial"/>
                <w:b/>
                <w:bCs/>
                <w:color w:val="FFFFFF"/>
                <w:sz w:val="22"/>
                <w:szCs w:val="22"/>
              </w:rPr>
              <w:t>39</w:t>
            </w:r>
          </w:p>
        </w:tc>
      </w:tr>
      <w:tr w:rsidR="00F2167F" w:rsidRPr="00FA4DC7" w14:paraId="694BA36C" w14:textId="77777777" w:rsidTr="00FC07B8">
        <w:trPr>
          <w:trHeight w:val="660"/>
        </w:trPr>
        <w:tc>
          <w:tcPr>
            <w:tcW w:w="1092" w:type="pct"/>
            <w:shd w:val="clear" w:color="auto" w:fill="auto"/>
            <w:vAlign w:val="center"/>
          </w:tcPr>
          <w:p w14:paraId="3CF0DF41" w14:textId="1853BC76" w:rsidR="00F2167F" w:rsidRPr="00F2167F" w:rsidRDefault="00F2167F" w:rsidP="00F2167F">
            <w:pPr>
              <w:rPr>
                <w:rFonts w:cs="Arial"/>
                <w:color w:val="000000"/>
                <w:sz w:val="22"/>
                <w:szCs w:val="22"/>
              </w:rPr>
            </w:pPr>
            <w:r w:rsidRPr="00F2167F">
              <w:rPr>
                <w:rFonts w:cs="Arial"/>
                <w:color w:val="000000"/>
                <w:sz w:val="22"/>
                <w:szCs w:val="22"/>
              </w:rPr>
              <w:t>2014-based population projection</w:t>
            </w:r>
          </w:p>
        </w:tc>
        <w:tc>
          <w:tcPr>
            <w:tcW w:w="521" w:type="pct"/>
            <w:shd w:val="clear" w:color="auto" w:fill="auto"/>
            <w:noWrap/>
            <w:tcMar>
              <w:left w:w="0" w:type="dxa"/>
            </w:tcMar>
            <w:vAlign w:val="center"/>
          </w:tcPr>
          <w:p w14:paraId="7FB195F4" w14:textId="732EA525" w:rsidR="00F2167F" w:rsidRPr="00F2167F" w:rsidRDefault="00F2167F" w:rsidP="00F2167F">
            <w:pPr>
              <w:jc w:val="right"/>
              <w:rPr>
                <w:rFonts w:cs="Arial"/>
                <w:color w:val="000000"/>
                <w:sz w:val="22"/>
                <w:szCs w:val="22"/>
              </w:rPr>
            </w:pPr>
            <w:r w:rsidRPr="00F2167F">
              <w:rPr>
                <w:rFonts w:cs="Arial"/>
                <w:color w:val="000000"/>
                <w:sz w:val="22"/>
                <w:szCs w:val="22"/>
              </w:rPr>
              <w:t>293,600</w:t>
            </w:r>
          </w:p>
        </w:tc>
        <w:tc>
          <w:tcPr>
            <w:tcW w:w="521" w:type="pct"/>
            <w:shd w:val="clear" w:color="auto" w:fill="auto"/>
            <w:noWrap/>
            <w:tcMar>
              <w:left w:w="0" w:type="dxa"/>
            </w:tcMar>
            <w:vAlign w:val="center"/>
          </w:tcPr>
          <w:p w14:paraId="5AD2AD92" w14:textId="5F8282C9" w:rsidR="00F2167F" w:rsidRPr="00F2167F" w:rsidRDefault="00F2167F" w:rsidP="00F2167F">
            <w:pPr>
              <w:jc w:val="right"/>
              <w:rPr>
                <w:rFonts w:cs="Arial"/>
                <w:color w:val="000000"/>
                <w:sz w:val="22"/>
                <w:szCs w:val="22"/>
              </w:rPr>
            </w:pPr>
            <w:r w:rsidRPr="00F2167F">
              <w:rPr>
                <w:rFonts w:cs="Arial"/>
                <w:color w:val="000000"/>
                <w:sz w:val="22"/>
                <w:szCs w:val="22"/>
              </w:rPr>
              <w:t>335,000</w:t>
            </w:r>
          </w:p>
        </w:tc>
        <w:tc>
          <w:tcPr>
            <w:tcW w:w="521" w:type="pct"/>
            <w:shd w:val="clear" w:color="auto" w:fill="auto"/>
            <w:noWrap/>
            <w:tcMar>
              <w:left w:w="0" w:type="dxa"/>
            </w:tcMar>
            <w:vAlign w:val="center"/>
          </w:tcPr>
          <w:p w14:paraId="5F59A4A9" w14:textId="2CE04D16" w:rsidR="00F2167F" w:rsidRPr="00F2167F" w:rsidRDefault="00F2167F" w:rsidP="00F2167F">
            <w:pPr>
              <w:jc w:val="right"/>
              <w:rPr>
                <w:rFonts w:cs="Arial"/>
                <w:color w:val="000000"/>
                <w:sz w:val="22"/>
                <w:szCs w:val="22"/>
              </w:rPr>
            </w:pPr>
            <w:r w:rsidRPr="00F2167F">
              <w:rPr>
                <w:rFonts w:cs="Arial"/>
                <w:color w:val="000000"/>
                <w:sz w:val="22"/>
                <w:szCs w:val="22"/>
              </w:rPr>
              <w:t>339,800</w:t>
            </w:r>
          </w:p>
        </w:tc>
        <w:tc>
          <w:tcPr>
            <w:tcW w:w="619" w:type="pct"/>
            <w:shd w:val="clear" w:color="auto" w:fill="auto"/>
            <w:noWrap/>
            <w:tcMar>
              <w:left w:w="0" w:type="dxa"/>
            </w:tcMar>
            <w:vAlign w:val="center"/>
          </w:tcPr>
          <w:p w14:paraId="0D0ED372" w14:textId="33FA0655" w:rsidR="00F2167F" w:rsidRPr="00F2167F" w:rsidRDefault="00F2167F" w:rsidP="00F2167F">
            <w:pPr>
              <w:jc w:val="right"/>
              <w:rPr>
                <w:rFonts w:cs="Arial"/>
                <w:color w:val="000000"/>
                <w:sz w:val="22"/>
                <w:szCs w:val="22"/>
              </w:rPr>
            </w:pPr>
            <w:r w:rsidRPr="00F2167F">
              <w:rPr>
                <w:rFonts w:cs="Arial"/>
                <w:color w:val="000000"/>
                <w:sz w:val="22"/>
                <w:szCs w:val="22"/>
              </w:rPr>
              <w:t>41,400</w:t>
            </w:r>
          </w:p>
        </w:tc>
        <w:tc>
          <w:tcPr>
            <w:tcW w:w="627" w:type="pct"/>
            <w:shd w:val="clear" w:color="auto" w:fill="auto"/>
            <w:noWrap/>
            <w:tcMar>
              <w:left w:w="0" w:type="dxa"/>
            </w:tcMar>
            <w:vAlign w:val="center"/>
          </w:tcPr>
          <w:p w14:paraId="0CD26D0C" w14:textId="19D1AD58" w:rsidR="00F2167F" w:rsidRPr="00F2167F" w:rsidRDefault="00F2167F" w:rsidP="00F2167F">
            <w:pPr>
              <w:jc w:val="right"/>
              <w:rPr>
                <w:rFonts w:cs="Arial"/>
                <w:color w:val="000000"/>
                <w:sz w:val="22"/>
                <w:szCs w:val="22"/>
              </w:rPr>
            </w:pPr>
            <w:r w:rsidRPr="00F2167F">
              <w:rPr>
                <w:rFonts w:cs="Arial"/>
                <w:color w:val="000000"/>
                <w:sz w:val="22"/>
                <w:szCs w:val="22"/>
              </w:rPr>
              <w:t>14.1%</w:t>
            </w:r>
          </w:p>
        </w:tc>
        <w:tc>
          <w:tcPr>
            <w:tcW w:w="558" w:type="pct"/>
            <w:shd w:val="clear" w:color="auto" w:fill="auto"/>
            <w:noWrap/>
            <w:tcMar>
              <w:left w:w="0" w:type="dxa"/>
            </w:tcMar>
            <w:vAlign w:val="center"/>
          </w:tcPr>
          <w:p w14:paraId="7FAE1469" w14:textId="1BF3C0DE" w:rsidR="00F2167F" w:rsidRPr="00F2167F" w:rsidRDefault="00F2167F" w:rsidP="00F2167F">
            <w:pPr>
              <w:jc w:val="right"/>
              <w:rPr>
                <w:rFonts w:cs="Arial"/>
                <w:color w:val="000000"/>
                <w:sz w:val="22"/>
                <w:szCs w:val="22"/>
              </w:rPr>
            </w:pPr>
            <w:r w:rsidRPr="00F2167F">
              <w:rPr>
                <w:rFonts w:cs="Arial"/>
                <w:color w:val="000000"/>
                <w:sz w:val="22"/>
                <w:szCs w:val="22"/>
              </w:rPr>
              <w:t>46,200</w:t>
            </w:r>
          </w:p>
        </w:tc>
        <w:tc>
          <w:tcPr>
            <w:tcW w:w="541" w:type="pct"/>
            <w:shd w:val="clear" w:color="auto" w:fill="auto"/>
            <w:noWrap/>
            <w:tcMar>
              <w:left w:w="0" w:type="dxa"/>
            </w:tcMar>
            <w:vAlign w:val="center"/>
          </w:tcPr>
          <w:p w14:paraId="5452030B" w14:textId="713ACB74" w:rsidR="00F2167F" w:rsidRPr="00F2167F" w:rsidRDefault="00F2167F" w:rsidP="00F2167F">
            <w:pPr>
              <w:jc w:val="right"/>
              <w:rPr>
                <w:rFonts w:cs="Arial"/>
                <w:color w:val="000000"/>
                <w:sz w:val="22"/>
                <w:szCs w:val="22"/>
              </w:rPr>
            </w:pPr>
            <w:r w:rsidRPr="00F2167F">
              <w:rPr>
                <w:rFonts w:cs="Arial"/>
                <w:color w:val="000000"/>
                <w:sz w:val="22"/>
                <w:szCs w:val="22"/>
              </w:rPr>
              <w:t>15.7%</w:t>
            </w:r>
          </w:p>
        </w:tc>
      </w:tr>
    </w:tbl>
    <w:p w14:paraId="06E9BE74" w14:textId="62F46C04" w:rsidR="00CE1BDB" w:rsidRPr="00FA4DC7" w:rsidRDefault="00CE1BDB" w:rsidP="00CE1BDB">
      <w:pPr>
        <w:pStyle w:val="Reporttext"/>
        <w:numPr>
          <w:ilvl w:val="0"/>
          <w:numId w:val="0"/>
        </w:numPr>
        <w:rPr>
          <w:rFonts w:cs="Arial"/>
          <w:sz w:val="22"/>
          <w:szCs w:val="22"/>
        </w:rPr>
      </w:pPr>
      <w:r w:rsidRPr="00FA4DC7">
        <w:rPr>
          <w:rFonts w:cs="Arial"/>
          <w:sz w:val="22"/>
          <w:szCs w:val="22"/>
        </w:rPr>
        <w:t>Source: 2018-based ONS population projections</w:t>
      </w:r>
      <w:r w:rsidR="00F2167F">
        <w:rPr>
          <w:rFonts w:cs="Arial"/>
          <w:sz w:val="22"/>
          <w:szCs w:val="22"/>
        </w:rPr>
        <w:t>; 2014-based ONS population projection</w:t>
      </w:r>
    </w:p>
    <w:p w14:paraId="503C165F" w14:textId="77777777" w:rsidR="00CE1BDB" w:rsidRPr="00FA4DC7" w:rsidRDefault="00CE1BDB" w:rsidP="00CE1BDB">
      <w:pPr>
        <w:rPr>
          <w:rFonts w:cs="Arial"/>
        </w:rPr>
      </w:pPr>
    </w:p>
    <w:p w14:paraId="2C331720" w14:textId="77777777" w:rsidR="00CE1BDB" w:rsidRPr="00FA4DC7" w:rsidRDefault="00CE1BDB" w:rsidP="00CE1BDB">
      <w:pPr>
        <w:rPr>
          <w:rFonts w:cs="Arial"/>
          <w:b/>
          <w:bCs/>
        </w:rPr>
      </w:pPr>
      <w:r w:rsidRPr="00FA4DC7">
        <w:rPr>
          <w:rFonts w:cs="Arial"/>
          <w:b/>
          <w:bCs/>
        </w:rPr>
        <w:t>Note on migration assumptions underpinning 2018-based scenarios</w:t>
      </w:r>
    </w:p>
    <w:tbl>
      <w:tblPr>
        <w:tblStyle w:val="TableGrid"/>
        <w:tblW w:w="9056" w:type="dxa"/>
        <w:tblLook w:val="04A0" w:firstRow="1" w:lastRow="0" w:firstColumn="1" w:lastColumn="0" w:noHBand="0" w:noVBand="1"/>
      </w:tblPr>
      <w:tblGrid>
        <w:gridCol w:w="1652"/>
        <w:gridCol w:w="7404"/>
      </w:tblGrid>
      <w:tr w:rsidR="00CE1BDB" w:rsidRPr="00FA4DC7" w14:paraId="134888DD" w14:textId="77777777" w:rsidTr="00EF49A7">
        <w:trPr>
          <w:trHeight w:val="371"/>
        </w:trPr>
        <w:tc>
          <w:tcPr>
            <w:tcW w:w="1652" w:type="dxa"/>
          </w:tcPr>
          <w:p w14:paraId="3F0AED95" w14:textId="77777777" w:rsidR="00CE1BDB" w:rsidRPr="00FA4DC7" w:rsidRDefault="00CE1BDB" w:rsidP="00EF49A7">
            <w:pPr>
              <w:rPr>
                <w:rFonts w:cs="Arial"/>
                <w:color w:val="000000"/>
              </w:rPr>
            </w:pPr>
            <w:r w:rsidRPr="00FA4DC7">
              <w:rPr>
                <w:rFonts w:cs="Arial"/>
                <w:color w:val="000000"/>
              </w:rPr>
              <w:t>Principal</w:t>
            </w:r>
          </w:p>
        </w:tc>
        <w:tc>
          <w:tcPr>
            <w:tcW w:w="7404" w:type="dxa"/>
          </w:tcPr>
          <w:p w14:paraId="2149477F" w14:textId="77777777" w:rsidR="00CE1BDB" w:rsidRPr="00FA4DC7" w:rsidRDefault="00CE1BDB" w:rsidP="00EF49A7">
            <w:pPr>
              <w:rPr>
                <w:rFonts w:cs="Arial"/>
              </w:rPr>
            </w:pPr>
            <w:r w:rsidRPr="00FA4DC7">
              <w:rPr>
                <w:rFonts w:cs="Arial"/>
              </w:rPr>
              <w:t>Based on internal migration over most recent 2 years, 5 years of cross-border and 5 years international migration</w:t>
            </w:r>
          </w:p>
        </w:tc>
      </w:tr>
      <w:tr w:rsidR="00CE1BDB" w:rsidRPr="00FA4DC7" w14:paraId="121AEAC1" w14:textId="77777777" w:rsidTr="00EF49A7">
        <w:trPr>
          <w:trHeight w:val="385"/>
        </w:trPr>
        <w:tc>
          <w:tcPr>
            <w:tcW w:w="1652" w:type="dxa"/>
          </w:tcPr>
          <w:p w14:paraId="60B742D3" w14:textId="77777777" w:rsidR="00CE1BDB" w:rsidRPr="00FA4DC7" w:rsidRDefault="00CE1BDB" w:rsidP="00EF49A7">
            <w:pPr>
              <w:rPr>
                <w:rFonts w:cs="Arial"/>
              </w:rPr>
            </w:pPr>
            <w:r w:rsidRPr="00FA4DC7">
              <w:rPr>
                <w:rFonts w:cs="Arial"/>
                <w:color w:val="000000"/>
              </w:rPr>
              <w:t>10-Year migration</w:t>
            </w:r>
          </w:p>
        </w:tc>
        <w:tc>
          <w:tcPr>
            <w:tcW w:w="7404" w:type="dxa"/>
          </w:tcPr>
          <w:p w14:paraId="718B8FDC" w14:textId="77777777" w:rsidR="00CE1BDB" w:rsidRPr="00FA4DC7" w:rsidRDefault="00CE1BDB" w:rsidP="00EF49A7">
            <w:pPr>
              <w:rPr>
                <w:rFonts w:cs="Arial"/>
              </w:rPr>
            </w:pPr>
            <w:r w:rsidRPr="00FA4DC7">
              <w:rPr>
                <w:rFonts w:cs="Arial"/>
              </w:rPr>
              <w:t>Migration (internal, cross border and international) based on 10 years of data</w:t>
            </w:r>
          </w:p>
        </w:tc>
      </w:tr>
      <w:tr w:rsidR="00CE1BDB" w:rsidRPr="00FA4DC7" w14:paraId="4FD415FE" w14:textId="77777777" w:rsidTr="00EF49A7">
        <w:trPr>
          <w:trHeight w:val="371"/>
        </w:trPr>
        <w:tc>
          <w:tcPr>
            <w:tcW w:w="1652" w:type="dxa"/>
          </w:tcPr>
          <w:p w14:paraId="2DAC9D18" w14:textId="77777777" w:rsidR="00CE1BDB" w:rsidRPr="00FA4DC7" w:rsidRDefault="00CE1BDB" w:rsidP="00EF49A7">
            <w:pPr>
              <w:rPr>
                <w:rFonts w:cs="Arial"/>
              </w:rPr>
            </w:pPr>
            <w:r w:rsidRPr="00FA4DC7">
              <w:rPr>
                <w:rFonts w:cs="Arial"/>
                <w:color w:val="000000"/>
              </w:rPr>
              <w:t>High migration</w:t>
            </w:r>
          </w:p>
        </w:tc>
        <w:tc>
          <w:tcPr>
            <w:tcW w:w="7404" w:type="dxa"/>
          </w:tcPr>
          <w:p w14:paraId="52137749" w14:textId="77777777" w:rsidR="00CE1BDB" w:rsidRPr="00FA4DC7" w:rsidRDefault="00CE1BDB" w:rsidP="00EF49A7">
            <w:pPr>
              <w:rPr>
                <w:rFonts w:cs="Arial"/>
              </w:rPr>
            </w:pPr>
            <w:r w:rsidRPr="00FA4DC7">
              <w:rPr>
                <w:rFonts w:cs="Arial"/>
              </w:rPr>
              <w:t>Higher levels of net international migration but proportionate distribution by local authority remains the same</w:t>
            </w:r>
          </w:p>
        </w:tc>
      </w:tr>
      <w:tr w:rsidR="00CE1BDB" w:rsidRPr="00FA4DC7" w14:paraId="2082C36A" w14:textId="77777777" w:rsidTr="00EF49A7">
        <w:trPr>
          <w:trHeight w:val="385"/>
        </w:trPr>
        <w:tc>
          <w:tcPr>
            <w:tcW w:w="1652" w:type="dxa"/>
          </w:tcPr>
          <w:p w14:paraId="165C8F63" w14:textId="77777777" w:rsidR="00CE1BDB" w:rsidRPr="00FA4DC7" w:rsidRDefault="00CE1BDB" w:rsidP="00EF49A7">
            <w:pPr>
              <w:rPr>
                <w:rFonts w:cs="Arial"/>
              </w:rPr>
            </w:pPr>
            <w:r w:rsidRPr="00FA4DC7">
              <w:rPr>
                <w:rFonts w:cs="Arial"/>
                <w:color w:val="000000"/>
              </w:rPr>
              <w:t>Low migration</w:t>
            </w:r>
          </w:p>
        </w:tc>
        <w:tc>
          <w:tcPr>
            <w:tcW w:w="7404" w:type="dxa"/>
          </w:tcPr>
          <w:p w14:paraId="77F581D5" w14:textId="77777777" w:rsidR="00CE1BDB" w:rsidRPr="00FA4DC7" w:rsidRDefault="00CE1BDB" w:rsidP="00EF49A7">
            <w:pPr>
              <w:rPr>
                <w:rFonts w:cs="Arial"/>
              </w:rPr>
            </w:pPr>
            <w:r w:rsidRPr="00FA4DC7">
              <w:rPr>
                <w:rFonts w:cs="Arial"/>
              </w:rPr>
              <w:t>Lower levels of net international migration but proportionate distribution by local authority remains the same</w:t>
            </w:r>
          </w:p>
        </w:tc>
      </w:tr>
      <w:tr w:rsidR="00CE1BDB" w:rsidRPr="00FA4DC7" w14:paraId="6D39C44C" w14:textId="77777777" w:rsidTr="00EF49A7">
        <w:trPr>
          <w:trHeight w:val="371"/>
        </w:trPr>
        <w:tc>
          <w:tcPr>
            <w:tcW w:w="1652" w:type="dxa"/>
          </w:tcPr>
          <w:p w14:paraId="538F76E0" w14:textId="77777777" w:rsidR="00CE1BDB" w:rsidRPr="00FA4DC7" w:rsidRDefault="00CE1BDB" w:rsidP="00EF49A7">
            <w:pPr>
              <w:rPr>
                <w:rFonts w:cs="Arial"/>
              </w:rPr>
            </w:pPr>
            <w:r w:rsidRPr="00FA4DC7">
              <w:rPr>
                <w:rFonts w:cs="Arial"/>
                <w:color w:val="000000"/>
              </w:rPr>
              <w:t>Alternative migration</w:t>
            </w:r>
          </w:p>
        </w:tc>
        <w:tc>
          <w:tcPr>
            <w:tcW w:w="7404" w:type="dxa"/>
          </w:tcPr>
          <w:p w14:paraId="41D04026" w14:textId="77777777" w:rsidR="00CE1BDB" w:rsidRPr="00FA4DC7" w:rsidRDefault="00CE1BDB" w:rsidP="00EF49A7">
            <w:pPr>
              <w:rPr>
                <w:rFonts w:cs="Arial"/>
              </w:rPr>
            </w:pPr>
            <w:r w:rsidRPr="00FA4DC7">
              <w:rPr>
                <w:rFonts w:cs="Arial"/>
              </w:rPr>
              <w:t>Uses internal migration over most 5 years, 5 years of cross-border and 5 years international migration</w:t>
            </w:r>
          </w:p>
        </w:tc>
      </w:tr>
    </w:tbl>
    <w:p w14:paraId="5C2C9749" w14:textId="77777777" w:rsidR="00CE1BDB" w:rsidRPr="00FA4DC7" w:rsidRDefault="00CE1BDB" w:rsidP="00CE1BDB">
      <w:pPr>
        <w:rPr>
          <w:rFonts w:cs="Arial"/>
        </w:rPr>
      </w:pPr>
    </w:p>
    <w:p w14:paraId="35B4B924" w14:textId="77777777" w:rsidR="00CE1BDB" w:rsidRPr="00FA4DC7" w:rsidRDefault="001163AD" w:rsidP="00CE1BDB">
      <w:pPr>
        <w:rPr>
          <w:rFonts w:cs="Arial"/>
        </w:rPr>
      </w:pPr>
      <w:hyperlink r:id="rId25" w:history="1">
        <w:r w:rsidR="00CE1BDB" w:rsidRPr="00FA4DC7">
          <w:rPr>
            <w:rStyle w:val="Hyperlink"/>
            <w:rFonts w:cs="Arial"/>
          </w:rPr>
          <w:t>https://www.ons.gov.uk/peoplepopulationandcommunity/populationandmigration/populationprojections/articles/impactofdifferentmigrationtrendlengths/march2020</w:t>
        </w:r>
      </w:hyperlink>
      <w:r w:rsidR="00CE1BDB" w:rsidRPr="00FA4DC7">
        <w:rPr>
          <w:rFonts w:cs="Arial"/>
        </w:rPr>
        <w:t xml:space="preserve"> </w:t>
      </w:r>
    </w:p>
    <w:p w14:paraId="712F69F3" w14:textId="77777777" w:rsidR="00CE1BDB" w:rsidRPr="00FA4DC7" w:rsidRDefault="00CE1BDB" w:rsidP="00CE1BDB">
      <w:pPr>
        <w:pStyle w:val="Reporttext"/>
        <w:numPr>
          <w:ilvl w:val="0"/>
          <w:numId w:val="0"/>
        </w:numPr>
        <w:rPr>
          <w:rFonts w:cs="Arial"/>
        </w:rPr>
      </w:pPr>
    </w:p>
    <w:p w14:paraId="4300813E" w14:textId="36D785E0" w:rsidR="00FC07B8" w:rsidRDefault="00FC07B8">
      <w:pPr>
        <w:rPr>
          <w:rFonts w:cs="Arial"/>
          <w:highlight w:val="yellow"/>
          <w:lang w:eastAsia="en-US"/>
        </w:rPr>
      </w:pPr>
      <w:r>
        <w:rPr>
          <w:rFonts w:cs="Arial"/>
          <w:highlight w:val="yellow"/>
        </w:rPr>
        <w:br w:type="page"/>
      </w:r>
    </w:p>
    <w:p w14:paraId="056B0C02" w14:textId="3FB8B14E" w:rsidR="00CE1BDB" w:rsidRPr="00FA4DC7" w:rsidRDefault="00CE1BDB" w:rsidP="00CE1BDB">
      <w:pPr>
        <w:pStyle w:val="Figureheading0"/>
      </w:pPr>
      <w:bookmarkStart w:id="174" w:name="_Toc83036145"/>
      <w:r w:rsidRPr="00FA4DC7">
        <w:lastRenderedPageBreak/>
        <w:t>Figure 2.</w:t>
      </w:r>
      <w:r w:rsidR="009626AC">
        <w:t>2</w:t>
      </w:r>
      <w:r w:rsidRPr="00FA4DC7">
        <w:tab/>
        <w:t>Variant population projections 2020 to 2037/2040</w:t>
      </w:r>
      <w:bookmarkEnd w:id="174"/>
      <w:r w:rsidRPr="00FA4DC7">
        <w:t xml:space="preserve"> </w:t>
      </w:r>
    </w:p>
    <w:p w14:paraId="76B84C17" w14:textId="77777777" w:rsidR="00CE1BDB" w:rsidRPr="00FA4DC7" w:rsidRDefault="00CE1BDB" w:rsidP="00CE1BDB">
      <w:pPr>
        <w:rPr>
          <w:rFonts w:cs="Arial"/>
          <w:highlight w:val="yellow"/>
        </w:rPr>
      </w:pPr>
      <w:r w:rsidRPr="00FA4DC7">
        <w:rPr>
          <w:rFonts w:cs="Arial"/>
          <w:noProof/>
          <w:highlight w:val="yellow"/>
        </w:rPr>
        <w:t xml:space="preserve"> </w:t>
      </w:r>
      <w:r w:rsidRPr="00FA4DC7">
        <w:rPr>
          <w:rFonts w:cs="Arial"/>
          <w:noProof/>
        </w:rPr>
        <w:drawing>
          <wp:inline distT="0" distB="0" distL="0" distR="0" wp14:anchorId="4786B669" wp14:editId="2BBB2C69">
            <wp:extent cx="5904865" cy="3336925"/>
            <wp:effectExtent l="0" t="0" r="635" b="3175"/>
            <wp:docPr id="31" name="Picture 31" descr="Graph showing variant population projections 2020 to 2037/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showing variant population projections 2020 to 2037/2040"/>
                    <pic:cNvPicPr/>
                  </pic:nvPicPr>
                  <pic:blipFill>
                    <a:blip r:embed="rId26"/>
                    <a:stretch>
                      <a:fillRect/>
                    </a:stretch>
                  </pic:blipFill>
                  <pic:spPr>
                    <a:xfrm>
                      <a:off x="0" y="0"/>
                      <a:ext cx="5904865" cy="3336925"/>
                    </a:xfrm>
                    <a:prstGeom prst="rect">
                      <a:avLst/>
                    </a:prstGeom>
                  </pic:spPr>
                </pic:pic>
              </a:graphicData>
            </a:graphic>
          </wp:inline>
        </w:drawing>
      </w:r>
    </w:p>
    <w:p w14:paraId="174C045F" w14:textId="77777777" w:rsidR="00CE1BDB" w:rsidRPr="00FA4DC7" w:rsidRDefault="00CE1BDB" w:rsidP="00CE1BDB">
      <w:pPr>
        <w:pStyle w:val="Reporttext"/>
        <w:numPr>
          <w:ilvl w:val="0"/>
          <w:numId w:val="0"/>
        </w:numPr>
        <w:rPr>
          <w:rFonts w:cs="Arial"/>
          <w:sz w:val="22"/>
          <w:szCs w:val="22"/>
        </w:rPr>
      </w:pPr>
      <w:r w:rsidRPr="00FA4DC7">
        <w:rPr>
          <w:rFonts w:cs="Arial"/>
          <w:sz w:val="22"/>
          <w:szCs w:val="22"/>
        </w:rPr>
        <w:t xml:space="preserve">Source: 2018-based ONS population projections. </w:t>
      </w:r>
    </w:p>
    <w:p w14:paraId="5A506748" w14:textId="77777777" w:rsidR="00CE1BDB" w:rsidRPr="00FA4DC7" w:rsidRDefault="00CE1BDB" w:rsidP="00CE1BDB">
      <w:pPr>
        <w:pStyle w:val="Reporttext"/>
        <w:numPr>
          <w:ilvl w:val="0"/>
          <w:numId w:val="0"/>
        </w:numPr>
        <w:rPr>
          <w:rFonts w:cs="Arial"/>
          <w:sz w:val="22"/>
          <w:szCs w:val="22"/>
        </w:rPr>
      </w:pPr>
      <w:r w:rsidRPr="00FA4DC7">
        <w:rPr>
          <w:rFonts w:cs="Arial"/>
          <w:sz w:val="22"/>
          <w:szCs w:val="22"/>
        </w:rPr>
        <w:t xml:space="preserve">For full details of the alternative variant scenarios and background methodological notes please go to </w:t>
      </w:r>
      <w:hyperlink r:id="rId27" w:history="1">
        <w:r w:rsidRPr="00FA4DC7">
          <w:rPr>
            <w:rStyle w:val="Hyperlink"/>
            <w:rFonts w:cs="Arial"/>
            <w:sz w:val="22"/>
            <w:szCs w:val="22"/>
          </w:rPr>
          <w:t>https://www.ons.gov.uk/peoplepopulationandcommunity/populationandmigration/populationprojections/datasets/componentsofchangebirthsdeathsandmigrationforregionsandlocalauthoritiesinenglandtable5</w:t>
        </w:r>
      </w:hyperlink>
    </w:p>
    <w:p w14:paraId="59972CE4" w14:textId="77777777" w:rsidR="00CE1BDB" w:rsidRPr="00FA4DC7" w:rsidRDefault="00CE1BDB" w:rsidP="00CE1BDB">
      <w:pPr>
        <w:pStyle w:val="Reporttext"/>
        <w:numPr>
          <w:ilvl w:val="0"/>
          <w:numId w:val="0"/>
        </w:numPr>
        <w:rPr>
          <w:rFonts w:cs="Arial"/>
          <w:sz w:val="20"/>
          <w:szCs w:val="20"/>
        </w:rPr>
      </w:pPr>
    </w:p>
    <w:p w14:paraId="17A20AB6" w14:textId="77777777" w:rsidR="00CE1BDB" w:rsidRPr="00FA4DC7" w:rsidRDefault="00CE1BDB" w:rsidP="00CE1BDB">
      <w:pPr>
        <w:pStyle w:val="Heading3"/>
        <w:rPr>
          <w:rFonts w:cs="Arial"/>
        </w:rPr>
      </w:pPr>
      <w:r w:rsidRPr="00FA4DC7">
        <w:rPr>
          <w:rFonts w:cs="Arial"/>
        </w:rPr>
        <w:t>Components of population change</w:t>
      </w:r>
    </w:p>
    <w:p w14:paraId="3E81A077" w14:textId="450423D8" w:rsidR="00CE1BDB" w:rsidRPr="00FA4DC7" w:rsidRDefault="00CE1BDB" w:rsidP="00CE1BDB">
      <w:pPr>
        <w:pStyle w:val="Reporttext"/>
        <w:rPr>
          <w:rFonts w:cs="Arial"/>
        </w:rPr>
      </w:pPr>
      <w:r w:rsidRPr="00FA4DC7">
        <w:rPr>
          <w:rFonts w:cs="Arial"/>
        </w:rPr>
        <w:t xml:space="preserve">The ONS publish mid-year population estimates at local authority level which includes an analysis of components of population change, that is natural change, national </w:t>
      </w:r>
      <w:proofErr w:type="gramStart"/>
      <w:r w:rsidRPr="00FA4DC7">
        <w:rPr>
          <w:rFonts w:cs="Arial"/>
        </w:rPr>
        <w:t>migration</w:t>
      </w:r>
      <w:proofErr w:type="gramEnd"/>
      <w:r w:rsidRPr="00FA4DC7">
        <w:rPr>
          <w:rFonts w:cs="Arial"/>
        </w:rPr>
        <w:t xml:space="preserve"> and international migration. The component analysis also includes ‘other’ change which can include boundary adjustment and military population moves. The data for Medway 2011-2020 is shown in Figure 2.</w:t>
      </w:r>
      <w:r w:rsidR="001E6B07">
        <w:rPr>
          <w:rFonts w:cs="Arial"/>
        </w:rPr>
        <w:t>3</w:t>
      </w:r>
      <w:r w:rsidRPr="00FA4DC7">
        <w:rPr>
          <w:rFonts w:cs="Arial"/>
        </w:rPr>
        <w:t xml:space="preserve">. </w:t>
      </w:r>
    </w:p>
    <w:p w14:paraId="0DF5BF7D" w14:textId="77777777" w:rsidR="00CE1BDB" w:rsidRPr="00FA4DC7" w:rsidRDefault="00CE1BDB" w:rsidP="00CE1BDB">
      <w:pPr>
        <w:pStyle w:val="Reporttext"/>
        <w:rPr>
          <w:rFonts w:cs="Arial"/>
        </w:rPr>
      </w:pPr>
      <w:r w:rsidRPr="00FA4DC7">
        <w:rPr>
          <w:rFonts w:cs="Arial"/>
        </w:rPr>
        <w:t xml:space="preserve">Over the period 2011 to 2020, natural change has continued to have a positive impact on overall population. During 2016-2020, net out-migration to elsewhere in the UK resulted in population loss and the level of international net in-migration reduced. </w:t>
      </w:r>
    </w:p>
    <w:p w14:paraId="27BFD21D" w14:textId="77777777" w:rsidR="00CE1BDB" w:rsidRPr="00FA4DC7" w:rsidRDefault="00CE1BDB" w:rsidP="00CE1BDB">
      <w:pPr>
        <w:pStyle w:val="Figureheading0"/>
        <w:rPr>
          <w:highlight w:val="yellow"/>
        </w:rPr>
        <w:sectPr w:rsidR="00CE1BDB" w:rsidRPr="00FA4DC7" w:rsidSect="00EF49A7">
          <w:footerReference w:type="first" r:id="rId28"/>
          <w:pgSz w:w="11907" w:h="16840" w:code="9"/>
          <w:pgMar w:top="1304" w:right="1304" w:bottom="1559" w:left="1304" w:header="720" w:footer="567" w:gutter="0"/>
          <w:cols w:space="708"/>
          <w:noEndnote/>
          <w:docGrid w:linePitch="326"/>
        </w:sectPr>
      </w:pPr>
    </w:p>
    <w:p w14:paraId="04EC62C1" w14:textId="07102335" w:rsidR="00CE1BDB" w:rsidRPr="00FA4DC7" w:rsidRDefault="00CE1BDB" w:rsidP="00FC07B8">
      <w:pPr>
        <w:pStyle w:val="Figureheading0"/>
        <w:spacing w:after="240"/>
        <w:rPr>
          <w:bCs/>
          <w:szCs w:val="22"/>
        </w:rPr>
      </w:pPr>
      <w:bookmarkStart w:id="175" w:name="_Toc83036146"/>
      <w:r w:rsidRPr="00FA4DC7">
        <w:lastRenderedPageBreak/>
        <w:t>Figure 2.</w:t>
      </w:r>
      <w:r w:rsidR="009626AC">
        <w:t>3</w:t>
      </w:r>
      <w:r w:rsidRPr="00FA4DC7">
        <w:tab/>
        <w:t>Components of population change</w:t>
      </w:r>
      <w:bookmarkStart w:id="176" w:name="m_-2481815211680057787__Toc56426504"/>
      <w:r w:rsidRPr="00FA4DC7">
        <w:t xml:space="preserve"> 2011 to 2020</w:t>
      </w:r>
      <w:bookmarkEnd w:id="175"/>
      <w:bookmarkEnd w:id="176"/>
    </w:p>
    <w:p w14:paraId="7B952CC6" w14:textId="77777777" w:rsidR="00CE1BDB" w:rsidRPr="00FA4DC7" w:rsidRDefault="00CE1BDB" w:rsidP="00CE1BDB">
      <w:pPr>
        <w:rPr>
          <w:rFonts w:cs="Arial"/>
          <w:highlight w:val="yellow"/>
        </w:rPr>
      </w:pPr>
      <w:r w:rsidRPr="00FA4DC7">
        <w:rPr>
          <w:rFonts w:cs="Arial"/>
          <w:noProof/>
        </w:rPr>
        <w:drawing>
          <wp:inline distT="0" distB="0" distL="0" distR="0" wp14:anchorId="1C11A27C" wp14:editId="1731C0F6">
            <wp:extent cx="8896350" cy="4777602"/>
            <wp:effectExtent l="0" t="0" r="0" b="4445"/>
            <wp:docPr id="10" name="Picture 10" descr="Graph showing components of population change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components of population change 2011 to 2020"/>
                    <pic:cNvPicPr/>
                  </pic:nvPicPr>
                  <pic:blipFill>
                    <a:blip r:embed="rId29"/>
                    <a:stretch>
                      <a:fillRect/>
                    </a:stretch>
                  </pic:blipFill>
                  <pic:spPr>
                    <a:xfrm>
                      <a:off x="0" y="0"/>
                      <a:ext cx="8908166" cy="4783948"/>
                    </a:xfrm>
                    <a:prstGeom prst="rect">
                      <a:avLst/>
                    </a:prstGeom>
                  </pic:spPr>
                </pic:pic>
              </a:graphicData>
            </a:graphic>
          </wp:inline>
        </w:drawing>
      </w:r>
    </w:p>
    <w:p w14:paraId="24E39DA5" w14:textId="77777777" w:rsidR="00CE1BDB" w:rsidRPr="00FA4DC7" w:rsidRDefault="00CE1BDB" w:rsidP="00CE1BDB">
      <w:pPr>
        <w:pStyle w:val="Reporttext"/>
        <w:numPr>
          <w:ilvl w:val="0"/>
          <w:numId w:val="0"/>
        </w:numPr>
        <w:rPr>
          <w:rFonts w:cs="Arial"/>
        </w:rPr>
      </w:pPr>
      <w:r w:rsidRPr="00FA4DC7">
        <w:rPr>
          <w:rFonts w:cs="Arial"/>
        </w:rPr>
        <w:t>Source: ONS Components of Change</w:t>
      </w:r>
    </w:p>
    <w:p w14:paraId="4B238434" w14:textId="77777777" w:rsidR="00CE1BDB" w:rsidRPr="00FA4DC7" w:rsidRDefault="00CE1BDB" w:rsidP="00CE1BDB">
      <w:pPr>
        <w:pStyle w:val="Reporttext"/>
        <w:numPr>
          <w:ilvl w:val="0"/>
          <w:numId w:val="0"/>
        </w:numPr>
        <w:rPr>
          <w:rFonts w:cs="Arial"/>
          <w:highlight w:val="yellow"/>
        </w:rPr>
        <w:sectPr w:rsidR="00CE1BDB" w:rsidRPr="00FA4DC7" w:rsidSect="00EF49A7">
          <w:pgSz w:w="16840" w:h="11907" w:orient="landscape" w:code="9"/>
          <w:pgMar w:top="1304" w:right="1559" w:bottom="1304" w:left="1304" w:header="720" w:footer="567" w:gutter="0"/>
          <w:cols w:space="708"/>
          <w:noEndnote/>
          <w:docGrid w:linePitch="326"/>
        </w:sectPr>
      </w:pPr>
    </w:p>
    <w:p w14:paraId="2C93A0C0" w14:textId="77777777" w:rsidR="00CE1BDB" w:rsidRPr="00FA4DC7" w:rsidRDefault="00CE1BDB" w:rsidP="00CE1BDB">
      <w:pPr>
        <w:pStyle w:val="Heading3"/>
        <w:rPr>
          <w:rFonts w:cs="Arial"/>
        </w:rPr>
      </w:pPr>
      <w:r w:rsidRPr="00FA4DC7">
        <w:rPr>
          <w:rFonts w:cs="Arial"/>
        </w:rPr>
        <w:lastRenderedPageBreak/>
        <w:t>Migration trends 2011-2019</w:t>
      </w:r>
    </w:p>
    <w:p w14:paraId="368AA1C5" w14:textId="77777777" w:rsidR="00CE1BDB" w:rsidRPr="00FA4DC7" w:rsidRDefault="00CE1BDB" w:rsidP="00CE1BDB">
      <w:pPr>
        <w:pStyle w:val="Reporttext"/>
        <w:rPr>
          <w:rFonts w:cs="Arial"/>
        </w:rPr>
      </w:pPr>
      <w:r w:rsidRPr="00FA4DC7">
        <w:rPr>
          <w:rFonts w:cs="Arial"/>
        </w:rPr>
        <w:t xml:space="preserve">Table 2.14 presents a detailed analysis of internal and international migration by year and Table 2.14 summarises the data by broad age and year groups. The base numbers may differ slightly from the ONS components of change analysis due to rounding but provides useful insight into the age group of migrants, their origins and destinations and the relative importance of international migration. </w:t>
      </w:r>
    </w:p>
    <w:p w14:paraId="7F6CC8FF" w14:textId="77777777" w:rsidR="00CE1BDB" w:rsidRPr="00FA4DC7" w:rsidRDefault="00CE1BDB" w:rsidP="00CE1BDB">
      <w:pPr>
        <w:pStyle w:val="Reporttext"/>
        <w:rPr>
          <w:rFonts w:cs="Arial"/>
        </w:rPr>
      </w:pPr>
      <w:r w:rsidRPr="00FA4DC7">
        <w:rPr>
          <w:rFonts w:cs="Arial"/>
        </w:rPr>
        <w:t>Key trends in migration over the period 2011 to 2019 include:</w:t>
      </w:r>
    </w:p>
    <w:p w14:paraId="0B67D4F4" w14:textId="77777777" w:rsidR="00CE1BDB" w:rsidRPr="00FA4DC7" w:rsidRDefault="00CE1BDB" w:rsidP="00CE1BDB">
      <w:pPr>
        <w:pStyle w:val="bullet"/>
        <w:rPr>
          <w:rFonts w:cs="Arial"/>
        </w:rPr>
      </w:pPr>
      <w:r w:rsidRPr="00FA4DC7">
        <w:rPr>
          <w:rFonts w:cs="Arial"/>
        </w:rPr>
        <w:t>Overall net inflows to 2016 and net outflows since 2017.</w:t>
      </w:r>
    </w:p>
    <w:p w14:paraId="296140ED" w14:textId="77777777" w:rsidR="00CE1BDB" w:rsidRPr="00FA4DC7" w:rsidRDefault="00CE1BDB" w:rsidP="00CE1BDB">
      <w:pPr>
        <w:pStyle w:val="bullet"/>
        <w:rPr>
          <w:rFonts w:cs="Arial"/>
        </w:rPr>
      </w:pPr>
      <w:r w:rsidRPr="00FA4DC7">
        <w:rPr>
          <w:rFonts w:cs="Arial"/>
        </w:rPr>
        <w:t xml:space="preserve">There are several population flows underpinning migration trends over the period 2011 to 2019: sustained and strong net inflows, averaging 1,240 people each year  from south east London (Bexley, Greenwich and Lewisham in particular; a consistent net in-migration from the rest of London averaging 761; net inflows from Gravesham (averaging 385) and Dartford (averaging 266) with net outflows to Swale (averaging -483), Maidstone (averaging -261) and Tonbridge and </w:t>
      </w:r>
      <w:proofErr w:type="spellStart"/>
      <w:r w:rsidRPr="00FA4DC7">
        <w:rPr>
          <w:rFonts w:cs="Arial"/>
        </w:rPr>
        <w:t>Malling</w:t>
      </w:r>
      <w:proofErr w:type="spellEnd"/>
      <w:r w:rsidRPr="00FA4DC7">
        <w:rPr>
          <w:rFonts w:cs="Arial"/>
        </w:rPr>
        <w:t xml:space="preserve"> (averaging -158); Further outflows to the rest of the South East (-548) and rest of England (-1,010) which increased to a net outflow of over 1,700 in 2017 and 2018; net inflows of international migrants, averaging 333 and peaking in 2015 at 729. </w:t>
      </w:r>
    </w:p>
    <w:p w14:paraId="130484FD" w14:textId="77777777" w:rsidR="00CE1BDB" w:rsidRPr="00FA4DC7" w:rsidRDefault="00CE1BDB" w:rsidP="00CE1BDB">
      <w:pPr>
        <w:pStyle w:val="bullet"/>
        <w:rPr>
          <w:rFonts w:cs="Arial"/>
        </w:rPr>
      </w:pPr>
      <w:r w:rsidRPr="00FA4DC7">
        <w:rPr>
          <w:rFonts w:cs="Arial"/>
        </w:rPr>
        <w:t>In terms of migration by age group:</w:t>
      </w:r>
    </w:p>
    <w:p w14:paraId="2F6E9CED" w14:textId="77777777" w:rsidR="00CE1BDB" w:rsidRPr="00FA4DC7" w:rsidRDefault="00CE1BDB" w:rsidP="00CE1BDB">
      <w:pPr>
        <w:pStyle w:val="bulletlevel2"/>
      </w:pPr>
      <w:r w:rsidRPr="00FA4DC7">
        <w:t xml:space="preserve">During 2011-16, the key inflow was people under 30 from London Boroughs. This has been counteracted since 2016 with an increasing level of net out-migration to the rest of the </w:t>
      </w:r>
      <w:proofErr w:type="gramStart"/>
      <w:r w:rsidRPr="00FA4DC7">
        <w:t>South East</w:t>
      </w:r>
      <w:proofErr w:type="gramEnd"/>
      <w:r w:rsidRPr="00FA4DC7">
        <w:t xml:space="preserve"> and England.</w:t>
      </w:r>
    </w:p>
    <w:p w14:paraId="418700B9" w14:textId="77777777" w:rsidR="00CE1BDB" w:rsidRPr="00FA4DC7" w:rsidRDefault="00CE1BDB" w:rsidP="00CE1BDB">
      <w:pPr>
        <w:pStyle w:val="bulletlevel2"/>
      </w:pPr>
      <w:r w:rsidRPr="00FA4DC7">
        <w:t xml:space="preserve">There have been more modest net inflows of the 30-64 age group in 2011-16 but in 2017-19 there was an outflow of 917 people to the rest of the </w:t>
      </w:r>
      <w:proofErr w:type="gramStart"/>
      <w:r w:rsidRPr="00FA4DC7">
        <w:t>South East</w:t>
      </w:r>
      <w:proofErr w:type="gramEnd"/>
      <w:r w:rsidRPr="00FA4DC7">
        <w:t xml:space="preserve"> and England.</w:t>
      </w:r>
    </w:p>
    <w:p w14:paraId="73337DC3" w14:textId="77777777" w:rsidR="00CE1BDB" w:rsidRPr="00FA4DC7" w:rsidRDefault="00CE1BDB" w:rsidP="00CE1BDB">
      <w:pPr>
        <w:pStyle w:val="bulletlevel2"/>
      </w:pPr>
      <w:r w:rsidRPr="00FA4DC7">
        <w:t xml:space="preserve">For the 65+ age group, </w:t>
      </w:r>
      <w:proofErr w:type="gramStart"/>
      <w:r w:rsidRPr="00FA4DC7">
        <w:t>overall</w:t>
      </w:r>
      <w:proofErr w:type="gramEnd"/>
      <w:r w:rsidRPr="00FA4DC7">
        <w:t xml:space="preserve"> there has been an overall migration outflow (averaging 398), mainly to the rest of the South East and England.</w:t>
      </w:r>
    </w:p>
    <w:p w14:paraId="196CA9C3" w14:textId="77777777" w:rsidR="00CE1BDB" w:rsidRPr="00FA4DC7" w:rsidRDefault="00CE1BDB" w:rsidP="00CE1BDB">
      <w:pPr>
        <w:pStyle w:val="bulletlevel2"/>
      </w:pPr>
      <w:r w:rsidRPr="00FA4DC7">
        <w:t xml:space="preserve">There have been sustained net inflows of all age groups from Dartford and Gravesham and strongest outflows of under 30s to Swale (averaging 574 and increasing to -952 in 2017-19) and 30-64s to Swale (averaging 773 and increasing to -1,113 in 2017-19). </w:t>
      </w:r>
    </w:p>
    <w:p w14:paraId="78B9647E" w14:textId="77777777" w:rsidR="00CE1BDB" w:rsidRPr="00FA4DC7" w:rsidRDefault="00CE1BDB" w:rsidP="00CE1BDB">
      <w:pPr>
        <w:pStyle w:val="bullet"/>
        <w:rPr>
          <w:rFonts w:cs="Arial"/>
        </w:rPr>
      </w:pPr>
      <w:r w:rsidRPr="00FA4DC7">
        <w:rPr>
          <w:rFonts w:cs="Arial"/>
        </w:rPr>
        <w:t>Net international migration is predominantly people aged under 30 and sustained throughout the period with an average net international migration of 871 peaking in 2014-16 at 1,217. Average annual net international migration amongst 30-64s is 86 and 65+ is 43.</w:t>
      </w:r>
    </w:p>
    <w:p w14:paraId="7B5140FD" w14:textId="77777777" w:rsidR="00CE1BDB" w:rsidRPr="00FA4DC7" w:rsidRDefault="00CE1BDB" w:rsidP="00CE1BDB">
      <w:pPr>
        <w:pStyle w:val="Reporttext"/>
        <w:rPr>
          <w:rFonts w:cs="Arial"/>
        </w:rPr>
      </w:pPr>
      <w:r w:rsidRPr="00FA4DC7">
        <w:rPr>
          <w:rFonts w:cs="Arial"/>
        </w:rPr>
        <w:t xml:space="preserve">An analysis of migration flows indicates that several migration flows have helped to increase the population of the borough, particularly through flows from </w:t>
      </w:r>
      <w:proofErr w:type="gramStart"/>
      <w:r w:rsidRPr="00FA4DC7">
        <w:rPr>
          <w:rFonts w:cs="Arial"/>
        </w:rPr>
        <w:t>south east</w:t>
      </w:r>
      <w:proofErr w:type="gramEnd"/>
      <w:r w:rsidRPr="00FA4DC7">
        <w:rPr>
          <w:rFonts w:cs="Arial"/>
        </w:rPr>
        <w:t xml:space="preserve"> London and London generally, Dartford and Gravesham. These have been counteracted by net outflows to the Maidstone, Swale, Tonbridge and </w:t>
      </w:r>
      <w:proofErr w:type="spellStart"/>
      <w:proofErr w:type="gramStart"/>
      <w:r w:rsidRPr="00FA4DC7">
        <w:rPr>
          <w:rFonts w:cs="Arial"/>
        </w:rPr>
        <w:t>Malling</w:t>
      </w:r>
      <w:proofErr w:type="spellEnd"/>
      <w:r w:rsidRPr="00FA4DC7">
        <w:rPr>
          <w:rFonts w:cs="Arial"/>
        </w:rPr>
        <w:t>,  the</w:t>
      </w:r>
      <w:proofErr w:type="gramEnd"/>
      <w:r w:rsidRPr="00FA4DC7">
        <w:rPr>
          <w:rFonts w:cs="Arial"/>
        </w:rPr>
        <w:t xml:space="preserve"> rest of the South East and elsewhere in England. There is a need to develop a range of dwellings to continue to encourage people into </w:t>
      </w:r>
      <w:proofErr w:type="gramStart"/>
      <w:r w:rsidRPr="00FA4DC7">
        <w:rPr>
          <w:rFonts w:cs="Arial"/>
        </w:rPr>
        <w:t>Medway  and</w:t>
      </w:r>
      <w:proofErr w:type="gramEnd"/>
      <w:r w:rsidRPr="00FA4DC7">
        <w:rPr>
          <w:rFonts w:cs="Arial"/>
        </w:rPr>
        <w:t xml:space="preserve"> diversify the offer to help retain both younger and older people.</w:t>
      </w:r>
    </w:p>
    <w:p w14:paraId="773716A1" w14:textId="77777777" w:rsidR="00CE1BDB" w:rsidRPr="00FA4DC7" w:rsidRDefault="00CE1BDB" w:rsidP="00CE1BDB">
      <w:pPr>
        <w:pStyle w:val="Reporttext"/>
        <w:numPr>
          <w:ilvl w:val="0"/>
          <w:numId w:val="0"/>
        </w:numPr>
        <w:ind w:left="709"/>
        <w:rPr>
          <w:rFonts w:cs="Arial"/>
          <w:highlight w:val="yellow"/>
        </w:rPr>
      </w:pPr>
    </w:p>
    <w:p w14:paraId="176C0DE9" w14:textId="77777777" w:rsidR="00CE1BDB" w:rsidRPr="00FA4DC7" w:rsidRDefault="00CE1BDB" w:rsidP="00CE1BDB">
      <w:pPr>
        <w:pStyle w:val="Reporttext"/>
        <w:numPr>
          <w:ilvl w:val="0"/>
          <w:numId w:val="0"/>
        </w:numPr>
        <w:ind w:left="709"/>
        <w:rPr>
          <w:rFonts w:cs="Arial"/>
          <w:highlight w:val="yellow"/>
        </w:rPr>
      </w:pPr>
    </w:p>
    <w:p w14:paraId="275E5B05" w14:textId="77777777" w:rsidR="00CE1BDB" w:rsidRPr="00FA4DC7" w:rsidRDefault="00CE1BDB" w:rsidP="00CE1BDB">
      <w:pPr>
        <w:pStyle w:val="Reporttext"/>
        <w:numPr>
          <w:ilvl w:val="0"/>
          <w:numId w:val="0"/>
        </w:numPr>
        <w:ind w:left="709"/>
        <w:rPr>
          <w:rFonts w:cs="Arial"/>
          <w:highlight w:val="yellow"/>
        </w:rPr>
        <w:sectPr w:rsidR="00CE1BDB" w:rsidRPr="00FA4DC7" w:rsidSect="00EF49A7">
          <w:pgSz w:w="11907" w:h="16840" w:code="9"/>
          <w:pgMar w:top="1304" w:right="1304" w:bottom="1559" w:left="1304" w:header="720" w:footer="567" w:gutter="0"/>
          <w:cols w:space="708"/>
          <w:noEndnote/>
          <w:docGrid w:linePitch="326"/>
        </w:sectPr>
      </w:pPr>
    </w:p>
    <w:p w14:paraId="69D68B35" w14:textId="77777777" w:rsidR="00CE1BDB" w:rsidRPr="00FA4DC7" w:rsidRDefault="00CE1BDB" w:rsidP="00CE1BDB">
      <w:pPr>
        <w:pStyle w:val="Tableheading1"/>
        <w:rPr>
          <w:rFonts w:cs="Arial"/>
          <w:color w:val="006666"/>
        </w:rPr>
      </w:pPr>
      <w:bookmarkStart w:id="177" w:name="_Toc83036067"/>
      <w:r w:rsidRPr="00FA4DC7">
        <w:rPr>
          <w:rFonts w:cs="Arial"/>
          <w:color w:val="006666"/>
        </w:rPr>
        <w:lastRenderedPageBreak/>
        <w:t>Table 2.14</w:t>
      </w:r>
      <w:r w:rsidRPr="00FA4DC7">
        <w:rPr>
          <w:rFonts w:cs="Arial"/>
        </w:rPr>
        <w:tab/>
      </w:r>
      <w:r w:rsidRPr="00FA4DC7">
        <w:rPr>
          <w:rFonts w:cs="Arial"/>
          <w:color w:val="006666"/>
        </w:rPr>
        <w:t>National and international migration by year</w:t>
      </w:r>
      <w:bookmarkEnd w:id="177"/>
    </w:p>
    <w:p w14:paraId="66A75987" w14:textId="039F4EA6" w:rsidR="00CE1BDB" w:rsidRPr="00FA4DC7" w:rsidRDefault="00F2167F" w:rsidP="00CE1BDB">
      <w:pPr>
        <w:pStyle w:val="Reporttext"/>
        <w:numPr>
          <w:ilvl w:val="1"/>
          <w:numId w:val="0"/>
        </w:numPr>
        <w:ind w:left="709" w:hanging="709"/>
        <w:rPr>
          <w:rFonts w:cs="Arial"/>
        </w:rPr>
      </w:pPr>
      <w:r w:rsidRPr="00F2167F">
        <w:rPr>
          <w:rFonts w:cs="Arial"/>
          <w:noProof/>
        </w:rPr>
        <w:drawing>
          <wp:inline distT="0" distB="0" distL="0" distR="0" wp14:anchorId="1198E297" wp14:editId="3D994D6D">
            <wp:extent cx="9123033" cy="3819525"/>
            <wp:effectExtent l="0" t="0" r="2540" b="0"/>
            <wp:docPr id="29" name="Picture 29" descr="Table showing national and international migra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showing national and international migration by year"/>
                    <pic:cNvPicPr/>
                  </pic:nvPicPr>
                  <pic:blipFill>
                    <a:blip r:embed="rId30"/>
                    <a:stretch>
                      <a:fillRect/>
                    </a:stretch>
                  </pic:blipFill>
                  <pic:spPr>
                    <a:xfrm>
                      <a:off x="0" y="0"/>
                      <a:ext cx="9146859" cy="3829500"/>
                    </a:xfrm>
                    <a:prstGeom prst="rect">
                      <a:avLst/>
                    </a:prstGeom>
                  </pic:spPr>
                </pic:pic>
              </a:graphicData>
            </a:graphic>
          </wp:inline>
        </w:drawing>
      </w:r>
    </w:p>
    <w:p w14:paraId="3D2271C0" w14:textId="77777777" w:rsidR="00CE1BDB" w:rsidRPr="00FA4DC7" w:rsidRDefault="00CE1BDB" w:rsidP="00CE1BDB">
      <w:pPr>
        <w:rPr>
          <w:rFonts w:cs="Arial"/>
          <w:color w:val="000000"/>
          <w:sz w:val="22"/>
          <w:szCs w:val="22"/>
        </w:rPr>
      </w:pPr>
      <w:r w:rsidRPr="00FA4DC7">
        <w:rPr>
          <w:rFonts w:cs="Arial"/>
          <w:color w:val="000000"/>
          <w:sz w:val="22"/>
          <w:szCs w:val="22"/>
        </w:rPr>
        <w:t>Sources:</w:t>
      </w:r>
    </w:p>
    <w:p w14:paraId="6D72A731" w14:textId="77777777" w:rsidR="00CE1BDB" w:rsidRPr="00FA4DC7" w:rsidRDefault="00CE1BDB" w:rsidP="00CE1BDB">
      <w:pPr>
        <w:rPr>
          <w:rFonts w:cs="Arial"/>
          <w:color w:val="000000"/>
          <w:sz w:val="22"/>
          <w:szCs w:val="22"/>
        </w:rPr>
      </w:pPr>
      <w:r w:rsidRPr="00FA4DC7">
        <w:rPr>
          <w:rFonts w:cs="Arial"/>
          <w:b/>
          <w:bCs/>
          <w:color w:val="000000"/>
          <w:sz w:val="22"/>
          <w:szCs w:val="22"/>
        </w:rPr>
        <w:t>Internal</w:t>
      </w:r>
      <w:r w:rsidRPr="00FA4DC7">
        <w:rPr>
          <w:rFonts w:cs="Arial"/>
          <w:color w:val="000000"/>
          <w:sz w:val="22"/>
          <w:szCs w:val="22"/>
        </w:rPr>
        <w:t xml:space="preserve">: ONS detailed estimates of by origin and destination by local authorities age and sex </w:t>
      </w:r>
    </w:p>
    <w:p w14:paraId="6284F7D6" w14:textId="77777777" w:rsidR="00CE1BDB" w:rsidRPr="00FA4DC7" w:rsidRDefault="00CE1BDB" w:rsidP="00CE1BDB">
      <w:pPr>
        <w:rPr>
          <w:rFonts w:cs="Arial"/>
          <w:color w:val="000000"/>
          <w:sz w:val="22"/>
          <w:szCs w:val="22"/>
        </w:rPr>
      </w:pPr>
      <w:r w:rsidRPr="00FA4DC7">
        <w:rPr>
          <w:rFonts w:cs="Arial"/>
          <w:b/>
          <w:bCs/>
          <w:color w:val="000000"/>
          <w:sz w:val="22"/>
          <w:szCs w:val="22"/>
        </w:rPr>
        <w:t>International:</w:t>
      </w:r>
      <w:r w:rsidRPr="00FA4DC7">
        <w:rPr>
          <w:rFonts w:cs="Arial"/>
          <w:color w:val="000000"/>
          <w:sz w:val="22"/>
          <w:szCs w:val="22"/>
        </w:rPr>
        <w:t xml:space="preserve"> ONS Detailed time series 2001 -2019 (Table: MYEB2)</w:t>
      </w:r>
    </w:p>
    <w:p w14:paraId="2224C275" w14:textId="77777777" w:rsidR="00CE1BDB" w:rsidRPr="00FA4DC7" w:rsidRDefault="00CE1BDB" w:rsidP="00CE1BDB">
      <w:pPr>
        <w:pStyle w:val="Reporttext"/>
        <w:numPr>
          <w:ilvl w:val="0"/>
          <w:numId w:val="0"/>
        </w:numPr>
        <w:ind w:left="709"/>
        <w:rPr>
          <w:rFonts w:cs="Arial"/>
          <w:sz w:val="22"/>
          <w:szCs w:val="22"/>
          <w:highlight w:val="yellow"/>
        </w:rPr>
        <w:sectPr w:rsidR="00CE1BDB" w:rsidRPr="00FA4DC7" w:rsidSect="00EF49A7">
          <w:pgSz w:w="16840" w:h="11907" w:orient="landscape" w:code="9"/>
          <w:pgMar w:top="1304" w:right="1559" w:bottom="1304" w:left="1020" w:header="720" w:footer="567" w:gutter="0"/>
          <w:cols w:space="708"/>
          <w:noEndnote/>
          <w:docGrid w:linePitch="326"/>
        </w:sectPr>
      </w:pPr>
    </w:p>
    <w:p w14:paraId="7744C3B0" w14:textId="77777777" w:rsidR="00CE1BDB" w:rsidRPr="00FA4DC7" w:rsidRDefault="00CE1BDB" w:rsidP="00CE1BDB">
      <w:pPr>
        <w:pStyle w:val="Tableheading1"/>
        <w:rPr>
          <w:rFonts w:cs="Arial"/>
          <w:color w:val="006666"/>
        </w:rPr>
      </w:pPr>
      <w:bookmarkStart w:id="178" w:name="_Toc83036068"/>
      <w:r w:rsidRPr="00FA4DC7">
        <w:rPr>
          <w:rFonts w:cs="Arial"/>
          <w:color w:val="006666"/>
        </w:rPr>
        <w:lastRenderedPageBreak/>
        <w:t>Table 2.15</w:t>
      </w:r>
      <w:r w:rsidRPr="00FA4DC7">
        <w:rPr>
          <w:rFonts w:cs="Arial"/>
          <w:color w:val="006666"/>
        </w:rPr>
        <w:tab/>
        <w:t>Summary of national and international migration by year group and age group</w:t>
      </w:r>
      <w:bookmarkEnd w:id="178"/>
    </w:p>
    <w:p w14:paraId="24143831" w14:textId="77777777" w:rsidR="00CE1BDB" w:rsidRPr="00FA4DC7" w:rsidRDefault="00CE1BDB" w:rsidP="00CE1BDB">
      <w:pPr>
        <w:pStyle w:val="Reporttext"/>
        <w:numPr>
          <w:ilvl w:val="1"/>
          <w:numId w:val="0"/>
        </w:numPr>
        <w:ind w:left="426" w:hanging="426"/>
        <w:rPr>
          <w:rFonts w:cs="Arial"/>
        </w:rPr>
      </w:pPr>
      <w:r w:rsidRPr="00FA4DC7">
        <w:rPr>
          <w:rFonts w:cs="Arial"/>
          <w:noProof/>
        </w:rPr>
        <w:drawing>
          <wp:inline distT="0" distB="0" distL="0" distR="0" wp14:anchorId="27C8878E" wp14:editId="00E5FF29">
            <wp:extent cx="9124950" cy="3810000"/>
            <wp:effectExtent l="0" t="0" r="0" b="0"/>
            <wp:docPr id="38" name="Picture 38" descr="Table showing summary of national and international migration by year group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showing summary of national and international migration by year group and age"/>
                    <pic:cNvPicPr/>
                  </pic:nvPicPr>
                  <pic:blipFill>
                    <a:blip r:embed="rId31"/>
                    <a:stretch>
                      <a:fillRect/>
                    </a:stretch>
                  </pic:blipFill>
                  <pic:spPr>
                    <a:xfrm>
                      <a:off x="0" y="0"/>
                      <a:ext cx="9133712" cy="3813658"/>
                    </a:xfrm>
                    <a:prstGeom prst="rect">
                      <a:avLst/>
                    </a:prstGeom>
                  </pic:spPr>
                </pic:pic>
              </a:graphicData>
            </a:graphic>
          </wp:inline>
        </w:drawing>
      </w:r>
    </w:p>
    <w:p w14:paraId="36BC7004" w14:textId="77777777" w:rsidR="00CE1BDB" w:rsidRPr="00FA4DC7" w:rsidRDefault="00CE1BDB" w:rsidP="00CE1BDB">
      <w:pPr>
        <w:rPr>
          <w:rFonts w:cs="Arial"/>
          <w:color w:val="000000"/>
          <w:sz w:val="22"/>
          <w:szCs w:val="22"/>
        </w:rPr>
      </w:pPr>
      <w:r w:rsidRPr="00FA4DC7">
        <w:rPr>
          <w:rFonts w:cs="Arial"/>
          <w:color w:val="000000"/>
          <w:sz w:val="22"/>
          <w:szCs w:val="22"/>
        </w:rPr>
        <w:t>Sources:</w:t>
      </w:r>
    </w:p>
    <w:p w14:paraId="7622167A" w14:textId="77777777" w:rsidR="00CE1BDB" w:rsidRPr="00FA4DC7" w:rsidRDefault="00CE1BDB" w:rsidP="00CE1BDB">
      <w:pPr>
        <w:rPr>
          <w:rFonts w:cs="Arial"/>
          <w:color w:val="000000"/>
          <w:sz w:val="22"/>
          <w:szCs w:val="22"/>
        </w:rPr>
      </w:pPr>
      <w:r w:rsidRPr="00FA4DC7">
        <w:rPr>
          <w:rFonts w:cs="Arial"/>
          <w:b/>
          <w:bCs/>
          <w:color w:val="000000"/>
          <w:sz w:val="22"/>
          <w:szCs w:val="22"/>
        </w:rPr>
        <w:t>Internal</w:t>
      </w:r>
      <w:r w:rsidRPr="00FA4DC7">
        <w:rPr>
          <w:rFonts w:cs="Arial"/>
          <w:color w:val="000000"/>
          <w:sz w:val="22"/>
          <w:szCs w:val="22"/>
        </w:rPr>
        <w:t xml:space="preserve">: ONS detailed estimates of by origin and destination by local authorities age and sex </w:t>
      </w:r>
    </w:p>
    <w:p w14:paraId="14C53C09" w14:textId="77777777" w:rsidR="00CE1BDB" w:rsidRPr="00FA4DC7" w:rsidRDefault="00CE1BDB" w:rsidP="00CE1BDB">
      <w:pPr>
        <w:rPr>
          <w:rFonts w:cs="Arial"/>
          <w:color w:val="000000"/>
          <w:sz w:val="22"/>
          <w:szCs w:val="22"/>
        </w:rPr>
      </w:pPr>
      <w:r w:rsidRPr="00FA4DC7">
        <w:rPr>
          <w:rFonts w:cs="Arial"/>
          <w:b/>
          <w:bCs/>
          <w:color w:val="000000"/>
          <w:sz w:val="22"/>
          <w:szCs w:val="22"/>
        </w:rPr>
        <w:t>International:</w:t>
      </w:r>
      <w:r w:rsidRPr="00FA4DC7">
        <w:rPr>
          <w:rFonts w:cs="Arial"/>
          <w:color w:val="000000"/>
          <w:sz w:val="22"/>
          <w:szCs w:val="22"/>
        </w:rPr>
        <w:t xml:space="preserve"> ONS Detailed time series 2001 -2019 (Table: MYEB2)</w:t>
      </w:r>
    </w:p>
    <w:p w14:paraId="6D9CE688" w14:textId="77777777" w:rsidR="00CE1BDB" w:rsidRPr="00FA4DC7" w:rsidRDefault="00CE1BDB" w:rsidP="00CE1BDB">
      <w:pPr>
        <w:pStyle w:val="Reporttext"/>
        <w:numPr>
          <w:ilvl w:val="0"/>
          <w:numId w:val="0"/>
        </w:numPr>
        <w:ind w:left="709"/>
        <w:rPr>
          <w:rFonts w:cs="Arial"/>
          <w:sz w:val="22"/>
          <w:szCs w:val="22"/>
          <w:highlight w:val="yellow"/>
        </w:rPr>
        <w:sectPr w:rsidR="00CE1BDB" w:rsidRPr="00FA4DC7" w:rsidSect="00EF49A7">
          <w:pgSz w:w="16840" w:h="11907" w:orient="landscape" w:code="9"/>
          <w:pgMar w:top="1304" w:right="1559" w:bottom="1304" w:left="1020" w:header="720" w:footer="567" w:gutter="0"/>
          <w:cols w:space="708"/>
          <w:noEndnote/>
          <w:docGrid w:linePitch="326"/>
        </w:sectPr>
      </w:pPr>
    </w:p>
    <w:p w14:paraId="3744D143" w14:textId="77777777" w:rsidR="00CE1BDB" w:rsidRPr="00FA4DC7" w:rsidRDefault="00CE1BDB" w:rsidP="00CE1BDB">
      <w:pPr>
        <w:pStyle w:val="Heading3"/>
        <w:rPr>
          <w:rFonts w:cs="Arial"/>
        </w:rPr>
      </w:pPr>
      <w:r w:rsidRPr="00FA4DC7">
        <w:rPr>
          <w:rFonts w:cs="Arial"/>
        </w:rPr>
        <w:lastRenderedPageBreak/>
        <w:t xml:space="preserve">Household projections </w:t>
      </w:r>
    </w:p>
    <w:p w14:paraId="661CD9DE" w14:textId="77777777" w:rsidR="00CE1BDB" w:rsidRPr="00FA4DC7" w:rsidRDefault="00CE1BDB" w:rsidP="00CE1BDB">
      <w:pPr>
        <w:pStyle w:val="Reporttext"/>
        <w:rPr>
          <w:rFonts w:cs="Arial"/>
        </w:rPr>
      </w:pPr>
      <w:r w:rsidRPr="00FA4DC7">
        <w:rPr>
          <w:rFonts w:cs="Arial"/>
        </w:rPr>
        <w:t>The ONS produces household projections which are based on population projections. The ONS estimates the proportions of people who are likely to be household reference people by age, gender and household type based on census data. Variant household projections are also produced.</w:t>
      </w:r>
    </w:p>
    <w:p w14:paraId="7BDF1461" w14:textId="77777777" w:rsidR="00CE1BDB" w:rsidRPr="00FA4DC7" w:rsidRDefault="00CE1BDB" w:rsidP="00CE1BDB">
      <w:pPr>
        <w:pStyle w:val="Reporttext"/>
        <w:rPr>
          <w:rFonts w:cs="Arial"/>
        </w:rPr>
      </w:pPr>
      <w:r w:rsidRPr="00FA4DC7">
        <w:rPr>
          <w:rFonts w:cs="Arial"/>
        </w:rPr>
        <w:t xml:space="preserve">According to the 2018-based principal ONS household projections there are 112,740 households across the borough in 2021 and this is projected to increase </w:t>
      </w:r>
      <w:r w:rsidRPr="00C40CA1">
        <w:rPr>
          <w:rFonts w:cs="Arial"/>
        </w:rPr>
        <w:t>by 7,039 (6.2%) to</w:t>
      </w:r>
      <w:r w:rsidRPr="00FA4DC7">
        <w:rPr>
          <w:rFonts w:cs="Arial"/>
        </w:rPr>
        <w:t xml:space="preserve"> 119,779 by 2037; and by 8,397 (7.4%) to 121,137 by 2040. </w:t>
      </w:r>
    </w:p>
    <w:p w14:paraId="381DBB4F" w14:textId="0DA72775" w:rsidR="00CE1BDB" w:rsidRPr="00FA4DC7" w:rsidRDefault="00CE1BDB" w:rsidP="00CE1BDB">
      <w:pPr>
        <w:pStyle w:val="Reporttext"/>
        <w:rPr>
          <w:rFonts w:cs="Arial"/>
        </w:rPr>
      </w:pPr>
      <w:r w:rsidRPr="00FA4DC7">
        <w:rPr>
          <w:rFonts w:cs="Arial"/>
        </w:rPr>
        <w:t>Table 2.16 provides a detailed breakdown of household type by the age of Household Reference Person to 2036/2040. Currently available data shows that the overall household type profile is not expected to change over the 2020 to 2037/40 periods, with the dominant household types being ‘other households’ with two or more adults and ‘one person’ households. However, as illustrated in Figure 2.</w:t>
      </w:r>
      <w:r w:rsidR="001E6B07">
        <w:rPr>
          <w:rFonts w:cs="Arial"/>
        </w:rPr>
        <w:t>4</w:t>
      </w:r>
      <w:proofErr w:type="gramStart"/>
      <w:r w:rsidRPr="00FA4DC7">
        <w:rPr>
          <w:rFonts w:cs="Arial"/>
        </w:rPr>
        <w:t>,  there</w:t>
      </w:r>
      <w:proofErr w:type="gramEnd"/>
      <w:r w:rsidRPr="00FA4DC7">
        <w:rPr>
          <w:rFonts w:cs="Arial"/>
        </w:rPr>
        <w:t xml:space="preserve"> will be a marked increase in the number of households where the Household Reference Person is aged 65 or over.</w:t>
      </w:r>
    </w:p>
    <w:p w14:paraId="67A79918" w14:textId="77777777" w:rsidR="00CE1BDB" w:rsidRPr="00FA4DC7" w:rsidRDefault="00CE1BDB" w:rsidP="00CE1BDB">
      <w:pPr>
        <w:rPr>
          <w:rFonts w:cs="Arial"/>
          <w:highlight w:val="yellow"/>
        </w:rPr>
        <w:sectPr w:rsidR="00CE1BDB" w:rsidRPr="00FA4DC7" w:rsidSect="00EF49A7">
          <w:pgSz w:w="11907" w:h="16840" w:code="9"/>
          <w:pgMar w:top="1304" w:right="1304" w:bottom="1559" w:left="1304" w:header="720" w:footer="567" w:gutter="0"/>
          <w:cols w:space="708"/>
          <w:noEndnote/>
          <w:docGrid w:linePitch="326"/>
        </w:sectPr>
      </w:pPr>
    </w:p>
    <w:p w14:paraId="23A90DEE" w14:textId="14F30191" w:rsidR="00CE1BDB" w:rsidRPr="00FA4DC7" w:rsidRDefault="00CE1BDB" w:rsidP="00CE1BDB">
      <w:pPr>
        <w:pStyle w:val="Figureheading0"/>
      </w:pPr>
      <w:bookmarkStart w:id="179" w:name="_Toc83036147"/>
      <w:r w:rsidRPr="00FA4DC7">
        <w:lastRenderedPageBreak/>
        <w:t>Figure 2.</w:t>
      </w:r>
      <w:r w:rsidR="009626AC">
        <w:t>4</w:t>
      </w:r>
      <w:r w:rsidRPr="00FA4DC7">
        <w:tab/>
        <w:t xml:space="preserve">Profile of households by age of Household Reference </w:t>
      </w:r>
      <w:proofErr w:type="gramStart"/>
      <w:r w:rsidRPr="00FA4DC7">
        <w:t>Person  2021</w:t>
      </w:r>
      <w:proofErr w:type="gramEnd"/>
      <w:r w:rsidRPr="00FA4DC7">
        <w:t xml:space="preserve"> and 2037/40 and change to 2040</w:t>
      </w:r>
      <w:bookmarkEnd w:id="179"/>
    </w:p>
    <w:p w14:paraId="27881FA1" w14:textId="77777777" w:rsidR="00CE1BDB" w:rsidRPr="00FA4DC7" w:rsidRDefault="00CE1BDB" w:rsidP="00CE1BDB">
      <w:pPr>
        <w:pStyle w:val="ListParagraph"/>
        <w:ind w:left="0"/>
        <w:rPr>
          <w:rFonts w:ascii="Arial" w:hAnsi="Arial" w:cs="Arial"/>
        </w:rPr>
      </w:pPr>
      <w:r w:rsidRPr="00FA4DC7">
        <w:rPr>
          <w:rFonts w:ascii="Arial" w:hAnsi="Arial" w:cs="Arial"/>
          <w:noProof/>
        </w:rPr>
        <w:drawing>
          <wp:inline distT="0" distB="0" distL="0" distR="0" wp14:anchorId="075570FB" wp14:editId="03FA1C66">
            <wp:extent cx="8483600" cy="5016500"/>
            <wp:effectExtent l="0" t="0" r="0" b="0"/>
            <wp:docPr id="40" name="Picture 40" descr="Chart showing profile of age by household reference person 2021 and 2037/40 and change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showing profile of age by household reference person 2021 and 2037/40 and change to 2040"/>
                    <pic:cNvPicPr/>
                  </pic:nvPicPr>
                  <pic:blipFill>
                    <a:blip r:embed="rId32"/>
                    <a:stretch>
                      <a:fillRect/>
                    </a:stretch>
                  </pic:blipFill>
                  <pic:spPr>
                    <a:xfrm>
                      <a:off x="0" y="0"/>
                      <a:ext cx="8483600" cy="5016500"/>
                    </a:xfrm>
                    <a:prstGeom prst="rect">
                      <a:avLst/>
                    </a:prstGeom>
                  </pic:spPr>
                </pic:pic>
              </a:graphicData>
            </a:graphic>
          </wp:inline>
        </w:drawing>
      </w:r>
    </w:p>
    <w:p w14:paraId="2C3237DC" w14:textId="77777777" w:rsidR="00CE1BDB" w:rsidRPr="00FA4DC7" w:rsidRDefault="00CE1BDB" w:rsidP="00CE1BDB">
      <w:pPr>
        <w:pStyle w:val="Reporttext"/>
        <w:numPr>
          <w:ilvl w:val="0"/>
          <w:numId w:val="0"/>
        </w:numPr>
        <w:ind w:left="709" w:hanging="709"/>
        <w:rPr>
          <w:rFonts w:cs="Arial"/>
        </w:rPr>
      </w:pPr>
      <w:r w:rsidRPr="00FA4DC7">
        <w:rPr>
          <w:rFonts w:cs="Arial"/>
          <w:sz w:val="22"/>
          <w:szCs w:val="22"/>
        </w:rPr>
        <w:t>Source: 2018-based ONS household projections</w:t>
      </w:r>
    </w:p>
    <w:p w14:paraId="1D95BAA1" w14:textId="221ECFDE" w:rsidR="00FC07B8" w:rsidRDefault="00FC07B8">
      <w:pPr>
        <w:rPr>
          <w:rFonts w:cs="Arial"/>
          <w:highlight w:val="yellow"/>
          <w:lang w:eastAsia="en-US"/>
        </w:rPr>
      </w:pPr>
      <w:r>
        <w:rPr>
          <w:rFonts w:cs="Arial"/>
          <w:highlight w:val="yellow"/>
        </w:rPr>
        <w:br w:type="page"/>
      </w:r>
    </w:p>
    <w:p w14:paraId="142585D0" w14:textId="77777777" w:rsidR="00CE1BDB" w:rsidRPr="00FC07B8" w:rsidRDefault="00CE1BDB" w:rsidP="00FC07B8">
      <w:pPr>
        <w:pStyle w:val="Tableheading1"/>
        <w:rPr>
          <w:color w:val="009999"/>
        </w:rPr>
      </w:pPr>
      <w:bookmarkStart w:id="180" w:name="_Toc83036069"/>
      <w:r w:rsidRPr="00FC07B8">
        <w:rPr>
          <w:color w:val="009999"/>
        </w:rPr>
        <w:lastRenderedPageBreak/>
        <w:t>Table 2.16</w:t>
      </w:r>
      <w:r w:rsidRPr="00FC07B8">
        <w:rPr>
          <w:color w:val="009999"/>
        </w:rPr>
        <w:tab/>
        <w:t>Household types and change 2021-2036 and 2021-2040</w:t>
      </w:r>
      <w:bookmarkEnd w:id="180"/>
      <w:r w:rsidRPr="00FC07B8">
        <w:rPr>
          <w:color w:val="009999"/>
        </w:rPr>
        <w:t xml:space="preserve"> </w:t>
      </w:r>
    </w:p>
    <w:p w14:paraId="7E8B2F6F" w14:textId="77777777" w:rsidR="00CE1BDB" w:rsidRPr="00FA4DC7" w:rsidRDefault="00CE1BDB" w:rsidP="00CE1BDB">
      <w:pPr>
        <w:pStyle w:val="Reporttext"/>
        <w:numPr>
          <w:ilvl w:val="0"/>
          <w:numId w:val="0"/>
        </w:numPr>
        <w:rPr>
          <w:rFonts w:cs="Arial"/>
          <w:sz w:val="22"/>
          <w:szCs w:val="22"/>
          <w:highlight w:val="yellow"/>
        </w:rPr>
      </w:pPr>
      <w:r w:rsidRPr="00FA4DC7">
        <w:rPr>
          <w:rFonts w:cs="Arial"/>
          <w:noProof/>
          <w:sz w:val="22"/>
          <w:szCs w:val="22"/>
        </w:rPr>
        <w:drawing>
          <wp:inline distT="0" distB="0" distL="0" distR="0" wp14:anchorId="5C3A0C3C" wp14:editId="6C3547D2">
            <wp:extent cx="8162925" cy="5389117"/>
            <wp:effectExtent l="0" t="0" r="0" b="2540"/>
            <wp:docPr id="39" name="Picture 39" descr="Table showing household types and change 2021-2036 and 2021-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showing household types and change 2021-2036 and 2021-2040"/>
                    <pic:cNvPicPr/>
                  </pic:nvPicPr>
                  <pic:blipFill>
                    <a:blip r:embed="rId33"/>
                    <a:stretch>
                      <a:fillRect/>
                    </a:stretch>
                  </pic:blipFill>
                  <pic:spPr>
                    <a:xfrm>
                      <a:off x="0" y="0"/>
                      <a:ext cx="8167962" cy="5392442"/>
                    </a:xfrm>
                    <a:prstGeom prst="rect">
                      <a:avLst/>
                    </a:prstGeom>
                  </pic:spPr>
                </pic:pic>
              </a:graphicData>
            </a:graphic>
          </wp:inline>
        </w:drawing>
      </w:r>
    </w:p>
    <w:p w14:paraId="3CA7C257" w14:textId="77777777" w:rsidR="00CE1BDB" w:rsidRPr="00FA4DC7" w:rsidRDefault="00CE1BDB" w:rsidP="00CE1BDB">
      <w:pPr>
        <w:pStyle w:val="Reporttext"/>
        <w:numPr>
          <w:ilvl w:val="0"/>
          <w:numId w:val="0"/>
        </w:numPr>
        <w:rPr>
          <w:rFonts w:cs="Arial"/>
          <w:sz w:val="22"/>
          <w:szCs w:val="22"/>
        </w:rPr>
      </w:pPr>
      <w:r w:rsidRPr="00FA4DC7">
        <w:rPr>
          <w:rFonts w:cs="Arial"/>
          <w:sz w:val="22"/>
          <w:szCs w:val="22"/>
        </w:rPr>
        <w:t>Source: 2018-based ONS household projections</w:t>
      </w:r>
    </w:p>
    <w:p w14:paraId="0AD757C1" w14:textId="77777777" w:rsidR="00CE1BDB" w:rsidRPr="00FA4DC7" w:rsidRDefault="00CE1BDB" w:rsidP="00CE1BDB">
      <w:pPr>
        <w:rPr>
          <w:rFonts w:cs="Arial"/>
          <w:highlight w:val="yellow"/>
          <w:lang w:eastAsia="en-US"/>
        </w:rPr>
        <w:sectPr w:rsidR="00CE1BDB" w:rsidRPr="00FA4DC7" w:rsidSect="00EF49A7">
          <w:pgSz w:w="16840" w:h="11907" w:orient="landscape" w:code="9"/>
          <w:pgMar w:top="1304" w:right="1304" w:bottom="1304" w:left="1559" w:header="720" w:footer="567" w:gutter="0"/>
          <w:cols w:space="708"/>
          <w:noEndnote/>
          <w:docGrid w:linePitch="326"/>
        </w:sectPr>
      </w:pPr>
    </w:p>
    <w:p w14:paraId="0E10A5B2" w14:textId="77777777" w:rsidR="00CE1BDB" w:rsidRPr="00FA4DC7" w:rsidRDefault="00CE1BDB" w:rsidP="00CE1BDB">
      <w:pPr>
        <w:pStyle w:val="Heading2"/>
        <w:tabs>
          <w:tab w:val="left" w:pos="0"/>
          <w:tab w:val="left" w:pos="709"/>
          <w:tab w:val="left" w:pos="1418"/>
        </w:tabs>
        <w:ind w:left="709" w:firstLine="0"/>
        <w:rPr>
          <w:rFonts w:cs="Arial"/>
        </w:rPr>
      </w:pPr>
      <w:bookmarkStart w:id="181" w:name="_Toc83035650"/>
      <w:r w:rsidRPr="00FA4DC7">
        <w:rPr>
          <w:rFonts w:cs="Arial"/>
        </w:rPr>
        <w:lastRenderedPageBreak/>
        <w:t>Defining the Housing Market Sub-area: household migration and travel to work</w:t>
      </w:r>
      <w:bookmarkEnd w:id="181"/>
    </w:p>
    <w:p w14:paraId="2FB14F6C"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PPG asks councils to consider the extent to which their local authority area is a self-contained housing market area. This remains an important consideration for the council as the degree of interaction may require policy responses. </w:t>
      </w:r>
    </w:p>
    <w:p w14:paraId="40409DBA" w14:textId="77777777" w:rsidR="00CE1BDB" w:rsidRPr="00FA4DC7" w:rsidRDefault="00CE1BDB" w:rsidP="00CE1BDB">
      <w:pPr>
        <w:pStyle w:val="Reporttext"/>
        <w:numPr>
          <w:ilvl w:val="0"/>
          <w:numId w:val="0"/>
        </w:numPr>
        <w:tabs>
          <w:tab w:val="left" w:pos="0"/>
          <w:tab w:val="left" w:pos="1418"/>
        </w:tabs>
        <w:ind w:left="709"/>
        <w:rPr>
          <w:rFonts w:cs="Arial"/>
          <w:highlight w:val="yellow"/>
        </w:rPr>
      </w:pPr>
    </w:p>
    <w:p w14:paraId="09EFCAF4" w14:textId="77777777" w:rsidR="00CE1BDB" w:rsidRPr="00FA4DC7" w:rsidRDefault="00CE1BDB" w:rsidP="00CE1BDB">
      <w:pPr>
        <w:pStyle w:val="Heading3"/>
        <w:rPr>
          <w:rFonts w:cs="Arial"/>
        </w:rPr>
      </w:pPr>
      <w:r w:rsidRPr="00FA4DC7">
        <w:rPr>
          <w:rFonts w:cs="Arial"/>
        </w:rPr>
        <w:t>Household migration</w:t>
      </w:r>
    </w:p>
    <w:p w14:paraId="4F49B913" w14:textId="77777777" w:rsidR="00CE1BDB" w:rsidRPr="00FA4DC7" w:rsidRDefault="00CE1BDB" w:rsidP="00CE1BDB">
      <w:pPr>
        <w:pStyle w:val="Reporttext"/>
        <w:tabs>
          <w:tab w:val="clear" w:pos="2128"/>
          <w:tab w:val="num" w:pos="1419"/>
        </w:tabs>
        <w:rPr>
          <w:rFonts w:cs="Arial"/>
        </w:rPr>
      </w:pPr>
      <w:r w:rsidRPr="00FA4DC7">
        <w:rPr>
          <w:rFonts w:cs="Arial"/>
        </w:rPr>
        <w:t>Data reported in the 2011 Census illustrates the extent to which Medway can be described as a self-contained housing market area based on migration data. Planning Advisory Service guidance recommends that when migration data are tested against the PPG criterion for self-containment, at least 70% of all migration excluding long-distance migration should be contained within the Housing Market Sub-area. A suitable test are two migration containment ratios:</w:t>
      </w:r>
    </w:p>
    <w:p w14:paraId="5A4DDDD9" w14:textId="77777777" w:rsidR="00CE1BDB" w:rsidRPr="00FA4DC7" w:rsidRDefault="00CE1BDB" w:rsidP="00CE1BDB">
      <w:pPr>
        <w:pStyle w:val="bullet"/>
        <w:ind w:left="1080"/>
        <w:rPr>
          <w:rFonts w:cs="Arial"/>
        </w:rPr>
      </w:pPr>
      <w:r w:rsidRPr="00FA4DC7">
        <w:rPr>
          <w:rFonts w:cs="Arial"/>
          <w:b/>
        </w:rPr>
        <w:t>Supply side (origin):</w:t>
      </w:r>
      <w:r w:rsidRPr="00FA4DC7">
        <w:rPr>
          <w:rFonts w:cs="Arial"/>
        </w:rPr>
        <w:t xml:space="preserve"> moves within the area divided by all moves whose origin is in the area, excluding long-distance moves; and</w:t>
      </w:r>
    </w:p>
    <w:p w14:paraId="7844C6C3" w14:textId="77777777" w:rsidR="00CE1BDB" w:rsidRPr="00FA4DC7" w:rsidRDefault="00CE1BDB" w:rsidP="00CE1BDB">
      <w:pPr>
        <w:pStyle w:val="bullet"/>
        <w:ind w:left="1080"/>
        <w:rPr>
          <w:rFonts w:cs="Arial"/>
        </w:rPr>
      </w:pPr>
      <w:r w:rsidRPr="00FA4DC7">
        <w:rPr>
          <w:rFonts w:cs="Arial"/>
          <w:b/>
        </w:rPr>
        <w:t>Demand side (destination):</w:t>
      </w:r>
      <w:r w:rsidRPr="00FA4DC7">
        <w:rPr>
          <w:rFonts w:cs="Arial"/>
        </w:rPr>
        <w:t xml:space="preserve"> moves within the area divided by all moves whose destination is in the area, excluding long-distance migration.</w:t>
      </w:r>
    </w:p>
    <w:p w14:paraId="018A2D7D" w14:textId="77777777" w:rsidR="00CE1BDB" w:rsidRPr="00FA4DC7" w:rsidRDefault="00CE1BDB" w:rsidP="00CE1BDB">
      <w:pPr>
        <w:pStyle w:val="Reporttext"/>
        <w:tabs>
          <w:tab w:val="clear" w:pos="2128"/>
          <w:tab w:val="num" w:pos="1419"/>
        </w:tabs>
        <w:rPr>
          <w:rFonts w:cs="Arial"/>
        </w:rPr>
      </w:pPr>
      <w:r w:rsidRPr="00FA4DC7">
        <w:rPr>
          <w:rFonts w:cs="Arial"/>
        </w:rPr>
        <w:t xml:space="preserve">Table 2.17 presents the relevant migration data for Medway. Supply side (origin) data based on all moves indicates that 62.7% of all residents moving in the year preceding the census originated from within Medway. A further 10.5% moved from nearby Kent districts,10.4% from London, 2.9% from elsewhere in Kent, 3.8% from elsewhere in the </w:t>
      </w:r>
      <w:proofErr w:type="gramStart"/>
      <w:r w:rsidRPr="00FA4DC7">
        <w:rPr>
          <w:rFonts w:cs="Arial"/>
        </w:rPr>
        <w:t>South East</w:t>
      </w:r>
      <w:proofErr w:type="gramEnd"/>
      <w:r w:rsidRPr="00FA4DC7">
        <w:rPr>
          <w:rFonts w:cs="Arial"/>
        </w:rPr>
        <w:t xml:space="preserve"> and 9.7% elsewhere in England and the UK. The demand side (destination) data a slightly higher proportion moving to other neighbouring areas and elsewhere in the UK.</w:t>
      </w:r>
    </w:p>
    <w:p w14:paraId="2CFFD79F" w14:textId="77777777" w:rsidR="00CE1BDB" w:rsidRPr="00FA4DC7" w:rsidRDefault="00CE1BDB" w:rsidP="00CE1BDB">
      <w:pPr>
        <w:pStyle w:val="Reporttext"/>
        <w:tabs>
          <w:tab w:val="clear" w:pos="2128"/>
          <w:tab w:val="num" w:pos="1419"/>
        </w:tabs>
        <w:rPr>
          <w:rFonts w:cs="Arial"/>
        </w:rPr>
      </w:pPr>
      <w:r w:rsidRPr="00FA4DC7">
        <w:rPr>
          <w:rFonts w:cs="Arial"/>
        </w:rPr>
        <w:t xml:space="preserve">Table 2.18 summarises the containment ratios that apply to the origin and destination of moving residents. In line with PPG guidance, this excludes long-distance migration (which in this case is taken as moves from outside the </w:t>
      </w:r>
      <w:proofErr w:type="gramStart"/>
      <w:r w:rsidRPr="00FA4DC7">
        <w:rPr>
          <w:rFonts w:cs="Arial"/>
        </w:rPr>
        <w:t>South East</w:t>
      </w:r>
      <w:proofErr w:type="gramEnd"/>
      <w:r w:rsidRPr="00FA4DC7">
        <w:rPr>
          <w:rFonts w:cs="Arial"/>
        </w:rPr>
        <w:t xml:space="preserve">). Based on these criteria, the origin containment ratio is 81.1% and the destination is 82.8%. This indicates that Medway is a self-contained housing market area. </w:t>
      </w:r>
    </w:p>
    <w:p w14:paraId="6DFFC5FA" w14:textId="77777777" w:rsidR="00CE1BDB" w:rsidRPr="00FA4DC7" w:rsidRDefault="00CE1BDB" w:rsidP="00CE1BDB">
      <w:pPr>
        <w:pStyle w:val="Reporttext"/>
        <w:numPr>
          <w:ilvl w:val="0"/>
          <w:numId w:val="0"/>
        </w:numPr>
        <w:tabs>
          <w:tab w:val="left" w:pos="0"/>
          <w:tab w:val="left" w:pos="1418"/>
        </w:tabs>
        <w:ind w:left="709"/>
        <w:rPr>
          <w:rFonts w:cs="Arial"/>
          <w:highlight w:val="yellow"/>
        </w:rPr>
      </w:pPr>
    </w:p>
    <w:p w14:paraId="085AFDA6" w14:textId="77777777" w:rsidR="00CE1BDB" w:rsidRPr="00FA4DC7" w:rsidRDefault="00CE1BDB" w:rsidP="00CE1BDB">
      <w:pPr>
        <w:pStyle w:val="Reporttext"/>
        <w:numPr>
          <w:ilvl w:val="0"/>
          <w:numId w:val="0"/>
        </w:numPr>
        <w:tabs>
          <w:tab w:val="left" w:pos="0"/>
          <w:tab w:val="left" w:pos="1418"/>
        </w:tabs>
        <w:ind w:left="709"/>
        <w:rPr>
          <w:rFonts w:cs="Arial"/>
          <w:highlight w:val="yellow"/>
        </w:rPr>
      </w:pPr>
    </w:p>
    <w:p w14:paraId="25C181E1" w14:textId="77777777" w:rsidR="00CE1BDB" w:rsidRPr="00FA4DC7" w:rsidRDefault="00CE1BDB" w:rsidP="00CE1BDB">
      <w:pPr>
        <w:rPr>
          <w:rFonts w:cs="Arial"/>
          <w:highlight w:val="yellow"/>
          <w:lang w:eastAsia="en-US"/>
        </w:rPr>
      </w:pPr>
      <w:r w:rsidRPr="00FA4DC7">
        <w:rPr>
          <w:rFonts w:cs="Arial"/>
          <w:highlight w:val="yellow"/>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3"/>
        <w:gridCol w:w="1048"/>
        <w:gridCol w:w="963"/>
        <w:gridCol w:w="1729"/>
        <w:gridCol w:w="1048"/>
        <w:gridCol w:w="840"/>
        <w:gridCol w:w="1268"/>
      </w:tblGrid>
      <w:tr w:rsidR="00CE1BDB" w:rsidRPr="00263141" w14:paraId="1FCB4E79" w14:textId="77777777" w:rsidTr="00263141">
        <w:tc>
          <w:tcPr>
            <w:tcW w:w="5000" w:type="pct"/>
            <w:gridSpan w:val="7"/>
            <w:shd w:val="clear" w:color="auto" w:fill="006666"/>
            <w:noWrap/>
            <w:vAlign w:val="center"/>
          </w:tcPr>
          <w:p w14:paraId="0BA04D8A" w14:textId="77777777" w:rsidR="00CE1BDB" w:rsidRPr="00263141" w:rsidRDefault="00CE1BDB" w:rsidP="00EF49A7">
            <w:pPr>
              <w:pStyle w:val="Tableheading1"/>
              <w:rPr>
                <w:rFonts w:cs="Arial"/>
                <w:color w:val="FFFFFF"/>
                <w:szCs w:val="22"/>
              </w:rPr>
            </w:pPr>
            <w:bookmarkStart w:id="182" w:name="_Toc59205057"/>
            <w:bookmarkStart w:id="183" w:name="_Toc83036070"/>
            <w:r w:rsidRPr="00263141">
              <w:rPr>
                <w:rFonts w:cs="Arial"/>
                <w:szCs w:val="22"/>
              </w:rPr>
              <w:lastRenderedPageBreak/>
              <w:t>Table</w:t>
            </w:r>
            <w:r w:rsidRPr="00263141">
              <w:rPr>
                <w:rFonts w:cs="Arial"/>
                <w:color w:val="FFFFFF"/>
                <w:szCs w:val="22"/>
              </w:rPr>
              <w:t xml:space="preserve"> 2.17</w:t>
            </w:r>
            <w:r w:rsidRPr="00263141">
              <w:rPr>
                <w:rFonts w:cs="Arial"/>
                <w:color w:val="FFFFFF"/>
                <w:szCs w:val="22"/>
              </w:rPr>
              <w:tab/>
              <w:t>Population movement by origin and destination</w:t>
            </w:r>
            <w:bookmarkEnd w:id="182"/>
            <w:bookmarkEnd w:id="183"/>
          </w:p>
        </w:tc>
      </w:tr>
      <w:tr w:rsidR="00CE1BDB" w:rsidRPr="00263141" w14:paraId="7685C247" w14:textId="77777777" w:rsidTr="00263141">
        <w:tc>
          <w:tcPr>
            <w:tcW w:w="1288" w:type="pct"/>
            <w:shd w:val="clear" w:color="auto" w:fill="006666"/>
            <w:noWrap/>
            <w:vAlign w:val="center"/>
            <w:hideMark/>
          </w:tcPr>
          <w:p w14:paraId="558E394B" w14:textId="77777777" w:rsidR="00CE1BDB" w:rsidRPr="00263141" w:rsidRDefault="00CE1BDB" w:rsidP="00EF49A7">
            <w:pPr>
              <w:rPr>
                <w:rFonts w:cs="Arial"/>
                <w:b/>
                <w:bCs/>
                <w:color w:val="FFFFFF"/>
                <w:sz w:val="22"/>
                <w:szCs w:val="22"/>
              </w:rPr>
            </w:pPr>
            <w:r w:rsidRPr="00263141">
              <w:rPr>
                <w:rFonts w:cs="Arial"/>
                <w:b/>
                <w:bCs/>
                <w:color w:val="FFFFFF"/>
                <w:sz w:val="22"/>
                <w:szCs w:val="22"/>
              </w:rPr>
              <w:t>Origin/</w:t>
            </w:r>
          </w:p>
        </w:tc>
        <w:tc>
          <w:tcPr>
            <w:tcW w:w="2013" w:type="pct"/>
            <w:gridSpan w:val="3"/>
            <w:shd w:val="clear" w:color="auto" w:fill="006666"/>
            <w:noWrap/>
            <w:vAlign w:val="center"/>
            <w:hideMark/>
          </w:tcPr>
          <w:p w14:paraId="4C38DB12"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Supply Side (Origin)</w:t>
            </w:r>
          </w:p>
        </w:tc>
        <w:tc>
          <w:tcPr>
            <w:tcW w:w="1699" w:type="pct"/>
            <w:gridSpan w:val="3"/>
            <w:shd w:val="clear" w:color="auto" w:fill="006666"/>
            <w:noWrap/>
            <w:vAlign w:val="center"/>
            <w:hideMark/>
          </w:tcPr>
          <w:p w14:paraId="3C391FCD"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Demand Side (Destination)</w:t>
            </w:r>
          </w:p>
        </w:tc>
      </w:tr>
      <w:tr w:rsidR="00CE1BDB" w:rsidRPr="00263141" w14:paraId="72569EAA" w14:textId="77777777" w:rsidTr="00263141">
        <w:tc>
          <w:tcPr>
            <w:tcW w:w="1288" w:type="pct"/>
            <w:vMerge w:val="restart"/>
            <w:shd w:val="clear" w:color="auto" w:fill="006666"/>
            <w:noWrap/>
            <w:vAlign w:val="bottom"/>
            <w:hideMark/>
          </w:tcPr>
          <w:p w14:paraId="047B1096" w14:textId="77777777" w:rsidR="00CE1BDB" w:rsidRPr="00263141" w:rsidRDefault="00CE1BDB" w:rsidP="00EF49A7">
            <w:pPr>
              <w:rPr>
                <w:rFonts w:cs="Arial"/>
                <w:b/>
                <w:bCs/>
                <w:color w:val="FFFFFF"/>
                <w:sz w:val="22"/>
                <w:szCs w:val="22"/>
              </w:rPr>
            </w:pPr>
            <w:r w:rsidRPr="00263141">
              <w:rPr>
                <w:rFonts w:cs="Arial"/>
                <w:b/>
                <w:bCs/>
                <w:color w:val="FFFFFF"/>
                <w:sz w:val="22"/>
                <w:szCs w:val="22"/>
              </w:rPr>
              <w:t>Destination</w:t>
            </w:r>
          </w:p>
        </w:tc>
        <w:tc>
          <w:tcPr>
            <w:tcW w:w="1082" w:type="pct"/>
            <w:gridSpan w:val="2"/>
            <w:shd w:val="clear" w:color="auto" w:fill="006666"/>
            <w:noWrap/>
            <w:vAlign w:val="bottom"/>
            <w:hideMark/>
          </w:tcPr>
          <w:p w14:paraId="00380876"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All Moves</w:t>
            </w:r>
          </w:p>
        </w:tc>
        <w:tc>
          <w:tcPr>
            <w:tcW w:w="931" w:type="pct"/>
            <w:shd w:val="clear" w:color="auto" w:fill="006666"/>
            <w:vAlign w:val="bottom"/>
            <w:hideMark/>
          </w:tcPr>
          <w:p w14:paraId="00A952AA"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Excluding Long Distance Moves</w:t>
            </w:r>
          </w:p>
        </w:tc>
        <w:tc>
          <w:tcPr>
            <w:tcW w:w="1016" w:type="pct"/>
            <w:gridSpan w:val="2"/>
            <w:shd w:val="clear" w:color="auto" w:fill="006666"/>
            <w:noWrap/>
            <w:vAlign w:val="bottom"/>
            <w:hideMark/>
          </w:tcPr>
          <w:p w14:paraId="7AD4F549"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All Moves</w:t>
            </w:r>
          </w:p>
        </w:tc>
        <w:tc>
          <w:tcPr>
            <w:tcW w:w="683" w:type="pct"/>
            <w:shd w:val="clear" w:color="auto" w:fill="006666"/>
            <w:vAlign w:val="bottom"/>
            <w:hideMark/>
          </w:tcPr>
          <w:p w14:paraId="56D2DC34"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Excluding Long Distance Moves</w:t>
            </w:r>
          </w:p>
        </w:tc>
      </w:tr>
      <w:tr w:rsidR="00CE1BDB" w:rsidRPr="00263141" w14:paraId="4074A595" w14:textId="77777777" w:rsidTr="00263141">
        <w:tc>
          <w:tcPr>
            <w:tcW w:w="1288" w:type="pct"/>
            <w:vMerge/>
            <w:shd w:val="clear" w:color="auto" w:fill="006666"/>
            <w:noWrap/>
            <w:vAlign w:val="bottom"/>
            <w:hideMark/>
          </w:tcPr>
          <w:p w14:paraId="0011CF8E" w14:textId="77777777" w:rsidR="00CE1BDB" w:rsidRPr="00263141" w:rsidRDefault="00CE1BDB" w:rsidP="00EF49A7">
            <w:pPr>
              <w:jc w:val="center"/>
              <w:rPr>
                <w:rFonts w:cs="Arial"/>
                <w:color w:val="000000"/>
                <w:sz w:val="22"/>
                <w:szCs w:val="22"/>
              </w:rPr>
            </w:pPr>
          </w:p>
        </w:tc>
        <w:tc>
          <w:tcPr>
            <w:tcW w:w="564" w:type="pct"/>
            <w:shd w:val="clear" w:color="auto" w:fill="006666"/>
            <w:noWrap/>
            <w:vAlign w:val="bottom"/>
            <w:hideMark/>
          </w:tcPr>
          <w:p w14:paraId="46542E5D"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Number</w:t>
            </w:r>
          </w:p>
        </w:tc>
        <w:tc>
          <w:tcPr>
            <w:tcW w:w="518" w:type="pct"/>
            <w:shd w:val="clear" w:color="auto" w:fill="006666"/>
            <w:vAlign w:val="bottom"/>
            <w:hideMark/>
          </w:tcPr>
          <w:p w14:paraId="26836CF8"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w:t>
            </w:r>
          </w:p>
        </w:tc>
        <w:tc>
          <w:tcPr>
            <w:tcW w:w="931" w:type="pct"/>
            <w:shd w:val="clear" w:color="auto" w:fill="006666"/>
            <w:vAlign w:val="bottom"/>
            <w:hideMark/>
          </w:tcPr>
          <w:p w14:paraId="1AF83CA3"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w:t>
            </w:r>
          </w:p>
        </w:tc>
        <w:tc>
          <w:tcPr>
            <w:tcW w:w="564" w:type="pct"/>
            <w:shd w:val="clear" w:color="auto" w:fill="006666"/>
            <w:noWrap/>
            <w:vAlign w:val="bottom"/>
            <w:hideMark/>
          </w:tcPr>
          <w:p w14:paraId="403B0B30"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Number</w:t>
            </w:r>
          </w:p>
        </w:tc>
        <w:tc>
          <w:tcPr>
            <w:tcW w:w="452" w:type="pct"/>
            <w:shd w:val="clear" w:color="auto" w:fill="006666"/>
            <w:vAlign w:val="bottom"/>
            <w:hideMark/>
          </w:tcPr>
          <w:p w14:paraId="3428FF57"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w:t>
            </w:r>
          </w:p>
        </w:tc>
        <w:tc>
          <w:tcPr>
            <w:tcW w:w="683" w:type="pct"/>
            <w:shd w:val="clear" w:color="auto" w:fill="006666"/>
            <w:vAlign w:val="bottom"/>
            <w:hideMark/>
          </w:tcPr>
          <w:p w14:paraId="23D86A59" w14:textId="77777777" w:rsidR="00CE1BDB" w:rsidRPr="00263141" w:rsidRDefault="00CE1BDB" w:rsidP="00EF49A7">
            <w:pPr>
              <w:jc w:val="center"/>
              <w:rPr>
                <w:rFonts w:cs="Arial"/>
                <w:b/>
                <w:bCs/>
                <w:color w:val="FFFFFF"/>
                <w:sz w:val="22"/>
                <w:szCs w:val="22"/>
              </w:rPr>
            </w:pPr>
            <w:r w:rsidRPr="00263141">
              <w:rPr>
                <w:rFonts w:cs="Arial"/>
                <w:b/>
                <w:bCs/>
                <w:color w:val="FFFFFF"/>
                <w:sz w:val="22"/>
                <w:szCs w:val="22"/>
              </w:rPr>
              <w:t>%</w:t>
            </w:r>
          </w:p>
        </w:tc>
      </w:tr>
      <w:tr w:rsidR="00CE1BDB" w:rsidRPr="00263141" w14:paraId="361C03EF" w14:textId="77777777" w:rsidTr="00263141">
        <w:tc>
          <w:tcPr>
            <w:tcW w:w="1288" w:type="pct"/>
            <w:shd w:val="clear" w:color="auto" w:fill="auto"/>
            <w:noWrap/>
            <w:vAlign w:val="center"/>
            <w:hideMark/>
          </w:tcPr>
          <w:p w14:paraId="56012962" w14:textId="77777777" w:rsidR="00CE1BDB" w:rsidRPr="00263141" w:rsidRDefault="00CE1BDB" w:rsidP="00EF49A7">
            <w:pPr>
              <w:rPr>
                <w:rFonts w:cs="Arial"/>
                <w:color w:val="000000"/>
                <w:sz w:val="22"/>
                <w:szCs w:val="22"/>
              </w:rPr>
            </w:pPr>
            <w:r w:rsidRPr="00263141">
              <w:rPr>
                <w:rFonts w:cs="Arial"/>
                <w:color w:val="000000"/>
                <w:sz w:val="22"/>
                <w:szCs w:val="22"/>
              </w:rPr>
              <w:t>Medway</w:t>
            </w:r>
          </w:p>
        </w:tc>
        <w:tc>
          <w:tcPr>
            <w:tcW w:w="564" w:type="pct"/>
            <w:shd w:val="clear" w:color="auto" w:fill="auto"/>
            <w:noWrap/>
            <w:vAlign w:val="bottom"/>
            <w:hideMark/>
          </w:tcPr>
          <w:p w14:paraId="059D6FCB" w14:textId="77777777" w:rsidR="00CE1BDB" w:rsidRPr="00263141" w:rsidRDefault="00CE1BDB" w:rsidP="00EF49A7">
            <w:pPr>
              <w:jc w:val="right"/>
              <w:rPr>
                <w:rFonts w:cs="Arial"/>
                <w:color w:val="000000"/>
                <w:sz w:val="22"/>
                <w:szCs w:val="22"/>
              </w:rPr>
            </w:pPr>
            <w:r w:rsidRPr="00263141">
              <w:rPr>
                <w:rFonts w:cs="Arial"/>
                <w:color w:val="000000"/>
                <w:sz w:val="22"/>
                <w:szCs w:val="22"/>
              </w:rPr>
              <w:t>17,443</w:t>
            </w:r>
          </w:p>
        </w:tc>
        <w:tc>
          <w:tcPr>
            <w:tcW w:w="518" w:type="pct"/>
            <w:shd w:val="clear" w:color="auto" w:fill="auto"/>
            <w:noWrap/>
            <w:vAlign w:val="bottom"/>
            <w:hideMark/>
          </w:tcPr>
          <w:p w14:paraId="03D67466" w14:textId="77777777" w:rsidR="00CE1BDB" w:rsidRPr="00263141" w:rsidRDefault="00CE1BDB" w:rsidP="00EF49A7">
            <w:pPr>
              <w:jc w:val="right"/>
              <w:rPr>
                <w:rFonts w:cs="Arial"/>
                <w:color w:val="000000"/>
                <w:sz w:val="22"/>
                <w:szCs w:val="22"/>
              </w:rPr>
            </w:pPr>
            <w:r w:rsidRPr="00263141">
              <w:rPr>
                <w:rFonts w:cs="Arial"/>
                <w:color w:val="000000"/>
                <w:sz w:val="22"/>
                <w:szCs w:val="22"/>
              </w:rPr>
              <w:t>62.7%</w:t>
            </w:r>
          </w:p>
        </w:tc>
        <w:tc>
          <w:tcPr>
            <w:tcW w:w="931" w:type="pct"/>
            <w:shd w:val="clear" w:color="auto" w:fill="auto"/>
            <w:noWrap/>
            <w:vAlign w:val="bottom"/>
            <w:hideMark/>
          </w:tcPr>
          <w:p w14:paraId="553C22A1" w14:textId="77777777" w:rsidR="00CE1BDB" w:rsidRPr="00263141" w:rsidRDefault="00CE1BDB" w:rsidP="00EF49A7">
            <w:pPr>
              <w:jc w:val="right"/>
              <w:rPr>
                <w:rFonts w:cs="Arial"/>
                <w:color w:val="000000"/>
                <w:sz w:val="22"/>
                <w:szCs w:val="22"/>
              </w:rPr>
            </w:pPr>
            <w:r w:rsidRPr="00263141">
              <w:rPr>
                <w:rFonts w:cs="Arial"/>
                <w:color w:val="000000"/>
                <w:sz w:val="22"/>
                <w:szCs w:val="22"/>
              </w:rPr>
              <w:t>81.1%</w:t>
            </w:r>
          </w:p>
        </w:tc>
        <w:tc>
          <w:tcPr>
            <w:tcW w:w="564" w:type="pct"/>
            <w:shd w:val="clear" w:color="auto" w:fill="auto"/>
            <w:noWrap/>
            <w:vAlign w:val="bottom"/>
            <w:hideMark/>
          </w:tcPr>
          <w:p w14:paraId="7F094F74" w14:textId="77777777" w:rsidR="00CE1BDB" w:rsidRPr="00263141" w:rsidRDefault="00CE1BDB" w:rsidP="00EF49A7">
            <w:pPr>
              <w:jc w:val="right"/>
              <w:rPr>
                <w:rFonts w:cs="Arial"/>
                <w:color w:val="000000"/>
                <w:sz w:val="22"/>
                <w:szCs w:val="22"/>
              </w:rPr>
            </w:pPr>
            <w:r w:rsidRPr="00263141">
              <w:rPr>
                <w:rFonts w:cs="Arial"/>
                <w:color w:val="000000"/>
                <w:sz w:val="22"/>
                <w:szCs w:val="22"/>
              </w:rPr>
              <w:t>17,443</w:t>
            </w:r>
          </w:p>
        </w:tc>
        <w:tc>
          <w:tcPr>
            <w:tcW w:w="452" w:type="pct"/>
            <w:shd w:val="clear" w:color="auto" w:fill="auto"/>
            <w:noWrap/>
            <w:vAlign w:val="bottom"/>
            <w:hideMark/>
          </w:tcPr>
          <w:p w14:paraId="233A1499" w14:textId="77777777" w:rsidR="00CE1BDB" w:rsidRPr="00263141" w:rsidRDefault="00CE1BDB" w:rsidP="00EF49A7">
            <w:pPr>
              <w:jc w:val="right"/>
              <w:rPr>
                <w:rFonts w:cs="Arial"/>
                <w:color w:val="000000"/>
                <w:sz w:val="22"/>
                <w:szCs w:val="22"/>
              </w:rPr>
            </w:pPr>
            <w:r w:rsidRPr="00263141">
              <w:rPr>
                <w:rFonts w:cs="Arial"/>
                <w:color w:val="000000"/>
                <w:sz w:val="22"/>
                <w:szCs w:val="22"/>
              </w:rPr>
              <w:t>65.3%</w:t>
            </w:r>
          </w:p>
        </w:tc>
        <w:tc>
          <w:tcPr>
            <w:tcW w:w="683" w:type="pct"/>
            <w:shd w:val="clear" w:color="auto" w:fill="auto"/>
            <w:noWrap/>
            <w:vAlign w:val="bottom"/>
            <w:hideMark/>
          </w:tcPr>
          <w:p w14:paraId="0634E403" w14:textId="77777777" w:rsidR="00CE1BDB" w:rsidRPr="00263141" w:rsidRDefault="00CE1BDB" w:rsidP="00EF49A7">
            <w:pPr>
              <w:jc w:val="right"/>
              <w:rPr>
                <w:rFonts w:cs="Arial"/>
                <w:color w:val="000000"/>
                <w:sz w:val="22"/>
                <w:szCs w:val="22"/>
              </w:rPr>
            </w:pPr>
            <w:r w:rsidRPr="00263141">
              <w:rPr>
                <w:rFonts w:cs="Arial"/>
                <w:color w:val="000000"/>
                <w:sz w:val="22"/>
                <w:szCs w:val="22"/>
              </w:rPr>
              <w:t>82.8%</w:t>
            </w:r>
          </w:p>
        </w:tc>
      </w:tr>
      <w:tr w:rsidR="00CE1BDB" w:rsidRPr="00263141" w14:paraId="20E5D60D" w14:textId="77777777" w:rsidTr="00263141">
        <w:tc>
          <w:tcPr>
            <w:tcW w:w="1288" w:type="pct"/>
            <w:shd w:val="clear" w:color="auto" w:fill="auto"/>
            <w:noWrap/>
            <w:vAlign w:val="center"/>
            <w:hideMark/>
          </w:tcPr>
          <w:p w14:paraId="6BCFAE2E" w14:textId="77777777" w:rsidR="00CE1BDB" w:rsidRPr="00263141" w:rsidRDefault="00CE1BDB" w:rsidP="00EF49A7">
            <w:pPr>
              <w:rPr>
                <w:rFonts w:cs="Arial"/>
                <w:sz w:val="22"/>
                <w:szCs w:val="22"/>
              </w:rPr>
            </w:pPr>
            <w:r w:rsidRPr="00263141">
              <w:rPr>
                <w:rFonts w:cs="Arial"/>
                <w:color w:val="000000"/>
                <w:sz w:val="22"/>
                <w:szCs w:val="22"/>
              </w:rPr>
              <w:t>Dartford</w:t>
            </w:r>
          </w:p>
        </w:tc>
        <w:tc>
          <w:tcPr>
            <w:tcW w:w="564" w:type="pct"/>
            <w:shd w:val="clear" w:color="auto" w:fill="auto"/>
            <w:noWrap/>
            <w:vAlign w:val="bottom"/>
            <w:hideMark/>
          </w:tcPr>
          <w:p w14:paraId="195A0A0F" w14:textId="77777777" w:rsidR="00CE1BDB" w:rsidRPr="00263141" w:rsidRDefault="00CE1BDB" w:rsidP="00EF49A7">
            <w:pPr>
              <w:jc w:val="right"/>
              <w:rPr>
                <w:rFonts w:cs="Arial"/>
                <w:sz w:val="22"/>
                <w:szCs w:val="22"/>
              </w:rPr>
            </w:pPr>
            <w:r w:rsidRPr="00263141">
              <w:rPr>
                <w:rFonts w:cs="Arial"/>
                <w:color w:val="000000"/>
                <w:sz w:val="22"/>
                <w:szCs w:val="22"/>
              </w:rPr>
              <w:t>326</w:t>
            </w:r>
          </w:p>
        </w:tc>
        <w:tc>
          <w:tcPr>
            <w:tcW w:w="518" w:type="pct"/>
            <w:shd w:val="clear" w:color="auto" w:fill="auto"/>
            <w:noWrap/>
            <w:vAlign w:val="bottom"/>
            <w:hideMark/>
          </w:tcPr>
          <w:p w14:paraId="2E4091EE" w14:textId="77777777" w:rsidR="00CE1BDB" w:rsidRPr="00263141" w:rsidRDefault="00CE1BDB" w:rsidP="00EF49A7">
            <w:pPr>
              <w:jc w:val="right"/>
              <w:rPr>
                <w:rFonts w:cs="Arial"/>
                <w:color w:val="000000"/>
                <w:sz w:val="22"/>
                <w:szCs w:val="22"/>
              </w:rPr>
            </w:pPr>
            <w:r w:rsidRPr="00263141">
              <w:rPr>
                <w:rFonts w:cs="Arial"/>
                <w:color w:val="000000"/>
                <w:sz w:val="22"/>
                <w:szCs w:val="22"/>
              </w:rPr>
              <w:t>1.2%</w:t>
            </w:r>
          </w:p>
        </w:tc>
        <w:tc>
          <w:tcPr>
            <w:tcW w:w="931" w:type="pct"/>
            <w:shd w:val="clear" w:color="auto" w:fill="auto"/>
            <w:noWrap/>
            <w:vAlign w:val="bottom"/>
            <w:hideMark/>
          </w:tcPr>
          <w:p w14:paraId="7E2B1EF0" w14:textId="77777777" w:rsidR="00CE1BDB" w:rsidRPr="00263141" w:rsidRDefault="00CE1BDB" w:rsidP="00EF49A7">
            <w:pPr>
              <w:jc w:val="right"/>
              <w:rPr>
                <w:rFonts w:cs="Arial"/>
                <w:color w:val="000000"/>
                <w:sz w:val="22"/>
                <w:szCs w:val="22"/>
              </w:rPr>
            </w:pPr>
            <w:r w:rsidRPr="00263141">
              <w:rPr>
                <w:rFonts w:cs="Arial"/>
                <w:color w:val="000000"/>
                <w:sz w:val="22"/>
                <w:szCs w:val="22"/>
              </w:rPr>
              <w:t>1.5%</w:t>
            </w:r>
          </w:p>
        </w:tc>
        <w:tc>
          <w:tcPr>
            <w:tcW w:w="564" w:type="pct"/>
            <w:shd w:val="clear" w:color="auto" w:fill="auto"/>
            <w:noWrap/>
            <w:vAlign w:val="bottom"/>
            <w:hideMark/>
          </w:tcPr>
          <w:p w14:paraId="574EE854" w14:textId="77777777" w:rsidR="00CE1BDB" w:rsidRPr="00263141" w:rsidRDefault="00CE1BDB" w:rsidP="00EF49A7">
            <w:pPr>
              <w:jc w:val="right"/>
              <w:rPr>
                <w:rFonts w:cs="Arial"/>
                <w:color w:val="000000"/>
                <w:sz w:val="22"/>
                <w:szCs w:val="22"/>
              </w:rPr>
            </w:pPr>
            <w:r w:rsidRPr="00263141">
              <w:rPr>
                <w:rFonts w:cs="Arial"/>
                <w:color w:val="000000"/>
                <w:sz w:val="22"/>
                <w:szCs w:val="22"/>
              </w:rPr>
              <w:t>186</w:t>
            </w:r>
          </w:p>
        </w:tc>
        <w:tc>
          <w:tcPr>
            <w:tcW w:w="452" w:type="pct"/>
            <w:shd w:val="clear" w:color="auto" w:fill="auto"/>
            <w:noWrap/>
            <w:vAlign w:val="bottom"/>
            <w:hideMark/>
          </w:tcPr>
          <w:p w14:paraId="0933C432" w14:textId="77777777" w:rsidR="00CE1BDB" w:rsidRPr="00263141" w:rsidRDefault="00CE1BDB" w:rsidP="00EF49A7">
            <w:pPr>
              <w:jc w:val="right"/>
              <w:rPr>
                <w:rFonts w:cs="Arial"/>
                <w:color w:val="000000"/>
                <w:sz w:val="22"/>
                <w:szCs w:val="22"/>
              </w:rPr>
            </w:pPr>
            <w:r w:rsidRPr="00263141">
              <w:rPr>
                <w:rFonts w:cs="Arial"/>
                <w:color w:val="000000"/>
                <w:sz w:val="22"/>
                <w:szCs w:val="22"/>
              </w:rPr>
              <w:t>0.7%</w:t>
            </w:r>
          </w:p>
        </w:tc>
        <w:tc>
          <w:tcPr>
            <w:tcW w:w="683" w:type="pct"/>
            <w:shd w:val="clear" w:color="auto" w:fill="auto"/>
            <w:noWrap/>
            <w:vAlign w:val="bottom"/>
            <w:hideMark/>
          </w:tcPr>
          <w:p w14:paraId="21FA784D" w14:textId="77777777" w:rsidR="00CE1BDB" w:rsidRPr="00263141" w:rsidRDefault="00CE1BDB" w:rsidP="00EF49A7">
            <w:pPr>
              <w:jc w:val="right"/>
              <w:rPr>
                <w:rFonts w:cs="Arial"/>
                <w:color w:val="000000"/>
                <w:sz w:val="22"/>
                <w:szCs w:val="22"/>
              </w:rPr>
            </w:pPr>
            <w:r w:rsidRPr="00263141">
              <w:rPr>
                <w:rFonts w:cs="Arial"/>
                <w:color w:val="000000"/>
                <w:sz w:val="22"/>
                <w:szCs w:val="22"/>
              </w:rPr>
              <w:t>0.9%</w:t>
            </w:r>
          </w:p>
        </w:tc>
      </w:tr>
      <w:tr w:rsidR="00CE1BDB" w:rsidRPr="00263141" w14:paraId="72DD8855" w14:textId="77777777" w:rsidTr="00263141">
        <w:tc>
          <w:tcPr>
            <w:tcW w:w="1288" w:type="pct"/>
            <w:shd w:val="clear" w:color="auto" w:fill="auto"/>
            <w:noWrap/>
            <w:hideMark/>
          </w:tcPr>
          <w:p w14:paraId="2C516D6B" w14:textId="77777777" w:rsidR="00CE1BDB" w:rsidRPr="00263141" w:rsidRDefault="00CE1BDB" w:rsidP="00EF49A7">
            <w:pPr>
              <w:rPr>
                <w:rFonts w:cs="Arial"/>
                <w:sz w:val="22"/>
                <w:szCs w:val="22"/>
              </w:rPr>
            </w:pPr>
            <w:r w:rsidRPr="00263141">
              <w:rPr>
                <w:rFonts w:cs="Arial"/>
                <w:sz w:val="22"/>
                <w:szCs w:val="22"/>
              </w:rPr>
              <w:t>Gravesham</w:t>
            </w:r>
          </w:p>
        </w:tc>
        <w:tc>
          <w:tcPr>
            <w:tcW w:w="564" w:type="pct"/>
            <w:shd w:val="clear" w:color="auto" w:fill="auto"/>
            <w:noWrap/>
            <w:vAlign w:val="bottom"/>
            <w:hideMark/>
          </w:tcPr>
          <w:p w14:paraId="4ADF5A4B" w14:textId="77777777" w:rsidR="00CE1BDB" w:rsidRPr="00263141" w:rsidRDefault="00CE1BDB" w:rsidP="00EF49A7">
            <w:pPr>
              <w:jc w:val="right"/>
              <w:rPr>
                <w:rFonts w:cs="Arial"/>
                <w:sz w:val="22"/>
                <w:szCs w:val="22"/>
              </w:rPr>
            </w:pPr>
            <w:r w:rsidRPr="00263141">
              <w:rPr>
                <w:rFonts w:cs="Arial"/>
                <w:sz w:val="22"/>
                <w:szCs w:val="22"/>
              </w:rPr>
              <w:t>720</w:t>
            </w:r>
          </w:p>
        </w:tc>
        <w:tc>
          <w:tcPr>
            <w:tcW w:w="518" w:type="pct"/>
            <w:shd w:val="clear" w:color="auto" w:fill="auto"/>
            <w:noWrap/>
            <w:vAlign w:val="bottom"/>
            <w:hideMark/>
          </w:tcPr>
          <w:p w14:paraId="7597C077" w14:textId="77777777" w:rsidR="00CE1BDB" w:rsidRPr="00263141" w:rsidRDefault="00CE1BDB" w:rsidP="00EF49A7">
            <w:pPr>
              <w:jc w:val="right"/>
              <w:rPr>
                <w:rFonts w:cs="Arial"/>
                <w:color w:val="000000"/>
                <w:sz w:val="22"/>
                <w:szCs w:val="22"/>
              </w:rPr>
            </w:pPr>
            <w:r w:rsidRPr="00263141">
              <w:rPr>
                <w:rFonts w:cs="Arial"/>
                <w:color w:val="000000"/>
                <w:sz w:val="22"/>
                <w:szCs w:val="22"/>
              </w:rPr>
              <w:t>2.6%</w:t>
            </w:r>
          </w:p>
        </w:tc>
        <w:tc>
          <w:tcPr>
            <w:tcW w:w="931" w:type="pct"/>
            <w:shd w:val="clear" w:color="auto" w:fill="auto"/>
            <w:noWrap/>
            <w:vAlign w:val="bottom"/>
            <w:hideMark/>
          </w:tcPr>
          <w:p w14:paraId="59BF9189" w14:textId="77777777" w:rsidR="00CE1BDB" w:rsidRPr="00263141" w:rsidRDefault="00CE1BDB" w:rsidP="00EF49A7">
            <w:pPr>
              <w:jc w:val="right"/>
              <w:rPr>
                <w:rFonts w:cs="Arial"/>
                <w:color w:val="000000"/>
                <w:sz w:val="22"/>
                <w:szCs w:val="22"/>
              </w:rPr>
            </w:pPr>
            <w:r w:rsidRPr="00263141">
              <w:rPr>
                <w:rFonts w:cs="Arial"/>
                <w:color w:val="000000"/>
                <w:sz w:val="22"/>
                <w:szCs w:val="22"/>
              </w:rPr>
              <w:t>3.3%</w:t>
            </w:r>
          </w:p>
        </w:tc>
        <w:tc>
          <w:tcPr>
            <w:tcW w:w="564" w:type="pct"/>
            <w:shd w:val="clear" w:color="auto" w:fill="auto"/>
            <w:noWrap/>
            <w:vAlign w:val="bottom"/>
            <w:hideMark/>
          </w:tcPr>
          <w:p w14:paraId="253F1BCC" w14:textId="77777777" w:rsidR="00CE1BDB" w:rsidRPr="00263141" w:rsidRDefault="00CE1BDB" w:rsidP="00EF49A7">
            <w:pPr>
              <w:jc w:val="right"/>
              <w:rPr>
                <w:rFonts w:cs="Arial"/>
                <w:color w:val="000000"/>
                <w:sz w:val="22"/>
                <w:szCs w:val="22"/>
              </w:rPr>
            </w:pPr>
            <w:r w:rsidRPr="00263141">
              <w:rPr>
                <w:rFonts w:cs="Arial"/>
                <w:color w:val="000000"/>
                <w:sz w:val="22"/>
                <w:szCs w:val="22"/>
              </w:rPr>
              <w:t>527</w:t>
            </w:r>
          </w:p>
        </w:tc>
        <w:tc>
          <w:tcPr>
            <w:tcW w:w="452" w:type="pct"/>
            <w:shd w:val="clear" w:color="auto" w:fill="auto"/>
            <w:noWrap/>
            <w:vAlign w:val="bottom"/>
            <w:hideMark/>
          </w:tcPr>
          <w:p w14:paraId="011A3196" w14:textId="77777777" w:rsidR="00CE1BDB" w:rsidRPr="00263141" w:rsidRDefault="00CE1BDB" w:rsidP="00EF49A7">
            <w:pPr>
              <w:jc w:val="right"/>
              <w:rPr>
                <w:rFonts w:cs="Arial"/>
                <w:color w:val="000000"/>
                <w:sz w:val="22"/>
                <w:szCs w:val="22"/>
              </w:rPr>
            </w:pPr>
            <w:r w:rsidRPr="00263141">
              <w:rPr>
                <w:rFonts w:cs="Arial"/>
                <w:color w:val="000000"/>
                <w:sz w:val="22"/>
                <w:szCs w:val="22"/>
              </w:rPr>
              <w:t>2.0%</w:t>
            </w:r>
          </w:p>
        </w:tc>
        <w:tc>
          <w:tcPr>
            <w:tcW w:w="683" w:type="pct"/>
            <w:shd w:val="clear" w:color="auto" w:fill="auto"/>
            <w:noWrap/>
            <w:vAlign w:val="bottom"/>
            <w:hideMark/>
          </w:tcPr>
          <w:p w14:paraId="64ECFE1D" w14:textId="77777777" w:rsidR="00CE1BDB" w:rsidRPr="00263141" w:rsidRDefault="00CE1BDB" w:rsidP="00EF49A7">
            <w:pPr>
              <w:jc w:val="right"/>
              <w:rPr>
                <w:rFonts w:cs="Arial"/>
                <w:color w:val="000000"/>
                <w:sz w:val="22"/>
                <w:szCs w:val="22"/>
              </w:rPr>
            </w:pPr>
            <w:r w:rsidRPr="00263141">
              <w:rPr>
                <w:rFonts w:cs="Arial"/>
                <w:color w:val="000000"/>
                <w:sz w:val="22"/>
                <w:szCs w:val="22"/>
              </w:rPr>
              <w:t>2.5%</w:t>
            </w:r>
          </w:p>
        </w:tc>
      </w:tr>
      <w:tr w:rsidR="00CE1BDB" w:rsidRPr="00263141" w14:paraId="347C03EA" w14:textId="77777777" w:rsidTr="00263141">
        <w:tc>
          <w:tcPr>
            <w:tcW w:w="1288" w:type="pct"/>
            <w:shd w:val="clear" w:color="auto" w:fill="auto"/>
            <w:noWrap/>
            <w:hideMark/>
          </w:tcPr>
          <w:p w14:paraId="37C41C77" w14:textId="77777777" w:rsidR="00CE1BDB" w:rsidRPr="00263141" w:rsidRDefault="00CE1BDB" w:rsidP="00EF49A7">
            <w:pPr>
              <w:rPr>
                <w:rFonts w:cs="Arial"/>
                <w:sz w:val="22"/>
                <w:szCs w:val="22"/>
              </w:rPr>
            </w:pPr>
            <w:r w:rsidRPr="00263141">
              <w:rPr>
                <w:rFonts w:cs="Arial"/>
                <w:sz w:val="22"/>
                <w:szCs w:val="22"/>
              </w:rPr>
              <w:t>Maidstone</w:t>
            </w:r>
          </w:p>
        </w:tc>
        <w:tc>
          <w:tcPr>
            <w:tcW w:w="564" w:type="pct"/>
            <w:shd w:val="clear" w:color="auto" w:fill="auto"/>
            <w:noWrap/>
            <w:vAlign w:val="bottom"/>
            <w:hideMark/>
          </w:tcPr>
          <w:p w14:paraId="7984D72C" w14:textId="77777777" w:rsidR="00CE1BDB" w:rsidRPr="00263141" w:rsidRDefault="00CE1BDB" w:rsidP="00EF49A7">
            <w:pPr>
              <w:jc w:val="right"/>
              <w:rPr>
                <w:rFonts w:cs="Arial"/>
                <w:sz w:val="22"/>
                <w:szCs w:val="22"/>
              </w:rPr>
            </w:pPr>
            <w:r w:rsidRPr="00263141">
              <w:rPr>
                <w:rFonts w:cs="Arial"/>
                <w:sz w:val="22"/>
                <w:szCs w:val="22"/>
              </w:rPr>
              <w:t>752</w:t>
            </w:r>
          </w:p>
        </w:tc>
        <w:tc>
          <w:tcPr>
            <w:tcW w:w="518" w:type="pct"/>
            <w:shd w:val="clear" w:color="auto" w:fill="auto"/>
            <w:noWrap/>
            <w:vAlign w:val="bottom"/>
            <w:hideMark/>
          </w:tcPr>
          <w:p w14:paraId="783F99EF" w14:textId="77777777" w:rsidR="00CE1BDB" w:rsidRPr="00263141" w:rsidRDefault="00CE1BDB" w:rsidP="00EF49A7">
            <w:pPr>
              <w:jc w:val="right"/>
              <w:rPr>
                <w:rFonts w:cs="Arial"/>
                <w:color w:val="000000"/>
                <w:sz w:val="22"/>
                <w:szCs w:val="22"/>
              </w:rPr>
            </w:pPr>
            <w:r w:rsidRPr="00263141">
              <w:rPr>
                <w:rFonts w:cs="Arial"/>
                <w:color w:val="000000"/>
                <w:sz w:val="22"/>
                <w:szCs w:val="22"/>
              </w:rPr>
              <w:t>2.7%</w:t>
            </w:r>
          </w:p>
        </w:tc>
        <w:tc>
          <w:tcPr>
            <w:tcW w:w="931" w:type="pct"/>
            <w:shd w:val="clear" w:color="auto" w:fill="auto"/>
            <w:noWrap/>
            <w:vAlign w:val="bottom"/>
            <w:hideMark/>
          </w:tcPr>
          <w:p w14:paraId="3B0155D8" w14:textId="77777777" w:rsidR="00CE1BDB" w:rsidRPr="00263141" w:rsidRDefault="00CE1BDB" w:rsidP="00EF49A7">
            <w:pPr>
              <w:jc w:val="right"/>
              <w:rPr>
                <w:rFonts w:cs="Arial"/>
                <w:color w:val="000000"/>
                <w:sz w:val="22"/>
                <w:szCs w:val="22"/>
              </w:rPr>
            </w:pPr>
            <w:r w:rsidRPr="00263141">
              <w:rPr>
                <w:rFonts w:cs="Arial"/>
                <w:color w:val="000000"/>
                <w:sz w:val="22"/>
                <w:szCs w:val="22"/>
              </w:rPr>
              <w:t>3.5%</w:t>
            </w:r>
          </w:p>
        </w:tc>
        <w:tc>
          <w:tcPr>
            <w:tcW w:w="564" w:type="pct"/>
            <w:shd w:val="clear" w:color="auto" w:fill="auto"/>
            <w:noWrap/>
            <w:vAlign w:val="bottom"/>
            <w:hideMark/>
          </w:tcPr>
          <w:p w14:paraId="3D47083A" w14:textId="77777777" w:rsidR="00CE1BDB" w:rsidRPr="00263141" w:rsidRDefault="00CE1BDB" w:rsidP="00EF49A7">
            <w:pPr>
              <w:jc w:val="right"/>
              <w:rPr>
                <w:rFonts w:cs="Arial"/>
                <w:color w:val="000000"/>
                <w:sz w:val="22"/>
                <w:szCs w:val="22"/>
              </w:rPr>
            </w:pPr>
            <w:r w:rsidRPr="00263141">
              <w:rPr>
                <w:rFonts w:cs="Arial"/>
                <w:color w:val="000000"/>
                <w:sz w:val="22"/>
                <w:szCs w:val="22"/>
              </w:rPr>
              <w:t>831</w:t>
            </w:r>
          </w:p>
        </w:tc>
        <w:tc>
          <w:tcPr>
            <w:tcW w:w="452" w:type="pct"/>
            <w:shd w:val="clear" w:color="auto" w:fill="auto"/>
            <w:noWrap/>
            <w:vAlign w:val="bottom"/>
            <w:hideMark/>
          </w:tcPr>
          <w:p w14:paraId="69135ADB" w14:textId="77777777" w:rsidR="00CE1BDB" w:rsidRPr="00263141" w:rsidRDefault="00CE1BDB" w:rsidP="00EF49A7">
            <w:pPr>
              <w:jc w:val="right"/>
              <w:rPr>
                <w:rFonts w:cs="Arial"/>
                <w:color w:val="000000"/>
                <w:sz w:val="22"/>
                <w:szCs w:val="22"/>
              </w:rPr>
            </w:pPr>
            <w:r w:rsidRPr="00263141">
              <w:rPr>
                <w:rFonts w:cs="Arial"/>
                <w:color w:val="000000"/>
                <w:sz w:val="22"/>
                <w:szCs w:val="22"/>
              </w:rPr>
              <w:t>3.1%</w:t>
            </w:r>
          </w:p>
        </w:tc>
        <w:tc>
          <w:tcPr>
            <w:tcW w:w="683" w:type="pct"/>
            <w:shd w:val="clear" w:color="auto" w:fill="auto"/>
            <w:noWrap/>
            <w:vAlign w:val="bottom"/>
            <w:hideMark/>
          </w:tcPr>
          <w:p w14:paraId="26916FD5" w14:textId="77777777" w:rsidR="00CE1BDB" w:rsidRPr="00263141" w:rsidRDefault="00CE1BDB" w:rsidP="00EF49A7">
            <w:pPr>
              <w:jc w:val="right"/>
              <w:rPr>
                <w:rFonts w:cs="Arial"/>
                <w:color w:val="000000"/>
                <w:sz w:val="22"/>
                <w:szCs w:val="22"/>
              </w:rPr>
            </w:pPr>
            <w:r w:rsidRPr="00263141">
              <w:rPr>
                <w:rFonts w:cs="Arial"/>
                <w:color w:val="000000"/>
                <w:sz w:val="22"/>
                <w:szCs w:val="22"/>
              </w:rPr>
              <w:t>3.9%</w:t>
            </w:r>
          </w:p>
        </w:tc>
      </w:tr>
      <w:tr w:rsidR="00CE1BDB" w:rsidRPr="00263141" w14:paraId="0DA5FC6F" w14:textId="77777777" w:rsidTr="00263141">
        <w:tc>
          <w:tcPr>
            <w:tcW w:w="1288" w:type="pct"/>
            <w:shd w:val="clear" w:color="auto" w:fill="auto"/>
            <w:noWrap/>
            <w:hideMark/>
          </w:tcPr>
          <w:p w14:paraId="14AEF111" w14:textId="77777777" w:rsidR="00CE1BDB" w:rsidRPr="00263141" w:rsidRDefault="00CE1BDB" w:rsidP="00EF49A7">
            <w:pPr>
              <w:rPr>
                <w:rFonts w:cs="Arial"/>
                <w:sz w:val="22"/>
                <w:szCs w:val="22"/>
              </w:rPr>
            </w:pPr>
            <w:r w:rsidRPr="00263141">
              <w:rPr>
                <w:rFonts w:cs="Arial"/>
                <w:sz w:val="22"/>
                <w:szCs w:val="22"/>
              </w:rPr>
              <w:t>Swale</w:t>
            </w:r>
          </w:p>
        </w:tc>
        <w:tc>
          <w:tcPr>
            <w:tcW w:w="564" w:type="pct"/>
            <w:shd w:val="clear" w:color="auto" w:fill="auto"/>
            <w:noWrap/>
            <w:vAlign w:val="bottom"/>
            <w:hideMark/>
          </w:tcPr>
          <w:p w14:paraId="1662D07A" w14:textId="77777777" w:rsidR="00CE1BDB" w:rsidRPr="00263141" w:rsidRDefault="00CE1BDB" w:rsidP="00EF49A7">
            <w:pPr>
              <w:jc w:val="right"/>
              <w:rPr>
                <w:rFonts w:cs="Arial"/>
                <w:sz w:val="22"/>
                <w:szCs w:val="22"/>
              </w:rPr>
            </w:pPr>
            <w:r w:rsidRPr="00263141">
              <w:rPr>
                <w:rFonts w:cs="Arial"/>
                <w:sz w:val="22"/>
                <w:szCs w:val="22"/>
              </w:rPr>
              <w:t>632</w:t>
            </w:r>
          </w:p>
        </w:tc>
        <w:tc>
          <w:tcPr>
            <w:tcW w:w="518" w:type="pct"/>
            <w:shd w:val="clear" w:color="auto" w:fill="auto"/>
            <w:noWrap/>
            <w:vAlign w:val="bottom"/>
            <w:hideMark/>
          </w:tcPr>
          <w:p w14:paraId="67E48DBE" w14:textId="77777777" w:rsidR="00CE1BDB" w:rsidRPr="00263141" w:rsidRDefault="00CE1BDB" w:rsidP="00EF49A7">
            <w:pPr>
              <w:jc w:val="right"/>
              <w:rPr>
                <w:rFonts w:cs="Arial"/>
                <w:color w:val="000000"/>
                <w:sz w:val="22"/>
                <w:szCs w:val="22"/>
              </w:rPr>
            </w:pPr>
            <w:r w:rsidRPr="00263141">
              <w:rPr>
                <w:rFonts w:cs="Arial"/>
                <w:color w:val="000000"/>
                <w:sz w:val="22"/>
                <w:szCs w:val="22"/>
              </w:rPr>
              <w:t>2.3%</w:t>
            </w:r>
          </w:p>
        </w:tc>
        <w:tc>
          <w:tcPr>
            <w:tcW w:w="931" w:type="pct"/>
            <w:shd w:val="clear" w:color="auto" w:fill="auto"/>
            <w:noWrap/>
            <w:vAlign w:val="bottom"/>
            <w:hideMark/>
          </w:tcPr>
          <w:p w14:paraId="461E9F6B" w14:textId="77777777" w:rsidR="00CE1BDB" w:rsidRPr="00263141" w:rsidRDefault="00CE1BDB" w:rsidP="00EF49A7">
            <w:pPr>
              <w:jc w:val="right"/>
              <w:rPr>
                <w:rFonts w:cs="Arial"/>
                <w:color w:val="000000"/>
                <w:sz w:val="22"/>
                <w:szCs w:val="22"/>
              </w:rPr>
            </w:pPr>
            <w:r w:rsidRPr="00263141">
              <w:rPr>
                <w:rFonts w:cs="Arial"/>
                <w:color w:val="000000"/>
                <w:sz w:val="22"/>
                <w:szCs w:val="22"/>
              </w:rPr>
              <w:t>2.9%</w:t>
            </w:r>
          </w:p>
        </w:tc>
        <w:tc>
          <w:tcPr>
            <w:tcW w:w="564" w:type="pct"/>
            <w:shd w:val="clear" w:color="auto" w:fill="auto"/>
            <w:noWrap/>
            <w:vAlign w:val="bottom"/>
            <w:hideMark/>
          </w:tcPr>
          <w:p w14:paraId="1FD6AD35" w14:textId="77777777" w:rsidR="00CE1BDB" w:rsidRPr="00263141" w:rsidRDefault="00CE1BDB" w:rsidP="00EF49A7">
            <w:pPr>
              <w:jc w:val="right"/>
              <w:rPr>
                <w:rFonts w:cs="Arial"/>
                <w:color w:val="000000"/>
                <w:sz w:val="22"/>
                <w:szCs w:val="22"/>
              </w:rPr>
            </w:pPr>
            <w:r w:rsidRPr="00263141">
              <w:rPr>
                <w:rFonts w:cs="Arial"/>
                <w:color w:val="000000"/>
                <w:sz w:val="22"/>
                <w:szCs w:val="22"/>
              </w:rPr>
              <w:t>950</w:t>
            </w:r>
          </w:p>
        </w:tc>
        <w:tc>
          <w:tcPr>
            <w:tcW w:w="452" w:type="pct"/>
            <w:shd w:val="clear" w:color="auto" w:fill="auto"/>
            <w:noWrap/>
            <w:vAlign w:val="bottom"/>
            <w:hideMark/>
          </w:tcPr>
          <w:p w14:paraId="09BF7BDC" w14:textId="77777777" w:rsidR="00CE1BDB" w:rsidRPr="00263141" w:rsidRDefault="00CE1BDB" w:rsidP="00EF49A7">
            <w:pPr>
              <w:jc w:val="right"/>
              <w:rPr>
                <w:rFonts w:cs="Arial"/>
                <w:color w:val="000000"/>
                <w:sz w:val="22"/>
                <w:szCs w:val="22"/>
              </w:rPr>
            </w:pPr>
            <w:r w:rsidRPr="00263141">
              <w:rPr>
                <w:rFonts w:cs="Arial"/>
                <w:color w:val="000000"/>
                <w:sz w:val="22"/>
                <w:szCs w:val="22"/>
              </w:rPr>
              <w:t>3.6%</w:t>
            </w:r>
          </w:p>
        </w:tc>
        <w:tc>
          <w:tcPr>
            <w:tcW w:w="683" w:type="pct"/>
            <w:shd w:val="clear" w:color="auto" w:fill="auto"/>
            <w:noWrap/>
            <w:vAlign w:val="bottom"/>
            <w:hideMark/>
          </w:tcPr>
          <w:p w14:paraId="11FF63D7" w14:textId="77777777" w:rsidR="00CE1BDB" w:rsidRPr="00263141" w:rsidRDefault="00CE1BDB" w:rsidP="00EF49A7">
            <w:pPr>
              <w:jc w:val="right"/>
              <w:rPr>
                <w:rFonts w:cs="Arial"/>
                <w:color w:val="000000"/>
                <w:sz w:val="22"/>
                <w:szCs w:val="22"/>
              </w:rPr>
            </w:pPr>
            <w:r w:rsidRPr="00263141">
              <w:rPr>
                <w:rFonts w:cs="Arial"/>
                <w:color w:val="000000"/>
                <w:sz w:val="22"/>
                <w:szCs w:val="22"/>
              </w:rPr>
              <w:t>4.5%</w:t>
            </w:r>
          </w:p>
        </w:tc>
      </w:tr>
      <w:tr w:rsidR="00CE1BDB" w:rsidRPr="00263141" w14:paraId="208AAC62" w14:textId="77777777" w:rsidTr="00263141">
        <w:tc>
          <w:tcPr>
            <w:tcW w:w="1288" w:type="pct"/>
            <w:shd w:val="clear" w:color="auto" w:fill="auto"/>
            <w:noWrap/>
          </w:tcPr>
          <w:p w14:paraId="33D1F32F" w14:textId="77777777" w:rsidR="00CE1BDB" w:rsidRPr="00263141" w:rsidRDefault="00CE1BDB" w:rsidP="00EF49A7">
            <w:pPr>
              <w:rPr>
                <w:rFonts w:cs="Arial"/>
                <w:sz w:val="22"/>
                <w:szCs w:val="22"/>
              </w:rPr>
            </w:pPr>
            <w:r w:rsidRPr="00263141">
              <w:rPr>
                <w:rFonts w:cs="Arial"/>
                <w:sz w:val="22"/>
                <w:szCs w:val="22"/>
              </w:rPr>
              <w:t xml:space="preserve">Tonbridge and </w:t>
            </w:r>
            <w:proofErr w:type="spellStart"/>
            <w:r w:rsidRPr="00263141">
              <w:rPr>
                <w:rFonts w:cs="Arial"/>
                <w:sz w:val="22"/>
                <w:szCs w:val="22"/>
              </w:rPr>
              <w:t>Malling</w:t>
            </w:r>
            <w:proofErr w:type="spellEnd"/>
          </w:p>
        </w:tc>
        <w:tc>
          <w:tcPr>
            <w:tcW w:w="564" w:type="pct"/>
            <w:shd w:val="clear" w:color="auto" w:fill="auto"/>
            <w:noWrap/>
            <w:vAlign w:val="bottom"/>
          </w:tcPr>
          <w:p w14:paraId="186B2925" w14:textId="77777777" w:rsidR="00CE1BDB" w:rsidRPr="00263141" w:rsidRDefault="00CE1BDB" w:rsidP="00EF49A7">
            <w:pPr>
              <w:jc w:val="right"/>
              <w:rPr>
                <w:rFonts w:cs="Arial"/>
                <w:sz w:val="22"/>
                <w:szCs w:val="22"/>
              </w:rPr>
            </w:pPr>
            <w:r w:rsidRPr="00263141">
              <w:rPr>
                <w:rFonts w:cs="Arial"/>
                <w:sz w:val="22"/>
                <w:szCs w:val="22"/>
              </w:rPr>
              <w:t>487</w:t>
            </w:r>
          </w:p>
        </w:tc>
        <w:tc>
          <w:tcPr>
            <w:tcW w:w="518" w:type="pct"/>
            <w:shd w:val="clear" w:color="auto" w:fill="auto"/>
            <w:noWrap/>
            <w:vAlign w:val="bottom"/>
          </w:tcPr>
          <w:p w14:paraId="62162677" w14:textId="77777777" w:rsidR="00CE1BDB" w:rsidRPr="00263141" w:rsidRDefault="00CE1BDB" w:rsidP="00EF49A7">
            <w:pPr>
              <w:jc w:val="right"/>
              <w:rPr>
                <w:rFonts w:cs="Arial"/>
                <w:color w:val="000000"/>
                <w:sz w:val="22"/>
                <w:szCs w:val="22"/>
              </w:rPr>
            </w:pPr>
            <w:r w:rsidRPr="00263141">
              <w:rPr>
                <w:rFonts w:cs="Arial"/>
                <w:color w:val="000000"/>
                <w:sz w:val="22"/>
                <w:szCs w:val="22"/>
              </w:rPr>
              <w:t>1.8%</w:t>
            </w:r>
          </w:p>
        </w:tc>
        <w:tc>
          <w:tcPr>
            <w:tcW w:w="931" w:type="pct"/>
            <w:shd w:val="clear" w:color="auto" w:fill="auto"/>
            <w:noWrap/>
            <w:vAlign w:val="bottom"/>
          </w:tcPr>
          <w:p w14:paraId="06CE7BA6" w14:textId="77777777" w:rsidR="00CE1BDB" w:rsidRPr="00263141" w:rsidRDefault="00CE1BDB" w:rsidP="00EF49A7">
            <w:pPr>
              <w:jc w:val="right"/>
              <w:rPr>
                <w:rFonts w:cs="Arial"/>
                <w:color w:val="000000"/>
                <w:sz w:val="22"/>
                <w:szCs w:val="22"/>
              </w:rPr>
            </w:pPr>
            <w:r w:rsidRPr="00263141">
              <w:rPr>
                <w:rFonts w:cs="Arial"/>
                <w:color w:val="000000"/>
                <w:sz w:val="22"/>
                <w:szCs w:val="22"/>
              </w:rPr>
              <w:t>2.3%</w:t>
            </w:r>
          </w:p>
        </w:tc>
        <w:tc>
          <w:tcPr>
            <w:tcW w:w="564" w:type="pct"/>
            <w:shd w:val="clear" w:color="auto" w:fill="auto"/>
            <w:noWrap/>
            <w:vAlign w:val="bottom"/>
          </w:tcPr>
          <w:p w14:paraId="3A6A4FAB" w14:textId="77777777" w:rsidR="00CE1BDB" w:rsidRPr="00263141" w:rsidRDefault="00CE1BDB" w:rsidP="00EF49A7">
            <w:pPr>
              <w:jc w:val="right"/>
              <w:rPr>
                <w:rFonts w:cs="Arial"/>
                <w:color w:val="000000"/>
                <w:sz w:val="22"/>
                <w:szCs w:val="22"/>
              </w:rPr>
            </w:pPr>
            <w:r w:rsidRPr="00263141">
              <w:rPr>
                <w:rFonts w:cs="Arial"/>
                <w:color w:val="000000"/>
                <w:sz w:val="22"/>
                <w:szCs w:val="22"/>
              </w:rPr>
              <w:t>517</w:t>
            </w:r>
          </w:p>
        </w:tc>
        <w:tc>
          <w:tcPr>
            <w:tcW w:w="452" w:type="pct"/>
            <w:shd w:val="clear" w:color="auto" w:fill="auto"/>
            <w:noWrap/>
            <w:vAlign w:val="bottom"/>
          </w:tcPr>
          <w:p w14:paraId="1B7F2E16" w14:textId="77777777" w:rsidR="00CE1BDB" w:rsidRPr="00263141" w:rsidRDefault="00CE1BDB" w:rsidP="00EF49A7">
            <w:pPr>
              <w:jc w:val="right"/>
              <w:rPr>
                <w:rFonts w:cs="Arial"/>
                <w:color w:val="000000"/>
                <w:sz w:val="22"/>
                <w:szCs w:val="22"/>
              </w:rPr>
            </w:pPr>
            <w:r w:rsidRPr="00263141">
              <w:rPr>
                <w:rFonts w:cs="Arial"/>
                <w:color w:val="000000"/>
                <w:sz w:val="22"/>
                <w:szCs w:val="22"/>
              </w:rPr>
              <w:t>1.9%</w:t>
            </w:r>
          </w:p>
        </w:tc>
        <w:tc>
          <w:tcPr>
            <w:tcW w:w="683" w:type="pct"/>
            <w:shd w:val="clear" w:color="auto" w:fill="auto"/>
            <w:noWrap/>
            <w:vAlign w:val="bottom"/>
          </w:tcPr>
          <w:p w14:paraId="7917C919" w14:textId="77777777" w:rsidR="00CE1BDB" w:rsidRPr="00263141" w:rsidRDefault="00CE1BDB" w:rsidP="00EF49A7">
            <w:pPr>
              <w:jc w:val="right"/>
              <w:rPr>
                <w:rFonts w:cs="Arial"/>
                <w:color w:val="000000"/>
                <w:sz w:val="22"/>
                <w:szCs w:val="22"/>
              </w:rPr>
            </w:pPr>
            <w:r w:rsidRPr="00263141">
              <w:rPr>
                <w:rFonts w:cs="Arial"/>
                <w:color w:val="000000"/>
                <w:sz w:val="22"/>
                <w:szCs w:val="22"/>
              </w:rPr>
              <w:t>2.5%</w:t>
            </w:r>
          </w:p>
        </w:tc>
      </w:tr>
      <w:tr w:rsidR="00CE1BDB" w:rsidRPr="00263141" w14:paraId="29BB0B50" w14:textId="77777777" w:rsidTr="00263141">
        <w:tc>
          <w:tcPr>
            <w:tcW w:w="1288" w:type="pct"/>
            <w:shd w:val="clear" w:color="auto" w:fill="auto"/>
            <w:noWrap/>
          </w:tcPr>
          <w:p w14:paraId="0303FF73" w14:textId="77777777" w:rsidR="00CE1BDB" w:rsidRPr="00263141" w:rsidRDefault="00CE1BDB" w:rsidP="00EF49A7">
            <w:pPr>
              <w:rPr>
                <w:rFonts w:cs="Arial"/>
                <w:sz w:val="22"/>
                <w:szCs w:val="22"/>
              </w:rPr>
            </w:pPr>
            <w:r w:rsidRPr="00263141">
              <w:rPr>
                <w:rFonts w:cs="Arial"/>
                <w:sz w:val="22"/>
                <w:szCs w:val="22"/>
              </w:rPr>
              <w:t>Bexley</w:t>
            </w:r>
          </w:p>
        </w:tc>
        <w:tc>
          <w:tcPr>
            <w:tcW w:w="564" w:type="pct"/>
            <w:shd w:val="clear" w:color="auto" w:fill="auto"/>
            <w:noWrap/>
            <w:vAlign w:val="bottom"/>
          </w:tcPr>
          <w:p w14:paraId="4B6B9C11" w14:textId="77777777" w:rsidR="00CE1BDB" w:rsidRPr="00263141" w:rsidRDefault="00CE1BDB" w:rsidP="00EF49A7">
            <w:pPr>
              <w:jc w:val="right"/>
              <w:rPr>
                <w:rFonts w:cs="Arial"/>
                <w:sz w:val="22"/>
                <w:szCs w:val="22"/>
              </w:rPr>
            </w:pPr>
            <w:r w:rsidRPr="00263141">
              <w:rPr>
                <w:rFonts w:cs="Arial"/>
                <w:sz w:val="22"/>
                <w:szCs w:val="22"/>
              </w:rPr>
              <w:t>365</w:t>
            </w:r>
          </w:p>
        </w:tc>
        <w:tc>
          <w:tcPr>
            <w:tcW w:w="518" w:type="pct"/>
            <w:shd w:val="clear" w:color="auto" w:fill="auto"/>
            <w:noWrap/>
            <w:vAlign w:val="bottom"/>
          </w:tcPr>
          <w:p w14:paraId="7A4F2858" w14:textId="77777777" w:rsidR="00CE1BDB" w:rsidRPr="00263141" w:rsidRDefault="00CE1BDB" w:rsidP="00EF49A7">
            <w:pPr>
              <w:jc w:val="right"/>
              <w:rPr>
                <w:rFonts w:cs="Arial"/>
                <w:color w:val="000000"/>
                <w:sz w:val="22"/>
                <w:szCs w:val="22"/>
              </w:rPr>
            </w:pPr>
            <w:r w:rsidRPr="00263141">
              <w:rPr>
                <w:rFonts w:cs="Arial"/>
                <w:color w:val="000000"/>
                <w:sz w:val="22"/>
                <w:szCs w:val="22"/>
              </w:rPr>
              <w:t>1.3%</w:t>
            </w:r>
          </w:p>
        </w:tc>
        <w:tc>
          <w:tcPr>
            <w:tcW w:w="931" w:type="pct"/>
            <w:shd w:val="clear" w:color="auto" w:fill="auto"/>
            <w:noWrap/>
            <w:vAlign w:val="bottom"/>
          </w:tcPr>
          <w:p w14:paraId="49CBA597" w14:textId="77777777" w:rsidR="00CE1BDB" w:rsidRPr="00263141" w:rsidRDefault="00CE1BDB" w:rsidP="00EF49A7">
            <w:pPr>
              <w:jc w:val="right"/>
              <w:rPr>
                <w:rFonts w:cs="Arial"/>
                <w:color w:val="000000"/>
                <w:sz w:val="22"/>
                <w:szCs w:val="22"/>
              </w:rPr>
            </w:pPr>
            <w:r w:rsidRPr="00263141">
              <w:rPr>
                <w:rFonts w:cs="Arial"/>
                <w:color w:val="000000"/>
                <w:sz w:val="22"/>
                <w:szCs w:val="22"/>
              </w:rPr>
              <w:t>1.7%</w:t>
            </w:r>
          </w:p>
        </w:tc>
        <w:tc>
          <w:tcPr>
            <w:tcW w:w="564" w:type="pct"/>
            <w:shd w:val="clear" w:color="auto" w:fill="auto"/>
            <w:noWrap/>
            <w:vAlign w:val="bottom"/>
          </w:tcPr>
          <w:p w14:paraId="249C61CE" w14:textId="77777777" w:rsidR="00CE1BDB" w:rsidRPr="00263141" w:rsidRDefault="00CE1BDB" w:rsidP="00EF49A7">
            <w:pPr>
              <w:jc w:val="right"/>
              <w:rPr>
                <w:rFonts w:cs="Arial"/>
                <w:color w:val="000000"/>
                <w:sz w:val="22"/>
                <w:szCs w:val="22"/>
              </w:rPr>
            </w:pPr>
            <w:r w:rsidRPr="00263141">
              <w:rPr>
                <w:rFonts w:cs="Arial"/>
                <w:color w:val="000000"/>
                <w:sz w:val="22"/>
                <w:szCs w:val="22"/>
              </w:rPr>
              <w:t>138</w:t>
            </w:r>
          </w:p>
        </w:tc>
        <w:tc>
          <w:tcPr>
            <w:tcW w:w="452" w:type="pct"/>
            <w:shd w:val="clear" w:color="auto" w:fill="auto"/>
            <w:noWrap/>
            <w:vAlign w:val="bottom"/>
          </w:tcPr>
          <w:p w14:paraId="1E60EE69" w14:textId="77777777" w:rsidR="00CE1BDB" w:rsidRPr="00263141" w:rsidRDefault="00CE1BDB" w:rsidP="00EF49A7">
            <w:pPr>
              <w:jc w:val="right"/>
              <w:rPr>
                <w:rFonts w:cs="Arial"/>
                <w:color w:val="000000"/>
                <w:sz w:val="22"/>
                <w:szCs w:val="22"/>
              </w:rPr>
            </w:pPr>
            <w:r w:rsidRPr="00263141">
              <w:rPr>
                <w:rFonts w:cs="Arial"/>
                <w:color w:val="000000"/>
                <w:sz w:val="22"/>
                <w:szCs w:val="22"/>
              </w:rPr>
              <w:t>0.5%</w:t>
            </w:r>
          </w:p>
        </w:tc>
        <w:tc>
          <w:tcPr>
            <w:tcW w:w="683" w:type="pct"/>
            <w:shd w:val="clear" w:color="auto" w:fill="auto"/>
            <w:noWrap/>
            <w:vAlign w:val="bottom"/>
          </w:tcPr>
          <w:p w14:paraId="07A6EC11" w14:textId="77777777" w:rsidR="00CE1BDB" w:rsidRPr="00263141" w:rsidRDefault="00CE1BDB" w:rsidP="00EF49A7">
            <w:pPr>
              <w:jc w:val="right"/>
              <w:rPr>
                <w:rFonts w:cs="Arial"/>
                <w:color w:val="000000"/>
                <w:sz w:val="22"/>
                <w:szCs w:val="22"/>
              </w:rPr>
            </w:pPr>
            <w:r w:rsidRPr="00263141">
              <w:rPr>
                <w:rFonts w:cs="Arial"/>
                <w:color w:val="000000"/>
                <w:sz w:val="22"/>
                <w:szCs w:val="22"/>
              </w:rPr>
              <w:t>0.7%</w:t>
            </w:r>
          </w:p>
        </w:tc>
      </w:tr>
      <w:tr w:rsidR="00CE1BDB" w:rsidRPr="00263141" w14:paraId="0ADE8C47" w14:textId="77777777" w:rsidTr="00263141">
        <w:tc>
          <w:tcPr>
            <w:tcW w:w="1288" w:type="pct"/>
            <w:shd w:val="clear" w:color="auto" w:fill="auto"/>
            <w:noWrap/>
            <w:vAlign w:val="center"/>
          </w:tcPr>
          <w:p w14:paraId="07ADCC51" w14:textId="77777777" w:rsidR="00CE1BDB" w:rsidRPr="00263141" w:rsidRDefault="00CE1BDB" w:rsidP="00EF49A7">
            <w:pPr>
              <w:rPr>
                <w:rFonts w:cs="Arial"/>
                <w:sz w:val="22"/>
                <w:szCs w:val="22"/>
              </w:rPr>
            </w:pPr>
            <w:r w:rsidRPr="00263141">
              <w:rPr>
                <w:rFonts w:cs="Arial"/>
                <w:color w:val="000000"/>
                <w:sz w:val="22"/>
                <w:szCs w:val="22"/>
              </w:rPr>
              <w:t>Bromley</w:t>
            </w:r>
          </w:p>
        </w:tc>
        <w:tc>
          <w:tcPr>
            <w:tcW w:w="564" w:type="pct"/>
            <w:shd w:val="clear" w:color="auto" w:fill="auto"/>
            <w:noWrap/>
            <w:vAlign w:val="bottom"/>
          </w:tcPr>
          <w:p w14:paraId="3183E125" w14:textId="77777777" w:rsidR="00CE1BDB" w:rsidRPr="00263141" w:rsidRDefault="00CE1BDB" w:rsidP="00EF49A7">
            <w:pPr>
              <w:jc w:val="right"/>
              <w:rPr>
                <w:rFonts w:cs="Arial"/>
                <w:sz w:val="22"/>
                <w:szCs w:val="22"/>
              </w:rPr>
            </w:pPr>
            <w:r w:rsidRPr="00263141">
              <w:rPr>
                <w:rFonts w:cs="Arial"/>
                <w:color w:val="000000"/>
                <w:sz w:val="22"/>
                <w:szCs w:val="22"/>
              </w:rPr>
              <w:t>215</w:t>
            </w:r>
          </w:p>
        </w:tc>
        <w:tc>
          <w:tcPr>
            <w:tcW w:w="518" w:type="pct"/>
            <w:shd w:val="clear" w:color="auto" w:fill="auto"/>
            <w:noWrap/>
            <w:vAlign w:val="bottom"/>
          </w:tcPr>
          <w:p w14:paraId="2B61183E" w14:textId="77777777" w:rsidR="00CE1BDB" w:rsidRPr="00263141" w:rsidRDefault="00CE1BDB" w:rsidP="00EF49A7">
            <w:pPr>
              <w:jc w:val="right"/>
              <w:rPr>
                <w:rFonts w:cs="Arial"/>
                <w:color w:val="000000"/>
                <w:sz w:val="22"/>
                <w:szCs w:val="22"/>
              </w:rPr>
            </w:pPr>
            <w:r w:rsidRPr="00263141">
              <w:rPr>
                <w:rFonts w:cs="Arial"/>
                <w:color w:val="000000"/>
                <w:sz w:val="22"/>
                <w:szCs w:val="22"/>
              </w:rPr>
              <w:t>0.8%</w:t>
            </w:r>
          </w:p>
        </w:tc>
        <w:tc>
          <w:tcPr>
            <w:tcW w:w="931" w:type="pct"/>
            <w:shd w:val="clear" w:color="auto" w:fill="auto"/>
            <w:noWrap/>
            <w:vAlign w:val="bottom"/>
          </w:tcPr>
          <w:p w14:paraId="46EBC728" w14:textId="77777777" w:rsidR="00CE1BDB" w:rsidRPr="00263141" w:rsidRDefault="00CE1BDB" w:rsidP="00EF49A7">
            <w:pPr>
              <w:jc w:val="right"/>
              <w:rPr>
                <w:rFonts w:cs="Arial"/>
                <w:color w:val="000000"/>
                <w:sz w:val="22"/>
                <w:szCs w:val="22"/>
              </w:rPr>
            </w:pPr>
            <w:r w:rsidRPr="00263141">
              <w:rPr>
                <w:rFonts w:cs="Arial"/>
                <w:color w:val="000000"/>
                <w:sz w:val="22"/>
                <w:szCs w:val="22"/>
              </w:rPr>
              <w:t>1.0%</w:t>
            </w:r>
          </w:p>
        </w:tc>
        <w:tc>
          <w:tcPr>
            <w:tcW w:w="564" w:type="pct"/>
            <w:shd w:val="clear" w:color="auto" w:fill="auto"/>
            <w:noWrap/>
            <w:vAlign w:val="bottom"/>
          </w:tcPr>
          <w:p w14:paraId="5E44320E" w14:textId="77777777" w:rsidR="00CE1BDB" w:rsidRPr="00263141" w:rsidRDefault="00CE1BDB" w:rsidP="00EF49A7">
            <w:pPr>
              <w:jc w:val="right"/>
              <w:rPr>
                <w:rFonts w:cs="Arial"/>
                <w:color w:val="000000"/>
                <w:sz w:val="22"/>
                <w:szCs w:val="22"/>
              </w:rPr>
            </w:pPr>
            <w:r w:rsidRPr="00263141">
              <w:rPr>
                <w:rFonts w:cs="Arial"/>
                <w:color w:val="000000"/>
                <w:sz w:val="22"/>
                <w:szCs w:val="22"/>
              </w:rPr>
              <w:t>155</w:t>
            </w:r>
          </w:p>
        </w:tc>
        <w:tc>
          <w:tcPr>
            <w:tcW w:w="452" w:type="pct"/>
            <w:shd w:val="clear" w:color="auto" w:fill="auto"/>
            <w:noWrap/>
            <w:vAlign w:val="bottom"/>
          </w:tcPr>
          <w:p w14:paraId="79412BD5" w14:textId="77777777" w:rsidR="00CE1BDB" w:rsidRPr="00263141" w:rsidRDefault="00CE1BDB" w:rsidP="00EF49A7">
            <w:pPr>
              <w:jc w:val="right"/>
              <w:rPr>
                <w:rFonts w:cs="Arial"/>
                <w:color w:val="000000"/>
                <w:sz w:val="22"/>
                <w:szCs w:val="22"/>
              </w:rPr>
            </w:pPr>
            <w:r w:rsidRPr="00263141">
              <w:rPr>
                <w:rFonts w:cs="Arial"/>
                <w:color w:val="000000"/>
                <w:sz w:val="22"/>
                <w:szCs w:val="22"/>
              </w:rPr>
              <w:t>0.6%</w:t>
            </w:r>
          </w:p>
        </w:tc>
        <w:tc>
          <w:tcPr>
            <w:tcW w:w="683" w:type="pct"/>
            <w:shd w:val="clear" w:color="auto" w:fill="auto"/>
            <w:noWrap/>
            <w:vAlign w:val="bottom"/>
          </w:tcPr>
          <w:p w14:paraId="543B8808" w14:textId="77777777" w:rsidR="00CE1BDB" w:rsidRPr="00263141" w:rsidRDefault="00CE1BDB" w:rsidP="00EF49A7">
            <w:pPr>
              <w:jc w:val="right"/>
              <w:rPr>
                <w:rFonts w:cs="Arial"/>
                <w:color w:val="000000"/>
                <w:sz w:val="22"/>
                <w:szCs w:val="22"/>
              </w:rPr>
            </w:pPr>
            <w:r w:rsidRPr="00263141">
              <w:rPr>
                <w:rFonts w:cs="Arial"/>
                <w:color w:val="000000"/>
                <w:sz w:val="22"/>
                <w:szCs w:val="22"/>
              </w:rPr>
              <w:t>0.7%</w:t>
            </w:r>
          </w:p>
        </w:tc>
      </w:tr>
      <w:tr w:rsidR="00CE1BDB" w:rsidRPr="00263141" w14:paraId="1189C105" w14:textId="77777777" w:rsidTr="00263141">
        <w:tc>
          <w:tcPr>
            <w:tcW w:w="1288" w:type="pct"/>
            <w:shd w:val="clear" w:color="auto" w:fill="auto"/>
            <w:noWrap/>
            <w:vAlign w:val="center"/>
          </w:tcPr>
          <w:p w14:paraId="16B82C74" w14:textId="77777777" w:rsidR="00CE1BDB" w:rsidRPr="00263141" w:rsidRDefault="00CE1BDB" w:rsidP="00EF49A7">
            <w:pPr>
              <w:rPr>
                <w:rFonts w:cs="Arial"/>
                <w:sz w:val="22"/>
                <w:szCs w:val="22"/>
              </w:rPr>
            </w:pPr>
            <w:r w:rsidRPr="00263141">
              <w:rPr>
                <w:rFonts w:cs="Arial"/>
                <w:color w:val="000000"/>
                <w:sz w:val="22"/>
                <w:szCs w:val="22"/>
              </w:rPr>
              <w:t>Croydon</w:t>
            </w:r>
          </w:p>
        </w:tc>
        <w:tc>
          <w:tcPr>
            <w:tcW w:w="564" w:type="pct"/>
            <w:shd w:val="clear" w:color="auto" w:fill="auto"/>
            <w:noWrap/>
            <w:vAlign w:val="bottom"/>
          </w:tcPr>
          <w:p w14:paraId="328E1B82" w14:textId="77777777" w:rsidR="00CE1BDB" w:rsidRPr="00263141" w:rsidRDefault="00CE1BDB" w:rsidP="00EF49A7">
            <w:pPr>
              <w:jc w:val="right"/>
              <w:rPr>
                <w:rFonts w:cs="Arial"/>
                <w:sz w:val="22"/>
                <w:szCs w:val="22"/>
              </w:rPr>
            </w:pPr>
            <w:r w:rsidRPr="00263141">
              <w:rPr>
                <w:rFonts w:cs="Arial"/>
                <w:color w:val="000000"/>
                <w:sz w:val="22"/>
                <w:szCs w:val="22"/>
              </w:rPr>
              <w:t>83</w:t>
            </w:r>
          </w:p>
        </w:tc>
        <w:tc>
          <w:tcPr>
            <w:tcW w:w="518" w:type="pct"/>
            <w:shd w:val="clear" w:color="auto" w:fill="auto"/>
            <w:noWrap/>
            <w:vAlign w:val="bottom"/>
          </w:tcPr>
          <w:p w14:paraId="10C21B01" w14:textId="77777777" w:rsidR="00CE1BDB" w:rsidRPr="00263141" w:rsidRDefault="00CE1BDB" w:rsidP="00EF49A7">
            <w:pPr>
              <w:jc w:val="right"/>
              <w:rPr>
                <w:rFonts w:cs="Arial"/>
                <w:color w:val="000000"/>
                <w:sz w:val="22"/>
                <w:szCs w:val="22"/>
              </w:rPr>
            </w:pPr>
            <w:r w:rsidRPr="00263141">
              <w:rPr>
                <w:rFonts w:cs="Arial"/>
                <w:color w:val="000000"/>
                <w:sz w:val="22"/>
                <w:szCs w:val="22"/>
              </w:rPr>
              <w:t>0.3%</w:t>
            </w:r>
          </w:p>
        </w:tc>
        <w:tc>
          <w:tcPr>
            <w:tcW w:w="931" w:type="pct"/>
            <w:shd w:val="clear" w:color="auto" w:fill="auto"/>
            <w:noWrap/>
            <w:vAlign w:val="bottom"/>
          </w:tcPr>
          <w:p w14:paraId="0192A180" w14:textId="77777777" w:rsidR="00CE1BDB" w:rsidRPr="00263141" w:rsidRDefault="00CE1BDB" w:rsidP="00EF49A7">
            <w:pPr>
              <w:jc w:val="right"/>
              <w:rPr>
                <w:rFonts w:cs="Arial"/>
                <w:color w:val="000000"/>
                <w:sz w:val="22"/>
                <w:szCs w:val="22"/>
              </w:rPr>
            </w:pPr>
            <w:r w:rsidRPr="00263141">
              <w:rPr>
                <w:rFonts w:cs="Arial"/>
                <w:color w:val="000000"/>
                <w:sz w:val="22"/>
                <w:szCs w:val="22"/>
              </w:rPr>
              <w:t>0.4%</w:t>
            </w:r>
          </w:p>
        </w:tc>
        <w:tc>
          <w:tcPr>
            <w:tcW w:w="564" w:type="pct"/>
            <w:shd w:val="clear" w:color="auto" w:fill="auto"/>
            <w:noWrap/>
            <w:vAlign w:val="bottom"/>
          </w:tcPr>
          <w:p w14:paraId="714A5E73" w14:textId="77777777" w:rsidR="00CE1BDB" w:rsidRPr="00263141" w:rsidRDefault="00CE1BDB" w:rsidP="00EF49A7">
            <w:pPr>
              <w:jc w:val="right"/>
              <w:rPr>
                <w:rFonts w:cs="Arial"/>
                <w:color w:val="000000"/>
                <w:sz w:val="22"/>
                <w:szCs w:val="22"/>
              </w:rPr>
            </w:pPr>
            <w:r w:rsidRPr="00263141">
              <w:rPr>
                <w:rFonts w:cs="Arial"/>
                <w:color w:val="000000"/>
                <w:sz w:val="22"/>
                <w:szCs w:val="22"/>
              </w:rPr>
              <w:t>65</w:t>
            </w:r>
          </w:p>
        </w:tc>
        <w:tc>
          <w:tcPr>
            <w:tcW w:w="452" w:type="pct"/>
            <w:shd w:val="clear" w:color="auto" w:fill="auto"/>
            <w:noWrap/>
            <w:vAlign w:val="bottom"/>
          </w:tcPr>
          <w:p w14:paraId="4D164F66" w14:textId="77777777" w:rsidR="00CE1BDB" w:rsidRPr="00263141" w:rsidRDefault="00CE1BDB" w:rsidP="00EF49A7">
            <w:pPr>
              <w:jc w:val="right"/>
              <w:rPr>
                <w:rFonts w:cs="Arial"/>
                <w:color w:val="000000"/>
                <w:sz w:val="22"/>
                <w:szCs w:val="22"/>
              </w:rPr>
            </w:pPr>
            <w:r w:rsidRPr="00263141">
              <w:rPr>
                <w:rFonts w:cs="Arial"/>
                <w:color w:val="000000"/>
                <w:sz w:val="22"/>
                <w:szCs w:val="22"/>
              </w:rPr>
              <w:t>0.2%</w:t>
            </w:r>
          </w:p>
        </w:tc>
        <w:tc>
          <w:tcPr>
            <w:tcW w:w="683" w:type="pct"/>
            <w:shd w:val="clear" w:color="auto" w:fill="auto"/>
            <w:noWrap/>
            <w:vAlign w:val="bottom"/>
          </w:tcPr>
          <w:p w14:paraId="6BF0D78A" w14:textId="77777777" w:rsidR="00CE1BDB" w:rsidRPr="00263141" w:rsidRDefault="00CE1BDB" w:rsidP="00EF49A7">
            <w:pPr>
              <w:jc w:val="right"/>
              <w:rPr>
                <w:rFonts w:cs="Arial"/>
                <w:color w:val="000000"/>
                <w:sz w:val="22"/>
                <w:szCs w:val="22"/>
              </w:rPr>
            </w:pPr>
            <w:r w:rsidRPr="00263141">
              <w:rPr>
                <w:rFonts w:cs="Arial"/>
                <w:color w:val="000000"/>
                <w:sz w:val="22"/>
                <w:szCs w:val="22"/>
              </w:rPr>
              <w:t>0.3%</w:t>
            </w:r>
          </w:p>
        </w:tc>
      </w:tr>
      <w:tr w:rsidR="00CE1BDB" w:rsidRPr="00263141" w14:paraId="20FDD5C4" w14:textId="77777777" w:rsidTr="00263141">
        <w:tc>
          <w:tcPr>
            <w:tcW w:w="1288" w:type="pct"/>
            <w:shd w:val="clear" w:color="auto" w:fill="auto"/>
            <w:noWrap/>
            <w:vAlign w:val="center"/>
          </w:tcPr>
          <w:p w14:paraId="6CBEA844" w14:textId="77777777" w:rsidR="00CE1BDB" w:rsidRPr="00263141" w:rsidRDefault="00CE1BDB" w:rsidP="00EF49A7">
            <w:pPr>
              <w:rPr>
                <w:rFonts w:cs="Arial"/>
                <w:sz w:val="22"/>
                <w:szCs w:val="22"/>
              </w:rPr>
            </w:pPr>
            <w:r w:rsidRPr="00263141">
              <w:rPr>
                <w:rFonts w:cs="Arial"/>
                <w:color w:val="000000"/>
                <w:sz w:val="22"/>
                <w:szCs w:val="22"/>
              </w:rPr>
              <w:t>Greenwich</w:t>
            </w:r>
          </w:p>
        </w:tc>
        <w:tc>
          <w:tcPr>
            <w:tcW w:w="564" w:type="pct"/>
            <w:shd w:val="clear" w:color="auto" w:fill="auto"/>
            <w:noWrap/>
            <w:vAlign w:val="bottom"/>
          </w:tcPr>
          <w:p w14:paraId="694A3588" w14:textId="77777777" w:rsidR="00CE1BDB" w:rsidRPr="00263141" w:rsidRDefault="00CE1BDB" w:rsidP="00EF49A7">
            <w:pPr>
              <w:jc w:val="right"/>
              <w:rPr>
                <w:rFonts w:cs="Arial"/>
                <w:sz w:val="22"/>
                <w:szCs w:val="22"/>
              </w:rPr>
            </w:pPr>
            <w:r w:rsidRPr="00263141">
              <w:rPr>
                <w:rFonts w:cs="Arial"/>
                <w:color w:val="000000"/>
                <w:sz w:val="22"/>
                <w:szCs w:val="22"/>
              </w:rPr>
              <w:t>288</w:t>
            </w:r>
          </w:p>
        </w:tc>
        <w:tc>
          <w:tcPr>
            <w:tcW w:w="518" w:type="pct"/>
            <w:shd w:val="clear" w:color="auto" w:fill="auto"/>
            <w:noWrap/>
            <w:vAlign w:val="bottom"/>
          </w:tcPr>
          <w:p w14:paraId="5EF493EC" w14:textId="77777777" w:rsidR="00CE1BDB" w:rsidRPr="00263141" w:rsidRDefault="00CE1BDB" w:rsidP="00EF49A7">
            <w:pPr>
              <w:jc w:val="right"/>
              <w:rPr>
                <w:rFonts w:cs="Arial"/>
                <w:color w:val="000000"/>
                <w:sz w:val="22"/>
                <w:szCs w:val="22"/>
              </w:rPr>
            </w:pPr>
            <w:r w:rsidRPr="00263141">
              <w:rPr>
                <w:rFonts w:cs="Arial"/>
                <w:color w:val="000000"/>
                <w:sz w:val="22"/>
                <w:szCs w:val="22"/>
              </w:rPr>
              <w:t>1.0%</w:t>
            </w:r>
          </w:p>
        </w:tc>
        <w:tc>
          <w:tcPr>
            <w:tcW w:w="931" w:type="pct"/>
            <w:tcBorders>
              <w:bottom w:val="single" w:sz="4" w:space="0" w:color="000000" w:themeColor="text1"/>
            </w:tcBorders>
            <w:shd w:val="clear" w:color="auto" w:fill="auto"/>
            <w:noWrap/>
            <w:vAlign w:val="bottom"/>
          </w:tcPr>
          <w:p w14:paraId="67DBA5B1" w14:textId="77777777" w:rsidR="00CE1BDB" w:rsidRPr="00263141" w:rsidRDefault="00CE1BDB" w:rsidP="00EF49A7">
            <w:pPr>
              <w:jc w:val="right"/>
              <w:rPr>
                <w:rFonts w:cs="Arial"/>
                <w:color w:val="000000"/>
                <w:sz w:val="22"/>
                <w:szCs w:val="22"/>
              </w:rPr>
            </w:pPr>
            <w:r w:rsidRPr="00263141">
              <w:rPr>
                <w:rFonts w:cs="Arial"/>
                <w:color w:val="000000"/>
                <w:sz w:val="22"/>
                <w:szCs w:val="22"/>
              </w:rPr>
              <w:t>1.3%</w:t>
            </w:r>
          </w:p>
        </w:tc>
        <w:tc>
          <w:tcPr>
            <w:tcW w:w="564" w:type="pct"/>
            <w:shd w:val="clear" w:color="auto" w:fill="auto"/>
            <w:noWrap/>
            <w:vAlign w:val="bottom"/>
          </w:tcPr>
          <w:p w14:paraId="707052C9" w14:textId="77777777" w:rsidR="00CE1BDB" w:rsidRPr="00263141" w:rsidRDefault="00CE1BDB" w:rsidP="00EF49A7">
            <w:pPr>
              <w:jc w:val="right"/>
              <w:rPr>
                <w:rFonts w:cs="Arial"/>
                <w:color w:val="000000"/>
                <w:sz w:val="22"/>
                <w:szCs w:val="22"/>
              </w:rPr>
            </w:pPr>
            <w:r w:rsidRPr="00263141">
              <w:rPr>
                <w:rFonts w:cs="Arial"/>
                <w:color w:val="000000"/>
                <w:sz w:val="22"/>
                <w:szCs w:val="22"/>
              </w:rPr>
              <w:t>160</w:t>
            </w:r>
          </w:p>
        </w:tc>
        <w:tc>
          <w:tcPr>
            <w:tcW w:w="452" w:type="pct"/>
            <w:shd w:val="clear" w:color="auto" w:fill="auto"/>
            <w:noWrap/>
            <w:vAlign w:val="bottom"/>
          </w:tcPr>
          <w:p w14:paraId="2024E0E8" w14:textId="77777777" w:rsidR="00CE1BDB" w:rsidRPr="00263141" w:rsidRDefault="00CE1BDB" w:rsidP="00EF49A7">
            <w:pPr>
              <w:jc w:val="right"/>
              <w:rPr>
                <w:rFonts w:cs="Arial"/>
                <w:color w:val="000000"/>
                <w:sz w:val="22"/>
                <w:szCs w:val="22"/>
              </w:rPr>
            </w:pPr>
            <w:r w:rsidRPr="00263141">
              <w:rPr>
                <w:rFonts w:cs="Arial"/>
                <w:color w:val="000000"/>
                <w:sz w:val="22"/>
                <w:szCs w:val="22"/>
              </w:rPr>
              <w:t>0.6%</w:t>
            </w:r>
          </w:p>
        </w:tc>
        <w:tc>
          <w:tcPr>
            <w:tcW w:w="683" w:type="pct"/>
            <w:tcBorders>
              <w:bottom w:val="single" w:sz="4" w:space="0" w:color="000000" w:themeColor="text1"/>
            </w:tcBorders>
            <w:shd w:val="clear" w:color="auto" w:fill="auto"/>
            <w:noWrap/>
            <w:vAlign w:val="bottom"/>
          </w:tcPr>
          <w:p w14:paraId="41D4EFBC" w14:textId="77777777" w:rsidR="00CE1BDB" w:rsidRPr="00263141" w:rsidRDefault="00CE1BDB" w:rsidP="00EF49A7">
            <w:pPr>
              <w:jc w:val="right"/>
              <w:rPr>
                <w:rFonts w:cs="Arial"/>
                <w:color w:val="000000"/>
                <w:sz w:val="22"/>
                <w:szCs w:val="22"/>
              </w:rPr>
            </w:pPr>
            <w:r w:rsidRPr="00263141">
              <w:rPr>
                <w:rFonts w:cs="Arial"/>
                <w:color w:val="000000"/>
                <w:sz w:val="22"/>
                <w:szCs w:val="22"/>
              </w:rPr>
              <w:t>0.8%</w:t>
            </w:r>
          </w:p>
        </w:tc>
      </w:tr>
      <w:tr w:rsidR="00CE1BDB" w:rsidRPr="00263141" w14:paraId="555D4DE7" w14:textId="77777777" w:rsidTr="00263141">
        <w:tc>
          <w:tcPr>
            <w:tcW w:w="1288" w:type="pct"/>
            <w:shd w:val="clear" w:color="auto" w:fill="auto"/>
            <w:noWrap/>
          </w:tcPr>
          <w:p w14:paraId="44FE8B35" w14:textId="77777777" w:rsidR="00CE1BDB" w:rsidRPr="00263141" w:rsidRDefault="00CE1BDB" w:rsidP="00EF49A7">
            <w:pPr>
              <w:rPr>
                <w:rFonts w:cs="Arial"/>
                <w:sz w:val="22"/>
                <w:szCs w:val="22"/>
              </w:rPr>
            </w:pPr>
            <w:r w:rsidRPr="00263141">
              <w:rPr>
                <w:rFonts w:cs="Arial"/>
                <w:sz w:val="22"/>
                <w:szCs w:val="22"/>
              </w:rPr>
              <w:t>Lewisham</w:t>
            </w:r>
          </w:p>
        </w:tc>
        <w:tc>
          <w:tcPr>
            <w:tcW w:w="564" w:type="pct"/>
            <w:shd w:val="clear" w:color="auto" w:fill="auto"/>
            <w:noWrap/>
            <w:vAlign w:val="bottom"/>
          </w:tcPr>
          <w:p w14:paraId="742F4346" w14:textId="77777777" w:rsidR="00CE1BDB" w:rsidRPr="00263141" w:rsidRDefault="00CE1BDB" w:rsidP="00EF49A7">
            <w:pPr>
              <w:jc w:val="right"/>
              <w:rPr>
                <w:rFonts w:cs="Arial"/>
                <w:sz w:val="22"/>
                <w:szCs w:val="22"/>
              </w:rPr>
            </w:pPr>
            <w:r w:rsidRPr="00263141">
              <w:rPr>
                <w:rFonts w:cs="Arial"/>
                <w:sz w:val="22"/>
                <w:szCs w:val="22"/>
              </w:rPr>
              <w:t>206</w:t>
            </w:r>
          </w:p>
        </w:tc>
        <w:tc>
          <w:tcPr>
            <w:tcW w:w="518" w:type="pct"/>
            <w:shd w:val="clear" w:color="auto" w:fill="auto"/>
            <w:noWrap/>
            <w:vAlign w:val="bottom"/>
          </w:tcPr>
          <w:p w14:paraId="5434B829" w14:textId="77777777" w:rsidR="00CE1BDB" w:rsidRPr="00263141" w:rsidRDefault="00CE1BDB" w:rsidP="00EF49A7">
            <w:pPr>
              <w:jc w:val="right"/>
              <w:rPr>
                <w:rFonts w:cs="Arial"/>
                <w:color w:val="000000"/>
                <w:sz w:val="22"/>
                <w:szCs w:val="22"/>
              </w:rPr>
            </w:pPr>
            <w:r w:rsidRPr="00263141">
              <w:rPr>
                <w:rFonts w:cs="Arial"/>
                <w:color w:val="000000"/>
                <w:sz w:val="22"/>
                <w:szCs w:val="22"/>
              </w:rPr>
              <w:t>0.7%</w:t>
            </w:r>
          </w:p>
        </w:tc>
        <w:tc>
          <w:tcPr>
            <w:tcW w:w="931" w:type="pct"/>
            <w:tcBorders>
              <w:bottom w:val="single" w:sz="4" w:space="0" w:color="000000" w:themeColor="text1"/>
            </w:tcBorders>
            <w:shd w:val="clear" w:color="auto" w:fill="auto"/>
            <w:noWrap/>
            <w:vAlign w:val="bottom"/>
          </w:tcPr>
          <w:p w14:paraId="0589CDBF" w14:textId="77777777" w:rsidR="00CE1BDB" w:rsidRPr="00263141" w:rsidRDefault="00CE1BDB" w:rsidP="00EF49A7">
            <w:pPr>
              <w:jc w:val="right"/>
              <w:rPr>
                <w:rFonts w:cs="Arial"/>
                <w:sz w:val="22"/>
                <w:szCs w:val="22"/>
              </w:rPr>
            </w:pPr>
            <w:r w:rsidRPr="00263141">
              <w:rPr>
                <w:rFonts w:cs="Arial"/>
                <w:color w:val="000000"/>
                <w:sz w:val="22"/>
                <w:szCs w:val="22"/>
              </w:rPr>
              <w:t>1.0%</w:t>
            </w:r>
          </w:p>
        </w:tc>
        <w:tc>
          <w:tcPr>
            <w:tcW w:w="564" w:type="pct"/>
            <w:shd w:val="clear" w:color="auto" w:fill="auto"/>
            <w:noWrap/>
            <w:vAlign w:val="bottom"/>
          </w:tcPr>
          <w:p w14:paraId="12A6CB7E" w14:textId="77777777" w:rsidR="00CE1BDB" w:rsidRPr="00263141" w:rsidRDefault="00CE1BDB" w:rsidP="00EF49A7">
            <w:pPr>
              <w:jc w:val="right"/>
              <w:rPr>
                <w:rFonts w:cs="Arial"/>
                <w:color w:val="000000"/>
                <w:sz w:val="22"/>
                <w:szCs w:val="22"/>
              </w:rPr>
            </w:pPr>
            <w:r w:rsidRPr="00263141">
              <w:rPr>
                <w:rFonts w:cs="Arial"/>
                <w:color w:val="000000"/>
                <w:sz w:val="22"/>
                <w:szCs w:val="22"/>
              </w:rPr>
              <w:t>90</w:t>
            </w:r>
          </w:p>
        </w:tc>
        <w:tc>
          <w:tcPr>
            <w:tcW w:w="452" w:type="pct"/>
            <w:shd w:val="clear" w:color="auto" w:fill="auto"/>
            <w:noWrap/>
            <w:vAlign w:val="bottom"/>
          </w:tcPr>
          <w:p w14:paraId="23D94F9B" w14:textId="77777777" w:rsidR="00CE1BDB" w:rsidRPr="00263141" w:rsidRDefault="00CE1BDB" w:rsidP="00EF49A7">
            <w:pPr>
              <w:jc w:val="right"/>
              <w:rPr>
                <w:rFonts w:cs="Arial"/>
                <w:color w:val="000000"/>
                <w:sz w:val="22"/>
                <w:szCs w:val="22"/>
              </w:rPr>
            </w:pPr>
            <w:r w:rsidRPr="00263141">
              <w:rPr>
                <w:rFonts w:cs="Arial"/>
                <w:color w:val="000000"/>
                <w:sz w:val="22"/>
                <w:szCs w:val="22"/>
              </w:rPr>
              <w:t>0.3%</w:t>
            </w:r>
          </w:p>
        </w:tc>
        <w:tc>
          <w:tcPr>
            <w:tcW w:w="683" w:type="pct"/>
            <w:tcBorders>
              <w:bottom w:val="single" w:sz="4" w:space="0" w:color="000000" w:themeColor="text1"/>
            </w:tcBorders>
            <w:shd w:val="clear" w:color="auto" w:fill="auto"/>
            <w:noWrap/>
            <w:vAlign w:val="bottom"/>
          </w:tcPr>
          <w:p w14:paraId="62CFB4F0" w14:textId="77777777" w:rsidR="00CE1BDB" w:rsidRPr="00263141" w:rsidRDefault="00CE1BDB" w:rsidP="00EF49A7">
            <w:pPr>
              <w:jc w:val="right"/>
              <w:rPr>
                <w:rFonts w:cs="Arial"/>
                <w:sz w:val="22"/>
                <w:szCs w:val="22"/>
              </w:rPr>
            </w:pPr>
            <w:r w:rsidRPr="00263141">
              <w:rPr>
                <w:rFonts w:cs="Arial"/>
                <w:color w:val="000000"/>
                <w:sz w:val="22"/>
                <w:szCs w:val="22"/>
              </w:rPr>
              <w:t>0.4%</w:t>
            </w:r>
          </w:p>
        </w:tc>
      </w:tr>
      <w:tr w:rsidR="00263141" w:rsidRPr="00263141" w14:paraId="6BBC0D6D" w14:textId="77777777" w:rsidTr="00263141">
        <w:tc>
          <w:tcPr>
            <w:tcW w:w="1288" w:type="pct"/>
            <w:shd w:val="clear" w:color="auto" w:fill="auto"/>
            <w:noWrap/>
            <w:hideMark/>
          </w:tcPr>
          <w:p w14:paraId="77827447" w14:textId="77777777" w:rsidR="00263141" w:rsidRPr="00263141" w:rsidRDefault="00263141" w:rsidP="00EF49A7">
            <w:pPr>
              <w:rPr>
                <w:rFonts w:cs="Arial"/>
                <w:sz w:val="22"/>
                <w:szCs w:val="22"/>
              </w:rPr>
            </w:pPr>
            <w:r w:rsidRPr="00263141">
              <w:rPr>
                <w:rFonts w:cs="Arial"/>
                <w:sz w:val="22"/>
                <w:szCs w:val="22"/>
              </w:rPr>
              <w:t>Elsewhere Kent</w:t>
            </w:r>
          </w:p>
        </w:tc>
        <w:tc>
          <w:tcPr>
            <w:tcW w:w="564" w:type="pct"/>
            <w:shd w:val="clear" w:color="auto" w:fill="auto"/>
            <w:noWrap/>
            <w:vAlign w:val="bottom"/>
            <w:hideMark/>
          </w:tcPr>
          <w:p w14:paraId="62B3AE11" w14:textId="77777777" w:rsidR="00263141" w:rsidRPr="00263141" w:rsidRDefault="00263141" w:rsidP="00EF49A7">
            <w:pPr>
              <w:jc w:val="right"/>
              <w:rPr>
                <w:rFonts w:cs="Arial"/>
                <w:sz w:val="22"/>
                <w:szCs w:val="22"/>
              </w:rPr>
            </w:pPr>
            <w:r w:rsidRPr="00263141">
              <w:rPr>
                <w:rFonts w:cs="Arial"/>
                <w:sz w:val="22"/>
                <w:szCs w:val="22"/>
              </w:rPr>
              <w:t>813</w:t>
            </w:r>
          </w:p>
        </w:tc>
        <w:tc>
          <w:tcPr>
            <w:tcW w:w="518" w:type="pct"/>
            <w:shd w:val="clear" w:color="auto" w:fill="auto"/>
            <w:noWrap/>
            <w:vAlign w:val="bottom"/>
            <w:hideMark/>
          </w:tcPr>
          <w:p w14:paraId="2229C022" w14:textId="77777777" w:rsidR="00263141" w:rsidRPr="00263141" w:rsidRDefault="00263141" w:rsidP="00EF49A7">
            <w:pPr>
              <w:jc w:val="right"/>
              <w:rPr>
                <w:rFonts w:cs="Arial"/>
                <w:color w:val="000000"/>
                <w:sz w:val="22"/>
                <w:szCs w:val="22"/>
              </w:rPr>
            </w:pPr>
            <w:r w:rsidRPr="00263141">
              <w:rPr>
                <w:rFonts w:cs="Arial"/>
                <w:color w:val="000000"/>
                <w:sz w:val="22"/>
                <w:szCs w:val="22"/>
              </w:rPr>
              <w:t>2.9%</w:t>
            </w:r>
          </w:p>
        </w:tc>
        <w:tc>
          <w:tcPr>
            <w:tcW w:w="931" w:type="pct"/>
            <w:vMerge w:val="restart"/>
            <w:shd w:val="clear" w:color="auto" w:fill="006666"/>
            <w:noWrap/>
            <w:vAlign w:val="bottom"/>
          </w:tcPr>
          <w:p w14:paraId="7976DB15" w14:textId="77777777" w:rsidR="00263141" w:rsidRPr="00263141" w:rsidRDefault="00263141" w:rsidP="00EF49A7">
            <w:pPr>
              <w:jc w:val="right"/>
              <w:rPr>
                <w:rFonts w:cs="Arial"/>
                <w:color w:val="000000"/>
                <w:sz w:val="22"/>
                <w:szCs w:val="22"/>
              </w:rPr>
            </w:pPr>
            <w:r w:rsidRPr="00263141">
              <w:rPr>
                <w:rFonts w:cs="Arial"/>
                <w:color w:val="000000"/>
                <w:sz w:val="22"/>
                <w:szCs w:val="22"/>
              </w:rPr>
              <w:t> </w:t>
            </w:r>
          </w:p>
          <w:p w14:paraId="5FBF9CC7" w14:textId="77777777" w:rsidR="00263141" w:rsidRPr="00263141" w:rsidRDefault="00263141" w:rsidP="00EF49A7">
            <w:pPr>
              <w:jc w:val="right"/>
              <w:rPr>
                <w:rFonts w:cs="Arial"/>
                <w:color w:val="000000"/>
                <w:sz w:val="22"/>
                <w:szCs w:val="22"/>
              </w:rPr>
            </w:pPr>
            <w:r w:rsidRPr="00263141">
              <w:rPr>
                <w:rFonts w:cs="Arial"/>
                <w:color w:val="000000"/>
                <w:sz w:val="22"/>
                <w:szCs w:val="22"/>
              </w:rPr>
              <w:t> </w:t>
            </w:r>
          </w:p>
          <w:p w14:paraId="54EE6AB7" w14:textId="77777777" w:rsidR="00263141" w:rsidRPr="00263141" w:rsidRDefault="00263141" w:rsidP="00EF49A7">
            <w:pPr>
              <w:jc w:val="right"/>
              <w:rPr>
                <w:rFonts w:cs="Arial"/>
                <w:color w:val="000000"/>
                <w:sz w:val="22"/>
                <w:szCs w:val="22"/>
              </w:rPr>
            </w:pPr>
            <w:r w:rsidRPr="00263141">
              <w:rPr>
                <w:rFonts w:cs="Arial"/>
                <w:color w:val="000000"/>
                <w:sz w:val="22"/>
                <w:szCs w:val="22"/>
              </w:rPr>
              <w:t> </w:t>
            </w:r>
          </w:p>
          <w:p w14:paraId="36BC98CA" w14:textId="5980C1F3" w:rsidR="00263141" w:rsidRPr="00263141" w:rsidRDefault="00263141" w:rsidP="00EF49A7">
            <w:pPr>
              <w:jc w:val="right"/>
              <w:rPr>
                <w:rFonts w:cs="Arial"/>
                <w:color w:val="000000"/>
                <w:sz w:val="22"/>
                <w:szCs w:val="22"/>
              </w:rPr>
            </w:pPr>
            <w:r w:rsidRPr="00263141">
              <w:rPr>
                <w:rFonts w:cs="Arial"/>
                <w:color w:val="000000"/>
                <w:sz w:val="22"/>
                <w:szCs w:val="22"/>
              </w:rPr>
              <w:t> </w:t>
            </w:r>
          </w:p>
        </w:tc>
        <w:tc>
          <w:tcPr>
            <w:tcW w:w="564" w:type="pct"/>
            <w:shd w:val="clear" w:color="auto" w:fill="auto"/>
            <w:noWrap/>
            <w:vAlign w:val="bottom"/>
            <w:hideMark/>
          </w:tcPr>
          <w:p w14:paraId="7C3E5F50" w14:textId="77777777" w:rsidR="00263141" w:rsidRPr="00263141" w:rsidRDefault="00263141" w:rsidP="00EF49A7">
            <w:pPr>
              <w:jc w:val="right"/>
              <w:rPr>
                <w:rFonts w:cs="Arial"/>
                <w:color w:val="000000"/>
                <w:sz w:val="22"/>
                <w:szCs w:val="22"/>
              </w:rPr>
            </w:pPr>
            <w:r w:rsidRPr="00263141">
              <w:rPr>
                <w:rFonts w:cs="Arial"/>
                <w:color w:val="000000"/>
                <w:sz w:val="22"/>
                <w:szCs w:val="22"/>
              </w:rPr>
              <w:t>940</w:t>
            </w:r>
          </w:p>
        </w:tc>
        <w:tc>
          <w:tcPr>
            <w:tcW w:w="452" w:type="pct"/>
            <w:shd w:val="clear" w:color="auto" w:fill="auto"/>
            <w:noWrap/>
            <w:vAlign w:val="bottom"/>
            <w:hideMark/>
          </w:tcPr>
          <w:p w14:paraId="7FDB6968" w14:textId="77777777" w:rsidR="00263141" w:rsidRPr="00263141" w:rsidRDefault="00263141" w:rsidP="00EF49A7">
            <w:pPr>
              <w:jc w:val="right"/>
              <w:rPr>
                <w:rFonts w:cs="Arial"/>
                <w:color w:val="000000"/>
                <w:sz w:val="22"/>
                <w:szCs w:val="22"/>
              </w:rPr>
            </w:pPr>
            <w:r w:rsidRPr="00263141">
              <w:rPr>
                <w:rFonts w:cs="Arial"/>
                <w:color w:val="000000"/>
                <w:sz w:val="22"/>
                <w:szCs w:val="22"/>
              </w:rPr>
              <w:t>3.5%</w:t>
            </w:r>
          </w:p>
        </w:tc>
        <w:tc>
          <w:tcPr>
            <w:tcW w:w="683" w:type="pct"/>
            <w:vMerge w:val="restart"/>
            <w:shd w:val="clear" w:color="auto" w:fill="006666"/>
            <w:noWrap/>
            <w:vAlign w:val="bottom"/>
          </w:tcPr>
          <w:p w14:paraId="5D9C5520" w14:textId="77777777" w:rsidR="00263141" w:rsidRPr="00263141" w:rsidRDefault="00263141" w:rsidP="00EF49A7">
            <w:pPr>
              <w:jc w:val="right"/>
              <w:rPr>
                <w:rFonts w:cs="Arial"/>
                <w:sz w:val="22"/>
                <w:szCs w:val="22"/>
              </w:rPr>
            </w:pPr>
            <w:r w:rsidRPr="00263141">
              <w:rPr>
                <w:rFonts w:cs="Arial"/>
                <w:color w:val="000000"/>
                <w:sz w:val="22"/>
                <w:szCs w:val="22"/>
              </w:rPr>
              <w:t> </w:t>
            </w:r>
          </w:p>
          <w:p w14:paraId="517AA110" w14:textId="77777777" w:rsidR="00263141" w:rsidRPr="00263141" w:rsidRDefault="00263141" w:rsidP="00EF49A7">
            <w:pPr>
              <w:jc w:val="right"/>
              <w:rPr>
                <w:rFonts w:cs="Arial"/>
                <w:sz w:val="22"/>
                <w:szCs w:val="22"/>
              </w:rPr>
            </w:pPr>
            <w:r w:rsidRPr="00263141">
              <w:rPr>
                <w:rFonts w:cs="Arial"/>
                <w:color w:val="000000"/>
                <w:sz w:val="22"/>
                <w:szCs w:val="22"/>
              </w:rPr>
              <w:t> </w:t>
            </w:r>
          </w:p>
          <w:p w14:paraId="6881C6FD" w14:textId="77777777" w:rsidR="00263141" w:rsidRPr="00263141" w:rsidRDefault="00263141" w:rsidP="00EF49A7">
            <w:pPr>
              <w:jc w:val="right"/>
              <w:rPr>
                <w:rFonts w:cs="Arial"/>
                <w:sz w:val="22"/>
                <w:szCs w:val="22"/>
              </w:rPr>
            </w:pPr>
            <w:r w:rsidRPr="00263141">
              <w:rPr>
                <w:rFonts w:cs="Arial"/>
                <w:color w:val="000000"/>
                <w:sz w:val="22"/>
                <w:szCs w:val="22"/>
              </w:rPr>
              <w:t> </w:t>
            </w:r>
          </w:p>
          <w:p w14:paraId="1F67C9F9" w14:textId="55BBD27E" w:rsidR="00263141" w:rsidRPr="00263141" w:rsidRDefault="00263141" w:rsidP="00EF49A7">
            <w:pPr>
              <w:jc w:val="right"/>
              <w:rPr>
                <w:rFonts w:cs="Arial"/>
                <w:sz w:val="22"/>
                <w:szCs w:val="22"/>
              </w:rPr>
            </w:pPr>
            <w:r w:rsidRPr="00263141">
              <w:rPr>
                <w:rFonts w:cs="Arial"/>
                <w:color w:val="000000"/>
                <w:sz w:val="22"/>
                <w:szCs w:val="22"/>
              </w:rPr>
              <w:t> </w:t>
            </w:r>
          </w:p>
        </w:tc>
      </w:tr>
      <w:tr w:rsidR="00263141" w:rsidRPr="00263141" w14:paraId="1C20F586" w14:textId="77777777" w:rsidTr="00263141">
        <w:tc>
          <w:tcPr>
            <w:tcW w:w="1288" w:type="pct"/>
            <w:shd w:val="clear" w:color="auto" w:fill="auto"/>
            <w:noWrap/>
            <w:vAlign w:val="center"/>
            <w:hideMark/>
          </w:tcPr>
          <w:p w14:paraId="285C02BD" w14:textId="77777777" w:rsidR="00263141" w:rsidRPr="00263141" w:rsidRDefault="00263141" w:rsidP="00EF49A7">
            <w:pPr>
              <w:rPr>
                <w:rFonts w:cs="Arial"/>
                <w:sz w:val="22"/>
                <w:szCs w:val="22"/>
              </w:rPr>
            </w:pPr>
            <w:r w:rsidRPr="00263141">
              <w:rPr>
                <w:rFonts w:cs="Arial"/>
                <w:color w:val="000000"/>
                <w:sz w:val="22"/>
                <w:szCs w:val="22"/>
              </w:rPr>
              <w:t xml:space="preserve">Elsewhere </w:t>
            </w:r>
            <w:proofErr w:type="gramStart"/>
            <w:r w:rsidRPr="00263141">
              <w:rPr>
                <w:rFonts w:cs="Arial"/>
                <w:color w:val="000000"/>
                <w:sz w:val="22"/>
                <w:szCs w:val="22"/>
              </w:rPr>
              <w:t>South East</w:t>
            </w:r>
            <w:proofErr w:type="gramEnd"/>
          </w:p>
        </w:tc>
        <w:tc>
          <w:tcPr>
            <w:tcW w:w="564" w:type="pct"/>
            <w:shd w:val="clear" w:color="auto" w:fill="auto"/>
            <w:noWrap/>
            <w:vAlign w:val="bottom"/>
            <w:hideMark/>
          </w:tcPr>
          <w:p w14:paraId="6CE1D51D" w14:textId="77777777" w:rsidR="00263141" w:rsidRPr="00263141" w:rsidRDefault="00263141" w:rsidP="00EF49A7">
            <w:pPr>
              <w:jc w:val="right"/>
              <w:rPr>
                <w:rFonts w:cs="Arial"/>
                <w:sz w:val="22"/>
                <w:szCs w:val="22"/>
              </w:rPr>
            </w:pPr>
            <w:r w:rsidRPr="00263141">
              <w:rPr>
                <w:rFonts w:cs="Arial"/>
                <w:color w:val="000000"/>
                <w:sz w:val="22"/>
                <w:szCs w:val="22"/>
              </w:rPr>
              <w:t>1,049</w:t>
            </w:r>
          </w:p>
        </w:tc>
        <w:tc>
          <w:tcPr>
            <w:tcW w:w="518" w:type="pct"/>
            <w:shd w:val="clear" w:color="auto" w:fill="auto"/>
            <w:noWrap/>
            <w:vAlign w:val="bottom"/>
            <w:hideMark/>
          </w:tcPr>
          <w:p w14:paraId="2EB9AC2D" w14:textId="77777777" w:rsidR="00263141" w:rsidRPr="00263141" w:rsidRDefault="00263141" w:rsidP="00EF49A7">
            <w:pPr>
              <w:jc w:val="right"/>
              <w:rPr>
                <w:rFonts w:cs="Arial"/>
                <w:color w:val="000000"/>
                <w:sz w:val="22"/>
                <w:szCs w:val="22"/>
              </w:rPr>
            </w:pPr>
            <w:r w:rsidRPr="00263141">
              <w:rPr>
                <w:rFonts w:cs="Arial"/>
                <w:color w:val="000000"/>
                <w:sz w:val="22"/>
                <w:szCs w:val="22"/>
              </w:rPr>
              <w:t>3.8%</w:t>
            </w:r>
          </w:p>
        </w:tc>
        <w:tc>
          <w:tcPr>
            <w:tcW w:w="931" w:type="pct"/>
            <w:vMerge/>
            <w:shd w:val="clear" w:color="auto" w:fill="006666"/>
            <w:noWrap/>
            <w:vAlign w:val="bottom"/>
          </w:tcPr>
          <w:p w14:paraId="240F10E4" w14:textId="452A0E64" w:rsidR="00263141" w:rsidRPr="00263141" w:rsidRDefault="00263141" w:rsidP="00EF49A7">
            <w:pPr>
              <w:jc w:val="right"/>
              <w:rPr>
                <w:rFonts w:cs="Arial"/>
                <w:color w:val="000000"/>
                <w:sz w:val="22"/>
                <w:szCs w:val="22"/>
              </w:rPr>
            </w:pPr>
          </w:p>
        </w:tc>
        <w:tc>
          <w:tcPr>
            <w:tcW w:w="564" w:type="pct"/>
            <w:shd w:val="clear" w:color="auto" w:fill="auto"/>
            <w:noWrap/>
            <w:vAlign w:val="bottom"/>
            <w:hideMark/>
          </w:tcPr>
          <w:p w14:paraId="7107CCCC" w14:textId="77777777" w:rsidR="00263141" w:rsidRPr="00263141" w:rsidRDefault="00263141" w:rsidP="00EF49A7">
            <w:pPr>
              <w:jc w:val="right"/>
              <w:rPr>
                <w:rFonts w:cs="Arial"/>
                <w:color w:val="000000"/>
                <w:sz w:val="22"/>
                <w:szCs w:val="22"/>
              </w:rPr>
            </w:pPr>
            <w:r w:rsidRPr="00263141">
              <w:rPr>
                <w:rFonts w:cs="Arial"/>
                <w:color w:val="000000"/>
                <w:sz w:val="22"/>
                <w:szCs w:val="22"/>
              </w:rPr>
              <w:t>962</w:t>
            </w:r>
          </w:p>
        </w:tc>
        <w:tc>
          <w:tcPr>
            <w:tcW w:w="452" w:type="pct"/>
            <w:shd w:val="clear" w:color="auto" w:fill="auto"/>
            <w:noWrap/>
            <w:vAlign w:val="bottom"/>
            <w:hideMark/>
          </w:tcPr>
          <w:p w14:paraId="5348A35F" w14:textId="77777777" w:rsidR="00263141" w:rsidRPr="00263141" w:rsidRDefault="00263141" w:rsidP="00EF49A7">
            <w:pPr>
              <w:jc w:val="right"/>
              <w:rPr>
                <w:rFonts w:cs="Arial"/>
                <w:color w:val="000000"/>
                <w:sz w:val="22"/>
                <w:szCs w:val="22"/>
              </w:rPr>
            </w:pPr>
            <w:r w:rsidRPr="00263141">
              <w:rPr>
                <w:rFonts w:cs="Arial"/>
                <w:color w:val="000000"/>
                <w:sz w:val="22"/>
                <w:szCs w:val="22"/>
              </w:rPr>
              <w:t>3.6%</w:t>
            </w:r>
          </w:p>
        </w:tc>
        <w:tc>
          <w:tcPr>
            <w:tcW w:w="683" w:type="pct"/>
            <w:vMerge/>
            <w:shd w:val="clear" w:color="auto" w:fill="006666"/>
            <w:noWrap/>
            <w:vAlign w:val="bottom"/>
          </w:tcPr>
          <w:p w14:paraId="24B057B1" w14:textId="52ECB303" w:rsidR="00263141" w:rsidRPr="00263141" w:rsidRDefault="00263141" w:rsidP="00EF49A7">
            <w:pPr>
              <w:jc w:val="right"/>
              <w:rPr>
                <w:rFonts w:cs="Arial"/>
                <w:sz w:val="22"/>
                <w:szCs w:val="22"/>
              </w:rPr>
            </w:pPr>
          </w:p>
        </w:tc>
      </w:tr>
      <w:tr w:rsidR="00263141" w:rsidRPr="00263141" w14:paraId="7AFBC339" w14:textId="77777777" w:rsidTr="00263141">
        <w:tc>
          <w:tcPr>
            <w:tcW w:w="1288" w:type="pct"/>
            <w:shd w:val="clear" w:color="auto" w:fill="auto"/>
            <w:noWrap/>
            <w:vAlign w:val="center"/>
            <w:hideMark/>
          </w:tcPr>
          <w:p w14:paraId="3777CF73" w14:textId="77777777" w:rsidR="00263141" w:rsidRPr="00263141" w:rsidRDefault="00263141" w:rsidP="00EF49A7">
            <w:pPr>
              <w:rPr>
                <w:rFonts w:cs="Arial"/>
                <w:color w:val="000000"/>
                <w:sz w:val="22"/>
                <w:szCs w:val="22"/>
              </w:rPr>
            </w:pPr>
            <w:r w:rsidRPr="00263141">
              <w:rPr>
                <w:rFonts w:cs="Arial"/>
                <w:color w:val="000000"/>
                <w:sz w:val="22"/>
                <w:szCs w:val="22"/>
              </w:rPr>
              <w:t>Elsewhere London</w:t>
            </w:r>
          </w:p>
        </w:tc>
        <w:tc>
          <w:tcPr>
            <w:tcW w:w="564" w:type="pct"/>
            <w:shd w:val="clear" w:color="auto" w:fill="auto"/>
            <w:noWrap/>
            <w:vAlign w:val="bottom"/>
            <w:hideMark/>
          </w:tcPr>
          <w:p w14:paraId="0A5E4A58" w14:textId="77777777" w:rsidR="00263141" w:rsidRPr="00263141" w:rsidRDefault="00263141" w:rsidP="00EF49A7">
            <w:pPr>
              <w:jc w:val="right"/>
              <w:rPr>
                <w:rFonts w:cs="Arial"/>
                <w:color w:val="000000"/>
                <w:sz w:val="22"/>
                <w:szCs w:val="22"/>
              </w:rPr>
            </w:pPr>
            <w:r w:rsidRPr="00263141">
              <w:rPr>
                <w:rFonts w:cs="Arial"/>
                <w:color w:val="000000"/>
                <w:sz w:val="22"/>
                <w:szCs w:val="22"/>
              </w:rPr>
              <w:t>1,733</w:t>
            </w:r>
          </w:p>
        </w:tc>
        <w:tc>
          <w:tcPr>
            <w:tcW w:w="518" w:type="pct"/>
            <w:shd w:val="clear" w:color="auto" w:fill="auto"/>
            <w:noWrap/>
            <w:vAlign w:val="bottom"/>
            <w:hideMark/>
          </w:tcPr>
          <w:p w14:paraId="5E56C418" w14:textId="77777777" w:rsidR="00263141" w:rsidRPr="00263141" w:rsidRDefault="00263141" w:rsidP="00EF49A7">
            <w:pPr>
              <w:jc w:val="right"/>
              <w:rPr>
                <w:rFonts w:cs="Arial"/>
                <w:color w:val="000000"/>
                <w:sz w:val="22"/>
                <w:szCs w:val="22"/>
              </w:rPr>
            </w:pPr>
            <w:r w:rsidRPr="00263141">
              <w:rPr>
                <w:rFonts w:cs="Arial"/>
                <w:color w:val="000000"/>
                <w:sz w:val="22"/>
                <w:szCs w:val="22"/>
              </w:rPr>
              <w:t>6.2%</w:t>
            </w:r>
          </w:p>
        </w:tc>
        <w:tc>
          <w:tcPr>
            <w:tcW w:w="931" w:type="pct"/>
            <w:vMerge/>
            <w:shd w:val="clear" w:color="auto" w:fill="006666"/>
            <w:noWrap/>
            <w:vAlign w:val="bottom"/>
          </w:tcPr>
          <w:p w14:paraId="41ADBA6A" w14:textId="4675B5E6" w:rsidR="00263141" w:rsidRPr="00263141" w:rsidRDefault="00263141" w:rsidP="00EF49A7">
            <w:pPr>
              <w:jc w:val="right"/>
              <w:rPr>
                <w:rFonts w:cs="Arial"/>
                <w:color w:val="000000"/>
                <w:sz w:val="22"/>
                <w:szCs w:val="22"/>
              </w:rPr>
            </w:pPr>
          </w:p>
        </w:tc>
        <w:tc>
          <w:tcPr>
            <w:tcW w:w="564" w:type="pct"/>
            <w:shd w:val="clear" w:color="auto" w:fill="auto"/>
            <w:noWrap/>
            <w:vAlign w:val="bottom"/>
            <w:hideMark/>
          </w:tcPr>
          <w:p w14:paraId="40D54B5A" w14:textId="77777777" w:rsidR="00263141" w:rsidRPr="00263141" w:rsidRDefault="00263141" w:rsidP="00EF49A7">
            <w:pPr>
              <w:jc w:val="right"/>
              <w:rPr>
                <w:rFonts w:cs="Arial"/>
                <w:color w:val="000000"/>
                <w:sz w:val="22"/>
                <w:szCs w:val="22"/>
              </w:rPr>
            </w:pPr>
            <w:r w:rsidRPr="00263141">
              <w:rPr>
                <w:rFonts w:cs="Arial"/>
                <w:color w:val="000000"/>
                <w:sz w:val="22"/>
                <w:szCs w:val="22"/>
              </w:rPr>
              <w:t>935</w:t>
            </w:r>
          </w:p>
        </w:tc>
        <w:tc>
          <w:tcPr>
            <w:tcW w:w="452" w:type="pct"/>
            <w:shd w:val="clear" w:color="auto" w:fill="auto"/>
            <w:noWrap/>
            <w:vAlign w:val="bottom"/>
            <w:hideMark/>
          </w:tcPr>
          <w:p w14:paraId="51B8832D" w14:textId="77777777" w:rsidR="00263141" w:rsidRPr="00263141" w:rsidRDefault="00263141" w:rsidP="00EF49A7">
            <w:pPr>
              <w:jc w:val="right"/>
              <w:rPr>
                <w:rFonts w:cs="Arial"/>
                <w:color w:val="000000"/>
                <w:sz w:val="22"/>
                <w:szCs w:val="22"/>
              </w:rPr>
            </w:pPr>
            <w:r w:rsidRPr="00263141">
              <w:rPr>
                <w:rFonts w:cs="Arial"/>
                <w:color w:val="000000"/>
                <w:sz w:val="22"/>
                <w:szCs w:val="22"/>
              </w:rPr>
              <w:t>3.5%</w:t>
            </w:r>
          </w:p>
        </w:tc>
        <w:tc>
          <w:tcPr>
            <w:tcW w:w="683" w:type="pct"/>
            <w:vMerge/>
            <w:shd w:val="clear" w:color="auto" w:fill="006666"/>
            <w:noWrap/>
            <w:vAlign w:val="bottom"/>
          </w:tcPr>
          <w:p w14:paraId="2E8D3A21" w14:textId="28F89DFC" w:rsidR="00263141" w:rsidRPr="00263141" w:rsidRDefault="00263141" w:rsidP="00EF49A7">
            <w:pPr>
              <w:jc w:val="right"/>
              <w:rPr>
                <w:rFonts w:cs="Arial"/>
                <w:sz w:val="22"/>
                <w:szCs w:val="22"/>
              </w:rPr>
            </w:pPr>
          </w:p>
        </w:tc>
      </w:tr>
      <w:tr w:rsidR="00263141" w:rsidRPr="00263141" w14:paraId="46923CAD" w14:textId="77777777" w:rsidTr="00263141">
        <w:tc>
          <w:tcPr>
            <w:tcW w:w="1288" w:type="pct"/>
            <w:shd w:val="clear" w:color="auto" w:fill="auto"/>
            <w:noWrap/>
            <w:vAlign w:val="center"/>
            <w:hideMark/>
          </w:tcPr>
          <w:p w14:paraId="277D6D9A" w14:textId="77777777" w:rsidR="00263141" w:rsidRPr="00263141" w:rsidRDefault="00263141" w:rsidP="00EF49A7">
            <w:pPr>
              <w:rPr>
                <w:rFonts w:cs="Arial"/>
                <w:color w:val="000000"/>
                <w:sz w:val="22"/>
                <w:szCs w:val="22"/>
              </w:rPr>
            </w:pPr>
            <w:r w:rsidRPr="00263141">
              <w:rPr>
                <w:rFonts w:cs="Arial"/>
                <w:color w:val="000000"/>
                <w:sz w:val="22"/>
                <w:szCs w:val="22"/>
              </w:rPr>
              <w:t>Elsewhere England</w:t>
            </w:r>
          </w:p>
        </w:tc>
        <w:tc>
          <w:tcPr>
            <w:tcW w:w="564" w:type="pct"/>
            <w:shd w:val="clear" w:color="auto" w:fill="auto"/>
            <w:noWrap/>
            <w:vAlign w:val="bottom"/>
            <w:hideMark/>
          </w:tcPr>
          <w:p w14:paraId="11E26538" w14:textId="77777777" w:rsidR="00263141" w:rsidRPr="00263141" w:rsidRDefault="00263141" w:rsidP="00EF49A7">
            <w:pPr>
              <w:jc w:val="right"/>
              <w:rPr>
                <w:rFonts w:cs="Arial"/>
                <w:color w:val="000000"/>
                <w:sz w:val="22"/>
                <w:szCs w:val="22"/>
              </w:rPr>
            </w:pPr>
            <w:r w:rsidRPr="00263141">
              <w:rPr>
                <w:rFonts w:cs="Arial"/>
                <w:color w:val="000000"/>
                <w:sz w:val="22"/>
                <w:szCs w:val="22"/>
              </w:rPr>
              <w:t>2,367</w:t>
            </w:r>
          </w:p>
        </w:tc>
        <w:tc>
          <w:tcPr>
            <w:tcW w:w="518" w:type="pct"/>
            <w:shd w:val="clear" w:color="auto" w:fill="auto"/>
            <w:noWrap/>
            <w:vAlign w:val="bottom"/>
            <w:hideMark/>
          </w:tcPr>
          <w:p w14:paraId="3551D8A1" w14:textId="77777777" w:rsidR="00263141" w:rsidRPr="00263141" w:rsidRDefault="00263141" w:rsidP="00EF49A7">
            <w:pPr>
              <w:jc w:val="right"/>
              <w:rPr>
                <w:rFonts w:cs="Arial"/>
                <w:color w:val="000000"/>
                <w:sz w:val="22"/>
                <w:szCs w:val="22"/>
              </w:rPr>
            </w:pPr>
            <w:r w:rsidRPr="00263141">
              <w:rPr>
                <w:rFonts w:cs="Arial"/>
                <w:color w:val="000000"/>
                <w:sz w:val="22"/>
                <w:szCs w:val="22"/>
              </w:rPr>
              <w:t>8.5%</w:t>
            </w:r>
          </w:p>
        </w:tc>
        <w:tc>
          <w:tcPr>
            <w:tcW w:w="931" w:type="pct"/>
            <w:vMerge/>
            <w:shd w:val="clear" w:color="auto" w:fill="006666"/>
            <w:noWrap/>
            <w:vAlign w:val="bottom"/>
          </w:tcPr>
          <w:p w14:paraId="1FF076AD" w14:textId="2C741C4B" w:rsidR="00263141" w:rsidRPr="00263141" w:rsidRDefault="00263141" w:rsidP="00EF49A7">
            <w:pPr>
              <w:jc w:val="right"/>
              <w:rPr>
                <w:rFonts w:cs="Arial"/>
                <w:color w:val="000000"/>
                <w:sz w:val="22"/>
                <w:szCs w:val="22"/>
              </w:rPr>
            </w:pPr>
          </w:p>
        </w:tc>
        <w:tc>
          <w:tcPr>
            <w:tcW w:w="564" w:type="pct"/>
            <w:shd w:val="clear" w:color="auto" w:fill="auto"/>
            <w:noWrap/>
            <w:vAlign w:val="bottom"/>
            <w:hideMark/>
          </w:tcPr>
          <w:p w14:paraId="67058AAF" w14:textId="77777777" w:rsidR="00263141" w:rsidRPr="00263141" w:rsidRDefault="00263141" w:rsidP="00EF49A7">
            <w:pPr>
              <w:jc w:val="right"/>
              <w:rPr>
                <w:rFonts w:cs="Arial"/>
                <w:color w:val="000000"/>
                <w:sz w:val="22"/>
                <w:szCs w:val="22"/>
              </w:rPr>
            </w:pPr>
            <w:r w:rsidRPr="00263141">
              <w:rPr>
                <w:rFonts w:cs="Arial"/>
                <w:color w:val="000000"/>
                <w:sz w:val="22"/>
                <w:szCs w:val="22"/>
              </w:rPr>
              <w:t>2,518</w:t>
            </w:r>
          </w:p>
        </w:tc>
        <w:tc>
          <w:tcPr>
            <w:tcW w:w="452" w:type="pct"/>
            <w:shd w:val="clear" w:color="auto" w:fill="auto"/>
            <w:noWrap/>
            <w:vAlign w:val="bottom"/>
            <w:hideMark/>
          </w:tcPr>
          <w:p w14:paraId="5AA6527C" w14:textId="77777777" w:rsidR="00263141" w:rsidRPr="00263141" w:rsidRDefault="00263141" w:rsidP="00EF49A7">
            <w:pPr>
              <w:jc w:val="right"/>
              <w:rPr>
                <w:rFonts w:cs="Arial"/>
                <w:color w:val="000000"/>
                <w:sz w:val="22"/>
                <w:szCs w:val="22"/>
              </w:rPr>
            </w:pPr>
            <w:r w:rsidRPr="00263141">
              <w:rPr>
                <w:rFonts w:cs="Arial"/>
                <w:color w:val="000000"/>
                <w:sz w:val="22"/>
                <w:szCs w:val="22"/>
              </w:rPr>
              <w:t>9.4%</w:t>
            </w:r>
          </w:p>
        </w:tc>
        <w:tc>
          <w:tcPr>
            <w:tcW w:w="683" w:type="pct"/>
            <w:vMerge/>
            <w:shd w:val="clear" w:color="auto" w:fill="006666"/>
            <w:noWrap/>
            <w:vAlign w:val="bottom"/>
            <w:hideMark/>
          </w:tcPr>
          <w:p w14:paraId="39B74300" w14:textId="4E1D7FAB" w:rsidR="00263141" w:rsidRPr="00263141" w:rsidRDefault="00263141" w:rsidP="00EF49A7">
            <w:pPr>
              <w:jc w:val="right"/>
              <w:rPr>
                <w:rFonts w:cs="Arial"/>
                <w:sz w:val="22"/>
                <w:szCs w:val="22"/>
              </w:rPr>
            </w:pPr>
          </w:p>
        </w:tc>
      </w:tr>
      <w:tr w:rsidR="00263141" w:rsidRPr="00263141" w14:paraId="7EABFA99" w14:textId="77777777" w:rsidTr="00263141">
        <w:tc>
          <w:tcPr>
            <w:tcW w:w="1288" w:type="pct"/>
            <w:shd w:val="clear" w:color="auto" w:fill="auto"/>
            <w:noWrap/>
            <w:vAlign w:val="center"/>
          </w:tcPr>
          <w:p w14:paraId="732EA557" w14:textId="77777777" w:rsidR="00263141" w:rsidRPr="00263141" w:rsidRDefault="00263141" w:rsidP="00EF49A7">
            <w:pPr>
              <w:rPr>
                <w:rFonts w:cs="Arial"/>
                <w:color w:val="000000"/>
                <w:sz w:val="22"/>
                <w:szCs w:val="22"/>
              </w:rPr>
            </w:pPr>
            <w:r w:rsidRPr="00263141">
              <w:rPr>
                <w:rFonts w:cs="Arial"/>
                <w:color w:val="000000"/>
                <w:sz w:val="22"/>
                <w:szCs w:val="22"/>
              </w:rPr>
              <w:t>Elsewhere UK</w:t>
            </w:r>
          </w:p>
        </w:tc>
        <w:tc>
          <w:tcPr>
            <w:tcW w:w="564" w:type="pct"/>
            <w:shd w:val="clear" w:color="auto" w:fill="auto"/>
            <w:noWrap/>
            <w:vAlign w:val="bottom"/>
          </w:tcPr>
          <w:p w14:paraId="5F89FB68" w14:textId="77777777" w:rsidR="00263141" w:rsidRPr="00263141" w:rsidRDefault="00263141" w:rsidP="00EF49A7">
            <w:pPr>
              <w:jc w:val="right"/>
              <w:rPr>
                <w:rFonts w:cs="Arial"/>
                <w:color w:val="000000"/>
                <w:sz w:val="22"/>
                <w:szCs w:val="22"/>
              </w:rPr>
            </w:pPr>
            <w:r w:rsidRPr="00263141">
              <w:rPr>
                <w:rFonts w:cs="Arial"/>
                <w:color w:val="000000"/>
                <w:sz w:val="22"/>
                <w:szCs w:val="22"/>
              </w:rPr>
              <w:t>335</w:t>
            </w:r>
          </w:p>
        </w:tc>
        <w:tc>
          <w:tcPr>
            <w:tcW w:w="518" w:type="pct"/>
            <w:shd w:val="clear" w:color="auto" w:fill="auto"/>
            <w:noWrap/>
            <w:vAlign w:val="bottom"/>
          </w:tcPr>
          <w:p w14:paraId="4B7EA7E9" w14:textId="77777777" w:rsidR="00263141" w:rsidRPr="00263141" w:rsidRDefault="00263141" w:rsidP="00EF49A7">
            <w:pPr>
              <w:jc w:val="right"/>
              <w:rPr>
                <w:rFonts w:cs="Arial"/>
                <w:color w:val="000000"/>
                <w:sz w:val="22"/>
                <w:szCs w:val="22"/>
              </w:rPr>
            </w:pPr>
            <w:r w:rsidRPr="00263141">
              <w:rPr>
                <w:rFonts w:cs="Arial"/>
                <w:color w:val="000000"/>
                <w:sz w:val="22"/>
                <w:szCs w:val="22"/>
              </w:rPr>
              <w:t>1.2%</w:t>
            </w:r>
          </w:p>
        </w:tc>
        <w:tc>
          <w:tcPr>
            <w:tcW w:w="931" w:type="pct"/>
            <w:vMerge/>
            <w:shd w:val="clear" w:color="auto" w:fill="006666"/>
            <w:noWrap/>
            <w:vAlign w:val="bottom"/>
          </w:tcPr>
          <w:p w14:paraId="54FC7B65" w14:textId="77777777" w:rsidR="00263141" w:rsidRPr="00263141" w:rsidRDefault="00263141" w:rsidP="00EF49A7">
            <w:pPr>
              <w:jc w:val="right"/>
              <w:rPr>
                <w:rFonts w:cs="Arial"/>
                <w:color w:val="000000"/>
                <w:sz w:val="22"/>
                <w:szCs w:val="22"/>
              </w:rPr>
            </w:pPr>
          </w:p>
        </w:tc>
        <w:tc>
          <w:tcPr>
            <w:tcW w:w="564" w:type="pct"/>
            <w:shd w:val="clear" w:color="auto" w:fill="auto"/>
            <w:noWrap/>
            <w:vAlign w:val="bottom"/>
          </w:tcPr>
          <w:p w14:paraId="7516C527" w14:textId="77777777" w:rsidR="00263141" w:rsidRPr="00263141" w:rsidRDefault="00263141" w:rsidP="00EF49A7">
            <w:pPr>
              <w:jc w:val="right"/>
              <w:rPr>
                <w:rFonts w:cs="Arial"/>
                <w:color w:val="000000"/>
                <w:sz w:val="22"/>
                <w:szCs w:val="22"/>
              </w:rPr>
            </w:pPr>
            <w:r w:rsidRPr="00263141">
              <w:rPr>
                <w:rFonts w:cs="Arial"/>
                <w:color w:val="000000"/>
                <w:sz w:val="22"/>
                <w:szCs w:val="22"/>
              </w:rPr>
              <w:t>299</w:t>
            </w:r>
          </w:p>
        </w:tc>
        <w:tc>
          <w:tcPr>
            <w:tcW w:w="452" w:type="pct"/>
            <w:shd w:val="clear" w:color="auto" w:fill="auto"/>
            <w:noWrap/>
            <w:vAlign w:val="bottom"/>
          </w:tcPr>
          <w:p w14:paraId="059665DA" w14:textId="77777777" w:rsidR="00263141" w:rsidRPr="00263141" w:rsidRDefault="00263141" w:rsidP="00EF49A7">
            <w:pPr>
              <w:jc w:val="right"/>
              <w:rPr>
                <w:rFonts w:cs="Arial"/>
                <w:color w:val="000000"/>
                <w:sz w:val="22"/>
                <w:szCs w:val="22"/>
              </w:rPr>
            </w:pPr>
            <w:r w:rsidRPr="00263141">
              <w:rPr>
                <w:rFonts w:cs="Arial"/>
                <w:color w:val="000000"/>
                <w:sz w:val="22"/>
                <w:szCs w:val="22"/>
              </w:rPr>
              <w:t>1.1%</w:t>
            </w:r>
          </w:p>
        </w:tc>
        <w:tc>
          <w:tcPr>
            <w:tcW w:w="683" w:type="pct"/>
            <w:vMerge/>
            <w:shd w:val="clear" w:color="auto" w:fill="006666"/>
            <w:noWrap/>
            <w:vAlign w:val="bottom"/>
          </w:tcPr>
          <w:p w14:paraId="75CE1942" w14:textId="77777777" w:rsidR="00263141" w:rsidRPr="00263141" w:rsidRDefault="00263141" w:rsidP="00EF49A7">
            <w:pPr>
              <w:jc w:val="right"/>
              <w:rPr>
                <w:rFonts w:cs="Arial"/>
                <w:color w:val="000000"/>
                <w:sz w:val="22"/>
                <w:szCs w:val="22"/>
              </w:rPr>
            </w:pPr>
          </w:p>
        </w:tc>
      </w:tr>
      <w:tr w:rsidR="00CE1BDB" w:rsidRPr="00263141" w14:paraId="45887283" w14:textId="77777777" w:rsidTr="00263141">
        <w:tc>
          <w:tcPr>
            <w:tcW w:w="1288" w:type="pct"/>
            <w:shd w:val="clear" w:color="auto" w:fill="auto"/>
            <w:noWrap/>
            <w:vAlign w:val="center"/>
            <w:hideMark/>
          </w:tcPr>
          <w:p w14:paraId="26B9C914" w14:textId="77777777" w:rsidR="00CE1BDB" w:rsidRPr="00263141" w:rsidRDefault="00CE1BDB" w:rsidP="00EF49A7">
            <w:pPr>
              <w:rPr>
                <w:rFonts w:cs="Arial"/>
                <w:color w:val="000000"/>
                <w:sz w:val="22"/>
                <w:szCs w:val="22"/>
              </w:rPr>
            </w:pPr>
            <w:r w:rsidRPr="00263141">
              <w:rPr>
                <w:rFonts w:cs="Arial"/>
                <w:b/>
                <w:bCs/>
                <w:color w:val="000000"/>
                <w:sz w:val="22"/>
                <w:szCs w:val="22"/>
              </w:rPr>
              <w:t>Total</w:t>
            </w:r>
          </w:p>
        </w:tc>
        <w:tc>
          <w:tcPr>
            <w:tcW w:w="564" w:type="pct"/>
            <w:shd w:val="clear" w:color="auto" w:fill="auto"/>
            <w:noWrap/>
            <w:vAlign w:val="bottom"/>
            <w:hideMark/>
          </w:tcPr>
          <w:p w14:paraId="4063C3BB" w14:textId="77777777" w:rsidR="00CE1BDB" w:rsidRPr="00263141" w:rsidRDefault="00CE1BDB" w:rsidP="00EF49A7">
            <w:pPr>
              <w:jc w:val="right"/>
              <w:rPr>
                <w:rFonts w:cs="Arial"/>
                <w:color w:val="000000"/>
                <w:sz w:val="22"/>
                <w:szCs w:val="22"/>
              </w:rPr>
            </w:pPr>
            <w:r w:rsidRPr="00263141">
              <w:rPr>
                <w:rFonts w:cs="Arial"/>
                <w:b/>
                <w:bCs/>
                <w:color w:val="000000"/>
                <w:sz w:val="22"/>
                <w:szCs w:val="22"/>
              </w:rPr>
              <w:t>27,814</w:t>
            </w:r>
          </w:p>
        </w:tc>
        <w:tc>
          <w:tcPr>
            <w:tcW w:w="518" w:type="pct"/>
            <w:shd w:val="clear" w:color="auto" w:fill="auto"/>
            <w:noWrap/>
            <w:vAlign w:val="bottom"/>
            <w:hideMark/>
          </w:tcPr>
          <w:p w14:paraId="4E58B101" w14:textId="77777777" w:rsidR="00CE1BDB" w:rsidRPr="00263141" w:rsidRDefault="00CE1BDB" w:rsidP="00EF49A7">
            <w:pPr>
              <w:jc w:val="right"/>
              <w:rPr>
                <w:rFonts w:cs="Arial"/>
                <w:color w:val="000000"/>
                <w:sz w:val="22"/>
                <w:szCs w:val="22"/>
              </w:rPr>
            </w:pPr>
            <w:r w:rsidRPr="00263141">
              <w:rPr>
                <w:rFonts w:cs="Arial"/>
                <w:color w:val="000000"/>
                <w:sz w:val="22"/>
                <w:szCs w:val="22"/>
              </w:rPr>
              <w:t>100.0%</w:t>
            </w:r>
          </w:p>
        </w:tc>
        <w:tc>
          <w:tcPr>
            <w:tcW w:w="931" w:type="pct"/>
            <w:shd w:val="clear" w:color="auto" w:fill="auto"/>
            <w:noWrap/>
            <w:vAlign w:val="bottom"/>
            <w:hideMark/>
          </w:tcPr>
          <w:p w14:paraId="3B8B458F" w14:textId="77777777" w:rsidR="00CE1BDB" w:rsidRPr="00263141" w:rsidRDefault="00CE1BDB" w:rsidP="00EF49A7">
            <w:pPr>
              <w:jc w:val="right"/>
              <w:rPr>
                <w:rFonts w:cs="Arial"/>
                <w:color w:val="000000"/>
                <w:sz w:val="22"/>
                <w:szCs w:val="22"/>
              </w:rPr>
            </w:pPr>
            <w:r w:rsidRPr="00263141">
              <w:rPr>
                <w:rFonts w:cs="Arial"/>
                <w:color w:val="000000"/>
                <w:sz w:val="22"/>
                <w:szCs w:val="22"/>
              </w:rPr>
              <w:t>100%</w:t>
            </w:r>
          </w:p>
        </w:tc>
        <w:tc>
          <w:tcPr>
            <w:tcW w:w="564" w:type="pct"/>
            <w:shd w:val="clear" w:color="auto" w:fill="auto"/>
            <w:noWrap/>
            <w:vAlign w:val="bottom"/>
            <w:hideMark/>
          </w:tcPr>
          <w:p w14:paraId="68F862C0" w14:textId="77777777" w:rsidR="00CE1BDB" w:rsidRPr="00263141" w:rsidRDefault="00CE1BDB" w:rsidP="00EF49A7">
            <w:pPr>
              <w:jc w:val="right"/>
              <w:rPr>
                <w:rFonts w:cs="Arial"/>
                <w:color w:val="000000"/>
                <w:sz w:val="22"/>
                <w:szCs w:val="22"/>
              </w:rPr>
            </w:pPr>
            <w:r w:rsidRPr="00263141">
              <w:rPr>
                <w:rFonts w:cs="Arial"/>
                <w:b/>
                <w:bCs/>
                <w:color w:val="000000"/>
                <w:sz w:val="22"/>
                <w:szCs w:val="22"/>
              </w:rPr>
              <w:t>26,716</w:t>
            </w:r>
          </w:p>
        </w:tc>
        <w:tc>
          <w:tcPr>
            <w:tcW w:w="452" w:type="pct"/>
            <w:shd w:val="clear" w:color="auto" w:fill="auto"/>
            <w:noWrap/>
            <w:vAlign w:val="bottom"/>
            <w:hideMark/>
          </w:tcPr>
          <w:p w14:paraId="1BF15DDB" w14:textId="77777777" w:rsidR="00CE1BDB" w:rsidRPr="00263141" w:rsidRDefault="00CE1BDB" w:rsidP="00EF49A7">
            <w:pPr>
              <w:jc w:val="right"/>
              <w:rPr>
                <w:rFonts w:cs="Arial"/>
                <w:color w:val="000000"/>
                <w:sz w:val="22"/>
                <w:szCs w:val="22"/>
              </w:rPr>
            </w:pPr>
            <w:r w:rsidRPr="00263141">
              <w:rPr>
                <w:rFonts w:cs="Arial"/>
                <w:color w:val="000000"/>
                <w:sz w:val="22"/>
                <w:szCs w:val="22"/>
              </w:rPr>
              <w:t>100%</w:t>
            </w:r>
          </w:p>
        </w:tc>
        <w:tc>
          <w:tcPr>
            <w:tcW w:w="683" w:type="pct"/>
            <w:shd w:val="clear" w:color="auto" w:fill="auto"/>
            <w:noWrap/>
            <w:vAlign w:val="bottom"/>
            <w:hideMark/>
          </w:tcPr>
          <w:p w14:paraId="15AA68F0" w14:textId="77777777" w:rsidR="00CE1BDB" w:rsidRPr="00263141" w:rsidRDefault="00CE1BDB" w:rsidP="00EF49A7">
            <w:pPr>
              <w:jc w:val="right"/>
              <w:rPr>
                <w:rFonts w:cs="Arial"/>
                <w:color w:val="000000"/>
                <w:sz w:val="22"/>
                <w:szCs w:val="22"/>
              </w:rPr>
            </w:pPr>
            <w:r w:rsidRPr="00263141">
              <w:rPr>
                <w:rFonts w:cs="Arial"/>
                <w:sz w:val="22"/>
                <w:szCs w:val="22"/>
              </w:rPr>
              <w:t>100%</w:t>
            </w:r>
          </w:p>
        </w:tc>
      </w:tr>
      <w:tr w:rsidR="00CE1BDB" w:rsidRPr="00263141" w14:paraId="79A26E92" w14:textId="77777777" w:rsidTr="00263141">
        <w:tc>
          <w:tcPr>
            <w:tcW w:w="2371" w:type="pct"/>
            <w:gridSpan w:val="3"/>
            <w:shd w:val="clear" w:color="auto" w:fill="auto"/>
            <w:noWrap/>
            <w:vAlign w:val="center"/>
            <w:hideMark/>
          </w:tcPr>
          <w:p w14:paraId="1E9DF5B1" w14:textId="77777777" w:rsidR="00CE1BDB" w:rsidRPr="00263141" w:rsidRDefault="00CE1BDB" w:rsidP="00EF49A7">
            <w:pPr>
              <w:rPr>
                <w:rFonts w:cs="Arial"/>
                <w:color w:val="000000"/>
                <w:sz w:val="22"/>
                <w:szCs w:val="22"/>
              </w:rPr>
            </w:pPr>
            <w:r w:rsidRPr="00263141">
              <w:rPr>
                <w:rFonts w:cs="Arial"/>
                <w:bCs/>
                <w:color w:val="000000"/>
                <w:sz w:val="22"/>
                <w:szCs w:val="22"/>
              </w:rPr>
              <w:t>Base (excluding long-distance moves)</w:t>
            </w:r>
          </w:p>
        </w:tc>
        <w:tc>
          <w:tcPr>
            <w:tcW w:w="931" w:type="pct"/>
            <w:shd w:val="clear" w:color="auto" w:fill="auto"/>
            <w:vAlign w:val="center"/>
            <w:hideMark/>
          </w:tcPr>
          <w:p w14:paraId="2CE74292" w14:textId="77777777" w:rsidR="00CE1BDB" w:rsidRPr="00263141" w:rsidRDefault="00CE1BDB" w:rsidP="00EF49A7">
            <w:pPr>
              <w:jc w:val="right"/>
              <w:rPr>
                <w:rFonts w:cs="Arial"/>
                <w:b/>
                <w:bCs/>
                <w:color w:val="000000"/>
                <w:sz w:val="22"/>
                <w:szCs w:val="22"/>
              </w:rPr>
            </w:pPr>
            <w:r w:rsidRPr="00263141">
              <w:rPr>
                <w:rFonts w:cs="Arial"/>
                <w:b/>
                <w:bCs/>
                <w:color w:val="000000"/>
                <w:sz w:val="22"/>
                <w:szCs w:val="22"/>
              </w:rPr>
              <w:t>21,517</w:t>
            </w:r>
          </w:p>
        </w:tc>
        <w:tc>
          <w:tcPr>
            <w:tcW w:w="1016" w:type="pct"/>
            <w:gridSpan w:val="2"/>
            <w:shd w:val="clear" w:color="auto" w:fill="auto"/>
            <w:noWrap/>
            <w:vAlign w:val="center"/>
            <w:hideMark/>
          </w:tcPr>
          <w:p w14:paraId="3EF1A884" w14:textId="77777777" w:rsidR="00CE1BDB" w:rsidRPr="00263141" w:rsidRDefault="00CE1BDB" w:rsidP="00EF49A7">
            <w:pPr>
              <w:jc w:val="right"/>
              <w:rPr>
                <w:rFonts w:cs="Arial"/>
                <w:b/>
                <w:bCs/>
                <w:color w:val="000000"/>
                <w:sz w:val="22"/>
                <w:szCs w:val="22"/>
              </w:rPr>
            </w:pPr>
            <w:r w:rsidRPr="00263141">
              <w:rPr>
                <w:rFonts w:cs="Arial"/>
                <w:b/>
                <w:bCs/>
                <w:color w:val="000000"/>
                <w:sz w:val="22"/>
                <w:szCs w:val="22"/>
              </w:rPr>
              <w:t> </w:t>
            </w:r>
          </w:p>
        </w:tc>
        <w:tc>
          <w:tcPr>
            <w:tcW w:w="683" w:type="pct"/>
            <w:shd w:val="clear" w:color="auto" w:fill="auto"/>
            <w:vAlign w:val="center"/>
            <w:hideMark/>
          </w:tcPr>
          <w:p w14:paraId="57DAA2BF" w14:textId="77777777" w:rsidR="00CE1BDB" w:rsidRPr="00263141" w:rsidRDefault="00CE1BDB" w:rsidP="00EF49A7">
            <w:pPr>
              <w:jc w:val="right"/>
              <w:rPr>
                <w:rFonts w:cs="Arial"/>
                <w:b/>
                <w:bCs/>
                <w:color w:val="000000"/>
                <w:sz w:val="22"/>
                <w:szCs w:val="22"/>
              </w:rPr>
            </w:pPr>
            <w:r w:rsidRPr="00263141">
              <w:rPr>
                <w:rFonts w:cs="Arial"/>
                <w:b/>
                <w:bCs/>
                <w:color w:val="000000"/>
                <w:sz w:val="22"/>
                <w:szCs w:val="22"/>
              </w:rPr>
              <w:t>21,062</w:t>
            </w:r>
          </w:p>
        </w:tc>
      </w:tr>
    </w:tbl>
    <w:p w14:paraId="6778DA89" w14:textId="77777777" w:rsidR="00CE1BDB" w:rsidRPr="00FA4DC7" w:rsidRDefault="00CE1BDB" w:rsidP="00CE1BDB">
      <w:pPr>
        <w:pStyle w:val="Reporttext"/>
        <w:numPr>
          <w:ilvl w:val="0"/>
          <w:numId w:val="0"/>
        </w:numPr>
        <w:tabs>
          <w:tab w:val="left" w:pos="0"/>
          <w:tab w:val="left" w:pos="1418"/>
        </w:tabs>
        <w:ind w:left="709" w:hanging="709"/>
        <w:rPr>
          <w:rFonts w:cs="Arial"/>
          <w:sz w:val="22"/>
          <w:szCs w:val="22"/>
        </w:rPr>
      </w:pPr>
      <w:r w:rsidRPr="00FA4DC7">
        <w:rPr>
          <w:rFonts w:cs="Arial"/>
          <w:sz w:val="22"/>
          <w:szCs w:val="22"/>
        </w:rPr>
        <w:t>Source: 2011 Census table MM01CUK_ALL</w:t>
      </w:r>
    </w:p>
    <w:p w14:paraId="2264B195" w14:textId="77777777" w:rsidR="00CE1BDB" w:rsidRPr="00FA4DC7" w:rsidRDefault="00CE1BDB" w:rsidP="00CE1BDB">
      <w:pPr>
        <w:pStyle w:val="Reporttext"/>
        <w:numPr>
          <w:ilvl w:val="0"/>
          <w:numId w:val="0"/>
        </w:numPr>
        <w:tabs>
          <w:tab w:val="left" w:pos="0"/>
          <w:tab w:val="left" w:pos="1418"/>
        </w:tabs>
        <w:ind w:left="709" w:hanging="709"/>
        <w:rPr>
          <w:rFonts w:cs="Arial"/>
          <w:sz w:val="14"/>
          <w:szCs w:val="14"/>
          <w:highlight w:val="yellow"/>
        </w:rPr>
      </w:pPr>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732"/>
        <w:gridCol w:w="2603"/>
        <w:gridCol w:w="2647"/>
        <w:gridCol w:w="2307"/>
      </w:tblGrid>
      <w:tr w:rsidR="00CE1BDB" w:rsidRPr="00FA4DC7" w14:paraId="133012A0" w14:textId="77777777" w:rsidTr="00EF49A7">
        <w:tc>
          <w:tcPr>
            <w:tcW w:w="5000" w:type="pct"/>
            <w:gridSpan w:val="4"/>
            <w:shd w:val="clear" w:color="auto" w:fill="006666"/>
          </w:tcPr>
          <w:p w14:paraId="0BFD659E" w14:textId="77777777" w:rsidR="00CE1BDB" w:rsidRPr="00FA4DC7" w:rsidRDefault="00CE1BDB" w:rsidP="00EF49A7">
            <w:pPr>
              <w:pStyle w:val="Tableheading1"/>
              <w:rPr>
                <w:rFonts w:cs="Arial"/>
                <w:szCs w:val="22"/>
              </w:rPr>
            </w:pPr>
            <w:bookmarkStart w:id="184" w:name="_Toc339213793"/>
            <w:bookmarkStart w:id="185" w:name="_Toc465946210"/>
            <w:bookmarkStart w:id="186" w:name="_Toc368301902"/>
            <w:bookmarkStart w:id="187" w:name="_Toc59205058"/>
            <w:bookmarkStart w:id="188" w:name="_Toc83036071"/>
            <w:r w:rsidRPr="00FA4DC7">
              <w:rPr>
                <w:rFonts w:cs="Arial"/>
              </w:rPr>
              <w:t>Table</w:t>
            </w:r>
            <w:r w:rsidRPr="00FA4DC7">
              <w:rPr>
                <w:rFonts w:cs="Arial"/>
                <w:szCs w:val="22"/>
              </w:rPr>
              <w:t xml:space="preserve"> 2.18</w:t>
            </w:r>
            <w:r w:rsidRPr="00FA4DC7">
              <w:rPr>
                <w:rFonts w:cs="Arial"/>
                <w:szCs w:val="22"/>
              </w:rPr>
              <w:tab/>
              <w:t>Migration containment ratios</w:t>
            </w:r>
            <w:bookmarkEnd w:id="184"/>
            <w:bookmarkEnd w:id="185"/>
            <w:bookmarkEnd w:id="186"/>
            <w:bookmarkEnd w:id="187"/>
            <w:bookmarkEnd w:id="188"/>
          </w:p>
        </w:tc>
      </w:tr>
      <w:tr w:rsidR="00CE1BDB" w:rsidRPr="00FA4DC7" w14:paraId="323A48AB" w14:textId="77777777" w:rsidTr="00EF49A7">
        <w:tc>
          <w:tcPr>
            <w:tcW w:w="932" w:type="pct"/>
            <w:vMerge w:val="restart"/>
            <w:vAlign w:val="center"/>
          </w:tcPr>
          <w:p w14:paraId="36474EC1" w14:textId="77777777" w:rsidR="00CE1BDB" w:rsidRPr="00FA4DC7" w:rsidRDefault="00CE1BDB" w:rsidP="00EF49A7">
            <w:pPr>
              <w:pStyle w:val="Reporttext"/>
              <w:numPr>
                <w:ilvl w:val="0"/>
                <w:numId w:val="0"/>
              </w:numPr>
              <w:spacing w:before="20" w:after="20"/>
              <w:rPr>
                <w:rFonts w:cs="Arial"/>
                <w:sz w:val="22"/>
                <w:szCs w:val="22"/>
              </w:rPr>
            </w:pPr>
            <w:r w:rsidRPr="00FA4DC7">
              <w:rPr>
                <w:rFonts w:cs="Arial"/>
                <w:sz w:val="22"/>
                <w:szCs w:val="22"/>
              </w:rPr>
              <w:t>Origin</w:t>
            </w:r>
          </w:p>
        </w:tc>
        <w:tc>
          <w:tcPr>
            <w:tcW w:w="1401" w:type="pct"/>
            <w:vAlign w:val="center"/>
          </w:tcPr>
          <w:p w14:paraId="68A518A7"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Moves within the area</w:t>
            </w:r>
          </w:p>
        </w:tc>
        <w:tc>
          <w:tcPr>
            <w:tcW w:w="1425" w:type="pct"/>
            <w:vAlign w:val="center"/>
          </w:tcPr>
          <w:p w14:paraId="20AFB701"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All moves originating in the area</w:t>
            </w:r>
          </w:p>
        </w:tc>
        <w:tc>
          <w:tcPr>
            <w:tcW w:w="1242" w:type="pct"/>
            <w:vAlign w:val="center"/>
          </w:tcPr>
          <w:p w14:paraId="100C7044"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Containment</w:t>
            </w:r>
          </w:p>
          <w:p w14:paraId="483B9E72"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Ratio</w:t>
            </w:r>
          </w:p>
        </w:tc>
      </w:tr>
      <w:tr w:rsidR="00CE1BDB" w:rsidRPr="00FA4DC7" w14:paraId="25C2821D" w14:textId="77777777" w:rsidTr="00EF49A7">
        <w:tc>
          <w:tcPr>
            <w:tcW w:w="932" w:type="pct"/>
            <w:vMerge/>
            <w:vAlign w:val="center"/>
          </w:tcPr>
          <w:p w14:paraId="01028604" w14:textId="77777777" w:rsidR="00CE1BDB" w:rsidRPr="00FA4DC7" w:rsidRDefault="00CE1BDB" w:rsidP="00EF49A7">
            <w:pPr>
              <w:pStyle w:val="Reporttext"/>
              <w:numPr>
                <w:ilvl w:val="0"/>
                <w:numId w:val="0"/>
              </w:numPr>
              <w:spacing w:before="20" w:after="20"/>
              <w:rPr>
                <w:rFonts w:cs="Arial"/>
                <w:sz w:val="22"/>
                <w:szCs w:val="22"/>
              </w:rPr>
            </w:pPr>
          </w:p>
        </w:tc>
        <w:tc>
          <w:tcPr>
            <w:tcW w:w="1401" w:type="pct"/>
            <w:vAlign w:val="center"/>
          </w:tcPr>
          <w:p w14:paraId="58DBFC47"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color w:val="000000"/>
                <w:sz w:val="22"/>
                <w:szCs w:val="22"/>
              </w:rPr>
              <w:t>17,443</w:t>
            </w:r>
          </w:p>
        </w:tc>
        <w:tc>
          <w:tcPr>
            <w:tcW w:w="1425" w:type="pct"/>
            <w:vAlign w:val="center"/>
          </w:tcPr>
          <w:p w14:paraId="0A6A0BCF"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color w:val="000000"/>
                <w:sz w:val="22"/>
                <w:szCs w:val="22"/>
              </w:rPr>
              <w:t>21,875</w:t>
            </w:r>
          </w:p>
        </w:tc>
        <w:tc>
          <w:tcPr>
            <w:tcW w:w="1242" w:type="pct"/>
            <w:vAlign w:val="center"/>
          </w:tcPr>
          <w:p w14:paraId="2153C53D" w14:textId="77777777" w:rsidR="00CE1BDB" w:rsidRPr="00FA4DC7" w:rsidRDefault="00CE1BDB" w:rsidP="00EF49A7">
            <w:pPr>
              <w:pStyle w:val="Reporttext"/>
              <w:numPr>
                <w:ilvl w:val="0"/>
                <w:numId w:val="0"/>
              </w:numPr>
              <w:spacing w:before="20" w:after="20"/>
              <w:jc w:val="center"/>
              <w:rPr>
                <w:rFonts w:cs="Arial"/>
                <w:b/>
                <w:sz w:val="22"/>
                <w:szCs w:val="22"/>
              </w:rPr>
            </w:pPr>
            <w:r w:rsidRPr="00FA4DC7">
              <w:rPr>
                <w:rFonts w:cs="Arial"/>
                <w:b/>
                <w:bCs/>
                <w:color w:val="000000"/>
                <w:sz w:val="22"/>
                <w:szCs w:val="22"/>
              </w:rPr>
              <w:t>79.7%</w:t>
            </w:r>
          </w:p>
        </w:tc>
      </w:tr>
      <w:tr w:rsidR="00CE1BDB" w:rsidRPr="00FA4DC7" w14:paraId="0911E4AF" w14:textId="77777777" w:rsidTr="00EF49A7">
        <w:tc>
          <w:tcPr>
            <w:tcW w:w="932" w:type="pct"/>
            <w:vMerge w:val="restart"/>
            <w:vAlign w:val="center"/>
          </w:tcPr>
          <w:p w14:paraId="32065AEB" w14:textId="77777777" w:rsidR="00CE1BDB" w:rsidRPr="00FA4DC7" w:rsidRDefault="00CE1BDB" w:rsidP="00EF49A7">
            <w:pPr>
              <w:pStyle w:val="Reporttext"/>
              <w:numPr>
                <w:ilvl w:val="0"/>
                <w:numId w:val="0"/>
              </w:numPr>
              <w:spacing w:before="20" w:after="20"/>
              <w:rPr>
                <w:rFonts w:cs="Arial"/>
                <w:sz w:val="22"/>
                <w:szCs w:val="22"/>
              </w:rPr>
            </w:pPr>
            <w:r w:rsidRPr="00FA4DC7">
              <w:rPr>
                <w:rFonts w:cs="Arial"/>
                <w:sz w:val="22"/>
                <w:szCs w:val="22"/>
              </w:rPr>
              <w:t>Destination</w:t>
            </w:r>
          </w:p>
        </w:tc>
        <w:tc>
          <w:tcPr>
            <w:tcW w:w="1401" w:type="pct"/>
            <w:vAlign w:val="center"/>
          </w:tcPr>
          <w:p w14:paraId="38DAAEAE"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Moves within the area</w:t>
            </w:r>
          </w:p>
        </w:tc>
        <w:tc>
          <w:tcPr>
            <w:tcW w:w="1425" w:type="pct"/>
            <w:vAlign w:val="center"/>
          </w:tcPr>
          <w:p w14:paraId="386C23BA"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All moves whose destination is in the area</w:t>
            </w:r>
          </w:p>
        </w:tc>
        <w:tc>
          <w:tcPr>
            <w:tcW w:w="1242" w:type="pct"/>
            <w:vAlign w:val="center"/>
          </w:tcPr>
          <w:p w14:paraId="27A35A3B"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Containment</w:t>
            </w:r>
          </w:p>
          <w:p w14:paraId="40C96419"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sz w:val="22"/>
                <w:szCs w:val="22"/>
              </w:rPr>
              <w:t>Ratio</w:t>
            </w:r>
          </w:p>
        </w:tc>
      </w:tr>
      <w:tr w:rsidR="00CE1BDB" w:rsidRPr="00FA4DC7" w14:paraId="4568DBDB" w14:textId="77777777" w:rsidTr="00EF49A7">
        <w:tc>
          <w:tcPr>
            <w:tcW w:w="932" w:type="pct"/>
            <w:vMerge/>
            <w:vAlign w:val="center"/>
          </w:tcPr>
          <w:p w14:paraId="0E7EB9A3" w14:textId="77777777" w:rsidR="00CE1BDB" w:rsidRPr="00FA4DC7" w:rsidRDefault="00CE1BDB" w:rsidP="00EF49A7">
            <w:pPr>
              <w:pStyle w:val="Reporttext"/>
              <w:numPr>
                <w:ilvl w:val="0"/>
                <w:numId w:val="0"/>
              </w:numPr>
              <w:spacing w:before="20" w:after="20"/>
              <w:jc w:val="center"/>
              <w:rPr>
                <w:rFonts w:cs="Arial"/>
                <w:sz w:val="22"/>
                <w:szCs w:val="22"/>
              </w:rPr>
            </w:pPr>
          </w:p>
        </w:tc>
        <w:tc>
          <w:tcPr>
            <w:tcW w:w="1401" w:type="pct"/>
            <w:vAlign w:val="center"/>
          </w:tcPr>
          <w:p w14:paraId="2EA44E33"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color w:val="000000"/>
                <w:sz w:val="22"/>
                <w:szCs w:val="22"/>
              </w:rPr>
              <w:t>17,443</w:t>
            </w:r>
          </w:p>
        </w:tc>
        <w:tc>
          <w:tcPr>
            <w:tcW w:w="1425" w:type="pct"/>
            <w:vAlign w:val="center"/>
          </w:tcPr>
          <w:p w14:paraId="7058C5E7" w14:textId="77777777" w:rsidR="00CE1BDB" w:rsidRPr="00FA4DC7" w:rsidRDefault="00CE1BDB" w:rsidP="00EF49A7">
            <w:pPr>
              <w:pStyle w:val="Reporttext"/>
              <w:numPr>
                <w:ilvl w:val="0"/>
                <w:numId w:val="0"/>
              </w:numPr>
              <w:spacing w:before="20" w:after="20"/>
              <w:jc w:val="center"/>
              <w:rPr>
                <w:rFonts w:cs="Arial"/>
                <w:sz w:val="22"/>
                <w:szCs w:val="22"/>
              </w:rPr>
            </w:pPr>
            <w:r w:rsidRPr="00FA4DC7">
              <w:rPr>
                <w:rFonts w:cs="Arial"/>
                <w:color w:val="000000"/>
                <w:sz w:val="22"/>
                <w:szCs w:val="22"/>
              </w:rPr>
              <w:t>21,062</w:t>
            </w:r>
          </w:p>
        </w:tc>
        <w:tc>
          <w:tcPr>
            <w:tcW w:w="1242" w:type="pct"/>
            <w:vAlign w:val="center"/>
          </w:tcPr>
          <w:p w14:paraId="18AD24C8" w14:textId="77777777" w:rsidR="00CE1BDB" w:rsidRPr="00FA4DC7" w:rsidRDefault="00CE1BDB" w:rsidP="00EF49A7">
            <w:pPr>
              <w:pStyle w:val="Reporttext"/>
              <w:numPr>
                <w:ilvl w:val="0"/>
                <w:numId w:val="0"/>
              </w:numPr>
              <w:spacing w:before="20" w:after="20"/>
              <w:jc w:val="center"/>
              <w:rPr>
                <w:rFonts w:cs="Arial"/>
                <w:b/>
                <w:sz w:val="22"/>
                <w:szCs w:val="22"/>
              </w:rPr>
            </w:pPr>
            <w:r w:rsidRPr="00FA4DC7">
              <w:rPr>
                <w:rFonts w:cs="Arial"/>
                <w:b/>
                <w:bCs/>
                <w:color w:val="000000"/>
                <w:sz w:val="22"/>
                <w:szCs w:val="22"/>
              </w:rPr>
              <w:t>82.8%</w:t>
            </w:r>
          </w:p>
        </w:tc>
      </w:tr>
    </w:tbl>
    <w:p w14:paraId="3FA5774A" w14:textId="77777777" w:rsidR="00CE1BDB" w:rsidRPr="00FA4DC7" w:rsidRDefault="00CE1BDB" w:rsidP="00263141"/>
    <w:p w14:paraId="49DE1EFC" w14:textId="77777777" w:rsidR="00CE1BDB" w:rsidRPr="00FA4DC7" w:rsidRDefault="00CE1BDB" w:rsidP="00CE1BDB">
      <w:pPr>
        <w:pStyle w:val="Heading3"/>
        <w:rPr>
          <w:rFonts w:cs="Arial"/>
        </w:rPr>
      </w:pPr>
      <w:r w:rsidRPr="00FA4DC7">
        <w:rPr>
          <w:rFonts w:cs="Arial"/>
        </w:rPr>
        <w:t>Travel to work</w:t>
      </w:r>
    </w:p>
    <w:p w14:paraId="69577FDD" w14:textId="77777777" w:rsidR="00CE1BDB" w:rsidRPr="00FA4DC7" w:rsidRDefault="00CE1BDB" w:rsidP="00CE1BDB">
      <w:pPr>
        <w:pStyle w:val="Reporttext"/>
        <w:tabs>
          <w:tab w:val="clear" w:pos="2128"/>
          <w:tab w:val="num" w:pos="1419"/>
        </w:tabs>
        <w:rPr>
          <w:rFonts w:cs="Arial"/>
        </w:rPr>
      </w:pPr>
      <w:r w:rsidRPr="00FA4DC7">
        <w:rPr>
          <w:rFonts w:cs="Arial"/>
        </w:rPr>
        <w:t xml:space="preserve">The 2011 Census provides an analysis of travel to work patterns and the extent to which residents in Medway travel to other areas, together with details of how many people commute into the area. This remains a key data source for detailed commuting patterns and will be replaced with 2021 census data in due course. Table 2.21 presents this data and indicates that 70.2% of people who live in Medway work in the area, with a further 19.2% working in neighbouring districts London, 4.4% elsewhere in Kent, 2.9% in London and 3.3% elsewhere. </w:t>
      </w:r>
    </w:p>
    <w:p w14:paraId="5CD124B7" w14:textId="77777777" w:rsidR="00CE1BDB" w:rsidRPr="00FA4DC7" w:rsidRDefault="00CE1BDB" w:rsidP="00CE1BDB">
      <w:pPr>
        <w:pStyle w:val="Reporttext"/>
        <w:numPr>
          <w:ilvl w:val="0"/>
          <w:numId w:val="0"/>
        </w:numPr>
        <w:ind w:left="709"/>
        <w:rPr>
          <w:rFonts w:cs="Arial"/>
          <w:highlight w:val="yellow"/>
        </w:rPr>
      </w:pPr>
    </w:p>
    <w:p w14:paraId="5E7A5BBE" w14:textId="7EBF677D" w:rsidR="00263141" w:rsidRDefault="00263141">
      <w:pPr>
        <w:rPr>
          <w:rFonts w:cs="Arial"/>
          <w:highlight w:val="yellow"/>
          <w:lang w:eastAsia="en-US"/>
        </w:rPr>
      </w:pPr>
      <w:r>
        <w:rPr>
          <w:rFonts w:cs="Arial"/>
          <w:highlight w:val="yellow"/>
          <w:lang w:eastAsia="en-US"/>
        </w:rPr>
        <w:br w:type="page"/>
      </w:r>
    </w:p>
    <w:tbl>
      <w:tblP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3249"/>
        <w:gridCol w:w="1012"/>
        <w:gridCol w:w="963"/>
      </w:tblGrid>
      <w:tr w:rsidR="00CE1BDB" w:rsidRPr="00FA4DC7" w14:paraId="04FBDD2F" w14:textId="77777777" w:rsidTr="00263141">
        <w:trPr>
          <w:trHeight w:val="315"/>
        </w:trPr>
        <w:tc>
          <w:tcPr>
            <w:tcW w:w="8690" w:type="dxa"/>
            <w:gridSpan w:val="4"/>
            <w:shd w:val="clear" w:color="auto" w:fill="006666"/>
            <w:noWrap/>
            <w:vAlign w:val="center"/>
            <w:hideMark/>
          </w:tcPr>
          <w:p w14:paraId="171E6B02" w14:textId="5345CC29" w:rsidR="00CE1BDB" w:rsidRPr="00FA4DC7" w:rsidRDefault="00CE1BDB" w:rsidP="00263141">
            <w:pPr>
              <w:pStyle w:val="Tableheading1"/>
            </w:pPr>
            <w:bookmarkStart w:id="189" w:name="_Toc83036072"/>
            <w:r w:rsidRPr="00FA4DC7">
              <w:lastRenderedPageBreak/>
              <w:t>Table 2.19</w:t>
            </w:r>
            <w:r w:rsidR="00263141">
              <w:tab/>
            </w:r>
            <w:r w:rsidRPr="00FA4DC7">
              <w:t>Medway 2011 Census commuting flows: workers (aged 16-74 years)</w:t>
            </w:r>
            <w:bookmarkEnd w:id="189"/>
          </w:p>
        </w:tc>
      </w:tr>
      <w:tr w:rsidR="00CE1BDB" w:rsidRPr="00FA4DC7" w14:paraId="1DBF05A8" w14:textId="77777777" w:rsidTr="00263141">
        <w:trPr>
          <w:trHeight w:val="300"/>
        </w:trPr>
        <w:tc>
          <w:tcPr>
            <w:tcW w:w="8690" w:type="dxa"/>
            <w:gridSpan w:val="4"/>
            <w:shd w:val="clear" w:color="auto" w:fill="006666"/>
            <w:noWrap/>
            <w:vAlign w:val="center"/>
            <w:hideMark/>
          </w:tcPr>
          <w:p w14:paraId="4D61030E" w14:textId="77777777" w:rsidR="00CE1BDB" w:rsidRPr="00FA4DC7" w:rsidRDefault="00CE1BDB" w:rsidP="00EF49A7">
            <w:pPr>
              <w:rPr>
                <w:rFonts w:cs="Arial"/>
                <w:b/>
                <w:bCs/>
                <w:color w:val="FFFFFF"/>
                <w:sz w:val="22"/>
                <w:szCs w:val="22"/>
              </w:rPr>
            </w:pPr>
            <w:r w:rsidRPr="00FA4DC7">
              <w:rPr>
                <w:rFonts w:cs="Arial"/>
                <w:b/>
                <w:bCs/>
                <w:color w:val="FFFFFF"/>
                <w:sz w:val="22"/>
                <w:szCs w:val="22"/>
              </w:rPr>
              <w:t>Where do people who live in Medway work?</w:t>
            </w:r>
          </w:p>
        </w:tc>
      </w:tr>
      <w:tr w:rsidR="00CE1BDB" w:rsidRPr="00FA4DC7" w14:paraId="7FD34BBE" w14:textId="77777777" w:rsidTr="00263141">
        <w:trPr>
          <w:trHeight w:val="300"/>
        </w:trPr>
        <w:tc>
          <w:tcPr>
            <w:tcW w:w="3466" w:type="dxa"/>
            <w:shd w:val="clear" w:color="auto" w:fill="006666"/>
            <w:noWrap/>
            <w:vAlign w:val="center"/>
            <w:hideMark/>
          </w:tcPr>
          <w:p w14:paraId="4448C224" w14:textId="77777777" w:rsidR="00CE1BDB" w:rsidRPr="00FA4DC7" w:rsidRDefault="00CE1BDB" w:rsidP="00EF49A7">
            <w:pPr>
              <w:rPr>
                <w:rFonts w:cs="Arial"/>
                <w:color w:val="FFFFFF"/>
                <w:sz w:val="22"/>
                <w:szCs w:val="22"/>
              </w:rPr>
            </w:pPr>
            <w:r w:rsidRPr="00FA4DC7">
              <w:rPr>
                <w:rFonts w:cs="Arial"/>
                <w:color w:val="FFFFFF"/>
                <w:sz w:val="22"/>
                <w:szCs w:val="22"/>
              </w:rPr>
              <w:t>Live</w:t>
            </w:r>
          </w:p>
        </w:tc>
        <w:tc>
          <w:tcPr>
            <w:tcW w:w="3249" w:type="dxa"/>
            <w:shd w:val="clear" w:color="auto" w:fill="006666"/>
            <w:noWrap/>
            <w:vAlign w:val="center"/>
            <w:hideMark/>
          </w:tcPr>
          <w:p w14:paraId="364CBD30" w14:textId="77777777" w:rsidR="00CE1BDB" w:rsidRPr="00FA4DC7" w:rsidRDefault="00CE1BDB" w:rsidP="00EF49A7">
            <w:pPr>
              <w:rPr>
                <w:rFonts w:cs="Arial"/>
                <w:color w:val="FFFFFF"/>
                <w:sz w:val="22"/>
                <w:szCs w:val="22"/>
              </w:rPr>
            </w:pPr>
            <w:r w:rsidRPr="00FA4DC7">
              <w:rPr>
                <w:rFonts w:cs="Arial"/>
                <w:color w:val="FFFFFF"/>
                <w:sz w:val="22"/>
                <w:szCs w:val="22"/>
              </w:rPr>
              <w:t>Work</w:t>
            </w:r>
          </w:p>
        </w:tc>
        <w:tc>
          <w:tcPr>
            <w:tcW w:w="1012" w:type="dxa"/>
            <w:shd w:val="clear" w:color="auto" w:fill="006666"/>
            <w:noWrap/>
            <w:vAlign w:val="center"/>
            <w:hideMark/>
          </w:tcPr>
          <w:p w14:paraId="3902B9AC" w14:textId="77777777" w:rsidR="00CE1BDB" w:rsidRPr="00FA4DC7" w:rsidRDefault="00CE1BDB" w:rsidP="00EF49A7">
            <w:pPr>
              <w:jc w:val="center"/>
              <w:rPr>
                <w:rFonts w:cs="Arial"/>
                <w:color w:val="FFFFFF"/>
                <w:sz w:val="22"/>
                <w:szCs w:val="22"/>
              </w:rPr>
            </w:pPr>
            <w:r w:rsidRPr="00FA4DC7">
              <w:rPr>
                <w:rFonts w:cs="Arial"/>
                <w:color w:val="FFFFFF"/>
                <w:sz w:val="22"/>
                <w:szCs w:val="22"/>
              </w:rPr>
              <w:t>Number</w:t>
            </w:r>
          </w:p>
        </w:tc>
        <w:tc>
          <w:tcPr>
            <w:tcW w:w="963" w:type="dxa"/>
            <w:shd w:val="clear" w:color="auto" w:fill="006666"/>
            <w:noWrap/>
            <w:vAlign w:val="center"/>
            <w:hideMark/>
          </w:tcPr>
          <w:p w14:paraId="3899D027" w14:textId="77777777" w:rsidR="00CE1BDB" w:rsidRPr="00FA4DC7" w:rsidRDefault="00CE1BDB" w:rsidP="00EF49A7">
            <w:pPr>
              <w:jc w:val="center"/>
              <w:rPr>
                <w:rFonts w:cs="Arial"/>
                <w:color w:val="FFFFFF"/>
                <w:sz w:val="22"/>
                <w:szCs w:val="22"/>
              </w:rPr>
            </w:pPr>
            <w:r w:rsidRPr="00FA4DC7">
              <w:rPr>
                <w:rFonts w:cs="Arial"/>
                <w:color w:val="FFFFFF"/>
                <w:sz w:val="22"/>
                <w:szCs w:val="22"/>
              </w:rPr>
              <w:t>%</w:t>
            </w:r>
          </w:p>
        </w:tc>
      </w:tr>
      <w:tr w:rsidR="00CE1BDB" w:rsidRPr="00FA4DC7" w14:paraId="7BB9426E" w14:textId="77777777" w:rsidTr="00263141">
        <w:trPr>
          <w:trHeight w:val="300"/>
        </w:trPr>
        <w:tc>
          <w:tcPr>
            <w:tcW w:w="3466" w:type="dxa"/>
            <w:vMerge w:val="restart"/>
            <w:shd w:val="clear" w:color="auto" w:fill="auto"/>
            <w:vAlign w:val="center"/>
            <w:hideMark/>
          </w:tcPr>
          <w:p w14:paraId="680DC795" w14:textId="77777777" w:rsidR="00CE1BDB" w:rsidRPr="00FA4DC7" w:rsidRDefault="00CE1BDB" w:rsidP="00EF49A7">
            <w:pPr>
              <w:jc w:val="center"/>
              <w:rPr>
                <w:rFonts w:cs="Arial"/>
                <w:color w:val="000000"/>
                <w:sz w:val="22"/>
                <w:szCs w:val="22"/>
              </w:rPr>
            </w:pPr>
            <w:r w:rsidRPr="00FA4DC7">
              <w:rPr>
                <w:rFonts w:cs="Arial"/>
                <w:color w:val="000000"/>
                <w:sz w:val="22"/>
                <w:szCs w:val="22"/>
              </w:rPr>
              <w:t>Medway</w:t>
            </w:r>
          </w:p>
        </w:tc>
        <w:tc>
          <w:tcPr>
            <w:tcW w:w="3249" w:type="dxa"/>
            <w:shd w:val="clear" w:color="auto" w:fill="auto"/>
            <w:noWrap/>
            <w:vAlign w:val="center"/>
            <w:hideMark/>
          </w:tcPr>
          <w:p w14:paraId="73AEA03A" w14:textId="77777777" w:rsidR="00CE1BDB" w:rsidRPr="00FA4DC7" w:rsidRDefault="00CE1BDB" w:rsidP="00EF49A7">
            <w:pPr>
              <w:rPr>
                <w:rFonts w:cs="Arial"/>
                <w:color w:val="000000"/>
                <w:sz w:val="22"/>
                <w:szCs w:val="22"/>
              </w:rPr>
            </w:pPr>
            <w:r w:rsidRPr="00FA4DC7">
              <w:rPr>
                <w:rFonts w:cs="Arial"/>
                <w:color w:val="000000"/>
                <w:sz w:val="22"/>
                <w:szCs w:val="22"/>
              </w:rPr>
              <w:t>Medway</w:t>
            </w:r>
          </w:p>
        </w:tc>
        <w:tc>
          <w:tcPr>
            <w:tcW w:w="1012" w:type="dxa"/>
            <w:shd w:val="clear" w:color="auto" w:fill="auto"/>
            <w:noWrap/>
            <w:vAlign w:val="center"/>
            <w:hideMark/>
          </w:tcPr>
          <w:p w14:paraId="0D45D001" w14:textId="77777777" w:rsidR="00CE1BDB" w:rsidRPr="00FA4DC7" w:rsidRDefault="00CE1BDB" w:rsidP="00263141">
            <w:pPr>
              <w:jc w:val="right"/>
              <w:rPr>
                <w:rFonts w:cs="Arial"/>
                <w:color w:val="000000"/>
                <w:sz w:val="22"/>
                <w:szCs w:val="22"/>
              </w:rPr>
            </w:pPr>
            <w:r w:rsidRPr="00FA4DC7">
              <w:rPr>
                <w:rFonts w:cs="Arial"/>
                <w:color w:val="000000"/>
                <w:sz w:val="22"/>
                <w:szCs w:val="22"/>
              </w:rPr>
              <w:t>53,629</w:t>
            </w:r>
          </w:p>
        </w:tc>
        <w:tc>
          <w:tcPr>
            <w:tcW w:w="963" w:type="dxa"/>
            <w:shd w:val="clear" w:color="auto" w:fill="auto"/>
            <w:noWrap/>
            <w:vAlign w:val="center"/>
            <w:hideMark/>
          </w:tcPr>
          <w:p w14:paraId="4A495E73" w14:textId="77777777" w:rsidR="00CE1BDB" w:rsidRPr="00FA4DC7" w:rsidRDefault="00CE1BDB" w:rsidP="00263141">
            <w:pPr>
              <w:jc w:val="right"/>
              <w:rPr>
                <w:rFonts w:cs="Arial"/>
                <w:color w:val="000000"/>
                <w:sz w:val="22"/>
                <w:szCs w:val="22"/>
              </w:rPr>
            </w:pPr>
            <w:r w:rsidRPr="00FA4DC7">
              <w:rPr>
                <w:rFonts w:cs="Arial"/>
                <w:color w:val="000000"/>
                <w:sz w:val="22"/>
                <w:szCs w:val="22"/>
              </w:rPr>
              <w:t>51.5%</w:t>
            </w:r>
          </w:p>
        </w:tc>
      </w:tr>
      <w:tr w:rsidR="00CE1BDB" w:rsidRPr="00FA4DC7" w14:paraId="52AA46F7" w14:textId="77777777" w:rsidTr="00263141">
        <w:trPr>
          <w:trHeight w:val="300"/>
        </w:trPr>
        <w:tc>
          <w:tcPr>
            <w:tcW w:w="3466" w:type="dxa"/>
            <w:vMerge/>
            <w:vAlign w:val="center"/>
            <w:hideMark/>
          </w:tcPr>
          <w:p w14:paraId="0D36824E" w14:textId="77777777" w:rsidR="00CE1BDB" w:rsidRPr="00FA4DC7" w:rsidRDefault="00CE1BDB" w:rsidP="00EF49A7">
            <w:pPr>
              <w:rPr>
                <w:rFonts w:cs="Arial"/>
                <w:color w:val="000000"/>
                <w:sz w:val="22"/>
                <w:szCs w:val="22"/>
              </w:rPr>
            </w:pPr>
          </w:p>
        </w:tc>
        <w:tc>
          <w:tcPr>
            <w:tcW w:w="3249" w:type="dxa"/>
            <w:shd w:val="clear" w:color="auto" w:fill="auto"/>
            <w:noWrap/>
            <w:vAlign w:val="center"/>
            <w:hideMark/>
          </w:tcPr>
          <w:p w14:paraId="7F31A60D" w14:textId="77777777" w:rsidR="00CE1BDB" w:rsidRPr="00FA4DC7" w:rsidRDefault="00CE1BDB" w:rsidP="00EF49A7">
            <w:pPr>
              <w:rPr>
                <w:rFonts w:cs="Arial"/>
                <w:color w:val="000000"/>
                <w:sz w:val="22"/>
                <w:szCs w:val="22"/>
              </w:rPr>
            </w:pPr>
            <w:r w:rsidRPr="00FA4DC7">
              <w:rPr>
                <w:rFonts w:cs="Arial"/>
                <w:color w:val="000000"/>
                <w:sz w:val="22"/>
                <w:szCs w:val="22"/>
              </w:rPr>
              <w:t>Dartford</w:t>
            </w:r>
          </w:p>
        </w:tc>
        <w:tc>
          <w:tcPr>
            <w:tcW w:w="1012" w:type="dxa"/>
            <w:shd w:val="clear" w:color="auto" w:fill="auto"/>
            <w:noWrap/>
            <w:vAlign w:val="center"/>
            <w:hideMark/>
          </w:tcPr>
          <w:p w14:paraId="2EBC3803" w14:textId="77777777" w:rsidR="00CE1BDB" w:rsidRPr="00FA4DC7" w:rsidRDefault="00CE1BDB" w:rsidP="00263141">
            <w:pPr>
              <w:jc w:val="right"/>
              <w:rPr>
                <w:rFonts w:cs="Arial"/>
                <w:color w:val="000000"/>
                <w:sz w:val="22"/>
                <w:szCs w:val="22"/>
              </w:rPr>
            </w:pPr>
            <w:r w:rsidRPr="00FA4DC7">
              <w:rPr>
                <w:rFonts w:cs="Arial"/>
                <w:color w:val="000000"/>
                <w:sz w:val="22"/>
                <w:szCs w:val="22"/>
              </w:rPr>
              <w:t>3,977</w:t>
            </w:r>
          </w:p>
        </w:tc>
        <w:tc>
          <w:tcPr>
            <w:tcW w:w="963" w:type="dxa"/>
            <w:shd w:val="clear" w:color="auto" w:fill="auto"/>
            <w:noWrap/>
            <w:vAlign w:val="center"/>
            <w:hideMark/>
          </w:tcPr>
          <w:p w14:paraId="05BD852A" w14:textId="77777777" w:rsidR="00CE1BDB" w:rsidRPr="00FA4DC7" w:rsidRDefault="00CE1BDB" w:rsidP="00263141">
            <w:pPr>
              <w:jc w:val="right"/>
              <w:rPr>
                <w:rFonts w:cs="Arial"/>
                <w:color w:val="000000"/>
                <w:sz w:val="22"/>
                <w:szCs w:val="22"/>
              </w:rPr>
            </w:pPr>
            <w:r w:rsidRPr="00FA4DC7">
              <w:rPr>
                <w:rFonts w:cs="Arial"/>
                <w:color w:val="000000"/>
                <w:sz w:val="22"/>
                <w:szCs w:val="22"/>
              </w:rPr>
              <w:t>3.8%</w:t>
            </w:r>
          </w:p>
        </w:tc>
      </w:tr>
      <w:tr w:rsidR="00CE1BDB" w:rsidRPr="00FA4DC7" w14:paraId="4EA141FF" w14:textId="77777777" w:rsidTr="00263141">
        <w:trPr>
          <w:trHeight w:val="300"/>
        </w:trPr>
        <w:tc>
          <w:tcPr>
            <w:tcW w:w="3466" w:type="dxa"/>
            <w:vMerge/>
            <w:vAlign w:val="center"/>
            <w:hideMark/>
          </w:tcPr>
          <w:p w14:paraId="69716019" w14:textId="77777777" w:rsidR="00CE1BDB" w:rsidRPr="00FA4DC7" w:rsidRDefault="00CE1BDB" w:rsidP="00EF49A7">
            <w:pPr>
              <w:rPr>
                <w:rFonts w:cs="Arial"/>
                <w:color w:val="000000"/>
                <w:sz w:val="22"/>
                <w:szCs w:val="22"/>
              </w:rPr>
            </w:pPr>
          </w:p>
        </w:tc>
        <w:tc>
          <w:tcPr>
            <w:tcW w:w="3249" w:type="dxa"/>
            <w:shd w:val="clear" w:color="auto" w:fill="auto"/>
            <w:noWrap/>
            <w:vAlign w:val="center"/>
            <w:hideMark/>
          </w:tcPr>
          <w:p w14:paraId="3D808E47" w14:textId="77777777" w:rsidR="00CE1BDB" w:rsidRPr="00FA4DC7" w:rsidRDefault="00CE1BDB" w:rsidP="00EF49A7">
            <w:pPr>
              <w:rPr>
                <w:rFonts w:cs="Arial"/>
                <w:color w:val="000000"/>
                <w:sz w:val="22"/>
                <w:szCs w:val="22"/>
              </w:rPr>
            </w:pPr>
            <w:r w:rsidRPr="00FA4DC7">
              <w:rPr>
                <w:rFonts w:cs="Arial"/>
                <w:color w:val="000000"/>
                <w:sz w:val="22"/>
                <w:szCs w:val="22"/>
              </w:rPr>
              <w:t>Gravesham</w:t>
            </w:r>
          </w:p>
        </w:tc>
        <w:tc>
          <w:tcPr>
            <w:tcW w:w="1012" w:type="dxa"/>
            <w:shd w:val="clear" w:color="auto" w:fill="auto"/>
            <w:noWrap/>
            <w:vAlign w:val="center"/>
            <w:hideMark/>
          </w:tcPr>
          <w:p w14:paraId="07DF028D" w14:textId="77777777" w:rsidR="00CE1BDB" w:rsidRPr="00FA4DC7" w:rsidRDefault="00CE1BDB" w:rsidP="00263141">
            <w:pPr>
              <w:jc w:val="right"/>
              <w:rPr>
                <w:rFonts w:cs="Arial"/>
                <w:color w:val="000000"/>
                <w:sz w:val="22"/>
                <w:szCs w:val="22"/>
              </w:rPr>
            </w:pPr>
            <w:r w:rsidRPr="00FA4DC7">
              <w:rPr>
                <w:rFonts w:cs="Arial"/>
                <w:color w:val="000000"/>
                <w:sz w:val="22"/>
                <w:szCs w:val="22"/>
              </w:rPr>
              <w:t>3,185</w:t>
            </w:r>
          </w:p>
        </w:tc>
        <w:tc>
          <w:tcPr>
            <w:tcW w:w="963" w:type="dxa"/>
            <w:shd w:val="clear" w:color="auto" w:fill="auto"/>
            <w:noWrap/>
            <w:vAlign w:val="center"/>
            <w:hideMark/>
          </w:tcPr>
          <w:p w14:paraId="11719D03" w14:textId="77777777" w:rsidR="00CE1BDB" w:rsidRPr="00FA4DC7" w:rsidRDefault="00CE1BDB" w:rsidP="00263141">
            <w:pPr>
              <w:jc w:val="right"/>
              <w:rPr>
                <w:rFonts w:cs="Arial"/>
                <w:color w:val="000000"/>
                <w:sz w:val="22"/>
                <w:szCs w:val="22"/>
              </w:rPr>
            </w:pPr>
            <w:r w:rsidRPr="00FA4DC7">
              <w:rPr>
                <w:rFonts w:cs="Arial"/>
                <w:color w:val="000000"/>
                <w:sz w:val="22"/>
                <w:szCs w:val="22"/>
              </w:rPr>
              <w:t>3.1%</w:t>
            </w:r>
          </w:p>
        </w:tc>
      </w:tr>
      <w:tr w:rsidR="00CE1BDB" w:rsidRPr="00FA4DC7" w14:paraId="3F55C54D" w14:textId="77777777" w:rsidTr="00263141">
        <w:trPr>
          <w:trHeight w:val="300"/>
        </w:trPr>
        <w:tc>
          <w:tcPr>
            <w:tcW w:w="3466" w:type="dxa"/>
            <w:vMerge/>
            <w:vAlign w:val="center"/>
            <w:hideMark/>
          </w:tcPr>
          <w:p w14:paraId="1B6DBF89" w14:textId="77777777" w:rsidR="00CE1BDB" w:rsidRPr="00FA4DC7" w:rsidRDefault="00CE1BDB" w:rsidP="00EF49A7">
            <w:pPr>
              <w:rPr>
                <w:rFonts w:cs="Arial"/>
                <w:color w:val="000000"/>
                <w:sz w:val="22"/>
                <w:szCs w:val="22"/>
              </w:rPr>
            </w:pPr>
          </w:p>
        </w:tc>
        <w:tc>
          <w:tcPr>
            <w:tcW w:w="3249" w:type="dxa"/>
            <w:shd w:val="clear" w:color="auto" w:fill="auto"/>
            <w:noWrap/>
            <w:hideMark/>
          </w:tcPr>
          <w:p w14:paraId="5C59B3D3" w14:textId="77777777" w:rsidR="00CE1BDB" w:rsidRPr="00FA4DC7" w:rsidRDefault="00CE1BDB" w:rsidP="00EF49A7">
            <w:pPr>
              <w:rPr>
                <w:rFonts w:cs="Arial"/>
                <w:sz w:val="22"/>
                <w:szCs w:val="22"/>
              </w:rPr>
            </w:pPr>
            <w:r w:rsidRPr="00FA4DC7">
              <w:rPr>
                <w:rFonts w:cs="Arial"/>
                <w:sz w:val="22"/>
                <w:szCs w:val="22"/>
              </w:rPr>
              <w:t>Maidstone</w:t>
            </w:r>
          </w:p>
        </w:tc>
        <w:tc>
          <w:tcPr>
            <w:tcW w:w="1012" w:type="dxa"/>
            <w:shd w:val="clear" w:color="auto" w:fill="auto"/>
            <w:noWrap/>
            <w:hideMark/>
          </w:tcPr>
          <w:p w14:paraId="7854834F" w14:textId="77777777" w:rsidR="00CE1BDB" w:rsidRPr="00FA4DC7" w:rsidRDefault="00CE1BDB" w:rsidP="00263141">
            <w:pPr>
              <w:jc w:val="right"/>
              <w:rPr>
                <w:rFonts w:cs="Arial"/>
                <w:sz w:val="22"/>
                <w:szCs w:val="22"/>
              </w:rPr>
            </w:pPr>
            <w:r w:rsidRPr="00FA4DC7">
              <w:rPr>
                <w:rFonts w:cs="Arial"/>
                <w:sz w:val="22"/>
                <w:szCs w:val="22"/>
              </w:rPr>
              <w:t>7,578</w:t>
            </w:r>
          </w:p>
        </w:tc>
        <w:tc>
          <w:tcPr>
            <w:tcW w:w="963" w:type="dxa"/>
            <w:shd w:val="clear" w:color="auto" w:fill="auto"/>
            <w:noWrap/>
            <w:vAlign w:val="center"/>
            <w:hideMark/>
          </w:tcPr>
          <w:p w14:paraId="5D3E6FD9" w14:textId="77777777" w:rsidR="00CE1BDB" w:rsidRPr="00FA4DC7" w:rsidRDefault="00CE1BDB" w:rsidP="00263141">
            <w:pPr>
              <w:jc w:val="right"/>
              <w:rPr>
                <w:rFonts w:cs="Arial"/>
                <w:color w:val="000000"/>
                <w:sz w:val="22"/>
                <w:szCs w:val="22"/>
              </w:rPr>
            </w:pPr>
            <w:r w:rsidRPr="00FA4DC7">
              <w:rPr>
                <w:rFonts w:cs="Arial"/>
                <w:color w:val="000000"/>
                <w:sz w:val="22"/>
                <w:szCs w:val="22"/>
              </w:rPr>
              <w:t>7.3%</w:t>
            </w:r>
          </w:p>
        </w:tc>
      </w:tr>
      <w:tr w:rsidR="00CE1BDB" w:rsidRPr="00FA4DC7" w14:paraId="75BC3AB9" w14:textId="77777777" w:rsidTr="00263141">
        <w:trPr>
          <w:trHeight w:val="300"/>
        </w:trPr>
        <w:tc>
          <w:tcPr>
            <w:tcW w:w="3466" w:type="dxa"/>
            <w:vMerge/>
            <w:vAlign w:val="center"/>
            <w:hideMark/>
          </w:tcPr>
          <w:p w14:paraId="587F0346" w14:textId="77777777" w:rsidR="00CE1BDB" w:rsidRPr="00FA4DC7" w:rsidRDefault="00CE1BDB" w:rsidP="00EF49A7">
            <w:pPr>
              <w:rPr>
                <w:rFonts w:cs="Arial"/>
                <w:color w:val="000000"/>
                <w:sz w:val="22"/>
                <w:szCs w:val="22"/>
              </w:rPr>
            </w:pPr>
          </w:p>
        </w:tc>
        <w:tc>
          <w:tcPr>
            <w:tcW w:w="3249" w:type="dxa"/>
            <w:shd w:val="clear" w:color="auto" w:fill="auto"/>
            <w:noWrap/>
            <w:hideMark/>
          </w:tcPr>
          <w:p w14:paraId="1BAD6847" w14:textId="77777777" w:rsidR="00CE1BDB" w:rsidRPr="00FA4DC7" w:rsidRDefault="00CE1BDB" w:rsidP="00EF49A7">
            <w:pPr>
              <w:rPr>
                <w:rFonts w:cs="Arial"/>
                <w:sz w:val="22"/>
                <w:szCs w:val="22"/>
              </w:rPr>
            </w:pPr>
            <w:r w:rsidRPr="00FA4DC7">
              <w:rPr>
                <w:rFonts w:cs="Arial"/>
                <w:sz w:val="22"/>
                <w:szCs w:val="22"/>
              </w:rPr>
              <w:t>Swale</w:t>
            </w:r>
          </w:p>
        </w:tc>
        <w:tc>
          <w:tcPr>
            <w:tcW w:w="1012" w:type="dxa"/>
            <w:shd w:val="clear" w:color="auto" w:fill="auto"/>
            <w:noWrap/>
            <w:hideMark/>
          </w:tcPr>
          <w:p w14:paraId="66862915" w14:textId="77777777" w:rsidR="00CE1BDB" w:rsidRPr="00FA4DC7" w:rsidRDefault="00CE1BDB" w:rsidP="00263141">
            <w:pPr>
              <w:jc w:val="right"/>
              <w:rPr>
                <w:rFonts w:cs="Arial"/>
                <w:sz w:val="22"/>
                <w:szCs w:val="22"/>
              </w:rPr>
            </w:pPr>
            <w:r w:rsidRPr="00FA4DC7">
              <w:rPr>
                <w:rFonts w:cs="Arial"/>
                <w:sz w:val="22"/>
                <w:szCs w:val="22"/>
              </w:rPr>
              <w:t>4,201</w:t>
            </w:r>
          </w:p>
        </w:tc>
        <w:tc>
          <w:tcPr>
            <w:tcW w:w="963" w:type="dxa"/>
            <w:shd w:val="clear" w:color="auto" w:fill="auto"/>
            <w:noWrap/>
            <w:vAlign w:val="center"/>
            <w:hideMark/>
          </w:tcPr>
          <w:p w14:paraId="43E2FACC" w14:textId="77777777" w:rsidR="00CE1BDB" w:rsidRPr="00FA4DC7" w:rsidRDefault="00CE1BDB" w:rsidP="00263141">
            <w:pPr>
              <w:jc w:val="right"/>
              <w:rPr>
                <w:rFonts w:cs="Arial"/>
                <w:color w:val="000000"/>
                <w:sz w:val="22"/>
                <w:szCs w:val="22"/>
              </w:rPr>
            </w:pPr>
            <w:r w:rsidRPr="00FA4DC7">
              <w:rPr>
                <w:rFonts w:cs="Arial"/>
                <w:color w:val="000000"/>
                <w:sz w:val="22"/>
                <w:szCs w:val="22"/>
              </w:rPr>
              <w:t>4.0%</w:t>
            </w:r>
          </w:p>
        </w:tc>
      </w:tr>
      <w:tr w:rsidR="00CE1BDB" w:rsidRPr="00FA4DC7" w14:paraId="4268D632" w14:textId="77777777" w:rsidTr="00263141">
        <w:trPr>
          <w:trHeight w:val="300"/>
        </w:trPr>
        <w:tc>
          <w:tcPr>
            <w:tcW w:w="3466" w:type="dxa"/>
            <w:vMerge/>
            <w:vAlign w:val="center"/>
            <w:hideMark/>
          </w:tcPr>
          <w:p w14:paraId="5125CA82" w14:textId="77777777" w:rsidR="00CE1BDB" w:rsidRPr="00FA4DC7" w:rsidRDefault="00CE1BDB" w:rsidP="00EF49A7">
            <w:pPr>
              <w:rPr>
                <w:rFonts w:cs="Arial"/>
                <w:color w:val="000000"/>
                <w:sz w:val="22"/>
                <w:szCs w:val="22"/>
              </w:rPr>
            </w:pPr>
          </w:p>
        </w:tc>
        <w:tc>
          <w:tcPr>
            <w:tcW w:w="3249" w:type="dxa"/>
            <w:shd w:val="clear" w:color="auto" w:fill="auto"/>
            <w:noWrap/>
            <w:hideMark/>
          </w:tcPr>
          <w:p w14:paraId="31D6CE72" w14:textId="77777777" w:rsidR="00CE1BDB" w:rsidRPr="00FA4DC7" w:rsidRDefault="00CE1BDB" w:rsidP="00EF49A7">
            <w:pPr>
              <w:rPr>
                <w:rFonts w:cs="Arial"/>
                <w:sz w:val="22"/>
                <w:szCs w:val="22"/>
              </w:rPr>
            </w:pPr>
            <w:r w:rsidRPr="00FA4DC7">
              <w:rPr>
                <w:rFonts w:cs="Arial"/>
                <w:sz w:val="22"/>
                <w:szCs w:val="22"/>
              </w:rPr>
              <w:t xml:space="preserve">Tonbridge and </w:t>
            </w:r>
            <w:proofErr w:type="spellStart"/>
            <w:r w:rsidRPr="00FA4DC7">
              <w:rPr>
                <w:rFonts w:cs="Arial"/>
                <w:sz w:val="22"/>
                <w:szCs w:val="22"/>
              </w:rPr>
              <w:t>Malling</w:t>
            </w:r>
            <w:proofErr w:type="spellEnd"/>
          </w:p>
        </w:tc>
        <w:tc>
          <w:tcPr>
            <w:tcW w:w="1012" w:type="dxa"/>
            <w:shd w:val="clear" w:color="auto" w:fill="auto"/>
            <w:noWrap/>
            <w:hideMark/>
          </w:tcPr>
          <w:p w14:paraId="18BAB080" w14:textId="77777777" w:rsidR="00CE1BDB" w:rsidRPr="00FA4DC7" w:rsidRDefault="00CE1BDB" w:rsidP="00263141">
            <w:pPr>
              <w:jc w:val="right"/>
              <w:rPr>
                <w:rFonts w:cs="Arial"/>
                <w:sz w:val="22"/>
                <w:szCs w:val="22"/>
              </w:rPr>
            </w:pPr>
            <w:r w:rsidRPr="00FA4DC7">
              <w:rPr>
                <w:rFonts w:cs="Arial"/>
                <w:sz w:val="22"/>
                <w:szCs w:val="22"/>
              </w:rPr>
              <w:t>6,354</w:t>
            </w:r>
          </w:p>
        </w:tc>
        <w:tc>
          <w:tcPr>
            <w:tcW w:w="963" w:type="dxa"/>
            <w:shd w:val="clear" w:color="auto" w:fill="auto"/>
            <w:noWrap/>
            <w:vAlign w:val="center"/>
            <w:hideMark/>
          </w:tcPr>
          <w:p w14:paraId="4D11E41C" w14:textId="77777777" w:rsidR="00CE1BDB" w:rsidRPr="00FA4DC7" w:rsidRDefault="00CE1BDB" w:rsidP="00263141">
            <w:pPr>
              <w:jc w:val="right"/>
              <w:rPr>
                <w:rFonts w:cs="Arial"/>
                <w:color w:val="000000"/>
                <w:sz w:val="22"/>
                <w:szCs w:val="22"/>
              </w:rPr>
            </w:pPr>
            <w:r w:rsidRPr="00FA4DC7">
              <w:rPr>
                <w:rFonts w:cs="Arial"/>
                <w:color w:val="000000"/>
                <w:sz w:val="22"/>
                <w:szCs w:val="22"/>
              </w:rPr>
              <w:t>6.1%</w:t>
            </w:r>
          </w:p>
        </w:tc>
      </w:tr>
      <w:tr w:rsidR="00CE1BDB" w:rsidRPr="00FA4DC7" w14:paraId="55AB4F0A" w14:textId="77777777" w:rsidTr="00263141">
        <w:trPr>
          <w:trHeight w:val="300"/>
        </w:trPr>
        <w:tc>
          <w:tcPr>
            <w:tcW w:w="3466" w:type="dxa"/>
            <w:vMerge/>
            <w:vAlign w:val="center"/>
            <w:hideMark/>
          </w:tcPr>
          <w:p w14:paraId="4AEE15B4" w14:textId="77777777" w:rsidR="00CE1BDB" w:rsidRPr="00FA4DC7" w:rsidRDefault="00CE1BDB" w:rsidP="00EF49A7">
            <w:pPr>
              <w:rPr>
                <w:rFonts w:cs="Arial"/>
                <w:color w:val="000000"/>
                <w:sz w:val="22"/>
                <w:szCs w:val="22"/>
              </w:rPr>
            </w:pPr>
          </w:p>
        </w:tc>
        <w:tc>
          <w:tcPr>
            <w:tcW w:w="3249" w:type="dxa"/>
            <w:shd w:val="clear" w:color="auto" w:fill="auto"/>
            <w:noWrap/>
            <w:hideMark/>
          </w:tcPr>
          <w:p w14:paraId="2AC3768E" w14:textId="77777777" w:rsidR="00CE1BDB" w:rsidRPr="00FA4DC7" w:rsidRDefault="00CE1BDB" w:rsidP="00EF49A7">
            <w:pPr>
              <w:rPr>
                <w:rFonts w:cs="Arial"/>
                <w:sz w:val="22"/>
                <w:szCs w:val="22"/>
              </w:rPr>
            </w:pPr>
            <w:r w:rsidRPr="00FA4DC7">
              <w:rPr>
                <w:rFonts w:cs="Arial"/>
                <w:sz w:val="22"/>
                <w:szCs w:val="22"/>
              </w:rPr>
              <w:t>Bexley</w:t>
            </w:r>
          </w:p>
        </w:tc>
        <w:tc>
          <w:tcPr>
            <w:tcW w:w="1012" w:type="dxa"/>
            <w:shd w:val="clear" w:color="auto" w:fill="auto"/>
            <w:noWrap/>
            <w:hideMark/>
          </w:tcPr>
          <w:p w14:paraId="27A7E919" w14:textId="77777777" w:rsidR="00CE1BDB" w:rsidRPr="00FA4DC7" w:rsidRDefault="00CE1BDB" w:rsidP="00263141">
            <w:pPr>
              <w:jc w:val="right"/>
              <w:rPr>
                <w:rFonts w:cs="Arial"/>
                <w:sz w:val="22"/>
                <w:szCs w:val="22"/>
              </w:rPr>
            </w:pPr>
            <w:r w:rsidRPr="00FA4DC7">
              <w:rPr>
                <w:rFonts w:cs="Arial"/>
                <w:sz w:val="22"/>
                <w:szCs w:val="22"/>
              </w:rPr>
              <w:t>1,652</w:t>
            </w:r>
          </w:p>
        </w:tc>
        <w:tc>
          <w:tcPr>
            <w:tcW w:w="963" w:type="dxa"/>
            <w:shd w:val="clear" w:color="auto" w:fill="auto"/>
            <w:noWrap/>
            <w:vAlign w:val="center"/>
            <w:hideMark/>
          </w:tcPr>
          <w:p w14:paraId="6FA630CE" w14:textId="77777777" w:rsidR="00CE1BDB" w:rsidRPr="00FA4DC7" w:rsidRDefault="00CE1BDB" w:rsidP="00263141">
            <w:pPr>
              <w:jc w:val="right"/>
              <w:rPr>
                <w:rFonts w:cs="Arial"/>
                <w:color w:val="000000"/>
                <w:sz w:val="22"/>
                <w:szCs w:val="22"/>
              </w:rPr>
            </w:pPr>
            <w:r w:rsidRPr="00FA4DC7">
              <w:rPr>
                <w:rFonts w:cs="Arial"/>
                <w:color w:val="000000"/>
                <w:sz w:val="22"/>
                <w:szCs w:val="22"/>
              </w:rPr>
              <w:t>1.6%</w:t>
            </w:r>
          </w:p>
        </w:tc>
      </w:tr>
      <w:tr w:rsidR="00CE1BDB" w:rsidRPr="00FA4DC7" w14:paraId="446C50A2" w14:textId="77777777" w:rsidTr="00263141">
        <w:trPr>
          <w:trHeight w:val="300"/>
        </w:trPr>
        <w:tc>
          <w:tcPr>
            <w:tcW w:w="3466" w:type="dxa"/>
            <w:vMerge/>
            <w:vAlign w:val="center"/>
            <w:hideMark/>
          </w:tcPr>
          <w:p w14:paraId="28040462" w14:textId="77777777" w:rsidR="00CE1BDB" w:rsidRPr="00FA4DC7" w:rsidRDefault="00CE1BDB" w:rsidP="00EF49A7">
            <w:pPr>
              <w:rPr>
                <w:rFonts w:cs="Arial"/>
                <w:color w:val="000000"/>
                <w:sz w:val="22"/>
                <w:szCs w:val="22"/>
              </w:rPr>
            </w:pPr>
          </w:p>
        </w:tc>
        <w:tc>
          <w:tcPr>
            <w:tcW w:w="3249" w:type="dxa"/>
            <w:shd w:val="clear" w:color="auto" w:fill="auto"/>
            <w:noWrap/>
            <w:hideMark/>
          </w:tcPr>
          <w:p w14:paraId="3D28DD99" w14:textId="77777777" w:rsidR="00CE1BDB" w:rsidRPr="00FA4DC7" w:rsidRDefault="00CE1BDB" w:rsidP="00EF49A7">
            <w:pPr>
              <w:rPr>
                <w:rFonts w:cs="Arial"/>
                <w:sz w:val="22"/>
                <w:szCs w:val="22"/>
              </w:rPr>
            </w:pPr>
            <w:r w:rsidRPr="00FA4DC7">
              <w:rPr>
                <w:rFonts w:cs="Arial"/>
                <w:sz w:val="22"/>
                <w:szCs w:val="22"/>
              </w:rPr>
              <w:t>Bromley</w:t>
            </w:r>
          </w:p>
        </w:tc>
        <w:tc>
          <w:tcPr>
            <w:tcW w:w="1012" w:type="dxa"/>
            <w:shd w:val="clear" w:color="auto" w:fill="auto"/>
            <w:noWrap/>
            <w:hideMark/>
          </w:tcPr>
          <w:p w14:paraId="63CA00AF" w14:textId="77777777" w:rsidR="00CE1BDB" w:rsidRPr="00FA4DC7" w:rsidRDefault="00CE1BDB" w:rsidP="00263141">
            <w:pPr>
              <w:jc w:val="right"/>
              <w:rPr>
                <w:rFonts w:cs="Arial"/>
                <w:sz w:val="22"/>
                <w:szCs w:val="22"/>
              </w:rPr>
            </w:pPr>
            <w:r w:rsidRPr="00FA4DC7">
              <w:rPr>
                <w:rFonts w:cs="Arial"/>
                <w:sz w:val="22"/>
                <w:szCs w:val="22"/>
              </w:rPr>
              <w:t>1,219</w:t>
            </w:r>
          </w:p>
        </w:tc>
        <w:tc>
          <w:tcPr>
            <w:tcW w:w="963" w:type="dxa"/>
            <w:shd w:val="clear" w:color="auto" w:fill="auto"/>
            <w:noWrap/>
            <w:vAlign w:val="center"/>
            <w:hideMark/>
          </w:tcPr>
          <w:p w14:paraId="57892C10" w14:textId="77777777" w:rsidR="00CE1BDB" w:rsidRPr="00FA4DC7" w:rsidRDefault="00CE1BDB" w:rsidP="00263141">
            <w:pPr>
              <w:jc w:val="right"/>
              <w:rPr>
                <w:rFonts w:cs="Arial"/>
                <w:color w:val="000000"/>
                <w:sz w:val="22"/>
                <w:szCs w:val="22"/>
              </w:rPr>
            </w:pPr>
            <w:r w:rsidRPr="00FA4DC7">
              <w:rPr>
                <w:rFonts w:cs="Arial"/>
                <w:color w:val="000000"/>
                <w:sz w:val="22"/>
                <w:szCs w:val="22"/>
              </w:rPr>
              <w:t>1.2%</w:t>
            </w:r>
          </w:p>
        </w:tc>
      </w:tr>
      <w:tr w:rsidR="00CE1BDB" w:rsidRPr="00FA4DC7" w14:paraId="53B9006A" w14:textId="77777777" w:rsidTr="00263141">
        <w:trPr>
          <w:trHeight w:val="300"/>
        </w:trPr>
        <w:tc>
          <w:tcPr>
            <w:tcW w:w="3466" w:type="dxa"/>
            <w:vMerge/>
            <w:vAlign w:val="center"/>
            <w:hideMark/>
          </w:tcPr>
          <w:p w14:paraId="0A5E2322" w14:textId="77777777" w:rsidR="00CE1BDB" w:rsidRPr="00FA4DC7" w:rsidRDefault="00CE1BDB" w:rsidP="00EF49A7">
            <w:pPr>
              <w:rPr>
                <w:rFonts w:cs="Arial"/>
                <w:color w:val="000000"/>
                <w:sz w:val="22"/>
                <w:szCs w:val="22"/>
              </w:rPr>
            </w:pPr>
          </w:p>
        </w:tc>
        <w:tc>
          <w:tcPr>
            <w:tcW w:w="3249" w:type="dxa"/>
            <w:shd w:val="clear" w:color="auto" w:fill="auto"/>
            <w:noWrap/>
            <w:hideMark/>
          </w:tcPr>
          <w:p w14:paraId="58767F61" w14:textId="77777777" w:rsidR="00CE1BDB" w:rsidRPr="00FA4DC7" w:rsidRDefault="00CE1BDB" w:rsidP="00EF49A7">
            <w:pPr>
              <w:rPr>
                <w:rFonts w:cs="Arial"/>
                <w:sz w:val="22"/>
                <w:szCs w:val="22"/>
              </w:rPr>
            </w:pPr>
            <w:r w:rsidRPr="00FA4DC7">
              <w:rPr>
                <w:rFonts w:cs="Arial"/>
                <w:sz w:val="22"/>
                <w:szCs w:val="22"/>
              </w:rPr>
              <w:t>Croydon</w:t>
            </w:r>
          </w:p>
        </w:tc>
        <w:tc>
          <w:tcPr>
            <w:tcW w:w="1012" w:type="dxa"/>
            <w:shd w:val="clear" w:color="auto" w:fill="auto"/>
            <w:noWrap/>
            <w:hideMark/>
          </w:tcPr>
          <w:p w14:paraId="550196A3" w14:textId="77777777" w:rsidR="00CE1BDB" w:rsidRPr="00FA4DC7" w:rsidRDefault="00CE1BDB" w:rsidP="00263141">
            <w:pPr>
              <w:jc w:val="right"/>
              <w:rPr>
                <w:rFonts w:cs="Arial"/>
                <w:sz w:val="22"/>
                <w:szCs w:val="22"/>
              </w:rPr>
            </w:pPr>
            <w:r w:rsidRPr="00FA4DC7">
              <w:rPr>
                <w:rFonts w:cs="Arial"/>
                <w:sz w:val="22"/>
                <w:szCs w:val="22"/>
              </w:rPr>
              <w:t>228</w:t>
            </w:r>
          </w:p>
        </w:tc>
        <w:tc>
          <w:tcPr>
            <w:tcW w:w="963" w:type="dxa"/>
            <w:shd w:val="clear" w:color="auto" w:fill="auto"/>
            <w:noWrap/>
            <w:vAlign w:val="center"/>
            <w:hideMark/>
          </w:tcPr>
          <w:p w14:paraId="38FCC25B" w14:textId="77777777" w:rsidR="00CE1BDB" w:rsidRPr="00FA4DC7" w:rsidRDefault="00CE1BDB" w:rsidP="00263141">
            <w:pPr>
              <w:jc w:val="right"/>
              <w:rPr>
                <w:rFonts w:cs="Arial"/>
                <w:color w:val="000000"/>
                <w:sz w:val="22"/>
                <w:szCs w:val="22"/>
              </w:rPr>
            </w:pPr>
            <w:r w:rsidRPr="00FA4DC7">
              <w:rPr>
                <w:rFonts w:cs="Arial"/>
                <w:color w:val="000000"/>
                <w:sz w:val="22"/>
                <w:szCs w:val="22"/>
              </w:rPr>
              <w:t>0.2%</w:t>
            </w:r>
          </w:p>
        </w:tc>
      </w:tr>
      <w:tr w:rsidR="00CE1BDB" w:rsidRPr="00FA4DC7" w14:paraId="55F8A10D" w14:textId="77777777" w:rsidTr="00263141">
        <w:trPr>
          <w:trHeight w:val="300"/>
        </w:trPr>
        <w:tc>
          <w:tcPr>
            <w:tcW w:w="3466" w:type="dxa"/>
            <w:vMerge/>
            <w:vAlign w:val="center"/>
            <w:hideMark/>
          </w:tcPr>
          <w:p w14:paraId="7B51B6CD" w14:textId="77777777" w:rsidR="00CE1BDB" w:rsidRPr="00FA4DC7" w:rsidRDefault="00CE1BDB" w:rsidP="00EF49A7">
            <w:pPr>
              <w:rPr>
                <w:rFonts w:cs="Arial"/>
                <w:color w:val="000000"/>
                <w:sz w:val="22"/>
                <w:szCs w:val="22"/>
              </w:rPr>
            </w:pPr>
          </w:p>
        </w:tc>
        <w:tc>
          <w:tcPr>
            <w:tcW w:w="3249" w:type="dxa"/>
            <w:shd w:val="clear" w:color="auto" w:fill="auto"/>
            <w:noWrap/>
            <w:hideMark/>
          </w:tcPr>
          <w:p w14:paraId="08DEBD94" w14:textId="77777777" w:rsidR="00CE1BDB" w:rsidRPr="00FA4DC7" w:rsidRDefault="00CE1BDB" w:rsidP="00EF49A7">
            <w:pPr>
              <w:rPr>
                <w:rFonts w:cs="Arial"/>
                <w:sz w:val="22"/>
                <w:szCs w:val="22"/>
              </w:rPr>
            </w:pPr>
            <w:r w:rsidRPr="00FA4DC7">
              <w:rPr>
                <w:rFonts w:cs="Arial"/>
                <w:sz w:val="22"/>
                <w:szCs w:val="22"/>
              </w:rPr>
              <w:t>Greenwich</w:t>
            </w:r>
          </w:p>
        </w:tc>
        <w:tc>
          <w:tcPr>
            <w:tcW w:w="1012" w:type="dxa"/>
            <w:shd w:val="clear" w:color="auto" w:fill="auto"/>
            <w:noWrap/>
            <w:hideMark/>
          </w:tcPr>
          <w:p w14:paraId="641B87D7" w14:textId="77777777" w:rsidR="00CE1BDB" w:rsidRPr="00FA4DC7" w:rsidRDefault="00CE1BDB" w:rsidP="00263141">
            <w:pPr>
              <w:jc w:val="right"/>
              <w:rPr>
                <w:rFonts w:cs="Arial"/>
                <w:sz w:val="22"/>
                <w:szCs w:val="22"/>
              </w:rPr>
            </w:pPr>
            <w:r w:rsidRPr="00FA4DC7">
              <w:rPr>
                <w:rFonts w:cs="Arial"/>
                <w:sz w:val="22"/>
                <w:szCs w:val="22"/>
              </w:rPr>
              <w:t>1,159</w:t>
            </w:r>
          </w:p>
        </w:tc>
        <w:tc>
          <w:tcPr>
            <w:tcW w:w="963" w:type="dxa"/>
            <w:shd w:val="clear" w:color="auto" w:fill="auto"/>
            <w:noWrap/>
            <w:vAlign w:val="center"/>
            <w:hideMark/>
          </w:tcPr>
          <w:p w14:paraId="0F374256" w14:textId="77777777" w:rsidR="00CE1BDB" w:rsidRPr="00FA4DC7" w:rsidRDefault="00CE1BDB" w:rsidP="00263141">
            <w:pPr>
              <w:jc w:val="right"/>
              <w:rPr>
                <w:rFonts w:cs="Arial"/>
                <w:color w:val="000000"/>
                <w:sz w:val="22"/>
                <w:szCs w:val="22"/>
              </w:rPr>
            </w:pPr>
            <w:r w:rsidRPr="00FA4DC7">
              <w:rPr>
                <w:rFonts w:cs="Arial"/>
                <w:color w:val="000000"/>
                <w:sz w:val="22"/>
                <w:szCs w:val="22"/>
              </w:rPr>
              <w:t>1.1%</w:t>
            </w:r>
          </w:p>
        </w:tc>
      </w:tr>
      <w:tr w:rsidR="00CE1BDB" w:rsidRPr="00FA4DC7" w14:paraId="3AE60907" w14:textId="77777777" w:rsidTr="00263141">
        <w:trPr>
          <w:trHeight w:val="300"/>
        </w:trPr>
        <w:tc>
          <w:tcPr>
            <w:tcW w:w="3466" w:type="dxa"/>
            <w:vMerge/>
            <w:vAlign w:val="center"/>
            <w:hideMark/>
          </w:tcPr>
          <w:p w14:paraId="3E475853" w14:textId="77777777" w:rsidR="00CE1BDB" w:rsidRPr="00FA4DC7" w:rsidRDefault="00CE1BDB" w:rsidP="00EF49A7">
            <w:pPr>
              <w:rPr>
                <w:rFonts w:cs="Arial"/>
                <w:color w:val="000000"/>
                <w:sz w:val="22"/>
                <w:szCs w:val="22"/>
              </w:rPr>
            </w:pPr>
          </w:p>
        </w:tc>
        <w:tc>
          <w:tcPr>
            <w:tcW w:w="3249" w:type="dxa"/>
            <w:shd w:val="clear" w:color="auto" w:fill="auto"/>
            <w:noWrap/>
            <w:hideMark/>
          </w:tcPr>
          <w:p w14:paraId="52143182" w14:textId="77777777" w:rsidR="00CE1BDB" w:rsidRPr="00FA4DC7" w:rsidRDefault="00CE1BDB" w:rsidP="00EF49A7">
            <w:pPr>
              <w:rPr>
                <w:rFonts w:cs="Arial"/>
                <w:sz w:val="22"/>
                <w:szCs w:val="22"/>
              </w:rPr>
            </w:pPr>
            <w:r w:rsidRPr="00FA4DC7">
              <w:rPr>
                <w:rFonts w:cs="Arial"/>
                <w:sz w:val="22"/>
                <w:szCs w:val="22"/>
              </w:rPr>
              <w:t>Lewisham</w:t>
            </w:r>
          </w:p>
        </w:tc>
        <w:tc>
          <w:tcPr>
            <w:tcW w:w="1012" w:type="dxa"/>
            <w:shd w:val="clear" w:color="auto" w:fill="auto"/>
            <w:noWrap/>
            <w:hideMark/>
          </w:tcPr>
          <w:p w14:paraId="6BBC1B65" w14:textId="77777777" w:rsidR="00CE1BDB" w:rsidRPr="00FA4DC7" w:rsidRDefault="00CE1BDB" w:rsidP="00263141">
            <w:pPr>
              <w:jc w:val="right"/>
              <w:rPr>
                <w:rFonts w:cs="Arial"/>
                <w:sz w:val="22"/>
                <w:szCs w:val="22"/>
              </w:rPr>
            </w:pPr>
            <w:r w:rsidRPr="00FA4DC7">
              <w:rPr>
                <w:rFonts w:cs="Arial"/>
                <w:sz w:val="22"/>
                <w:szCs w:val="22"/>
              </w:rPr>
              <w:t>547</w:t>
            </w:r>
          </w:p>
        </w:tc>
        <w:tc>
          <w:tcPr>
            <w:tcW w:w="963" w:type="dxa"/>
            <w:shd w:val="clear" w:color="auto" w:fill="auto"/>
            <w:noWrap/>
            <w:vAlign w:val="center"/>
            <w:hideMark/>
          </w:tcPr>
          <w:p w14:paraId="2A73E35C" w14:textId="77777777" w:rsidR="00CE1BDB" w:rsidRPr="00FA4DC7" w:rsidRDefault="00CE1BDB" w:rsidP="00263141">
            <w:pPr>
              <w:jc w:val="right"/>
              <w:rPr>
                <w:rFonts w:cs="Arial"/>
                <w:color w:val="000000"/>
                <w:sz w:val="22"/>
                <w:szCs w:val="22"/>
              </w:rPr>
            </w:pPr>
            <w:r w:rsidRPr="00FA4DC7">
              <w:rPr>
                <w:rFonts w:cs="Arial"/>
                <w:color w:val="000000"/>
                <w:sz w:val="22"/>
                <w:szCs w:val="22"/>
              </w:rPr>
              <w:t>0.5%</w:t>
            </w:r>
          </w:p>
        </w:tc>
      </w:tr>
      <w:tr w:rsidR="00CE1BDB" w:rsidRPr="00FA4DC7" w14:paraId="30555C8D" w14:textId="77777777" w:rsidTr="00263141">
        <w:trPr>
          <w:trHeight w:val="300"/>
        </w:trPr>
        <w:tc>
          <w:tcPr>
            <w:tcW w:w="3466" w:type="dxa"/>
            <w:vMerge/>
            <w:vAlign w:val="center"/>
            <w:hideMark/>
          </w:tcPr>
          <w:p w14:paraId="25F52BC2" w14:textId="77777777" w:rsidR="00CE1BDB" w:rsidRPr="00FA4DC7" w:rsidRDefault="00CE1BDB" w:rsidP="00EF49A7">
            <w:pPr>
              <w:rPr>
                <w:rFonts w:cs="Arial"/>
                <w:color w:val="000000"/>
                <w:sz w:val="22"/>
                <w:szCs w:val="22"/>
              </w:rPr>
            </w:pPr>
          </w:p>
        </w:tc>
        <w:tc>
          <w:tcPr>
            <w:tcW w:w="3249" w:type="dxa"/>
            <w:shd w:val="clear" w:color="auto" w:fill="auto"/>
            <w:noWrap/>
            <w:hideMark/>
          </w:tcPr>
          <w:p w14:paraId="499C7FA0" w14:textId="77777777" w:rsidR="00CE1BDB" w:rsidRPr="00FA4DC7" w:rsidRDefault="00CE1BDB" w:rsidP="00EF49A7">
            <w:pPr>
              <w:rPr>
                <w:rFonts w:cs="Arial"/>
                <w:sz w:val="22"/>
                <w:szCs w:val="22"/>
              </w:rPr>
            </w:pPr>
            <w:r w:rsidRPr="00FA4DC7">
              <w:rPr>
                <w:rFonts w:cs="Arial"/>
                <w:sz w:val="22"/>
                <w:szCs w:val="22"/>
              </w:rPr>
              <w:t>Elsewhere Kent</w:t>
            </w:r>
          </w:p>
        </w:tc>
        <w:tc>
          <w:tcPr>
            <w:tcW w:w="1012" w:type="dxa"/>
            <w:shd w:val="clear" w:color="auto" w:fill="auto"/>
            <w:noWrap/>
            <w:hideMark/>
          </w:tcPr>
          <w:p w14:paraId="13D90847" w14:textId="77777777" w:rsidR="00CE1BDB" w:rsidRPr="00FA4DC7" w:rsidRDefault="00CE1BDB" w:rsidP="00263141">
            <w:pPr>
              <w:jc w:val="right"/>
              <w:rPr>
                <w:rFonts w:cs="Arial"/>
                <w:sz w:val="22"/>
                <w:szCs w:val="22"/>
              </w:rPr>
            </w:pPr>
            <w:r w:rsidRPr="00FA4DC7">
              <w:rPr>
                <w:rFonts w:cs="Arial"/>
                <w:sz w:val="22"/>
                <w:szCs w:val="22"/>
              </w:rPr>
              <w:t>3,559</w:t>
            </w:r>
          </w:p>
        </w:tc>
        <w:tc>
          <w:tcPr>
            <w:tcW w:w="963" w:type="dxa"/>
            <w:shd w:val="clear" w:color="auto" w:fill="auto"/>
            <w:noWrap/>
            <w:vAlign w:val="center"/>
            <w:hideMark/>
          </w:tcPr>
          <w:p w14:paraId="081F3588" w14:textId="77777777" w:rsidR="00CE1BDB" w:rsidRPr="00FA4DC7" w:rsidRDefault="00CE1BDB" w:rsidP="00263141">
            <w:pPr>
              <w:jc w:val="right"/>
              <w:rPr>
                <w:rFonts w:cs="Arial"/>
                <w:color w:val="000000"/>
                <w:sz w:val="22"/>
                <w:szCs w:val="22"/>
              </w:rPr>
            </w:pPr>
            <w:r w:rsidRPr="00FA4DC7">
              <w:rPr>
                <w:rFonts w:cs="Arial"/>
                <w:color w:val="000000"/>
                <w:sz w:val="22"/>
                <w:szCs w:val="22"/>
              </w:rPr>
              <w:t>3.4%</w:t>
            </w:r>
          </w:p>
        </w:tc>
      </w:tr>
      <w:tr w:rsidR="00CE1BDB" w:rsidRPr="00FA4DC7" w14:paraId="3497B1E8" w14:textId="77777777" w:rsidTr="00263141">
        <w:trPr>
          <w:trHeight w:val="300"/>
        </w:trPr>
        <w:tc>
          <w:tcPr>
            <w:tcW w:w="3466" w:type="dxa"/>
            <w:vMerge/>
            <w:vAlign w:val="center"/>
            <w:hideMark/>
          </w:tcPr>
          <w:p w14:paraId="55CC6543" w14:textId="77777777" w:rsidR="00CE1BDB" w:rsidRPr="00FA4DC7" w:rsidRDefault="00CE1BDB" w:rsidP="00EF49A7">
            <w:pPr>
              <w:rPr>
                <w:rFonts w:cs="Arial"/>
                <w:color w:val="000000"/>
                <w:sz w:val="22"/>
                <w:szCs w:val="22"/>
              </w:rPr>
            </w:pPr>
          </w:p>
        </w:tc>
        <w:tc>
          <w:tcPr>
            <w:tcW w:w="3249" w:type="dxa"/>
            <w:shd w:val="clear" w:color="auto" w:fill="auto"/>
            <w:noWrap/>
            <w:hideMark/>
          </w:tcPr>
          <w:p w14:paraId="1D55A597" w14:textId="77777777" w:rsidR="00CE1BDB" w:rsidRPr="00FA4DC7" w:rsidRDefault="00CE1BDB" w:rsidP="00EF49A7">
            <w:pPr>
              <w:rPr>
                <w:rFonts w:cs="Arial"/>
                <w:sz w:val="22"/>
                <w:szCs w:val="22"/>
              </w:rPr>
            </w:pPr>
            <w:r w:rsidRPr="00FA4DC7">
              <w:rPr>
                <w:rFonts w:cs="Arial"/>
                <w:sz w:val="22"/>
                <w:szCs w:val="22"/>
              </w:rPr>
              <w:t xml:space="preserve">Elsewhere </w:t>
            </w:r>
            <w:proofErr w:type="gramStart"/>
            <w:r w:rsidRPr="00FA4DC7">
              <w:rPr>
                <w:rFonts w:cs="Arial"/>
                <w:sz w:val="22"/>
                <w:szCs w:val="22"/>
              </w:rPr>
              <w:t>South East</w:t>
            </w:r>
            <w:proofErr w:type="gramEnd"/>
          </w:p>
        </w:tc>
        <w:tc>
          <w:tcPr>
            <w:tcW w:w="1012" w:type="dxa"/>
            <w:shd w:val="clear" w:color="auto" w:fill="auto"/>
            <w:noWrap/>
            <w:hideMark/>
          </w:tcPr>
          <w:p w14:paraId="79BE5B0F" w14:textId="77777777" w:rsidR="00CE1BDB" w:rsidRPr="00FA4DC7" w:rsidRDefault="00CE1BDB" w:rsidP="00263141">
            <w:pPr>
              <w:jc w:val="right"/>
              <w:rPr>
                <w:rFonts w:cs="Arial"/>
                <w:sz w:val="22"/>
                <w:szCs w:val="22"/>
              </w:rPr>
            </w:pPr>
            <w:r w:rsidRPr="00FA4DC7">
              <w:rPr>
                <w:rFonts w:cs="Arial"/>
                <w:sz w:val="22"/>
                <w:szCs w:val="22"/>
              </w:rPr>
              <w:t>1,448</w:t>
            </w:r>
          </w:p>
        </w:tc>
        <w:tc>
          <w:tcPr>
            <w:tcW w:w="963" w:type="dxa"/>
            <w:shd w:val="clear" w:color="auto" w:fill="auto"/>
            <w:noWrap/>
            <w:vAlign w:val="center"/>
            <w:hideMark/>
          </w:tcPr>
          <w:p w14:paraId="16B83A0D" w14:textId="77777777" w:rsidR="00CE1BDB" w:rsidRPr="00FA4DC7" w:rsidRDefault="00CE1BDB" w:rsidP="00263141">
            <w:pPr>
              <w:jc w:val="right"/>
              <w:rPr>
                <w:rFonts w:cs="Arial"/>
                <w:color w:val="000000"/>
                <w:sz w:val="22"/>
                <w:szCs w:val="22"/>
              </w:rPr>
            </w:pPr>
            <w:r w:rsidRPr="00FA4DC7">
              <w:rPr>
                <w:rFonts w:cs="Arial"/>
                <w:color w:val="000000"/>
                <w:sz w:val="22"/>
                <w:szCs w:val="22"/>
              </w:rPr>
              <w:t>1.4%</w:t>
            </w:r>
          </w:p>
        </w:tc>
      </w:tr>
      <w:tr w:rsidR="00CE1BDB" w:rsidRPr="00FA4DC7" w14:paraId="5D32FC14" w14:textId="77777777" w:rsidTr="00263141">
        <w:trPr>
          <w:trHeight w:val="300"/>
        </w:trPr>
        <w:tc>
          <w:tcPr>
            <w:tcW w:w="3466" w:type="dxa"/>
            <w:vMerge/>
            <w:vAlign w:val="center"/>
          </w:tcPr>
          <w:p w14:paraId="3A90D910" w14:textId="77777777" w:rsidR="00CE1BDB" w:rsidRPr="00FA4DC7" w:rsidRDefault="00CE1BDB" w:rsidP="00EF49A7">
            <w:pPr>
              <w:rPr>
                <w:rFonts w:cs="Arial"/>
                <w:color w:val="000000"/>
                <w:sz w:val="22"/>
                <w:szCs w:val="22"/>
              </w:rPr>
            </w:pPr>
          </w:p>
        </w:tc>
        <w:tc>
          <w:tcPr>
            <w:tcW w:w="3249" w:type="dxa"/>
            <w:shd w:val="clear" w:color="auto" w:fill="auto"/>
            <w:noWrap/>
          </w:tcPr>
          <w:p w14:paraId="61E41519" w14:textId="77777777" w:rsidR="00CE1BDB" w:rsidRPr="00FA4DC7" w:rsidRDefault="00CE1BDB" w:rsidP="00EF49A7">
            <w:pPr>
              <w:rPr>
                <w:rFonts w:cs="Arial"/>
                <w:sz w:val="22"/>
                <w:szCs w:val="22"/>
              </w:rPr>
            </w:pPr>
            <w:r w:rsidRPr="00FA4DC7">
              <w:rPr>
                <w:rFonts w:cs="Arial"/>
                <w:sz w:val="22"/>
                <w:szCs w:val="22"/>
              </w:rPr>
              <w:t>Elsewhere London</w:t>
            </w:r>
          </w:p>
        </w:tc>
        <w:tc>
          <w:tcPr>
            <w:tcW w:w="1012" w:type="dxa"/>
            <w:shd w:val="clear" w:color="auto" w:fill="auto"/>
            <w:noWrap/>
          </w:tcPr>
          <w:p w14:paraId="060A5B91" w14:textId="77777777" w:rsidR="00CE1BDB" w:rsidRPr="00FA4DC7" w:rsidRDefault="00CE1BDB" w:rsidP="00263141">
            <w:pPr>
              <w:jc w:val="right"/>
              <w:rPr>
                <w:rFonts w:cs="Arial"/>
                <w:sz w:val="22"/>
                <w:szCs w:val="22"/>
              </w:rPr>
            </w:pPr>
            <w:r w:rsidRPr="00FA4DC7">
              <w:rPr>
                <w:rFonts w:cs="Arial"/>
                <w:sz w:val="22"/>
                <w:szCs w:val="22"/>
              </w:rPr>
              <w:t>12,495</w:t>
            </w:r>
          </w:p>
        </w:tc>
        <w:tc>
          <w:tcPr>
            <w:tcW w:w="963" w:type="dxa"/>
            <w:shd w:val="clear" w:color="auto" w:fill="auto"/>
            <w:noWrap/>
            <w:vAlign w:val="center"/>
          </w:tcPr>
          <w:p w14:paraId="56678A56" w14:textId="77777777" w:rsidR="00CE1BDB" w:rsidRPr="00FA4DC7" w:rsidRDefault="00CE1BDB" w:rsidP="00263141">
            <w:pPr>
              <w:jc w:val="right"/>
              <w:rPr>
                <w:rFonts w:cs="Arial"/>
                <w:color w:val="000000"/>
                <w:sz w:val="22"/>
                <w:szCs w:val="22"/>
              </w:rPr>
            </w:pPr>
            <w:r w:rsidRPr="00FA4DC7">
              <w:rPr>
                <w:rFonts w:cs="Arial"/>
                <w:color w:val="000000"/>
                <w:sz w:val="22"/>
                <w:szCs w:val="22"/>
              </w:rPr>
              <w:t>12.0%</w:t>
            </w:r>
          </w:p>
        </w:tc>
      </w:tr>
      <w:tr w:rsidR="00CE1BDB" w:rsidRPr="00FA4DC7" w14:paraId="69250C3D" w14:textId="77777777" w:rsidTr="00263141">
        <w:trPr>
          <w:trHeight w:val="300"/>
        </w:trPr>
        <w:tc>
          <w:tcPr>
            <w:tcW w:w="3466" w:type="dxa"/>
            <w:vMerge/>
            <w:vAlign w:val="center"/>
          </w:tcPr>
          <w:p w14:paraId="07FD6841" w14:textId="77777777" w:rsidR="00CE1BDB" w:rsidRPr="00FA4DC7" w:rsidRDefault="00CE1BDB" w:rsidP="00EF49A7">
            <w:pPr>
              <w:rPr>
                <w:rFonts w:cs="Arial"/>
                <w:color w:val="000000"/>
                <w:sz w:val="22"/>
                <w:szCs w:val="22"/>
              </w:rPr>
            </w:pPr>
          </w:p>
        </w:tc>
        <w:tc>
          <w:tcPr>
            <w:tcW w:w="3249" w:type="dxa"/>
            <w:shd w:val="clear" w:color="auto" w:fill="auto"/>
            <w:noWrap/>
          </w:tcPr>
          <w:p w14:paraId="1F95490D" w14:textId="77777777" w:rsidR="00CE1BDB" w:rsidRPr="00FA4DC7" w:rsidRDefault="00CE1BDB" w:rsidP="00EF49A7">
            <w:pPr>
              <w:rPr>
                <w:rFonts w:cs="Arial"/>
                <w:sz w:val="22"/>
                <w:szCs w:val="22"/>
              </w:rPr>
            </w:pPr>
            <w:r w:rsidRPr="00FA4DC7">
              <w:rPr>
                <w:rFonts w:cs="Arial"/>
                <w:sz w:val="22"/>
                <w:szCs w:val="22"/>
              </w:rPr>
              <w:t>Elsewhere England</w:t>
            </w:r>
          </w:p>
        </w:tc>
        <w:tc>
          <w:tcPr>
            <w:tcW w:w="1012" w:type="dxa"/>
            <w:shd w:val="clear" w:color="auto" w:fill="auto"/>
            <w:noWrap/>
          </w:tcPr>
          <w:p w14:paraId="3D203D7B" w14:textId="77777777" w:rsidR="00CE1BDB" w:rsidRPr="00FA4DC7" w:rsidRDefault="00CE1BDB" w:rsidP="00263141">
            <w:pPr>
              <w:jc w:val="right"/>
              <w:rPr>
                <w:rFonts w:cs="Arial"/>
                <w:sz w:val="22"/>
                <w:szCs w:val="22"/>
              </w:rPr>
            </w:pPr>
            <w:r w:rsidRPr="00FA4DC7">
              <w:rPr>
                <w:rFonts w:cs="Arial"/>
                <w:sz w:val="22"/>
                <w:szCs w:val="22"/>
              </w:rPr>
              <w:t>2,792</w:t>
            </w:r>
          </w:p>
        </w:tc>
        <w:tc>
          <w:tcPr>
            <w:tcW w:w="963" w:type="dxa"/>
            <w:shd w:val="clear" w:color="auto" w:fill="auto"/>
            <w:noWrap/>
            <w:vAlign w:val="center"/>
          </w:tcPr>
          <w:p w14:paraId="18E375A5" w14:textId="77777777" w:rsidR="00CE1BDB" w:rsidRPr="00FA4DC7" w:rsidRDefault="00CE1BDB" w:rsidP="00263141">
            <w:pPr>
              <w:jc w:val="right"/>
              <w:rPr>
                <w:rFonts w:cs="Arial"/>
                <w:color w:val="000000"/>
                <w:sz w:val="22"/>
                <w:szCs w:val="22"/>
              </w:rPr>
            </w:pPr>
            <w:r w:rsidRPr="00FA4DC7">
              <w:rPr>
                <w:rFonts w:cs="Arial"/>
                <w:color w:val="000000"/>
                <w:sz w:val="22"/>
                <w:szCs w:val="22"/>
              </w:rPr>
              <w:t>2.7%</w:t>
            </w:r>
          </w:p>
        </w:tc>
      </w:tr>
      <w:tr w:rsidR="00CE1BDB" w:rsidRPr="00FA4DC7" w14:paraId="1A5946D4" w14:textId="77777777" w:rsidTr="00263141">
        <w:trPr>
          <w:trHeight w:val="300"/>
        </w:trPr>
        <w:tc>
          <w:tcPr>
            <w:tcW w:w="3466" w:type="dxa"/>
            <w:vMerge/>
            <w:vAlign w:val="center"/>
            <w:hideMark/>
          </w:tcPr>
          <w:p w14:paraId="4D535D12" w14:textId="77777777" w:rsidR="00CE1BDB" w:rsidRPr="00FA4DC7" w:rsidRDefault="00CE1BDB" w:rsidP="00EF49A7">
            <w:pPr>
              <w:rPr>
                <w:rFonts w:cs="Arial"/>
                <w:color w:val="000000"/>
                <w:sz w:val="22"/>
                <w:szCs w:val="22"/>
              </w:rPr>
            </w:pPr>
          </w:p>
        </w:tc>
        <w:tc>
          <w:tcPr>
            <w:tcW w:w="3249" w:type="dxa"/>
            <w:shd w:val="clear" w:color="auto" w:fill="auto"/>
            <w:noWrap/>
            <w:hideMark/>
          </w:tcPr>
          <w:p w14:paraId="12265E5F" w14:textId="77777777" w:rsidR="00CE1BDB" w:rsidRPr="00FA4DC7" w:rsidRDefault="00CE1BDB" w:rsidP="00EF49A7">
            <w:pPr>
              <w:rPr>
                <w:rFonts w:cs="Arial"/>
                <w:sz w:val="22"/>
                <w:szCs w:val="22"/>
              </w:rPr>
            </w:pPr>
            <w:r w:rsidRPr="00FA4DC7">
              <w:rPr>
                <w:rFonts w:cs="Arial"/>
                <w:sz w:val="22"/>
                <w:szCs w:val="22"/>
              </w:rPr>
              <w:t>Elsewhere UK</w:t>
            </w:r>
          </w:p>
        </w:tc>
        <w:tc>
          <w:tcPr>
            <w:tcW w:w="1012" w:type="dxa"/>
            <w:shd w:val="clear" w:color="auto" w:fill="auto"/>
            <w:noWrap/>
            <w:hideMark/>
          </w:tcPr>
          <w:p w14:paraId="64FF2C64" w14:textId="77777777" w:rsidR="00CE1BDB" w:rsidRPr="00FA4DC7" w:rsidRDefault="00CE1BDB" w:rsidP="00263141">
            <w:pPr>
              <w:jc w:val="right"/>
              <w:rPr>
                <w:rFonts w:cs="Arial"/>
                <w:sz w:val="22"/>
                <w:szCs w:val="22"/>
              </w:rPr>
            </w:pPr>
            <w:r w:rsidRPr="00FA4DC7">
              <w:rPr>
                <w:rFonts w:cs="Arial"/>
                <w:sz w:val="22"/>
                <w:szCs w:val="22"/>
              </w:rPr>
              <w:t>134</w:t>
            </w:r>
          </w:p>
        </w:tc>
        <w:tc>
          <w:tcPr>
            <w:tcW w:w="963" w:type="dxa"/>
            <w:shd w:val="clear" w:color="auto" w:fill="auto"/>
            <w:noWrap/>
            <w:vAlign w:val="center"/>
            <w:hideMark/>
          </w:tcPr>
          <w:p w14:paraId="2C56D5EA" w14:textId="77777777" w:rsidR="00CE1BDB" w:rsidRPr="00FA4DC7" w:rsidRDefault="00CE1BDB" w:rsidP="00263141">
            <w:pPr>
              <w:jc w:val="right"/>
              <w:rPr>
                <w:rFonts w:cs="Arial"/>
                <w:color w:val="000000"/>
                <w:sz w:val="22"/>
                <w:szCs w:val="22"/>
              </w:rPr>
            </w:pPr>
            <w:r w:rsidRPr="00FA4DC7">
              <w:rPr>
                <w:rFonts w:cs="Arial"/>
                <w:color w:val="000000"/>
                <w:sz w:val="22"/>
                <w:szCs w:val="22"/>
              </w:rPr>
              <w:t>0.1%</w:t>
            </w:r>
          </w:p>
        </w:tc>
      </w:tr>
      <w:tr w:rsidR="00CE1BDB" w:rsidRPr="00FA4DC7" w14:paraId="144CEBE1" w14:textId="77777777" w:rsidTr="00263141">
        <w:trPr>
          <w:trHeight w:val="300"/>
        </w:trPr>
        <w:tc>
          <w:tcPr>
            <w:tcW w:w="6715" w:type="dxa"/>
            <w:gridSpan w:val="2"/>
            <w:shd w:val="clear" w:color="auto" w:fill="auto"/>
            <w:noWrap/>
            <w:vAlign w:val="center"/>
            <w:hideMark/>
          </w:tcPr>
          <w:p w14:paraId="6DFEFE2B" w14:textId="77777777" w:rsidR="00CE1BDB" w:rsidRPr="00FA4DC7" w:rsidRDefault="00CE1BDB" w:rsidP="00EF49A7">
            <w:pPr>
              <w:rPr>
                <w:rFonts w:cs="Arial"/>
                <w:b/>
                <w:bCs/>
                <w:color w:val="000000"/>
                <w:sz w:val="22"/>
                <w:szCs w:val="22"/>
              </w:rPr>
            </w:pPr>
            <w:r w:rsidRPr="00FA4DC7">
              <w:rPr>
                <w:rFonts w:cs="Arial"/>
                <w:b/>
                <w:bCs/>
                <w:color w:val="000000"/>
                <w:sz w:val="22"/>
                <w:szCs w:val="22"/>
              </w:rPr>
              <w:t>Workers</w:t>
            </w:r>
          </w:p>
        </w:tc>
        <w:tc>
          <w:tcPr>
            <w:tcW w:w="1012" w:type="dxa"/>
            <w:shd w:val="clear" w:color="auto" w:fill="auto"/>
            <w:noWrap/>
            <w:vAlign w:val="center"/>
            <w:hideMark/>
          </w:tcPr>
          <w:p w14:paraId="6A699893" w14:textId="77777777" w:rsidR="00CE1BDB" w:rsidRPr="00FA4DC7" w:rsidRDefault="00CE1BDB" w:rsidP="00263141">
            <w:pPr>
              <w:jc w:val="right"/>
              <w:rPr>
                <w:rFonts w:cs="Arial"/>
                <w:b/>
                <w:bCs/>
                <w:color w:val="000000"/>
                <w:sz w:val="22"/>
                <w:szCs w:val="22"/>
              </w:rPr>
            </w:pPr>
            <w:r w:rsidRPr="00FA4DC7">
              <w:rPr>
                <w:rFonts w:cs="Arial"/>
                <w:b/>
                <w:bCs/>
                <w:color w:val="000000"/>
                <w:sz w:val="22"/>
                <w:szCs w:val="22"/>
              </w:rPr>
              <w:t>104,157</w:t>
            </w:r>
          </w:p>
        </w:tc>
        <w:tc>
          <w:tcPr>
            <w:tcW w:w="963" w:type="dxa"/>
            <w:shd w:val="clear" w:color="auto" w:fill="auto"/>
            <w:noWrap/>
            <w:vAlign w:val="center"/>
            <w:hideMark/>
          </w:tcPr>
          <w:p w14:paraId="700F4166" w14:textId="77777777" w:rsidR="00CE1BDB" w:rsidRPr="00FA4DC7" w:rsidRDefault="00CE1BDB" w:rsidP="00263141">
            <w:pPr>
              <w:jc w:val="right"/>
              <w:rPr>
                <w:rFonts w:cs="Arial"/>
                <w:b/>
                <w:bCs/>
                <w:color w:val="000000"/>
                <w:sz w:val="22"/>
                <w:szCs w:val="22"/>
              </w:rPr>
            </w:pPr>
            <w:r w:rsidRPr="00FA4DC7">
              <w:rPr>
                <w:rFonts w:cs="Arial"/>
                <w:b/>
                <w:bCs/>
                <w:color w:val="000000"/>
                <w:sz w:val="22"/>
                <w:szCs w:val="22"/>
              </w:rPr>
              <w:t>100.0%</w:t>
            </w:r>
          </w:p>
        </w:tc>
      </w:tr>
      <w:tr w:rsidR="00CE1BDB" w:rsidRPr="00FA4DC7" w14:paraId="7018D63C" w14:textId="77777777" w:rsidTr="00263141">
        <w:trPr>
          <w:trHeight w:val="300"/>
        </w:trPr>
        <w:tc>
          <w:tcPr>
            <w:tcW w:w="8690" w:type="dxa"/>
            <w:gridSpan w:val="4"/>
            <w:shd w:val="clear" w:color="auto" w:fill="006666"/>
            <w:noWrap/>
            <w:vAlign w:val="center"/>
            <w:hideMark/>
          </w:tcPr>
          <w:p w14:paraId="6601DA19" w14:textId="77777777" w:rsidR="00CE1BDB" w:rsidRPr="00FA4DC7" w:rsidRDefault="00CE1BDB" w:rsidP="00EF49A7">
            <w:pPr>
              <w:rPr>
                <w:rFonts w:cs="Arial"/>
                <w:b/>
                <w:bCs/>
                <w:color w:val="FFFFFF"/>
                <w:sz w:val="22"/>
                <w:szCs w:val="22"/>
              </w:rPr>
            </w:pPr>
            <w:r w:rsidRPr="00FA4DC7">
              <w:rPr>
                <w:rFonts w:cs="Arial"/>
                <w:b/>
                <w:bCs/>
                <w:color w:val="FFFFFF"/>
                <w:sz w:val="22"/>
                <w:szCs w:val="22"/>
              </w:rPr>
              <w:t>Where do people who work in Medway live?</w:t>
            </w:r>
          </w:p>
        </w:tc>
      </w:tr>
      <w:tr w:rsidR="00CE1BDB" w:rsidRPr="00FA4DC7" w14:paraId="695AE890" w14:textId="77777777" w:rsidTr="00263141">
        <w:trPr>
          <w:trHeight w:val="300"/>
        </w:trPr>
        <w:tc>
          <w:tcPr>
            <w:tcW w:w="3466" w:type="dxa"/>
            <w:shd w:val="clear" w:color="auto" w:fill="006666"/>
            <w:noWrap/>
            <w:vAlign w:val="center"/>
            <w:hideMark/>
          </w:tcPr>
          <w:p w14:paraId="03DF9DE2" w14:textId="77777777" w:rsidR="00CE1BDB" w:rsidRPr="00FA4DC7" w:rsidRDefault="00CE1BDB" w:rsidP="00EF49A7">
            <w:pPr>
              <w:rPr>
                <w:rFonts w:cs="Arial"/>
                <w:color w:val="FFFFFF"/>
                <w:sz w:val="22"/>
                <w:szCs w:val="22"/>
              </w:rPr>
            </w:pPr>
            <w:r w:rsidRPr="00FA4DC7">
              <w:rPr>
                <w:rFonts w:cs="Arial"/>
                <w:color w:val="FFFFFF"/>
                <w:sz w:val="22"/>
                <w:szCs w:val="22"/>
              </w:rPr>
              <w:t>Live</w:t>
            </w:r>
          </w:p>
        </w:tc>
        <w:tc>
          <w:tcPr>
            <w:tcW w:w="3249" w:type="dxa"/>
            <w:shd w:val="clear" w:color="auto" w:fill="006666"/>
            <w:noWrap/>
            <w:vAlign w:val="center"/>
            <w:hideMark/>
          </w:tcPr>
          <w:p w14:paraId="34B891BD" w14:textId="77777777" w:rsidR="00CE1BDB" w:rsidRPr="00FA4DC7" w:rsidRDefault="00CE1BDB" w:rsidP="00EF49A7">
            <w:pPr>
              <w:rPr>
                <w:rFonts w:cs="Arial"/>
                <w:color w:val="FFFFFF"/>
                <w:sz w:val="22"/>
                <w:szCs w:val="22"/>
              </w:rPr>
            </w:pPr>
            <w:r w:rsidRPr="00FA4DC7">
              <w:rPr>
                <w:rFonts w:cs="Arial"/>
                <w:color w:val="FFFFFF"/>
                <w:sz w:val="22"/>
                <w:szCs w:val="22"/>
              </w:rPr>
              <w:t>Work</w:t>
            </w:r>
          </w:p>
        </w:tc>
        <w:tc>
          <w:tcPr>
            <w:tcW w:w="1012" w:type="dxa"/>
            <w:shd w:val="clear" w:color="auto" w:fill="006666"/>
            <w:noWrap/>
            <w:vAlign w:val="center"/>
            <w:hideMark/>
          </w:tcPr>
          <w:p w14:paraId="27BBC0B3" w14:textId="77777777" w:rsidR="00CE1BDB" w:rsidRPr="00FA4DC7" w:rsidRDefault="00CE1BDB" w:rsidP="00EF49A7">
            <w:pPr>
              <w:jc w:val="center"/>
              <w:rPr>
                <w:rFonts w:cs="Arial"/>
                <w:color w:val="FFFFFF"/>
                <w:sz w:val="22"/>
                <w:szCs w:val="22"/>
              </w:rPr>
            </w:pPr>
            <w:r w:rsidRPr="00FA4DC7">
              <w:rPr>
                <w:rFonts w:cs="Arial"/>
                <w:color w:val="FFFFFF"/>
                <w:sz w:val="22"/>
                <w:szCs w:val="22"/>
              </w:rPr>
              <w:t>Number</w:t>
            </w:r>
          </w:p>
        </w:tc>
        <w:tc>
          <w:tcPr>
            <w:tcW w:w="963" w:type="dxa"/>
            <w:shd w:val="clear" w:color="auto" w:fill="006666"/>
            <w:noWrap/>
            <w:vAlign w:val="center"/>
            <w:hideMark/>
          </w:tcPr>
          <w:p w14:paraId="68DC5FFA" w14:textId="77777777" w:rsidR="00CE1BDB" w:rsidRPr="00FA4DC7" w:rsidRDefault="00CE1BDB" w:rsidP="00EF49A7">
            <w:pPr>
              <w:jc w:val="center"/>
              <w:rPr>
                <w:rFonts w:cs="Arial"/>
                <w:color w:val="FFFFFF"/>
                <w:sz w:val="22"/>
                <w:szCs w:val="22"/>
              </w:rPr>
            </w:pPr>
            <w:r w:rsidRPr="00FA4DC7">
              <w:rPr>
                <w:rFonts w:cs="Arial"/>
                <w:color w:val="FFFFFF"/>
                <w:sz w:val="22"/>
                <w:szCs w:val="22"/>
              </w:rPr>
              <w:t>%</w:t>
            </w:r>
          </w:p>
        </w:tc>
      </w:tr>
      <w:tr w:rsidR="00CE1BDB" w:rsidRPr="00FA4DC7" w14:paraId="4733065D" w14:textId="77777777" w:rsidTr="00263141">
        <w:trPr>
          <w:trHeight w:val="300"/>
        </w:trPr>
        <w:tc>
          <w:tcPr>
            <w:tcW w:w="3466" w:type="dxa"/>
            <w:shd w:val="clear" w:color="auto" w:fill="auto"/>
            <w:noWrap/>
            <w:vAlign w:val="center"/>
            <w:hideMark/>
          </w:tcPr>
          <w:p w14:paraId="5F98C7FC" w14:textId="77777777" w:rsidR="00CE1BDB" w:rsidRPr="00FA4DC7" w:rsidRDefault="00CE1BDB" w:rsidP="00EF49A7">
            <w:pPr>
              <w:rPr>
                <w:rFonts w:cs="Arial"/>
                <w:color w:val="000000"/>
                <w:sz w:val="22"/>
                <w:szCs w:val="22"/>
              </w:rPr>
            </w:pPr>
            <w:r w:rsidRPr="00FA4DC7">
              <w:rPr>
                <w:rFonts w:cs="Arial"/>
                <w:color w:val="000000"/>
                <w:sz w:val="22"/>
                <w:szCs w:val="22"/>
              </w:rPr>
              <w:t>Medway</w:t>
            </w:r>
          </w:p>
        </w:tc>
        <w:tc>
          <w:tcPr>
            <w:tcW w:w="3249" w:type="dxa"/>
            <w:vMerge w:val="restart"/>
            <w:shd w:val="clear" w:color="auto" w:fill="auto"/>
            <w:vAlign w:val="center"/>
            <w:hideMark/>
          </w:tcPr>
          <w:p w14:paraId="033CE910" w14:textId="77777777" w:rsidR="00CE1BDB" w:rsidRPr="00FA4DC7" w:rsidRDefault="00CE1BDB" w:rsidP="00EF49A7">
            <w:pPr>
              <w:jc w:val="center"/>
              <w:rPr>
                <w:rFonts w:cs="Arial"/>
                <w:color w:val="000000"/>
                <w:sz w:val="22"/>
                <w:szCs w:val="22"/>
              </w:rPr>
            </w:pPr>
            <w:r w:rsidRPr="00FA4DC7">
              <w:rPr>
                <w:rFonts w:cs="Arial"/>
                <w:color w:val="000000"/>
                <w:sz w:val="22"/>
                <w:szCs w:val="22"/>
              </w:rPr>
              <w:t>Medway</w:t>
            </w:r>
          </w:p>
        </w:tc>
        <w:tc>
          <w:tcPr>
            <w:tcW w:w="1012" w:type="dxa"/>
            <w:shd w:val="clear" w:color="auto" w:fill="auto"/>
            <w:noWrap/>
            <w:hideMark/>
          </w:tcPr>
          <w:p w14:paraId="52C5CE79" w14:textId="77777777" w:rsidR="00CE1BDB" w:rsidRPr="00FA4DC7" w:rsidRDefault="00CE1BDB" w:rsidP="00263141">
            <w:pPr>
              <w:jc w:val="right"/>
              <w:rPr>
                <w:rFonts w:cs="Arial"/>
                <w:sz w:val="22"/>
                <w:szCs w:val="22"/>
              </w:rPr>
            </w:pPr>
            <w:r w:rsidRPr="00FA4DC7">
              <w:rPr>
                <w:rFonts w:cs="Arial"/>
                <w:sz w:val="22"/>
                <w:szCs w:val="22"/>
              </w:rPr>
              <w:t>53,629</w:t>
            </w:r>
          </w:p>
        </w:tc>
        <w:tc>
          <w:tcPr>
            <w:tcW w:w="963" w:type="dxa"/>
            <w:shd w:val="clear" w:color="auto" w:fill="auto"/>
            <w:noWrap/>
            <w:vAlign w:val="center"/>
            <w:hideMark/>
          </w:tcPr>
          <w:p w14:paraId="098ED2A0" w14:textId="77777777" w:rsidR="00CE1BDB" w:rsidRPr="00FA4DC7" w:rsidRDefault="00CE1BDB" w:rsidP="00263141">
            <w:pPr>
              <w:jc w:val="right"/>
              <w:rPr>
                <w:rFonts w:cs="Arial"/>
                <w:color w:val="000000"/>
                <w:sz w:val="22"/>
                <w:szCs w:val="22"/>
              </w:rPr>
            </w:pPr>
            <w:r w:rsidRPr="00FA4DC7">
              <w:rPr>
                <w:rFonts w:cs="Arial"/>
                <w:color w:val="000000"/>
                <w:sz w:val="22"/>
                <w:szCs w:val="22"/>
              </w:rPr>
              <w:t>70.2%</w:t>
            </w:r>
          </w:p>
        </w:tc>
      </w:tr>
      <w:tr w:rsidR="00CE1BDB" w:rsidRPr="00FA4DC7" w14:paraId="50C0A304" w14:textId="77777777" w:rsidTr="00263141">
        <w:trPr>
          <w:trHeight w:val="300"/>
        </w:trPr>
        <w:tc>
          <w:tcPr>
            <w:tcW w:w="3466" w:type="dxa"/>
            <w:shd w:val="clear" w:color="auto" w:fill="auto"/>
            <w:noWrap/>
            <w:vAlign w:val="center"/>
            <w:hideMark/>
          </w:tcPr>
          <w:p w14:paraId="0B87E725" w14:textId="77777777" w:rsidR="00CE1BDB" w:rsidRPr="00FA4DC7" w:rsidRDefault="00CE1BDB" w:rsidP="00EF49A7">
            <w:pPr>
              <w:rPr>
                <w:rFonts w:cs="Arial"/>
                <w:color w:val="000000"/>
                <w:sz w:val="22"/>
                <w:szCs w:val="22"/>
              </w:rPr>
            </w:pPr>
            <w:r w:rsidRPr="00FA4DC7">
              <w:rPr>
                <w:rFonts w:cs="Arial"/>
                <w:color w:val="000000"/>
                <w:sz w:val="22"/>
                <w:szCs w:val="22"/>
              </w:rPr>
              <w:t>Dartford</w:t>
            </w:r>
          </w:p>
        </w:tc>
        <w:tc>
          <w:tcPr>
            <w:tcW w:w="3249" w:type="dxa"/>
            <w:vMerge/>
            <w:vAlign w:val="center"/>
            <w:hideMark/>
          </w:tcPr>
          <w:p w14:paraId="77BB233F"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6144198D" w14:textId="77777777" w:rsidR="00CE1BDB" w:rsidRPr="00FA4DC7" w:rsidRDefault="00CE1BDB" w:rsidP="00263141">
            <w:pPr>
              <w:jc w:val="right"/>
              <w:rPr>
                <w:rFonts w:cs="Arial"/>
                <w:color w:val="000000"/>
                <w:sz w:val="22"/>
                <w:szCs w:val="22"/>
              </w:rPr>
            </w:pPr>
            <w:r w:rsidRPr="00FA4DC7">
              <w:rPr>
                <w:rFonts w:cs="Arial"/>
                <w:color w:val="000000"/>
                <w:sz w:val="22"/>
                <w:szCs w:val="22"/>
              </w:rPr>
              <w:t>811</w:t>
            </w:r>
          </w:p>
        </w:tc>
        <w:tc>
          <w:tcPr>
            <w:tcW w:w="963" w:type="dxa"/>
            <w:shd w:val="clear" w:color="auto" w:fill="auto"/>
            <w:noWrap/>
            <w:vAlign w:val="center"/>
            <w:hideMark/>
          </w:tcPr>
          <w:p w14:paraId="0C952532" w14:textId="77777777" w:rsidR="00CE1BDB" w:rsidRPr="00FA4DC7" w:rsidRDefault="00CE1BDB" w:rsidP="00263141">
            <w:pPr>
              <w:jc w:val="right"/>
              <w:rPr>
                <w:rFonts w:cs="Arial"/>
                <w:color w:val="000000"/>
                <w:sz w:val="22"/>
                <w:szCs w:val="22"/>
              </w:rPr>
            </w:pPr>
            <w:r w:rsidRPr="00FA4DC7">
              <w:rPr>
                <w:rFonts w:cs="Arial"/>
                <w:color w:val="000000"/>
                <w:sz w:val="22"/>
                <w:szCs w:val="22"/>
              </w:rPr>
              <w:t>1.1%</w:t>
            </w:r>
          </w:p>
        </w:tc>
      </w:tr>
      <w:tr w:rsidR="00CE1BDB" w:rsidRPr="00FA4DC7" w14:paraId="309A455E" w14:textId="77777777" w:rsidTr="00263141">
        <w:trPr>
          <w:trHeight w:val="300"/>
        </w:trPr>
        <w:tc>
          <w:tcPr>
            <w:tcW w:w="3466" w:type="dxa"/>
            <w:shd w:val="clear" w:color="auto" w:fill="auto"/>
            <w:noWrap/>
            <w:vAlign w:val="center"/>
            <w:hideMark/>
          </w:tcPr>
          <w:p w14:paraId="093A9E9B" w14:textId="77777777" w:rsidR="00CE1BDB" w:rsidRPr="00FA4DC7" w:rsidRDefault="00CE1BDB" w:rsidP="00EF49A7">
            <w:pPr>
              <w:rPr>
                <w:rFonts w:cs="Arial"/>
                <w:sz w:val="22"/>
                <w:szCs w:val="22"/>
              </w:rPr>
            </w:pPr>
            <w:r w:rsidRPr="00FA4DC7">
              <w:rPr>
                <w:rFonts w:cs="Arial"/>
                <w:color w:val="000000"/>
                <w:sz w:val="22"/>
                <w:szCs w:val="22"/>
              </w:rPr>
              <w:t>Gravesham</w:t>
            </w:r>
          </w:p>
        </w:tc>
        <w:tc>
          <w:tcPr>
            <w:tcW w:w="3249" w:type="dxa"/>
            <w:vMerge/>
            <w:vAlign w:val="center"/>
            <w:hideMark/>
          </w:tcPr>
          <w:p w14:paraId="28E36518"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36AA19D1" w14:textId="77777777" w:rsidR="00CE1BDB" w:rsidRPr="00FA4DC7" w:rsidRDefault="00CE1BDB" w:rsidP="00263141">
            <w:pPr>
              <w:jc w:val="right"/>
              <w:rPr>
                <w:rFonts w:cs="Arial"/>
                <w:color w:val="000000"/>
                <w:sz w:val="22"/>
                <w:szCs w:val="22"/>
              </w:rPr>
            </w:pPr>
            <w:r w:rsidRPr="00FA4DC7">
              <w:rPr>
                <w:rFonts w:cs="Arial"/>
                <w:color w:val="000000"/>
                <w:sz w:val="22"/>
                <w:szCs w:val="22"/>
              </w:rPr>
              <w:t>2,389</w:t>
            </w:r>
          </w:p>
        </w:tc>
        <w:tc>
          <w:tcPr>
            <w:tcW w:w="963" w:type="dxa"/>
            <w:shd w:val="clear" w:color="auto" w:fill="auto"/>
            <w:noWrap/>
            <w:vAlign w:val="center"/>
            <w:hideMark/>
          </w:tcPr>
          <w:p w14:paraId="36AD476F" w14:textId="77777777" w:rsidR="00CE1BDB" w:rsidRPr="00FA4DC7" w:rsidRDefault="00CE1BDB" w:rsidP="00263141">
            <w:pPr>
              <w:jc w:val="right"/>
              <w:rPr>
                <w:rFonts w:cs="Arial"/>
                <w:color w:val="000000"/>
                <w:sz w:val="22"/>
                <w:szCs w:val="22"/>
              </w:rPr>
            </w:pPr>
            <w:r w:rsidRPr="00FA4DC7">
              <w:rPr>
                <w:rFonts w:cs="Arial"/>
                <w:color w:val="000000"/>
                <w:sz w:val="22"/>
                <w:szCs w:val="22"/>
              </w:rPr>
              <w:t>3.1%</w:t>
            </w:r>
          </w:p>
        </w:tc>
      </w:tr>
      <w:tr w:rsidR="00CE1BDB" w:rsidRPr="00FA4DC7" w14:paraId="67686921" w14:textId="77777777" w:rsidTr="00263141">
        <w:trPr>
          <w:trHeight w:val="300"/>
        </w:trPr>
        <w:tc>
          <w:tcPr>
            <w:tcW w:w="3466" w:type="dxa"/>
            <w:shd w:val="clear" w:color="auto" w:fill="auto"/>
            <w:noWrap/>
            <w:hideMark/>
          </w:tcPr>
          <w:p w14:paraId="2963EB09" w14:textId="77777777" w:rsidR="00CE1BDB" w:rsidRPr="00FA4DC7" w:rsidRDefault="00CE1BDB" w:rsidP="00EF49A7">
            <w:pPr>
              <w:rPr>
                <w:rFonts w:cs="Arial"/>
                <w:sz w:val="22"/>
                <w:szCs w:val="22"/>
              </w:rPr>
            </w:pPr>
            <w:r w:rsidRPr="00FA4DC7">
              <w:rPr>
                <w:rFonts w:cs="Arial"/>
                <w:sz w:val="22"/>
                <w:szCs w:val="22"/>
              </w:rPr>
              <w:t>Maidstone</w:t>
            </w:r>
          </w:p>
        </w:tc>
        <w:tc>
          <w:tcPr>
            <w:tcW w:w="3249" w:type="dxa"/>
            <w:vMerge/>
            <w:vAlign w:val="center"/>
            <w:hideMark/>
          </w:tcPr>
          <w:p w14:paraId="793C8179"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213FEA8E" w14:textId="77777777" w:rsidR="00CE1BDB" w:rsidRPr="00FA4DC7" w:rsidRDefault="00CE1BDB" w:rsidP="00263141">
            <w:pPr>
              <w:jc w:val="right"/>
              <w:rPr>
                <w:rFonts w:cs="Arial"/>
                <w:color w:val="000000"/>
                <w:sz w:val="22"/>
                <w:szCs w:val="22"/>
              </w:rPr>
            </w:pPr>
            <w:r w:rsidRPr="00FA4DC7">
              <w:rPr>
                <w:rFonts w:cs="Arial"/>
                <w:color w:val="000000"/>
                <w:sz w:val="22"/>
                <w:szCs w:val="22"/>
              </w:rPr>
              <w:t>4,165</w:t>
            </w:r>
          </w:p>
        </w:tc>
        <w:tc>
          <w:tcPr>
            <w:tcW w:w="963" w:type="dxa"/>
            <w:shd w:val="clear" w:color="auto" w:fill="auto"/>
            <w:noWrap/>
            <w:vAlign w:val="center"/>
            <w:hideMark/>
          </w:tcPr>
          <w:p w14:paraId="2C161D22" w14:textId="77777777" w:rsidR="00CE1BDB" w:rsidRPr="00FA4DC7" w:rsidRDefault="00CE1BDB" w:rsidP="00263141">
            <w:pPr>
              <w:jc w:val="right"/>
              <w:rPr>
                <w:rFonts w:cs="Arial"/>
                <w:color w:val="000000"/>
                <w:sz w:val="22"/>
                <w:szCs w:val="22"/>
              </w:rPr>
            </w:pPr>
            <w:r w:rsidRPr="00FA4DC7">
              <w:rPr>
                <w:rFonts w:cs="Arial"/>
                <w:color w:val="000000"/>
                <w:sz w:val="22"/>
                <w:szCs w:val="22"/>
              </w:rPr>
              <w:t>5.5%</w:t>
            </w:r>
          </w:p>
        </w:tc>
      </w:tr>
      <w:tr w:rsidR="00CE1BDB" w:rsidRPr="00FA4DC7" w14:paraId="579700EA" w14:textId="77777777" w:rsidTr="00263141">
        <w:trPr>
          <w:trHeight w:val="300"/>
        </w:trPr>
        <w:tc>
          <w:tcPr>
            <w:tcW w:w="3466" w:type="dxa"/>
            <w:shd w:val="clear" w:color="auto" w:fill="auto"/>
            <w:noWrap/>
          </w:tcPr>
          <w:p w14:paraId="2B9617A4" w14:textId="77777777" w:rsidR="00CE1BDB" w:rsidRPr="00FA4DC7" w:rsidRDefault="00CE1BDB" w:rsidP="00EF49A7">
            <w:pPr>
              <w:rPr>
                <w:rFonts w:cs="Arial"/>
                <w:sz w:val="22"/>
                <w:szCs w:val="22"/>
              </w:rPr>
            </w:pPr>
            <w:r w:rsidRPr="00FA4DC7">
              <w:rPr>
                <w:rFonts w:cs="Arial"/>
                <w:sz w:val="22"/>
                <w:szCs w:val="22"/>
              </w:rPr>
              <w:t>Swale</w:t>
            </w:r>
          </w:p>
        </w:tc>
        <w:tc>
          <w:tcPr>
            <w:tcW w:w="3249" w:type="dxa"/>
            <w:vMerge/>
            <w:vAlign w:val="center"/>
          </w:tcPr>
          <w:p w14:paraId="3815C3B3" w14:textId="77777777" w:rsidR="00CE1BDB" w:rsidRPr="00FA4DC7" w:rsidRDefault="00CE1BDB" w:rsidP="00EF49A7">
            <w:pPr>
              <w:rPr>
                <w:rFonts w:cs="Arial"/>
                <w:color w:val="000000"/>
                <w:sz w:val="22"/>
                <w:szCs w:val="22"/>
              </w:rPr>
            </w:pPr>
          </w:p>
        </w:tc>
        <w:tc>
          <w:tcPr>
            <w:tcW w:w="1012" w:type="dxa"/>
            <w:shd w:val="clear" w:color="auto" w:fill="auto"/>
            <w:noWrap/>
            <w:vAlign w:val="center"/>
          </w:tcPr>
          <w:p w14:paraId="36016AB1" w14:textId="77777777" w:rsidR="00CE1BDB" w:rsidRPr="00FA4DC7" w:rsidRDefault="00CE1BDB" w:rsidP="00263141">
            <w:pPr>
              <w:jc w:val="right"/>
              <w:rPr>
                <w:rFonts w:cs="Arial"/>
                <w:color w:val="000000"/>
                <w:sz w:val="22"/>
                <w:szCs w:val="22"/>
              </w:rPr>
            </w:pPr>
            <w:r w:rsidRPr="00FA4DC7">
              <w:rPr>
                <w:rFonts w:cs="Arial"/>
                <w:color w:val="000000"/>
                <w:sz w:val="22"/>
                <w:szCs w:val="22"/>
              </w:rPr>
              <w:t>4,751</w:t>
            </w:r>
          </w:p>
        </w:tc>
        <w:tc>
          <w:tcPr>
            <w:tcW w:w="963" w:type="dxa"/>
            <w:shd w:val="clear" w:color="auto" w:fill="auto"/>
            <w:noWrap/>
            <w:vAlign w:val="center"/>
          </w:tcPr>
          <w:p w14:paraId="6F66D8C5" w14:textId="77777777" w:rsidR="00CE1BDB" w:rsidRPr="00FA4DC7" w:rsidRDefault="00CE1BDB" w:rsidP="00263141">
            <w:pPr>
              <w:jc w:val="right"/>
              <w:rPr>
                <w:rFonts w:cs="Arial"/>
                <w:color w:val="000000"/>
                <w:sz w:val="22"/>
                <w:szCs w:val="22"/>
              </w:rPr>
            </w:pPr>
            <w:r w:rsidRPr="00FA4DC7">
              <w:rPr>
                <w:rFonts w:cs="Arial"/>
                <w:color w:val="000000"/>
                <w:sz w:val="22"/>
                <w:szCs w:val="22"/>
              </w:rPr>
              <w:t>6.2%</w:t>
            </w:r>
          </w:p>
        </w:tc>
      </w:tr>
      <w:tr w:rsidR="00CE1BDB" w:rsidRPr="00FA4DC7" w14:paraId="3ECF61D3" w14:textId="77777777" w:rsidTr="00263141">
        <w:trPr>
          <w:trHeight w:val="300"/>
        </w:trPr>
        <w:tc>
          <w:tcPr>
            <w:tcW w:w="3466" w:type="dxa"/>
            <w:shd w:val="clear" w:color="auto" w:fill="auto"/>
            <w:noWrap/>
          </w:tcPr>
          <w:p w14:paraId="570AFAE1" w14:textId="77777777" w:rsidR="00CE1BDB" w:rsidRPr="00FA4DC7" w:rsidRDefault="00CE1BDB" w:rsidP="00EF49A7">
            <w:pPr>
              <w:rPr>
                <w:rFonts w:cs="Arial"/>
                <w:sz w:val="22"/>
                <w:szCs w:val="22"/>
              </w:rPr>
            </w:pPr>
            <w:r w:rsidRPr="00FA4DC7">
              <w:rPr>
                <w:rFonts w:cs="Arial"/>
                <w:sz w:val="22"/>
                <w:szCs w:val="22"/>
              </w:rPr>
              <w:t xml:space="preserve">Tonbridge and </w:t>
            </w:r>
            <w:proofErr w:type="spellStart"/>
            <w:r w:rsidRPr="00FA4DC7">
              <w:rPr>
                <w:rFonts w:cs="Arial"/>
                <w:sz w:val="22"/>
                <w:szCs w:val="22"/>
              </w:rPr>
              <w:t>Malling</w:t>
            </w:r>
            <w:proofErr w:type="spellEnd"/>
          </w:p>
        </w:tc>
        <w:tc>
          <w:tcPr>
            <w:tcW w:w="3249" w:type="dxa"/>
            <w:vMerge/>
            <w:vAlign w:val="center"/>
          </w:tcPr>
          <w:p w14:paraId="5B477CD4" w14:textId="77777777" w:rsidR="00CE1BDB" w:rsidRPr="00FA4DC7" w:rsidRDefault="00CE1BDB" w:rsidP="00EF49A7">
            <w:pPr>
              <w:rPr>
                <w:rFonts w:cs="Arial"/>
                <w:color w:val="000000"/>
                <w:sz w:val="22"/>
                <w:szCs w:val="22"/>
              </w:rPr>
            </w:pPr>
          </w:p>
        </w:tc>
        <w:tc>
          <w:tcPr>
            <w:tcW w:w="1012" w:type="dxa"/>
            <w:shd w:val="clear" w:color="auto" w:fill="auto"/>
            <w:noWrap/>
            <w:vAlign w:val="center"/>
          </w:tcPr>
          <w:p w14:paraId="608CAADA" w14:textId="77777777" w:rsidR="00CE1BDB" w:rsidRPr="00FA4DC7" w:rsidRDefault="00CE1BDB" w:rsidP="00263141">
            <w:pPr>
              <w:jc w:val="right"/>
              <w:rPr>
                <w:rFonts w:cs="Arial"/>
                <w:color w:val="000000"/>
                <w:sz w:val="22"/>
                <w:szCs w:val="22"/>
              </w:rPr>
            </w:pPr>
            <w:r w:rsidRPr="00FA4DC7">
              <w:rPr>
                <w:rFonts w:cs="Arial"/>
                <w:color w:val="000000"/>
                <w:sz w:val="22"/>
                <w:szCs w:val="22"/>
              </w:rPr>
              <w:t>2,523</w:t>
            </w:r>
          </w:p>
        </w:tc>
        <w:tc>
          <w:tcPr>
            <w:tcW w:w="963" w:type="dxa"/>
            <w:shd w:val="clear" w:color="auto" w:fill="auto"/>
            <w:noWrap/>
            <w:vAlign w:val="center"/>
          </w:tcPr>
          <w:p w14:paraId="0F83653C" w14:textId="77777777" w:rsidR="00CE1BDB" w:rsidRPr="00FA4DC7" w:rsidRDefault="00CE1BDB" w:rsidP="00263141">
            <w:pPr>
              <w:jc w:val="right"/>
              <w:rPr>
                <w:rFonts w:cs="Arial"/>
                <w:color w:val="000000"/>
                <w:sz w:val="22"/>
                <w:szCs w:val="22"/>
              </w:rPr>
            </w:pPr>
            <w:r w:rsidRPr="00FA4DC7">
              <w:rPr>
                <w:rFonts w:cs="Arial"/>
                <w:color w:val="000000"/>
                <w:sz w:val="22"/>
                <w:szCs w:val="22"/>
              </w:rPr>
              <w:t>3.3%</w:t>
            </w:r>
          </w:p>
        </w:tc>
      </w:tr>
      <w:tr w:rsidR="00CE1BDB" w:rsidRPr="00FA4DC7" w14:paraId="2EB3C65F" w14:textId="77777777" w:rsidTr="00263141">
        <w:trPr>
          <w:trHeight w:val="300"/>
        </w:trPr>
        <w:tc>
          <w:tcPr>
            <w:tcW w:w="3466" w:type="dxa"/>
            <w:shd w:val="clear" w:color="auto" w:fill="auto"/>
            <w:noWrap/>
            <w:hideMark/>
          </w:tcPr>
          <w:p w14:paraId="34E8A9E1" w14:textId="77777777" w:rsidR="00CE1BDB" w:rsidRPr="00FA4DC7" w:rsidRDefault="00CE1BDB" w:rsidP="00EF49A7">
            <w:pPr>
              <w:rPr>
                <w:rFonts w:cs="Arial"/>
                <w:sz w:val="22"/>
                <w:szCs w:val="22"/>
              </w:rPr>
            </w:pPr>
            <w:r w:rsidRPr="00FA4DC7">
              <w:rPr>
                <w:rFonts w:cs="Arial"/>
                <w:sz w:val="22"/>
                <w:szCs w:val="22"/>
              </w:rPr>
              <w:t>Bexley</w:t>
            </w:r>
          </w:p>
        </w:tc>
        <w:tc>
          <w:tcPr>
            <w:tcW w:w="3249" w:type="dxa"/>
            <w:vMerge/>
            <w:vAlign w:val="center"/>
            <w:hideMark/>
          </w:tcPr>
          <w:p w14:paraId="5CC9E87D"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48E8F5C0" w14:textId="77777777" w:rsidR="00CE1BDB" w:rsidRPr="00FA4DC7" w:rsidRDefault="00CE1BDB" w:rsidP="00263141">
            <w:pPr>
              <w:jc w:val="right"/>
              <w:rPr>
                <w:rFonts w:cs="Arial"/>
                <w:color w:val="000000"/>
                <w:sz w:val="22"/>
                <w:szCs w:val="22"/>
              </w:rPr>
            </w:pPr>
            <w:r w:rsidRPr="00FA4DC7">
              <w:rPr>
                <w:rFonts w:cs="Arial"/>
                <w:color w:val="000000"/>
                <w:sz w:val="22"/>
                <w:szCs w:val="22"/>
              </w:rPr>
              <w:t>481</w:t>
            </w:r>
          </w:p>
        </w:tc>
        <w:tc>
          <w:tcPr>
            <w:tcW w:w="963" w:type="dxa"/>
            <w:shd w:val="clear" w:color="auto" w:fill="auto"/>
            <w:noWrap/>
            <w:vAlign w:val="center"/>
            <w:hideMark/>
          </w:tcPr>
          <w:p w14:paraId="2C28A7A2" w14:textId="77777777" w:rsidR="00CE1BDB" w:rsidRPr="00FA4DC7" w:rsidRDefault="00CE1BDB" w:rsidP="00263141">
            <w:pPr>
              <w:jc w:val="right"/>
              <w:rPr>
                <w:rFonts w:cs="Arial"/>
                <w:color w:val="000000"/>
                <w:sz w:val="22"/>
                <w:szCs w:val="22"/>
              </w:rPr>
            </w:pPr>
            <w:r w:rsidRPr="00FA4DC7">
              <w:rPr>
                <w:rFonts w:cs="Arial"/>
                <w:color w:val="000000"/>
                <w:sz w:val="22"/>
                <w:szCs w:val="22"/>
              </w:rPr>
              <w:t>0.6%</w:t>
            </w:r>
          </w:p>
        </w:tc>
      </w:tr>
      <w:tr w:rsidR="00CE1BDB" w:rsidRPr="00FA4DC7" w14:paraId="7256F582" w14:textId="77777777" w:rsidTr="00263141">
        <w:trPr>
          <w:trHeight w:val="300"/>
        </w:trPr>
        <w:tc>
          <w:tcPr>
            <w:tcW w:w="3466" w:type="dxa"/>
            <w:shd w:val="clear" w:color="auto" w:fill="auto"/>
            <w:noWrap/>
            <w:hideMark/>
          </w:tcPr>
          <w:p w14:paraId="41CE0028" w14:textId="77777777" w:rsidR="00CE1BDB" w:rsidRPr="00FA4DC7" w:rsidRDefault="00CE1BDB" w:rsidP="00EF49A7">
            <w:pPr>
              <w:rPr>
                <w:rFonts w:cs="Arial"/>
                <w:sz w:val="22"/>
                <w:szCs w:val="22"/>
              </w:rPr>
            </w:pPr>
            <w:r w:rsidRPr="00FA4DC7">
              <w:rPr>
                <w:rFonts w:cs="Arial"/>
                <w:sz w:val="22"/>
                <w:szCs w:val="22"/>
              </w:rPr>
              <w:t>Bromley</w:t>
            </w:r>
          </w:p>
        </w:tc>
        <w:tc>
          <w:tcPr>
            <w:tcW w:w="3249" w:type="dxa"/>
            <w:vMerge/>
            <w:vAlign w:val="center"/>
            <w:hideMark/>
          </w:tcPr>
          <w:p w14:paraId="16E8C99D"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7B8B3FA8" w14:textId="77777777" w:rsidR="00CE1BDB" w:rsidRPr="00FA4DC7" w:rsidRDefault="00CE1BDB" w:rsidP="00263141">
            <w:pPr>
              <w:jc w:val="right"/>
              <w:rPr>
                <w:rFonts w:cs="Arial"/>
                <w:color w:val="000000"/>
                <w:sz w:val="22"/>
                <w:szCs w:val="22"/>
              </w:rPr>
            </w:pPr>
            <w:r w:rsidRPr="00FA4DC7">
              <w:rPr>
                <w:rFonts w:cs="Arial"/>
                <w:color w:val="000000"/>
                <w:sz w:val="22"/>
                <w:szCs w:val="22"/>
              </w:rPr>
              <w:t>313</w:t>
            </w:r>
          </w:p>
        </w:tc>
        <w:tc>
          <w:tcPr>
            <w:tcW w:w="963" w:type="dxa"/>
            <w:shd w:val="clear" w:color="auto" w:fill="auto"/>
            <w:noWrap/>
            <w:vAlign w:val="center"/>
            <w:hideMark/>
          </w:tcPr>
          <w:p w14:paraId="28161601" w14:textId="77777777" w:rsidR="00CE1BDB" w:rsidRPr="00FA4DC7" w:rsidRDefault="00CE1BDB" w:rsidP="00263141">
            <w:pPr>
              <w:jc w:val="right"/>
              <w:rPr>
                <w:rFonts w:cs="Arial"/>
                <w:color w:val="000000"/>
                <w:sz w:val="22"/>
                <w:szCs w:val="22"/>
              </w:rPr>
            </w:pPr>
            <w:r w:rsidRPr="00FA4DC7">
              <w:rPr>
                <w:rFonts w:cs="Arial"/>
                <w:color w:val="000000"/>
                <w:sz w:val="22"/>
                <w:szCs w:val="22"/>
              </w:rPr>
              <w:t>0.4%</w:t>
            </w:r>
          </w:p>
        </w:tc>
      </w:tr>
      <w:tr w:rsidR="00CE1BDB" w:rsidRPr="00FA4DC7" w14:paraId="4E2DCA7A" w14:textId="77777777" w:rsidTr="00263141">
        <w:trPr>
          <w:trHeight w:val="300"/>
        </w:trPr>
        <w:tc>
          <w:tcPr>
            <w:tcW w:w="3466" w:type="dxa"/>
            <w:shd w:val="clear" w:color="auto" w:fill="auto"/>
            <w:noWrap/>
            <w:hideMark/>
          </w:tcPr>
          <w:p w14:paraId="0D157191" w14:textId="77777777" w:rsidR="00CE1BDB" w:rsidRPr="00FA4DC7" w:rsidRDefault="00CE1BDB" w:rsidP="00EF49A7">
            <w:pPr>
              <w:rPr>
                <w:rFonts w:cs="Arial"/>
                <w:sz w:val="22"/>
                <w:szCs w:val="22"/>
              </w:rPr>
            </w:pPr>
            <w:r w:rsidRPr="00FA4DC7">
              <w:rPr>
                <w:rFonts w:cs="Arial"/>
                <w:sz w:val="22"/>
                <w:szCs w:val="22"/>
              </w:rPr>
              <w:t>Croydon</w:t>
            </w:r>
          </w:p>
        </w:tc>
        <w:tc>
          <w:tcPr>
            <w:tcW w:w="3249" w:type="dxa"/>
            <w:vMerge/>
            <w:vAlign w:val="center"/>
            <w:hideMark/>
          </w:tcPr>
          <w:p w14:paraId="0AB28C8A"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7EC63AD5" w14:textId="77777777" w:rsidR="00CE1BDB" w:rsidRPr="00FA4DC7" w:rsidRDefault="00CE1BDB" w:rsidP="00263141">
            <w:pPr>
              <w:jc w:val="right"/>
              <w:rPr>
                <w:rFonts w:cs="Arial"/>
                <w:color w:val="000000"/>
                <w:sz w:val="22"/>
                <w:szCs w:val="22"/>
              </w:rPr>
            </w:pPr>
            <w:r w:rsidRPr="00FA4DC7">
              <w:rPr>
                <w:rFonts w:cs="Arial"/>
                <w:color w:val="000000"/>
                <w:sz w:val="22"/>
                <w:szCs w:val="22"/>
              </w:rPr>
              <w:t>90</w:t>
            </w:r>
          </w:p>
        </w:tc>
        <w:tc>
          <w:tcPr>
            <w:tcW w:w="963" w:type="dxa"/>
            <w:shd w:val="clear" w:color="auto" w:fill="auto"/>
            <w:noWrap/>
            <w:vAlign w:val="center"/>
            <w:hideMark/>
          </w:tcPr>
          <w:p w14:paraId="15CC0022" w14:textId="77777777" w:rsidR="00CE1BDB" w:rsidRPr="00FA4DC7" w:rsidRDefault="00CE1BDB" w:rsidP="00263141">
            <w:pPr>
              <w:jc w:val="right"/>
              <w:rPr>
                <w:rFonts w:cs="Arial"/>
                <w:color w:val="000000"/>
                <w:sz w:val="22"/>
                <w:szCs w:val="22"/>
              </w:rPr>
            </w:pPr>
            <w:r w:rsidRPr="00FA4DC7">
              <w:rPr>
                <w:rFonts w:cs="Arial"/>
                <w:color w:val="000000"/>
                <w:sz w:val="22"/>
                <w:szCs w:val="22"/>
              </w:rPr>
              <w:t>0.1%</w:t>
            </w:r>
          </w:p>
        </w:tc>
      </w:tr>
      <w:tr w:rsidR="00CE1BDB" w:rsidRPr="00FA4DC7" w14:paraId="265E63B3" w14:textId="77777777" w:rsidTr="00263141">
        <w:trPr>
          <w:trHeight w:val="300"/>
        </w:trPr>
        <w:tc>
          <w:tcPr>
            <w:tcW w:w="3466" w:type="dxa"/>
            <w:shd w:val="clear" w:color="auto" w:fill="auto"/>
            <w:noWrap/>
            <w:hideMark/>
          </w:tcPr>
          <w:p w14:paraId="4DBD9804" w14:textId="77777777" w:rsidR="00CE1BDB" w:rsidRPr="00FA4DC7" w:rsidRDefault="00CE1BDB" w:rsidP="00EF49A7">
            <w:pPr>
              <w:rPr>
                <w:rFonts w:cs="Arial"/>
                <w:sz w:val="22"/>
                <w:szCs w:val="22"/>
              </w:rPr>
            </w:pPr>
            <w:r w:rsidRPr="00FA4DC7">
              <w:rPr>
                <w:rFonts w:cs="Arial"/>
                <w:sz w:val="22"/>
                <w:szCs w:val="22"/>
              </w:rPr>
              <w:t>Greenwich</w:t>
            </w:r>
          </w:p>
        </w:tc>
        <w:tc>
          <w:tcPr>
            <w:tcW w:w="3249" w:type="dxa"/>
            <w:vMerge/>
            <w:vAlign w:val="center"/>
            <w:hideMark/>
          </w:tcPr>
          <w:p w14:paraId="7D7DA84B"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58AE3317" w14:textId="77777777" w:rsidR="00CE1BDB" w:rsidRPr="00FA4DC7" w:rsidRDefault="00CE1BDB" w:rsidP="00263141">
            <w:pPr>
              <w:jc w:val="right"/>
              <w:rPr>
                <w:rFonts w:cs="Arial"/>
                <w:color w:val="000000"/>
                <w:sz w:val="22"/>
                <w:szCs w:val="22"/>
              </w:rPr>
            </w:pPr>
            <w:r w:rsidRPr="00FA4DC7">
              <w:rPr>
                <w:rFonts w:cs="Arial"/>
                <w:color w:val="000000"/>
                <w:sz w:val="22"/>
                <w:szCs w:val="22"/>
              </w:rPr>
              <w:t>309</w:t>
            </w:r>
          </w:p>
        </w:tc>
        <w:tc>
          <w:tcPr>
            <w:tcW w:w="963" w:type="dxa"/>
            <w:shd w:val="clear" w:color="auto" w:fill="auto"/>
            <w:noWrap/>
            <w:vAlign w:val="center"/>
            <w:hideMark/>
          </w:tcPr>
          <w:p w14:paraId="2DEADE49" w14:textId="77777777" w:rsidR="00CE1BDB" w:rsidRPr="00FA4DC7" w:rsidRDefault="00CE1BDB" w:rsidP="00263141">
            <w:pPr>
              <w:jc w:val="right"/>
              <w:rPr>
                <w:rFonts w:cs="Arial"/>
                <w:color w:val="000000"/>
                <w:sz w:val="22"/>
                <w:szCs w:val="22"/>
              </w:rPr>
            </w:pPr>
            <w:r w:rsidRPr="00FA4DC7">
              <w:rPr>
                <w:rFonts w:cs="Arial"/>
                <w:color w:val="000000"/>
                <w:sz w:val="22"/>
                <w:szCs w:val="22"/>
              </w:rPr>
              <w:t>0.4%</w:t>
            </w:r>
          </w:p>
        </w:tc>
      </w:tr>
      <w:tr w:rsidR="00CE1BDB" w:rsidRPr="00FA4DC7" w14:paraId="2C5375FE" w14:textId="77777777" w:rsidTr="00263141">
        <w:trPr>
          <w:trHeight w:val="300"/>
        </w:trPr>
        <w:tc>
          <w:tcPr>
            <w:tcW w:w="3466" w:type="dxa"/>
            <w:shd w:val="clear" w:color="auto" w:fill="auto"/>
            <w:noWrap/>
            <w:hideMark/>
          </w:tcPr>
          <w:p w14:paraId="0E2380F4" w14:textId="77777777" w:rsidR="00CE1BDB" w:rsidRPr="00FA4DC7" w:rsidRDefault="00CE1BDB" w:rsidP="00EF49A7">
            <w:pPr>
              <w:rPr>
                <w:rFonts w:cs="Arial"/>
                <w:sz w:val="22"/>
                <w:szCs w:val="22"/>
              </w:rPr>
            </w:pPr>
            <w:r w:rsidRPr="00FA4DC7">
              <w:rPr>
                <w:rFonts w:cs="Arial"/>
                <w:sz w:val="22"/>
                <w:szCs w:val="22"/>
              </w:rPr>
              <w:t>Lewisham</w:t>
            </w:r>
          </w:p>
        </w:tc>
        <w:tc>
          <w:tcPr>
            <w:tcW w:w="3249" w:type="dxa"/>
            <w:vMerge/>
            <w:vAlign w:val="center"/>
            <w:hideMark/>
          </w:tcPr>
          <w:p w14:paraId="0316C997"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1C405B22" w14:textId="77777777" w:rsidR="00CE1BDB" w:rsidRPr="00FA4DC7" w:rsidRDefault="00CE1BDB" w:rsidP="00263141">
            <w:pPr>
              <w:jc w:val="right"/>
              <w:rPr>
                <w:rFonts w:cs="Arial"/>
                <w:color w:val="000000"/>
                <w:sz w:val="22"/>
                <w:szCs w:val="22"/>
              </w:rPr>
            </w:pPr>
            <w:r w:rsidRPr="00FA4DC7">
              <w:rPr>
                <w:rFonts w:cs="Arial"/>
                <w:color w:val="000000"/>
                <w:sz w:val="22"/>
                <w:szCs w:val="22"/>
              </w:rPr>
              <w:t>139</w:t>
            </w:r>
          </w:p>
        </w:tc>
        <w:tc>
          <w:tcPr>
            <w:tcW w:w="963" w:type="dxa"/>
            <w:shd w:val="clear" w:color="auto" w:fill="auto"/>
            <w:noWrap/>
            <w:vAlign w:val="center"/>
            <w:hideMark/>
          </w:tcPr>
          <w:p w14:paraId="6BF4E072" w14:textId="77777777" w:rsidR="00CE1BDB" w:rsidRPr="00FA4DC7" w:rsidRDefault="00CE1BDB" w:rsidP="00263141">
            <w:pPr>
              <w:jc w:val="right"/>
              <w:rPr>
                <w:rFonts w:cs="Arial"/>
                <w:color w:val="000000"/>
                <w:sz w:val="22"/>
                <w:szCs w:val="22"/>
              </w:rPr>
            </w:pPr>
            <w:r w:rsidRPr="00FA4DC7">
              <w:rPr>
                <w:rFonts w:cs="Arial"/>
                <w:color w:val="000000"/>
                <w:sz w:val="22"/>
                <w:szCs w:val="22"/>
              </w:rPr>
              <w:t>0.2%</w:t>
            </w:r>
          </w:p>
        </w:tc>
      </w:tr>
      <w:tr w:rsidR="00CE1BDB" w:rsidRPr="00FA4DC7" w14:paraId="2A632ED0" w14:textId="77777777" w:rsidTr="00263141">
        <w:trPr>
          <w:trHeight w:val="300"/>
        </w:trPr>
        <w:tc>
          <w:tcPr>
            <w:tcW w:w="3466" w:type="dxa"/>
            <w:shd w:val="clear" w:color="auto" w:fill="auto"/>
            <w:noWrap/>
            <w:hideMark/>
          </w:tcPr>
          <w:p w14:paraId="18E25F6D" w14:textId="77777777" w:rsidR="00CE1BDB" w:rsidRPr="00FA4DC7" w:rsidRDefault="00CE1BDB" w:rsidP="00EF49A7">
            <w:pPr>
              <w:rPr>
                <w:rFonts w:cs="Arial"/>
                <w:sz w:val="22"/>
                <w:szCs w:val="22"/>
              </w:rPr>
            </w:pPr>
            <w:r w:rsidRPr="00FA4DC7">
              <w:rPr>
                <w:rFonts w:cs="Arial"/>
                <w:sz w:val="22"/>
                <w:szCs w:val="22"/>
              </w:rPr>
              <w:t>Elsewhere Kent</w:t>
            </w:r>
          </w:p>
        </w:tc>
        <w:tc>
          <w:tcPr>
            <w:tcW w:w="3249" w:type="dxa"/>
            <w:vMerge/>
            <w:vAlign w:val="center"/>
            <w:hideMark/>
          </w:tcPr>
          <w:p w14:paraId="3F739D62"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516988B3" w14:textId="77777777" w:rsidR="00CE1BDB" w:rsidRPr="00FA4DC7" w:rsidRDefault="00CE1BDB" w:rsidP="00263141">
            <w:pPr>
              <w:jc w:val="right"/>
              <w:rPr>
                <w:rFonts w:cs="Arial"/>
                <w:color w:val="000000"/>
                <w:sz w:val="22"/>
                <w:szCs w:val="22"/>
              </w:rPr>
            </w:pPr>
            <w:r w:rsidRPr="00FA4DC7">
              <w:rPr>
                <w:rFonts w:cs="Arial"/>
                <w:color w:val="000000"/>
                <w:sz w:val="22"/>
                <w:szCs w:val="22"/>
              </w:rPr>
              <w:t>3,330</w:t>
            </w:r>
          </w:p>
        </w:tc>
        <w:tc>
          <w:tcPr>
            <w:tcW w:w="963" w:type="dxa"/>
            <w:shd w:val="clear" w:color="auto" w:fill="auto"/>
            <w:noWrap/>
            <w:vAlign w:val="center"/>
            <w:hideMark/>
          </w:tcPr>
          <w:p w14:paraId="58AE1B89" w14:textId="77777777" w:rsidR="00CE1BDB" w:rsidRPr="00FA4DC7" w:rsidRDefault="00CE1BDB" w:rsidP="00263141">
            <w:pPr>
              <w:jc w:val="right"/>
              <w:rPr>
                <w:rFonts w:cs="Arial"/>
                <w:color w:val="000000"/>
                <w:sz w:val="22"/>
                <w:szCs w:val="22"/>
              </w:rPr>
            </w:pPr>
            <w:r w:rsidRPr="00FA4DC7">
              <w:rPr>
                <w:rFonts w:cs="Arial"/>
                <w:color w:val="000000"/>
                <w:sz w:val="22"/>
                <w:szCs w:val="22"/>
              </w:rPr>
              <w:t>4.4%</w:t>
            </w:r>
          </w:p>
        </w:tc>
      </w:tr>
      <w:tr w:rsidR="00CE1BDB" w:rsidRPr="00FA4DC7" w14:paraId="4F543FAC" w14:textId="77777777" w:rsidTr="00263141">
        <w:trPr>
          <w:trHeight w:val="300"/>
        </w:trPr>
        <w:tc>
          <w:tcPr>
            <w:tcW w:w="3466" w:type="dxa"/>
            <w:shd w:val="clear" w:color="auto" w:fill="auto"/>
            <w:noWrap/>
            <w:hideMark/>
          </w:tcPr>
          <w:p w14:paraId="3A07A573" w14:textId="77777777" w:rsidR="00CE1BDB" w:rsidRPr="00FA4DC7" w:rsidRDefault="00CE1BDB" w:rsidP="00EF49A7">
            <w:pPr>
              <w:rPr>
                <w:rFonts w:cs="Arial"/>
                <w:sz w:val="22"/>
                <w:szCs w:val="22"/>
              </w:rPr>
            </w:pPr>
            <w:r w:rsidRPr="00FA4DC7">
              <w:rPr>
                <w:rFonts w:cs="Arial"/>
                <w:sz w:val="22"/>
                <w:szCs w:val="22"/>
              </w:rPr>
              <w:t xml:space="preserve">Elsewhere </w:t>
            </w:r>
            <w:proofErr w:type="gramStart"/>
            <w:r w:rsidRPr="00FA4DC7">
              <w:rPr>
                <w:rFonts w:cs="Arial"/>
                <w:sz w:val="22"/>
                <w:szCs w:val="22"/>
              </w:rPr>
              <w:t>South East</w:t>
            </w:r>
            <w:proofErr w:type="gramEnd"/>
          </w:p>
        </w:tc>
        <w:tc>
          <w:tcPr>
            <w:tcW w:w="3249" w:type="dxa"/>
            <w:vMerge/>
            <w:vAlign w:val="center"/>
            <w:hideMark/>
          </w:tcPr>
          <w:p w14:paraId="5262F5FB"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398389C8" w14:textId="77777777" w:rsidR="00CE1BDB" w:rsidRPr="00FA4DC7" w:rsidRDefault="00CE1BDB" w:rsidP="00263141">
            <w:pPr>
              <w:jc w:val="right"/>
              <w:rPr>
                <w:rFonts w:cs="Arial"/>
                <w:color w:val="000000"/>
                <w:sz w:val="22"/>
                <w:szCs w:val="22"/>
              </w:rPr>
            </w:pPr>
            <w:r w:rsidRPr="00FA4DC7">
              <w:rPr>
                <w:rFonts w:cs="Arial"/>
                <w:color w:val="000000"/>
                <w:sz w:val="22"/>
                <w:szCs w:val="22"/>
              </w:rPr>
              <w:t>918</w:t>
            </w:r>
          </w:p>
        </w:tc>
        <w:tc>
          <w:tcPr>
            <w:tcW w:w="963" w:type="dxa"/>
            <w:shd w:val="clear" w:color="auto" w:fill="auto"/>
            <w:noWrap/>
            <w:vAlign w:val="center"/>
            <w:hideMark/>
          </w:tcPr>
          <w:p w14:paraId="06499135" w14:textId="77777777" w:rsidR="00CE1BDB" w:rsidRPr="00FA4DC7" w:rsidRDefault="00CE1BDB" w:rsidP="00263141">
            <w:pPr>
              <w:jc w:val="right"/>
              <w:rPr>
                <w:rFonts w:cs="Arial"/>
                <w:color w:val="000000"/>
                <w:sz w:val="22"/>
                <w:szCs w:val="22"/>
              </w:rPr>
            </w:pPr>
            <w:r w:rsidRPr="00FA4DC7">
              <w:rPr>
                <w:rFonts w:cs="Arial"/>
                <w:color w:val="000000"/>
                <w:sz w:val="22"/>
                <w:szCs w:val="22"/>
              </w:rPr>
              <w:t>1.2%</w:t>
            </w:r>
          </w:p>
        </w:tc>
      </w:tr>
      <w:tr w:rsidR="00CE1BDB" w:rsidRPr="00FA4DC7" w14:paraId="1A45F6AD" w14:textId="77777777" w:rsidTr="00263141">
        <w:trPr>
          <w:trHeight w:val="300"/>
        </w:trPr>
        <w:tc>
          <w:tcPr>
            <w:tcW w:w="3466" w:type="dxa"/>
            <w:shd w:val="clear" w:color="auto" w:fill="auto"/>
            <w:noWrap/>
            <w:hideMark/>
          </w:tcPr>
          <w:p w14:paraId="6E1B83C5" w14:textId="77777777" w:rsidR="00CE1BDB" w:rsidRPr="00FA4DC7" w:rsidRDefault="00CE1BDB" w:rsidP="00EF49A7">
            <w:pPr>
              <w:rPr>
                <w:rFonts w:cs="Arial"/>
                <w:sz w:val="22"/>
                <w:szCs w:val="22"/>
              </w:rPr>
            </w:pPr>
            <w:r w:rsidRPr="00FA4DC7">
              <w:rPr>
                <w:rFonts w:cs="Arial"/>
                <w:sz w:val="22"/>
                <w:szCs w:val="22"/>
              </w:rPr>
              <w:t>Elsewhere London</w:t>
            </w:r>
          </w:p>
        </w:tc>
        <w:tc>
          <w:tcPr>
            <w:tcW w:w="3249" w:type="dxa"/>
            <w:vMerge/>
            <w:vAlign w:val="center"/>
            <w:hideMark/>
          </w:tcPr>
          <w:p w14:paraId="309B180D"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48F66B63" w14:textId="77777777" w:rsidR="00CE1BDB" w:rsidRPr="00FA4DC7" w:rsidRDefault="00CE1BDB" w:rsidP="00263141">
            <w:pPr>
              <w:jc w:val="right"/>
              <w:rPr>
                <w:rFonts w:cs="Arial"/>
                <w:color w:val="000000"/>
                <w:sz w:val="22"/>
                <w:szCs w:val="22"/>
              </w:rPr>
            </w:pPr>
            <w:r w:rsidRPr="00FA4DC7">
              <w:rPr>
                <w:rFonts w:cs="Arial"/>
                <w:color w:val="000000"/>
                <w:sz w:val="22"/>
                <w:szCs w:val="22"/>
              </w:rPr>
              <w:t>911</w:t>
            </w:r>
          </w:p>
        </w:tc>
        <w:tc>
          <w:tcPr>
            <w:tcW w:w="963" w:type="dxa"/>
            <w:shd w:val="clear" w:color="auto" w:fill="auto"/>
            <w:noWrap/>
            <w:vAlign w:val="center"/>
            <w:hideMark/>
          </w:tcPr>
          <w:p w14:paraId="30828570" w14:textId="77777777" w:rsidR="00CE1BDB" w:rsidRPr="00FA4DC7" w:rsidRDefault="00CE1BDB" w:rsidP="00263141">
            <w:pPr>
              <w:jc w:val="right"/>
              <w:rPr>
                <w:rFonts w:cs="Arial"/>
                <w:color w:val="000000"/>
                <w:sz w:val="22"/>
                <w:szCs w:val="22"/>
              </w:rPr>
            </w:pPr>
            <w:r w:rsidRPr="00FA4DC7">
              <w:rPr>
                <w:rFonts w:cs="Arial"/>
                <w:color w:val="000000"/>
                <w:sz w:val="22"/>
                <w:szCs w:val="22"/>
              </w:rPr>
              <w:t>1.2%</w:t>
            </w:r>
          </w:p>
        </w:tc>
      </w:tr>
      <w:tr w:rsidR="00CE1BDB" w:rsidRPr="00FA4DC7" w14:paraId="3C7E870E" w14:textId="77777777" w:rsidTr="00263141">
        <w:trPr>
          <w:trHeight w:val="300"/>
        </w:trPr>
        <w:tc>
          <w:tcPr>
            <w:tcW w:w="3466" w:type="dxa"/>
            <w:shd w:val="clear" w:color="auto" w:fill="auto"/>
            <w:noWrap/>
            <w:hideMark/>
          </w:tcPr>
          <w:p w14:paraId="09150E49" w14:textId="77777777" w:rsidR="00CE1BDB" w:rsidRPr="00FA4DC7" w:rsidRDefault="00CE1BDB" w:rsidP="00EF49A7">
            <w:pPr>
              <w:rPr>
                <w:rFonts w:cs="Arial"/>
                <w:sz w:val="22"/>
                <w:szCs w:val="22"/>
              </w:rPr>
            </w:pPr>
            <w:r w:rsidRPr="00FA4DC7">
              <w:rPr>
                <w:rFonts w:cs="Arial"/>
                <w:sz w:val="22"/>
                <w:szCs w:val="22"/>
              </w:rPr>
              <w:t>Elsewhere England</w:t>
            </w:r>
          </w:p>
        </w:tc>
        <w:tc>
          <w:tcPr>
            <w:tcW w:w="3249" w:type="dxa"/>
            <w:vMerge/>
            <w:vAlign w:val="center"/>
            <w:hideMark/>
          </w:tcPr>
          <w:p w14:paraId="07D1CC48"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16969DC2" w14:textId="77777777" w:rsidR="00CE1BDB" w:rsidRPr="00FA4DC7" w:rsidRDefault="00CE1BDB" w:rsidP="00263141">
            <w:pPr>
              <w:jc w:val="right"/>
              <w:rPr>
                <w:rFonts w:cs="Arial"/>
                <w:color w:val="000000"/>
                <w:sz w:val="22"/>
                <w:szCs w:val="22"/>
              </w:rPr>
            </w:pPr>
            <w:r w:rsidRPr="00FA4DC7">
              <w:rPr>
                <w:rFonts w:cs="Arial"/>
                <w:color w:val="000000"/>
                <w:sz w:val="22"/>
                <w:szCs w:val="22"/>
              </w:rPr>
              <w:t>1,529</w:t>
            </w:r>
          </w:p>
        </w:tc>
        <w:tc>
          <w:tcPr>
            <w:tcW w:w="963" w:type="dxa"/>
            <w:shd w:val="clear" w:color="auto" w:fill="auto"/>
            <w:noWrap/>
            <w:vAlign w:val="center"/>
            <w:hideMark/>
          </w:tcPr>
          <w:p w14:paraId="2B2EC669" w14:textId="77777777" w:rsidR="00CE1BDB" w:rsidRPr="00FA4DC7" w:rsidRDefault="00CE1BDB" w:rsidP="00263141">
            <w:pPr>
              <w:jc w:val="right"/>
              <w:rPr>
                <w:rFonts w:cs="Arial"/>
                <w:color w:val="000000"/>
                <w:sz w:val="22"/>
                <w:szCs w:val="22"/>
              </w:rPr>
            </w:pPr>
            <w:r w:rsidRPr="00FA4DC7">
              <w:rPr>
                <w:rFonts w:cs="Arial"/>
                <w:color w:val="000000"/>
                <w:sz w:val="22"/>
                <w:szCs w:val="22"/>
              </w:rPr>
              <w:t>2.0%</w:t>
            </w:r>
          </w:p>
        </w:tc>
      </w:tr>
      <w:tr w:rsidR="00CE1BDB" w:rsidRPr="00FA4DC7" w14:paraId="1111EC78" w14:textId="77777777" w:rsidTr="00263141">
        <w:trPr>
          <w:trHeight w:val="300"/>
        </w:trPr>
        <w:tc>
          <w:tcPr>
            <w:tcW w:w="3466" w:type="dxa"/>
            <w:shd w:val="clear" w:color="auto" w:fill="auto"/>
            <w:noWrap/>
            <w:hideMark/>
          </w:tcPr>
          <w:p w14:paraId="5D1006EA" w14:textId="77777777" w:rsidR="00CE1BDB" w:rsidRPr="00FA4DC7" w:rsidRDefault="00CE1BDB" w:rsidP="00EF49A7">
            <w:pPr>
              <w:rPr>
                <w:rFonts w:cs="Arial"/>
                <w:sz w:val="22"/>
                <w:szCs w:val="22"/>
              </w:rPr>
            </w:pPr>
            <w:r w:rsidRPr="00FA4DC7">
              <w:rPr>
                <w:rFonts w:cs="Arial"/>
                <w:sz w:val="22"/>
                <w:szCs w:val="22"/>
              </w:rPr>
              <w:t>Elsewhere UK</w:t>
            </w:r>
          </w:p>
        </w:tc>
        <w:tc>
          <w:tcPr>
            <w:tcW w:w="3249" w:type="dxa"/>
            <w:vMerge/>
            <w:vAlign w:val="center"/>
            <w:hideMark/>
          </w:tcPr>
          <w:p w14:paraId="4AE62F40" w14:textId="77777777" w:rsidR="00CE1BDB" w:rsidRPr="00FA4DC7" w:rsidRDefault="00CE1BDB" w:rsidP="00EF49A7">
            <w:pPr>
              <w:rPr>
                <w:rFonts w:cs="Arial"/>
                <w:color w:val="000000"/>
                <w:sz w:val="22"/>
                <w:szCs w:val="22"/>
              </w:rPr>
            </w:pPr>
          </w:p>
        </w:tc>
        <w:tc>
          <w:tcPr>
            <w:tcW w:w="1012" w:type="dxa"/>
            <w:shd w:val="clear" w:color="auto" w:fill="auto"/>
            <w:noWrap/>
            <w:vAlign w:val="center"/>
            <w:hideMark/>
          </w:tcPr>
          <w:p w14:paraId="7BAF87D5" w14:textId="77777777" w:rsidR="00CE1BDB" w:rsidRPr="00FA4DC7" w:rsidRDefault="00CE1BDB" w:rsidP="00263141">
            <w:pPr>
              <w:jc w:val="right"/>
              <w:rPr>
                <w:rFonts w:cs="Arial"/>
                <w:color w:val="000000"/>
                <w:sz w:val="22"/>
                <w:szCs w:val="22"/>
              </w:rPr>
            </w:pPr>
            <w:r w:rsidRPr="00FA4DC7">
              <w:rPr>
                <w:rFonts w:cs="Arial"/>
                <w:color w:val="000000"/>
                <w:sz w:val="22"/>
                <w:szCs w:val="22"/>
              </w:rPr>
              <w:t>107</w:t>
            </w:r>
          </w:p>
        </w:tc>
        <w:tc>
          <w:tcPr>
            <w:tcW w:w="963" w:type="dxa"/>
            <w:shd w:val="clear" w:color="auto" w:fill="auto"/>
            <w:noWrap/>
            <w:vAlign w:val="center"/>
            <w:hideMark/>
          </w:tcPr>
          <w:p w14:paraId="17FAF190" w14:textId="77777777" w:rsidR="00CE1BDB" w:rsidRPr="00FA4DC7" w:rsidRDefault="00CE1BDB" w:rsidP="00263141">
            <w:pPr>
              <w:jc w:val="right"/>
              <w:rPr>
                <w:rFonts w:cs="Arial"/>
                <w:color w:val="000000"/>
                <w:sz w:val="22"/>
                <w:szCs w:val="22"/>
              </w:rPr>
            </w:pPr>
            <w:r w:rsidRPr="00FA4DC7">
              <w:rPr>
                <w:rFonts w:cs="Arial"/>
                <w:color w:val="000000"/>
                <w:sz w:val="22"/>
                <w:szCs w:val="22"/>
              </w:rPr>
              <w:t>0.1%</w:t>
            </w:r>
          </w:p>
        </w:tc>
      </w:tr>
      <w:tr w:rsidR="00CE1BDB" w:rsidRPr="00FA4DC7" w14:paraId="594D0615" w14:textId="77777777" w:rsidTr="00263141">
        <w:trPr>
          <w:trHeight w:val="300"/>
        </w:trPr>
        <w:tc>
          <w:tcPr>
            <w:tcW w:w="6715" w:type="dxa"/>
            <w:gridSpan w:val="2"/>
            <w:shd w:val="clear" w:color="auto" w:fill="auto"/>
            <w:noWrap/>
            <w:vAlign w:val="center"/>
            <w:hideMark/>
          </w:tcPr>
          <w:p w14:paraId="77A9722F" w14:textId="77777777" w:rsidR="00CE1BDB" w:rsidRPr="00FA4DC7" w:rsidRDefault="00CE1BDB" w:rsidP="00EF49A7">
            <w:pPr>
              <w:rPr>
                <w:rFonts w:cs="Arial"/>
                <w:b/>
                <w:bCs/>
                <w:color w:val="000000"/>
                <w:sz w:val="22"/>
                <w:szCs w:val="22"/>
              </w:rPr>
            </w:pPr>
            <w:r w:rsidRPr="00FA4DC7">
              <w:rPr>
                <w:rFonts w:cs="Arial"/>
                <w:b/>
                <w:bCs/>
                <w:color w:val="000000"/>
                <w:sz w:val="22"/>
                <w:szCs w:val="22"/>
              </w:rPr>
              <w:t>Jobs</w:t>
            </w:r>
          </w:p>
        </w:tc>
        <w:tc>
          <w:tcPr>
            <w:tcW w:w="1012" w:type="dxa"/>
            <w:shd w:val="clear" w:color="auto" w:fill="auto"/>
            <w:noWrap/>
            <w:vAlign w:val="center"/>
            <w:hideMark/>
          </w:tcPr>
          <w:p w14:paraId="3A8E76ED" w14:textId="77777777" w:rsidR="00CE1BDB" w:rsidRPr="00FA4DC7" w:rsidRDefault="00CE1BDB" w:rsidP="00263141">
            <w:pPr>
              <w:jc w:val="right"/>
              <w:rPr>
                <w:rFonts w:cs="Arial"/>
                <w:b/>
                <w:bCs/>
                <w:color w:val="000000"/>
                <w:sz w:val="22"/>
                <w:szCs w:val="22"/>
              </w:rPr>
            </w:pPr>
            <w:r w:rsidRPr="00FA4DC7">
              <w:rPr>
                <w:rFonts w:cs="Arial"/>
                <w:b/>
                <w:bCs/>
                <w:color w:val="000000"/>
                <w:sz w:val="22"/>
                <w:szCs w:val="22"/>
              </w:rPr>
              <w:t>76,395</w:t>
            </w:r>
          </w:p>
        </w:tc>
        <w:tc>
          <w:tcPr>
            <w:tcW w:w="963" w:type="dxa"/>
            <w:shd w:val="clear" w:color="auto" w:fill="auto"/>
            <w:noWrap/>
            <w:vAlign w:val="center"/>
            <w:hideMark/>
          </w:tcPr>
          <w:p w14:paraId="067533B3" w14:textId="77777777" w:rsidR="00CE1BDB" w:rsidRPr="00FA4DC7" w:rsidRDefault="00CE1BDB" w:rsidP="00263141">
            <w:pPr>
              <w:jc w:val="right"/>
              <w:rPr>
                <w:rFonts w:cs="Arial"/>
                <w:b/>
                <w:bCs/>
                <w:color w:val="000000"/>
                <w:sz w:val="22"/>
                <w:szCs w:val="22"/>
              </w:rPr>
            </w:pPr>
            <w:r w:rsidRPr="00FA4DC7">
              <w:rPr>
                <w:rFonts w:cs="Arial"/>
                <w:b/>
                <w:bCs/>
                <w:color w:val="000000"/>
                <w:sz w:val="22"/>
                <w:szCs w:val="22"/>
              </w:rPr>
              <w:t>100.0%</w:t>
            </w:r>
          </w:p>
        </w:tc>
      </w:tr>
    </w:tbl>
    <w:p w14:paraId="7AEF4C56" w14:textId="77777777" w:rsidR="00CE1BDB" w:rsidRPr="00FA4DC7" w:rsidRDefault="00CE1BDB" w:rsidP="00CE1BDB">
      <w:pPr>
        <w:pStyle w:val="bullet"/>
        <w:numPr>
          <w:ilvl w:val="0"/>
          <w:numId w:val="0"/>
        </w:numPr>
        <w:tabs>
          <w:tab w:val="left" w:pos="0"/>
          <w:tab w:val="left" w:pos="709"/>
          <w:tab w:val="left" w:pos="1418"/>
        </w:tabs>
        <w:rPr>
          <w:rFonts w:cs="Arial"/>
          <w:iCs/>
        </w:rPr>
      </w:pPr>
      <w:r w:rsidRPr="00FA4DC7">
        <w:rPr>
          <w:rFonts w:cs="Arial"/>
          <w:sz w:val="22"/>
          <w:szCs w:val="22"/>
        </w:rPr>
        <w:t>Source: 2011 Census</w:t>
      </w:r>
    </w:p>
    <w:p w14:paraId="495070FC" w14:textId="77777777" w:rsidR="00CE1BDB" w:rsidRPr="00FA4DC7" w:rsidRDefault="00CE1BDB" w:rsidP="00CE1BDB">
      <w:pPr>
        <w:pStyle w:val="Reporttext"/>
        <w:numPr>
          <w:ilvl w:val="0"/>
          <w:numId w:val="0"/>
        </w:numPr>
        <w:tabs>
          <w:tab w:val="left" w:pos="0"/>
          <w:tab w:val="left" w:pos="1418"/>
        </w:tabs>
        <w:rPr>
          <w:rFonts w:cs="Arial"/>
          <w:highlight w:val="yellow"/>
        </w:rPr>
      </w:pPr>
    </w:p>
    <w:p w14:paraId="2E0B4332" w14:textId="77777777" w:rsidR="00CE1BDB" w:rsidRPr="00FA4DC7" w:rsidRDefault="00CE1BDB" w:rsidP="00CE1BDB">
      <w:pPr>
        <w:pStyle w:val="Reporttext"/>
        <w:tabs>
          <w:tab w:val="clear" w:pos="2128"/>
          <w:tab w:val="left" w:pos="0"/>
          <w:tab w:val="left" w:pos="709"/>
          <w:tab w:val="left" w:pos="1418"/>
        </w:tabs>
        <w:rPr>
          <w:rFonts w:cs="Arial"/>
        </w:rPr>
      </w:pPr>
      <w:r w:rsidRPr="00FA4DC7">
        <w:rPr>
          <w:rFonts w:cs="Arial"/>
        </w:rPr>
        <w:lastRenderedPageBreak/>
        <w:t>In terms of defining market areas, the ONS provides a definition of Travel to Work (TTW) areas as follows:</w:t>
      </w:r>
    </w:p>
    <w:p w14:paraId="011DB23B" w14:textId="77777777" w:rsidR="00CE1BDB" w:rsidRPr="00FA4DC7" w:rsidRDefault="00CE1BDB" w:rsidP="00CE1BDB">
      <w:pPr>
        <w:pStyle w:val="Reporttext"/>
        <w:numPr>
          <w:ilvl w:val="0"/>
          <w:numId w:val="0"/>
        </w:numPr>
        <w:tabs>
          <w:tab w:val="left" w:pos="0"/>
          <w:tab w:val="left" w:pos="709"/>
          <w:tab w:val="left" w:pos="1418"/>
        </w:tabs>
        <w:ind w:left="709"/>
        <w:rPr>
          <w:rFonts w:cs="Arial"/>
          <w:i/>
        </w:rPr>
      </w:pPr>
      <w:r w:rsidRPr="00FA4DC7">
        <w:rPr>
          <w:rFonts w:cs="Arial"/>
          <w:b/>
          <w:bCs/>
          <w:iCs/>
        </w:rPr>
        <w:t xml:space="preserve">‘The current criterion for defining TTWs is that generally at least 75% of an area’s resident workforce in the area and at least 75% of the people who work in the area also live in the area…however, for areas with a working population in excess of 25,000, self-containment rates as low as 66.7% are accepted’ </w:t>
      </w:r>
      <w:r w:rsidRPr="00FA4DC7">
        <w:rPr>
          <w:rFonts w:cs="Arial"/>
          <w:iCs/>
        </w:rPr>
        <w:t>(source:</w:t>
      </w:r>
      <w:r w:rsidRPr="00FA4DC7">
        <w:rPr>
          <w:rFonts w:cs="Arial"/>
          <w:b/>
          <w:bCs/>
          <w:iCs/>
        </w:rPr>
        <w:t xml:space="preserve"> </w:t>
      </w:r>
      <w:hyperlink r:id="rId34" w:history="1">
        <w:r w:rsidRPr="00FA4DC7">
          <w:rPr>
            <w:rStyle w:val="Hyperlink"/>
            <w:rFonts w:cs="Arial"/>
          </w:rPr>
          <w:t>https://www.ons.gov.uk/employmentandlabourmarket/peopleinwork/employmentandemployeetypes/articles/commutingtoworkchangestotraveltoworkareas/2001to2011</w:t>
        </w:r>
      </w:hyperlink>
      <w:r w:rsidRPr="00FA4DC7">
        <w:rPr>
          <w:rFonts w:cs="Arial"/>
        </w:rPr>
        <w:t xml:space="preserve"> </w:t>
      </w:r>
    </w:p>
    <w:p w14:paraId="6B4B2579" w14:textId="77777777" w:rsidR="00CE1BDB" w:rsidRPr="00FA4DC7" w:rsidRDefault="00CE1BDB" w:rsidP="00CE1BDB">
      <w:pPr>
        <w:pStyle w:val="Reporttext"/>
        <w:tabs>
          <w:tab w:val="clear" w:pos="2128"/>
          <w:tab w:val="num" w:pos="1419"/>
        </w:tabs>
        <w:rPr>
          <w:rFonts w:cs="Arial"/>
        </w:rPr>
      </w:pPr>
      <w:r w:rsidRPr="00FA4DC7">
        <w:rPr>
          <w:rFonts w:cs="Arial"/>
        </w:rPr>
        <w:t xml:space="preserve">This analysis indicates that Medway is largely self-contained but part of a wider functional economic area which extends mainly across neighbouring districts. </w:t>
      </w:r>
    </w:p>
    <w:p w14:paraId="3CE97AF6" w14:textId="77777777" w:rsidR="00CE1BDB" w:rsidRPr="00FA4DC7" w:rsidRDefault="00CE1BDB" w:rsidP="00263141"/>
    <w:p w14:paraId="12586E78" w14:textId="77777777" w:rsidR="00CE1BDB" w:rsidRPr="00FA4DC7" w:rsidRDefault="00CE1BDB" w:rsidP="00CE1BDB">
      <w:pPr>
        <w:pStyle w:val="Heading3"/>
        <w:ind w:left="0" w:firstLine="709"/>
        <w:rPr>
          <w:rFonts w:cs="Arial"/>
        </w:rPr>
      </w:pPr>
      <w:r w:rsidRPr="00FA4DC7">
        <w:rPr>
          <w:rFonts w:cs="Arial"/>
        </w:rPr>
        <w:t>Conclusions on Housing Market Area</w:t>
      </w:r>
    </w:p>
    <w:p w14:paraId="6592A511" w14:textId="77777777" w:rsidR="00CE1BDB" w:rsidRPr="00FA4DC7" w:rsidRDefault="00CE1BDB" w:rsidP="00CE1BDB">
      <w:pPr>
        <w:pStyle w:val="Reporttext"/>
        <w:tabs>
          <w:tab w:val="clear" w:pos="2128"/>
          <w:tab w:val="left" w:pos="0"/>
          <w:tab w:val="left" w:pos="709"/>
          <w:tab w:val="left" w:pos="1418"/>
        </w:tabs>
        <w:rPr>
          <w:rFonts w:cs="Arial"/>
        </w:rPr>
      </w:pPr>
      <w:r w:rsidRPr="00FA4DC7">
        <w:rPr>
          <w:rFonts w:cs="Arial"/>
        </w:rPr>
        <w:t>Medway is a self-contained housing market area in terms of migration but is part of a wider functional economic area which extends across neighbouring districts. For pragmatic purposes, Medway is an appropriate market area for the purposes of Local Plan policy making.</w:t>
      </w:r>
    </w:p>
    <w:p w14:paraId="45D37536" w14:textId="77777777" w:rsidR="00CE1BDB" w:rsidRPr="00FA4DC7" w:rsidRDefault="00CE1BDB" w:rsidP="00CE1BDB">
      <w:pPr>
        <w:rPr>
          <w:rFonts w:cs="Arial"/>
          <w:highlight w:val="yellow"/>
        </w:rPr>
      </w:pPr>
    </w:p>
    <w:p w14:paraId="48D684F4" w14:textId="77777777" w:rsidR="00CE1BDB" w:rsidRPr="00FA4DC7" w:rsidRDefault="00CE1BDB" w:rsidP="00CE1BDB">
      <w:pPr>
        <w:pStyle w:val="Heading2"/>
        <w:tabs>
          <w:tab w:val="left" w:pos="0"/>
          <w:tab w:val="left" w:pos="709"/>
          <w:tab w:val="left" w:pos="1418"/>
        </w:tabs>
        <w:rPr>
          <w:rFonts w:cs="Arial"/>
        </w:rPr>
      </w:pPr>
      <w:bookmarkStart w:id="190" w:name="_Toc83035651"/>
      <w:r w:rsidRPr="00FA4DC7">
        <w:rPr>
          <w:rFonts w:cs="Arial"/>
        </w:rPr>
        <w:t>General household characteristics</w:t>
      </w:r>
      <w:bookmarkEnd w:id="190"/>
    </w:p>
    <w:p w14:paraId="68B75064" w14:textId="3D8BA653" w:rsidR="00CE1BDB" w:rsidRPr="00FA4DC7" w:rsidRDefault="00CE1BDB" w:rsidP="00CE1BDB">
      <w:pPr>
        <w:pStyle w:val="Reporttext"/>
        <w:tabs>
          <w:tab w:val="clear" w:pos="2128"/>
          <w:tab w:val="left" w:pos="0"/>
          <w:tab w:val="left" w:pos="709"/>
          <w:tab w:val="left" w:pos="1418"/>
        </w:tabs>
        <w:rPr>
          <w:rFonts w:cs="Arial"/>
        </w:rPr>
      </w:pPr>
      <w:r w:rsidRPr="00FA4DC7">
        <w:rPr>
          <w:rFonts w:cs="Arial"/>
        </w:rPr>
        <w:t>The range of households living in Medway is illustrated in Maps 2.</w:t>
      </w:r>
      <w:r w:rsidR="000957EE">
        <w:rPr>
          <w:rFonts w:cs="Arial"/>
        </w:rPr>
        <w:t>2</w:t>
      </w:r>
      <w:r w:rsidRPr="00FA4DC7">
        <w:rPr>
          <w:rFonts w:cs="Arial"/>
        </w:rPr>
        <w:t xml:space="preserve"> and 2.</w:t>
      </w:r>
      <w:r w:rsidR="000957EE">
        <w:rPr>
          <w:rFonts w:cs="Arial"/>
        </w:rPr>
        <w:t>3</w:t>
      </w:r>
      <w:r w:rsidRPr="00FA4DC7">
        <w:rPr>
          <w:rFonts w:cs="Arial"/>
        </w:rPr>
        <w:t>. Map 2.</w:t>
      </w:r>
      <w:r w:rsidR="000957EE">
        <w:rPr>
          <w:rFonts w:cs="Arial"/>
        </w:rPr>
        <w:t>2</w:t>
      </w:r>
      <w:r w:rsidRPr="00FA4DC7">
        <w:rPr>
          <w:rFonts w:cs="Arial"/>
        </w:rPr>
        <w:t xml:space="preserve"> illustrates the distribution of key household typologies and indicates a predominance of younger household groups in the urban areas and older groups in rural and sub-urban areas. </w:t>
      </w:r>
    </w:p>
    <w:p w14:paraId="5B93FEAB" w14:textId="7B829066" w:rsidR="00CE1BDB" w:rsidRPr="00FA4DC7" w:rsidRDefault="00CE1BDB" w:rsidP="00CE1BDB">
      <w:pPr>
        <w:pStyle w:val="Reporttext"/>
        <w:tabs>
          <w:tab w:val="clear" w:pos="2128"/>
          <w:tab w:val="left" w:pos="0"/>
          <w:tab w:val="left" w:pos="709"/>
          <w:tab w:val="left" w:pos="1418"/>
        </w:tabs>
        <w:rPr>
          <w:rFonts w:cs="Arial"/>
        </w:rPr>
      </w:pPr>
      <w:r w:rsidRPr="00FA4DC7">
        <w:rPr>
          <w:rFonts w:cs="Arial"/>
        </w:rPr>
        <w:t>Map 2.</w:t>
      </w:r>
      <w:r w:rsidR="000957EE">
        <w:rPr>
          <w:rFonts w:cs="Arial"/>
        </w:rPr>
        <w:t>3</w:t>
      </w:r>
      <w:r w:rsidRPr="00FA4DC7">
        <w:rPr>
          <w:rFonts w:cs="Arial"/>
        </w:rPr>
        <w:t xml:space="preserve"> considers income groups, illustrating higher income groups in wards to the south-east of Medway and around Stood. On the </w:t>
      </w:r>
      <w:proofErr w:type="spellStart"/>
      <w:r w:rsidRPr="00FA4DC7">
        <w:rPr>
          <w:rFonts w:cs="Arial"/>
        </w:rPr>
        <w:t>Hoo</w:t>
      </w:r>
      <w:proofErr w:type="spellEnd"/>
      <w:r w:rsidRPr="00FA4DC7">
        <w:rPr>
          <w:rFonts w:cs="Arial"/>
        </w:rPr>
        <w:t xml:space="preserve"> peninsula, incomes tend to be lower. </w:t>
      </w:r>
    </w:p>
    <w:p w14:paraId="579DC701" w14:textId="77777777" w:rsidR="00CE1BDB" w:rsidRPr="00FA4DC7" w:rsidRDefault="00CE1BDB" w:rsidP="00CE1BDB">
      <w:pPr>
        <w:pStyle w:val="Reporttext"/>
        <w:tabs>
          <w:tab w:val="clear" w:pos="2128"/>
          <w:tab w:val="left" w:pos="0"/>
          <w:tab w:val="left" w:pos="709"/>
          <w:tab w:val="left" w:pos="1418"/>
        </w:tabs>
        <w:rPr>
          <w:rFonts w:cs="Arial"/>
        </w:rPr>
      </w:pPr>
      <w:r w:rsidRPr="00FA4DC7">
        <w:rPr>
          <w:rFonts w:cs="Arial"/>
        </w:rPr>
        <w:t xml:space="preserve">Note that mapping at Lower Super Output Area level can produce some anomalies. For instance, in some LSOAs there are employment as well as residential areas, but the map will show the household information for the whole LSOA area. </w:t>
      </w:r>
    </w:p>
    <w:p w14:paraId="5AE845E2" w14:textId="77777777" w:rsidR="00CE1BDB" w:rsidRPr="00FA4DC7" w:rsidRDefault="00CE1BDB" w:rsidP="00CE1BDB">
      <w:pPr>
        <w:pStyle w:val="Reporttext"/>
        <w:numPr>
          <w:ilvl w:val="0"/>
          <w:numId w:val="0"/>
        </w:numPr>
        <w:tabs>
          <w:tab w:val="left" w:pos="0"/>
          <w:tab w:val="left" w:pos="1418"/>
        </w:tabs>
        <w:ind w:left="709"/>
        <w:rPr>
          <w:rFonts w:cs="Arial"/>
          <w:highlight w:val="yellow"/>
        </w:rPr>
      </w:pPr>
    </w:p>
    <w:p w14:paraId="1BCDC4BF" w14:textId="77777777" w:rsidR="00CE1BDB" w:rsidRPr="00FA4DC7" w:rsidRDefault="00CE1BDB" w:rsidP="00CE1BDB">
      <w:pPr>
        <w:pStyle w:val="Reporttext"/>
        <w:numPr>
          <w:ilvl w:val="0"/>
          <w:numId w:val="0"/>
        </w:numPr>
        <w:tabs>
          <w:tab w:val="left" w:pos="0"/>
          <w:tab w:val="left" w:pos="1418"/>
        </w:tabs>
        <w:ind w:left="709"/>
        <w:rPr>
          <w:rFonts w:cs="Arial"/>
          <w:highlight w:val="yellow"/>
        </w:rPr>
      </w:pPr>
    </w:p>
    <w:p w14:paraId="40019E77" w14:textId="77777777" w:rsidR="00CE1BDB" w:rsidRPr="00FA4DC7" w:rsidRDefault="00CE1BDB" w:rsidP="00CE1BDB">
      <w:pPr>
        <w:pStyle w:val="Reporttext"/>
        <w:numPr>
          <w:ilvl w:val="0"/>
          <w:numId w:val="0"/>
        </w:numPr>
        <w:tabs>
          <w:tab w:val="left" w:pos="0"/>
          <w:tab w:val="left" w:pos="1418"/>
        </w:tabs>
        <w:rPr>
          <w:rFonts w:cs="Arial"/>
          <w:highlight w:val="yellow"/>
        </w:rPr>
      </w:pPr>
    </w:p>
    <w:p w14:paraId="19291539" w14:textId="77777777" w:rsidR="00CE1BDB" w:rsidRPr="00FA4DC7" w:rsidRDefault="00CE1BDB" w:rsidP="00CE1BDB">
      <w:pPr>
        <w:pStyle w:val="Mapheading0"/>
        <w:tabs>
          <w:tab w:val="left" w:pos="0"/>
          <w:tab w:val="left" w:pos="709"/>
          <w:tab w:val="left" w:pos="1418"/>
        </w:tabs>
        <w:rPr>
          <w:highlight w:val="yellow"/>
        </w:rPr>
        <w:sectPr w:rsidR="00CE1BDB" w:rsidRPr="00FA4DC7" w:rsidSect="00EF49A7">
          <w:pgSz w:w="11907" w:h="16840" w:code="9"/>
          <w:pgMar w:top="1304" w:right="1304" w:bottom="1559" w:left="1304" w:header="720" w:footer="567" w:gutter="0"/>
          <w:cols w:space="708"/>
          <w:noEndnote/>
          <w:docGrid w:linePitch="326"/>
        </w:sectPr>
      </w:pPr>
    </w:p>
    <w:p w14:paraId="581FE4F3" w14:textId="728B0760" w:rsidR="00CE1BDB" w:rsidRPr="00FA4DC7" w:rsidRDefault="00CE1BDB" w:rsidP="000957EE">
      <w:pPr>
        <w:pStyle w:val="Mapheading0"/>
      </w:pPr>
      <w:bookmarkStart w:id="191" w:name="_Toc83035733"/>
      <w:r w:rsidRPr="00FA4DC7">
        <w:lastRenderedPageBreak/>
        <w:t>Map 2.</w:t>
      </w:r>
      <w:r w:rsidR="000957EE">
        <w:t>2</w:t>
      </w:r>
      <w:r w:rsidRPr="00FA4DC7">
        <w:t xml:space="preserve"> </w:t>
      </w:r>
      <w:r w:rsidRPr="00FA4DC7">
        <w:tab/>
        <w:t>Household characteristics: household type by LSOA, 2020</w:t>
      </w:r>
      <w:bookmarkEnd w:id="191"/>
    </w:p>
    <w:p w14:paraId="5A9F35C9" w14:textId="77777777" w:rsidR="00CE1BDB" w:rsidRPr="00FA4DC7" w:rsidRDefault="00CE1BDB" w:rsidP="00CE1BDB">
      <w:pPr>
        <w:rPr>
          <w:rFonts w:cs="Arial"/>
          <w:highlight w:val="yellow"/>
        </w:rPr>
      </w:pPr>
      <w:r w:rsidRPr="00FA4DC7">
        <w:rPr>
          <w:rFonts w:cs="Arial"/>
          <w:noProof/>
        </w:rPr>
        <w:drawing>
          <wp:inline distT="0" distB="0" distL="0" distR="0" wp14:anchorId="6A8A2D92" wp14:editId="4D7C189A">
            <wp:extent cx="7713057" cy="5450317"/>
            <wp:effectExtent l="0" t="0" r="0" b="0"/>
            <wp:docPr id="45" name="Picture 45" descr="A map showing household characteristics: household type by LSO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map showing household characteristics: household type by LSOA 2020"/>
                    <pic:cNvPicPr/>
                  </pic:nvPicPr>
                  <pic:blipFill>
                    <a:blip r:embed="rId35"/>
                    <a:stretch>
                      <a:fillRect/>
                    </a:stretch>
                  </pic:blipFill>
                  <pic:spPr>
                    <a:xfrm>
                      <a:off x="0" y="0"/>
                      <a:ext cx="7721384" cy="5456201"/>
                    </a:xfrm>
                    <a:prstGeom prst="rect">
                      <a:avLst/>
                    </a:prstGeom>
                  </pic:spPr>
                </pic:pic>
              </a:graphicData>
            </a:graphic>
          </wp:inline>
        </w:drawing>
      </w:r>
    </w:p>
    <w:p w14:paraId="28DF555C" w14:textId="77777777" w:rsidR="00CE1BDB" w:rsidRPr="00FA4DC7" w:rsidRDefault="00CE1BDB" w:rsidP="00CE1BDB">
      <w:pPr>
        <w:rPr>
          <w:rFonts w:cs="Arial"/>
          <w:sz w:val="22"/>
          <w:szCs w:val="22"/>
        </w:rPr>
      </w:pPr>
      <w:r w:rsidRPr="00FA4DC7">
        <w:rPr>
          <w:rFonts w:cs="Arial"/>
          <w:sz w:val="22"/>
          <w:szCs w:val="22"/>
        </w:rPr>
        <w:t xml:space="preserve">Source: CAMEO UK </w:t>
      </w:r>
    </w:p>
    <w:p w14:paraId="1ADA6F22" w14:textId="77777777" w:rsidR="00CE1BDB" w:rsidRPr="00FA4DC7" w:rsidRDefault="00CE1BDB" w:rsidP="00CE1BDB">
      <w:pPr>
        <w:pStyle w:val="Mapheading0"/>
        <w:tabs>
          <w:tab w:val="left" w:pos="0"/>
          <w:tab w:val="left" w:pos="709"/>
          <w:tab w:val="left" w:pos="1418"/>
        </w:tabs>
        <w:rPr>
          <w:highlight w:val="yellow"/>
        </w:rPr>
        <w:sectPr w:rsidR="00CE1BDB" w:rsidRPr="00FA4DC7" w:rsidSect="00EF49A7">
          <w:pgSz w:w="16840" w:h="11907" w:orient="landscape" w:code="9"/>
          <w:pgMar w:top="1304" w:right="1559" w:bottom="1304" w:left="1304" w:header="720" w:footer="567" w:gutter="0"/>
          <w:cols w:space="708"/>
          <w:noEndnote/>
          <w:docGrid w:linePitch="326"/>
        </w:sectPr>
      </w:pPr>
    </w:p>
    <w:p w14:paraId="48E6347B" w14:textId="518F6102" w:rsidR="00CE1BDB" w:rsidRPr="00FA4DC7" w:rsidRDefault="00CE1BDB" w:rsidP="00CE1BDB">
      <w:pPr>
        <w:pStyle w:val="Mapheading0"/>
        <w:tabs>
          <w:tab w:val="left" w:pos="709"/>
          <w:tab w:val="left" w:pos="1418"/>
        </w:tabs>
      </w:pPr>
      <w:bookmarkStart w:id="192" w:name="_Toc83035734"/>
      <w:r w:rsidRPr="00FA4DC7">
        <w:lastRenderedPageBreak/>
        <w:t>Map 2.</w:t>
      </w:r>
      <w:r w:rsidR="000957EE">
        <w:t>3</w:t>
      </w:r>
      <w:r w:rsidRPr="00FA4DC7">
        <w:tab/>
        <w:t>Household characteristics: income type, by LSOA, 2020</w:t>
      </w:r>
      <w:bookmarkEnd w:id="192"/>
    </w:p>
    <w:p w14:paraId="42783750" w14:textId="77777777" w:rsidR="00CE1BDB" w:rsidRPr="00FA4DC7" w:rsidRDefault="00CE1BDB" w:rsidP="00CE1BDB">
      <w:pPr>
        <w:rPr>
          <w:rFonts w:cs="Arial"/>
          <w:highlight w:val="yellow"/>
        </w:rPr>
      </w:pPr>
      <w:r w:rsidRPr="00FA4DC7">
        <w:rPr>
          <w:rFonts w:cs="Arial"/>
          <w:noProof/>
        </w:rPr>
        <w:drawing>
          <wp:inline distT="0" distB="0" distL="0" distR="0" wp14:anchorId="5FAD7BE7" wp14:editId="2A21AD5F">
            <wp:extent cx="7326924" cy="5177462"/>
            <wp:effectExtent l="0" t="0" r="1270" b="4445"/>
            <wp:docPr id="46" name="Picture 46" descr="Map showing household characteristics: income type LSO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 showing household characteristics: income type LSOA 2020"/>
                    <pic:cNvPicPr/>
                  </pic:nvPicPr>
                  <pic:blipFill>
                    <a:blip r:embed="rId36"/>
                    <a:stretch>
                      <a:fillRect/>
                    </a:stretch>
                  </pic:blipFill>
                  <pic:spPr>
                    <a:xfrm>
                      <a:off x="0" y="0"/>
                      <a:ext cx="7334807" cy="5183032"/>
                    </a:xfrm>
                    <a:prstGeom prst="rect">
                      <a:avLst/>
                    </a:prstGeom>
                  </pic:spPr>
                </pic:pic>
              </a:graphicData>
            </a:graphic>
          </wp:inline>
        </w:drawing>
      </w:r>
    </w:p>
    <w:p w14:paraId="1CA40058" w14:textId="77777777" w:rsidR="00CE1BDB" w:rsidRPr="00FA4DC7" w:rsidRDefault="00CE1BDB" w:rsidP="00CE1BDB">
      <w:pPr>
        <w:rPr>
          <w:rFonts w:cs="Arial"/>
          <w:sz w:val="22"/>
          <w:szCs w:val="22"/>
        </w:rPr>
      </w:pPr>
      <w:r w:rsidRPr="00FA4DC7">
        <w:rPr>
          <w:rFonts w:cs="Arial"/>
          <w:sz w:val="22"/>
          <w:szCs w:val="22"/>
        </w:rPr>
        <w:t xml:space="preserve">Source: CAMEO UK </w:t>
      </w:r>
    </w:p>
    <w:p w14:paraId="5AADE76A" w14:textId="77777777" w:rsidR="00CE1BDB" w:rsidRPr="00FA4DC7" w:rsidRDefault="00CE1BDB" w:rsidP="00CE1BDB">
      <w:pPr>
        <w:rPr>
          <w:rFonts w:cs="Arial"/>
          <w:b/>
          <w:color w:val="009999"/>
          <w:sz w:val="22"/>
          <w:highlight w:val="yellow"/>
          <w:lang w:eastAsia="en-US"/>
        </w:rPr>
      </w:pPr>
    </w:p>
    <w:p w14:paraId="5C93B73B" w14:textId="77777777" w:rsidR="00CE1BDB" w:rsidRPr="00FA4DC7" w:rsidRDefault="00CE1BDB" w:rsidP="00CE1BDB">
      <w:pPr>
        <w:pStyle w:val="Heading2"/>
        <w:ind w:left="0" w:firstLine="0"/>
        <w:rPr>
          <w:rFonts w:cs="Arial"/>
          <w:highlight w:val="yellow"/>
        </w:rPr>
        <w:sectPr w:rsidR="00CE1BDB" w:rsidRPr="00FA4DC7" w:rsidSect="00EF49A7">
          <w:pgSz w:w="16840" w:h="11907" w:orient="landscape" w:code="9"/>
          <w:pgMar w:top="1304" w:right="1559" w:bottom="1304" w:left="1304" w:header="720" w:footer="567" w:gutter="0"/>
          <w:cols w:space="708"/>
          <w:noEndnote/>
          <w:docGrid w:linePitch="326"/>
        </w:sectPr>
      </w:pPr>
    </w:p>
    <w:p w14:paraId="73065792" w14:textId="77777777" w:rsidR="00CE1BDB" w:rsidRPr="00FA4DC7" w:rsidRDefault="00CE1BDB" w:rsidP="00CE1BDB">
      <w:pPr>
        <w:pStyle w:val="Heading2"/>
        <w:ind w:left="720" w:hanging="11"/>
        <w:rPr>
          <w:rFonts w:cs="Arial"/>
        </w:rPr>
      </w:pPr>
      <w:bookmarkStart w:id="193" w:name="_Toc83035652"/>
      <w:r w:rsidRPr="00FA4DC7">
        <w:rPr>
          <w:rFonts w:cs="Arial"/>
        </w:rPr>
        <w:lastRenderedPageBreak/>
        <w:t>Income data</w:t>
      </w:r>
      <w:bookmarkEnd w:id="193"/>
    </w:p>
    <w:p w14:paraId="555A7353" w14:textId="77777777" w:rsidR="00CE1BDB" w:rsidRPr="00FA4DC7" w:rsidRDefault="00CE1BDB" w:rsidP="00CE1BDB">
      <w:pPr>
        <w:pStyle w:val="Reporttext"/>
        <w:rPr>
          <w:rFonts w:cs="Arial"/>
        </w:rPr>
      </w:pPr>
      <w:r w:rsidRPr="00FA4DC7">
        <w:rPr>
          <w:rFonts w:cs="Arial"/>
        </w:rPr>
        <w:t xml:space="preserve">There are a range of income data sources available to inform this study which are now summarised. 2021 CAMEO income data provide range, </w:t>
      </w:r>
      <w:proofErr w:type="gramStart"/>
      <w:r w:rsidRPr="00FA4DC7">
        <w:rPr>
          <w:rFonts w:cs="Arial"/>
        </w:rPr>
        <w:t>quartile</w:t>
      </w:r>
      <w:proofErr w:type="gramEnd"/>
      <w:r w:rsidRPr="00FA4DC7">
        <w:rPr>
          <w:rFonts w:cs="Arial"/>
        </w:rPr>
        <w:t xml:space="preserve"> and average data of gross household income by urban ward and rural parish. ONS Annual Survey of Hours and Earnings data provides gross earnings of economically active residents at district level.</w:t>
      </w:r>
    </w:p>
    <w:p w14:paraId="0A071797" w14:textId="77777777" w:rsidR="00CE1BDB" w:rsidRPr="00FA4DC7" w:rsidRDefault="00CE1BDB" w:rsidP="00CE1BDB">
      <w:pPr>
        <w:pStyle w:val="Reporttext"/>
        <w:rPr>
          <w:rFonts w:cs="Arial"/>
        </w:rPr>
      </w:pPr>
      <w:r w:rsidRPr="00FA4DC7">
        <w:rPr>
          <w:rFonts w:cs="Arial"/>
        </w:rPr>
        <w:t xml:space="preserve">Table 2.20 summarises gross income by rural parish and urban ward using 2020 CAMEO UK data and indicates a borough-wide lower quartile household income of £25,000 and an average of £33,307. Highest average incomes were in Hempstead and </w:t>
      </w:r>
      <w:proofErr w:type="spellStart"/>
      <w:r w:rsidRPr="00FA4DC7">
        <w:rPr>
          <w:rFonts w:cs="Arial"/>
        </w:rPr>
        <w:t>Wigmore</w:t>
      </w:r>
      <w:proofErr w:type="spellEnd"/>
      <w:r w:rsidRPr="00FA4DC7">
        <w:rPr>
          <w:rFonts w:cs="Arial"/>
        </w:rPr>
        <w:t xml:space="preserve"> and lowest in Luton and </w:t>
      </w:r>
      <w:proofErr w:type="spellStart"/>
      <w:r w:rsidRPr="00FA4DC7">
        <w:rPr>
          <w:rFonts w:cs="Arial"/>
        </w:rPr>
        <w:t>Wayfield</w:t>
      </w:r>
      <w:proofErr w:type="spellEnd"/>
      <w:r w:rsidRPr="00FA4DC7">
        <w:rPr>
          <w:rFonts w:cs="Arial"/>
        </w:rPr>
        <w:t xml:space="preserve">. </w:t>
      </w:r>
    </w:p>
    <w:p w14:paraId="4D20A690" w14:textId="77777777" w:rsidR="00CE1BDB" w:rsidRPr="00FA4DC7" w:rsidRDefault="00CE1BDB" w:rsidP="00CE1BDB">
      <w:pPr>
        <w:pStyle w:val="Reporttext"/>
        <w:rPr>
          <w:rFonts w:cs="Arial"/>
        </w:rPr>
        <w:sectPr w:rsidR="00CE1BDB" w:rsidRPr="00FA4DC7" w:rsidSect="00EF49A7">
          <w:pgSz w:w="11907" w:h="16840" w:code="9"/>
          <w:pgMar w:top="1304" w:right="1304" w:bottom="1559" w:left="1304" w:header="720" w:footer="567" w:gutter="0"/>
          <w:cols w:space="708"/>
          <w:noEndnote/>
          <w:docGrid w:linePitch="326"/>
        </w:sectPr>
      </w:pPr>
      <w:r w:rsidRPr="00FA4DC7">
        <w:rPr>
          <w:rFonts w:cs="Arial"/>
        </w:rPr>
        <w:t>The 2020 Annual Survey of Hours and Earnings resident-based data indicates lower quartile earnings are £23,397, median earnings are £33,259 and average earnings are £</w:t>
      </w:r>
      <w:proofErr w:type="gramStart"/>
      <w:r w:rsidRPr="00FA4DC7">
        <w:rPr>
          <w:rFonts w:cs="Arial"/>
        </w:rPr>
        <w:t>37,923  across</w:t>
      </w:r>
      <w:proofErr w:type="gramEnd"/>
      <w:r w:rsidRPr="00FA4DC7">
        <w:rPr>
          <w:rFonts w:cs="Arial"/>
        </w:rPr>
        <w:t xml:space="preserve"> Medway.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735"/>
        <w:gridCol w:w="1288"/>
        <w:gridCol w:w="1115"/>
        <w:gridCol w:w="1064"/>
        <w:gridCol w:w="1064"/>
        <w:gridCol w:w="1064"/>
        <w:gridCol w:w="980"/>
        <w:gridCol w:w="888"/>
        <w:gridCol w:w="905"/>
        <w:gridCol w:w="905"/>
        <w:gridCol w:w="925"/>
      </w:tblGrid>
      <w:tr w:rsidR="00263141" w:rsidRPr="00263141" w14:paraId="2B0079B4" w14:textId="77777777" w:rsidTr="00263141">
        <w:trPr>
          <w:trHeight w:val="302"/>
        </w:trPr>
        <w:tc>
          <w:tcPr>
            <w:tcW w:w="5000" w:type="pct"/>
            <w:gridSpan w:val="12"/>
            <w:shd w:val="clear" w:color="000000" w:fill="009999"/>
            <w:noWrap/>
            <w:vAlign w:val="center"/>
          </w:tcPr>
          <w:p w14:paraId="4B9840F3" w14:textId="19E9DD7A" w:rsidR="00263141" w:rsidRPr="00263141" w:rsidRDefault="00263141" w:rsidP="00263141">
            <w:pPr>
              <w:pStyle w:val="Tableheading1"/>
              <w:rPr>
                <w:color w:val="FFFFFF"/>
              </w:rPr>
            </w:pPr>
            <w:bookmarkStart w:id="194" w:name="_Toc83036073"/>
            <w:r w:rsidRPr="00263141">
              <w:lastRenderedPageBreak/>
              <w:t>Table 2.20a</w:t>
            </w:r>
            <w:r w:rsidRPr="00263141">
              <w:tab/>
              <w:t>Gross household income by ward</w:t>
            </w:r>
            <w:bookmarkEnd w:id="194"/>
          </w:p>
        </w:tc>
      </w:tr>
      <w:tr w:rsidR="00185CB9" w:rsidRPr="00263141" w14:paraId="3D0FC260" w14:textId="77777777" w:rsidTr="00185CB9">
        <w:trPr>
          <w:trHeight w:val="302"/>
        </w:trPr>
        <w:tc>
          <w:tcPr>
            <w:tcW w:w="1086" w:type="pct"/>
            <w:vMerge w:val="restart"/>
            <w:shd w:val="clear" w:color="000000" w:fill="009999"/>
            <w:noWrap/>
            <w:vAlign w:val="bottom"/>
            <w:hideMark/>
          </w:tcPr>
          <w:p w14:paraId="192C9268" w14:textId="77777777" w:rsidR="00185CB9" w:rsidRPr="00185CB9" w:rsidRDefault="00185CB9" w:rsidP="00263141">
            <w:pPr>
              <w:rPr>
                <w:rFonts w:cs="Arial"/>
                <w:b/>
                <w:bCs/>
                <w:color w:val="FFFFFF"/>
                <w:sz w:val="20"/>
                <w:szCs w:val="20"/>
              </w:rPr>
            </w:pPr>
            <w:r w:rsidRPr="00185CB9">
              <w:rPr>
                <w:rFonts w:cs="Arial"/>
                <w:b/>
                <w:bCs/>
                <w:color w:val="FFFFFF"/>
                <w:sz w:val="20"/>
                <w:szCs w:val="20"/>
              </w:rPr>
              <w:t>Ward</w:t>
            </w:r>
          </w:p>
        </w:tc>
        <w:tc>
          <w:tcPr>
            <w:tcW w:w="2617" w:type="pct"/>
            <w:gridSpan w:val="7"/>
            <w:shd w:val="clear" w:color="000000" w:fill="009193"/>
            <w:noWrap/>
            <w:vAlign w:val="bottom"/>
            <w:hideMark/>
          </w:tcPr>
          <w:p w14:paraId="5A66D0C8" w14:textId="77777777" w:rsidR="00185CB9" w:rsidRPr="00185CB9" w:rsidRDefault="00185CB9" w:rsidP="00263141">
            <w:pPr>
              <w:jc w:val="center"/>
              <w:rPr>
                <w:rFonts w:cs="Arial"/>
                <w:b/>
                <w:bCs/>
                <w:color w:val="FFFFFF"/>
                <w:sz w:val="20"/>
                <w:szCs w:val="20"/>
              </w:rPr>
            </w:pPr>
            <w:r w:rsidRPr="00185CB9">
              <w:rPr>
                <w:rFonts w:cs="Arial"/>
                <w:b/>
                <w:bCs/>
                <w:color w:val="FFFFFF"/>
                <w:sz w:val="20"/>
                <w:szCs w:val="20"/>
              </w:rPr>
              <w:t>Annual gross household income</w:t>
            </w:r>
          </w:p>
        </w:tc>
        <w:tc>
          <w:tcPr>
            <w:tcW w:w="318" w:type="pct"/>
            <w:vMerge w:val="restart"/>
            <w:shd w:val="clear" w:color="000000" w:fill="009193"/>
            <w:vAlign w:val="bottom"/>
          </w:tcPr>
          <w:p w14:paraId="5DF96889" w14:textId="397B1EB4" w:rsidR="00185CB9" w:rsidRPr="00185CB9" w:rsidRDefault="00185CB9" w:rsidP="00EF49A7">
            <w:pPr>
              <w:jc w:val="center"/>
              <w:rPr>
                <w:rFonts w:cs="Arial"/>
                <w:b/>
                <w:bCs/>
                <w:color w:val="FFFFFF"/>
                <w:sz w:val="20"/>
                <w:szCs w:val="20"/>
              </w:rPr>
            </w:pPr>
            <w:r w:rsidRPr="00185CB9">
              <w:rPr>
                <w:rFonts w:cs="Arial"/>
                <w:b/>
                <w:bCs/>
                <w:color w:val="FFFFFF"/>
                <w:sz w:val="20"/>
                <w:szCs w:val="20"/>
              </w:rPr>
              <w:t>Total</w:t>
            </w:r>
          </w:p>
        </w:tc>
        <w:tc>
          <w:tcPr>
            <w:tcW w:w="324" w:type="pct"/>
            <w:vMerge w:val="restart"/>
            <w:shd w:val="clear" w:color="000000" w:fill="009193"/>
            <w:tcMar>
              <w:left w:w="0" w:type="dxa"/>
              <w:right w:w="0" w:type="dxa"/>
            </w:tcMar>
            <w:vAlign w:val="bottom"/>
            <w:hideMark/>
          </w:tcPr>
          <w:p w14:paraId="442C37EC" w14:textId="77777777" w:rsidR="00185CB9" w:rsidRPr="00185CB9" w:rsidRDefault="00185CB9" w:rsidP="00263141">
            <w:pPr>
              <w:jc w:val="center"/>
              <w:rPr>
                <w:rFonts w:cs="Arial"/>
                <w:b/>
                <w:bCs/>
                <w:color w:val="FFFFFF"/>
                <w:sz w:val="20"/>
                <w:szCs w:val="20"/>
              </w:rPr>
            </w:pPr>
            <w:r w:rsidRPr="00185CB9">
              <w:rPr>
                <w:rFonts w:cs="Arial"/>
                <w:b/>
                <w:bCs/>
                <w:color w:val="FFFFFF"/>
                <w:sz w:val="20"/>
                <w:szCs w:val="20"/>
              </w:rPr>
              <w:t>Lower Quartile</w:t>
            </w:r>
          </w:p>
        </w:tc>
        <w:tc>
          <w:tcPr>
            <w:tcW w:w="324" w:type="pct"/>
            <w:vMerge w:val="restart"/>
            <w:shd w:val="clear" w:color="000000" w:fill="009193"/>
            <w:noWrap/>
            <w:tcMar>
              <w:left w:w="0" w:type="dxa"/>
              <w:right w:w="0" w:type="dxa"/>
            </w:tcMar>
            <w:vAlign w:val="bottom"/>
            <w:hideMark/>
          </w:tcPr>
          <w:p w14:paraId="6F6A1EA4" w14:textId="77777777" w:rsidR="00185CB9" w:rsidRPr="00185CB9" w:rsidRDefault="00185CB9" w:rsidP="00263141">
            <w:pPr>
              <w:jc w:val="center"/>
              <w:rPr>
                <w:rFonts w:cs="Arial"/>
                <w:b/>
                <w:bCs/>
                <w:color w:val="FFFFFF"/>
                <w:sz w:val="20"/>
                <w:szCs w:val="20"/>
              </w:rPr>
            </w:pPr>
            <w:r w:rsidRPr="00185CB9">
              <w:rPr>
                <w:rFonts w:cs="Arial"/>
                <w:b/>
                <w:bCs/>
                <w:color w:val="FFFFFF"/>
                <w:sz w:val="20"/>
                <w:szCs w:val="20"/>
              </w:rPr>
              <w:t>Median</w:t>
            </w:r>
          </w:p>
        </w:tc>
        <w:tc>
          <w:tcPr>
            <w:tcW w:w="331" w:type="pct"/>
            <w:vMerge w:val="restart"/>
            <w:shd w:val="clear" w:color="000000" w:fill="009193"/>
            <w:noWrap/>
            <w:tcMar>
              <w:left w:w="0" w:type="dxa"/>
              <w:right w:w="0" w:type="dxa"/>
            </w:tcMar>
            <w:vAlign w:val="bottom"/>
            <w:hideMark/>
          </w:tcPr>
          <w:p w14:paraId="55266579" w14:textId="77777777" w:rsidR="00185CB9" w:rsidRPr="00185CB9" w:rsidRDefault="00185CB9" w:rsidP="00263141">
            <w:pPr>
              <w:jc w:val="center"/>
              <w:rPr>
                <w:rFonts w:cs="Arial"/>
                <w:b/>
                <w:bCs/>
                <w:color w:val="FFFFFF"/>
                <w:sz w:val="20"/>
                <w:szCs w:val="20"/>
              </w:rPr>
            </w:pPr>
            <w:r w:rsidRPr="00185CB9">
              <w:rPr>
                <w:rFonts w:cs="Arial"/>
                <w:b/>
                <w:bCs/>
                <w:color w:val="FFFFFF"/>
                <w:sz w:val="20"/>
                <w:szCs w:val="20"/>
              </w:rPr>
              <w:t>Average</w:t>
            </w:r>
          </w:p>
        </w:tc>
      </w:tr>
      <w:tr w:rsidR="00185CB9" w:rsidRPr="00263141" w14:paraId="2D6E84F2" w14:textId="77777777" w:rsidTr="00185CB9">
        <w:trPr>
          <w:trHeight w:val="326"/>
        </w:trPr>
        <w:tc>
          <w:tcPr>
            <w:tcW w:w="1086" w:type="pct"/>
            <w:vMerge/>
            <w:vAlign w:val="center"/>
            <w:hideMark/>
          </w:tcPr>
          <w:p w14:paraId="20A0BA8A" w14:textId="77777777" w:rsidR="00185CB9" w:rsidRPr="00263141" w:rsidRDefault="00185CB9" w:rsidP="00EF49A7">
            <w:pPr>
              <w:rPr>
                <w:rFonts w:cs="Arial"/>
                <w:b/>
                <w:bCs/>
                <w:color w:val="FFFFFF"/>
                <w:sz w:val="20"/>
                <w:szCs w:val="20"/>
              </w:rPr>
            </w:pPr>
          </w:p>
        </w:tc>
        <w:tc>
          <w:tcPr>
            <w:tcW w:w="263" w:type="pct"/>
            <w:shd w:val="clear" w:color="000000" w:fill="009193"/>
            <w:noWrap/>
            <w:vAlign w:val="center"/>
            <w:hideMark/>
          </w:tcPr>
          <w:p w14:paraId="5120F58E" w14:textId="77777777" w:rsidR="00185CB9" w:rsidRPr="00263141" w:rsidRDefault="00185CB9" w:rsidP="00EF49A7">
            <w:pPr>
              <w:jc w:val="center"/>
              <w:rPr>
                <w:rFonts w:cs="Arial"/>
                <w:color w:val="FFFFFF"/>
                <w:sz w:val="20"/>
                <w:szCs w:val="20"/>
              </w:rPr>
            </w:pPr>
            <w:r w:rsidRPr="00263141">
              <w:rPr>
                <w:rFonts w:cs="Arial"/>
                <w:color w:val="FFFFFF"/>
                <w:sz w:val="20"/>
                <w:szCs w:val="20"/>
              </w:rPr>
              <w:t>&lt;£10k</w:t>
            </w:r>
          </w:p>
        </w:tc>
        <w:tc>
          <w:tcPr>
            <w:tcW w:w="461" w:type="pct"/>
            <w:shd w:val="clear" w:color="000000" w:fill="009193"/>
            <w:noWrap/>
            <w:vAlign w:val="center"/>
            <w:hideMark/>
          </w:tcPr>
          <w:p w14:paraId="787935FA" w14:textId="77777777" w:rsidR="00185CB9" w:rsidRPr="00263141" w:rsidRDefault="00185CB9" w:rsidP="00EF49A7">
            <w:pPr>
              <w:jc w:val="center"/>
              <w:rPr>
                <w:rFonts w:cs="Arial"/>
                <w:color w:val="FFFFFF"/>
                <w:sz w:val="20"/>
                <w:szCs w:val="20"/>
              </w:rPr>
            </w:pPr>
            <w:r w:rsidRPr="00263141">
              <w:rPr>
                <w:rFonts w:cs="Arial"/>
                <w:color w:val="FFFFFF"/>
                <w:sz w:val="20"/>
                <w:szCs w:val="20"/>
              </w:rPr>
              <w:t>£10k to &lt;£20k</w:t>
            </w:r>
          </w:p>
        </w:tc>
        <w:tc>
          <w:tcPr>
            <w:tcW w:w="399" w:type="pct"/>
            <w:shd w:val="clear" w:color="000000" w:fill="009193"/>
            <w:noWrap/>
            <w:tcMar>
              <w:left w:w="0" w:type="dxa"/>
              <w:right w:w="0" w:type="dxa"/>
            </w:tcMar>
            <w:vAlign w:val="center"/>
            <w:hideMark/>
          </w:tcPr>
          <w:p w14:paraId="5D18BF84" w14:textId="77777777" w:rsidR="00185CB9" w:rsidRPr="00263141" w:rsidRDefault="00185CB9" w:rsidP="00EF49A7">
            <w:pPr>
              <w:jc w:val="center"/>
              <w:rPr>
                <w:rFonts w:cs="Arial"/>
                <w:color w:val="FFFFFF"/>
                <w:sz w:val="20"/>
                <w:szCs w:val="20"/>
              </w:rPr>
            </w:pPr>
            <w:r w:rsidRPr="00263141">
              <w:rPr>
                <w:rFonts w:cs="Arial"/>
                <w:color w:val="FFFFFF"/>
                <w:sz w:val="20"/>
                <w:szCs w:val="20"/>
              </w:rPr>
              <w:t>£20k -&lt;£30k</w:t>
            </w:r>
          </w:p>
        </w:tc>
        <w:tc>
          <w:tcPr>
            <w:tcW w:w="381" w:type="pct"/>
            <w:shd w:val="clear" w:color="000000" w:fill="009193"/>
            <w:noWrap/>
            <w:vAlign w:val="center"/>
            <w:hideMark/>
          </w:tcPr>
          <w:p w14:paraId="197802FF" w14:textId="77777777" w:rsidR="00185CB9" w:rsidRPr="00263141" w:rsidRDefault="00185CB9" w:rsidP="00EF49A7">
            <w:pPr>
              <w:jc w:val="center"/>
              <w:rPr>
                <w:rFonts w:cs="Arial"/>
                <w:color w:val="FFFFFF"/>
                <w:sz w:val="20"/>
                <w:szCs w:val="20"/>
              </w:rPr>
            </w:pPr>
            <w:r w:rsidRPr="00263141">
              <w:rPr>
                <w:rFonts w:cs="Arial"/>
                <w:color w:val="FFFFFF"/>
                <w:sz w:val="20"/>
                <w:szCs w:val="20"/>
              </w:rPr>
              <w:t>£30k-&lt;£40k</w:t>
            </w:r>
          </w:p>
        </w:tc>
        <w:tc>
          <w:tcPr>
            <w:tcW w:w="381" w:type="pct"/>
            <w:shd w:val="clear" w:color="000000" w:fill="009193"/>
            <w:noWrap/>
            <w:vAlign w:val="center"/>
            <w:hideMark/>
          </w:tcPr>
          <w:p w14:paraId="2C17B486" w14:textId="77777777" w:rsidR="00185CB9" w:rsidRPr="00263141" w:rsidRDefault="00185CB9" w:rsidP="00EF49A7">
            <w:pPr>
              <w:jc w:val="center"/>
              <w:rPr>
                <w:rFonts w:cs="Arial"/>
                <w:color w:val="FFFFFF"/>
                <w:sz w:val="20"/>
                <w:szCs w:val="20"/>
              </w:rPr>
            </w:pPr>
            <w:r w:rsidRPr="00263141">
              <w:rPr>
                <w:rFonts w:cs="Arial"/>
                <w:color w:val="FFFFFF"/>
                <w:sz w:val="20"/>
                <w:szCs w:val="20"/>
              </w:rPr>
              <w:t>£40k-&lt;£50k</w:t>
            </w:r>
          </w:p>
        </w:tc>
        <w:tc>
          <w:tcPr>
            <w:tcW w:w="381" w:type="pct"/>
            <w:shd w:val="clear" w:color="000000" w:fill="009193"/>
            <w:noWrap/>
            <w:vAlign w:val="center"/>
            <w:hideMark/>
          </w:tcPr>
          <w:p w14:paraId="247541E3" w14:textId="77777777" w:rsidR="00185CB9" w:rsidRPr="00263141" w:rsidRDefault="00185CB9" w:rsidP="00EF49A7">
            <w:pPr>
              <w:jc w:val="center"/>
              <w:rPr>
                <w:rFonts w:cs="Arial"/>
                <w:color w:val="FFFFFF"/>
                <w:sz w:val="20"/>
                <w:szCs w:val="20"/>
              </w:rPr>
            </w:pPr>
            <w:r w:rsidRPr="00263141">
              <w:rPr>
                <w:rFonts w:cs="Arial"/>
                <w:color w:val="FFFFFF"/>
                <w:sz w:val="20"/>
                <w:szCs w:val="20"/>
              </w:rPr>
              <w:t>£50k-&lt;£75k</w:t>
            </w:r>
          </w:p>
        </w:tc>
        <w:tc>
          <w:tcPr>
            <w:tcW w:w="351" w:type="pct"/>
            <w:shd w:val="clear" w:color="000000" w:fill="009193"/>
            <w:noWrap/>
            <w:vAlign w:val="center"/>
            <w:hideMark/>
          </w:tcPr>
          <w:p w14:paraId="416D66B3" w14:textId="77777777" w:rsidR="00185CB9" w:rsidRPr="00263141" w:rsidRDefault="00185CB9" w:rsidP="00EF49A7">
            <w:pPr>
              <w:jc w:val="center"/>
              <w:rPr>
                <w:rFonts w:cs="Arial"/>
                <w:color w:val="FFFFFF"/>
                <w:sz w:val="20"/>
                <w:szCs w:val="20"/>
              </w:rPr>
            </w:pPr>
            <w:r w:rsidRPr="00263141">
              <w:rPr>
                <w:rFonts w:cs="Arial"/>
                <w:color w:val="FFFFFF"/>
                <w:sz w:val="20"/>
                <w:szCs w:val="20"/>
              </w:rPr>
              <w:t>£75k or more</w:t>
            </w:r>
          </w:p>
        </w:tc>
        <w:tc>
          <w:tcPr>
            <w:tcW w:w="318" w:type="pct"/>
            <w:vMerge/>
            <w:shd w:val="clear" w:color="000000" w:fill="009193"/>
            <w:vAlign w:val="center"/>
            <w:hideMark/>
          </w:tcPr>
          <w:p w14:paraId="1D09B493" w14:textId="44A2ED6C" w:rsidR="00185CB9" w:rsidRPr="00263141" w:rsidRDefault="00185CB9" w:rsidP="00EF49A7">
            <w:pPr>
              <w:jc w:val="center"/>
              <w:rPr>
                <w:rFonts w:cs="Arial"/>
                <w:color w:val="FFFFFF"/>
                <w:sz w:val="20"/>
                <w:szCs w:val="20"/>
              </w:rPr>
            </w:pPr>
          </w:p>
        </w:tc>
        <w:tc>
          <w:tcPr>
            <w:tcW w:w="324" w:type="pct"/>
            <w:vMerge/>
            <w:vAlign w:val="center"/>
            <w:hideMark/>
          </w:tcPr>
          <w:p w14:paraId="18613330" w14:textId="77777777" w:rsidR="00185CB9" w:rsidRPr="00263141" w:rsidRDefault="00185CB9" w:rsidP="00EF49A7">
            <w:pPr>
              <w:rPr>
                <w:rFonts w:cs="Arial"/>
                <w:color w:val="FFFFFF"/>
                <w:sz w:val="20"/>
                <w:szCs w:val="20"/>
              </w:rPr>
            </w:pPr>
          </w:p>
        </w:tc>
        <w:tc>
          <w:tcPr>
            <w:tcW w:w="324" w:type="pct"/>
            <w:vMerge/>
            <w:vAlign w:val="center"/>
            <w:hideMark/>
          </w:tcPr>
          <w:p w14:paraId="63F56C5C" w14:textId="77777777" w:rsidR="00185CB9" w:rsidRPr="00263141" w:rsidRDefault="00185CB9" w:rsidP="00EF49A7">
            <w:pPr>
              <w:rPr>
                <w:rFonts w:cs="Arial"/>
                <w:color w:val="FFFFFF"/>
                <w:sz w:val="20"/>
                <w:szCs w:val="20"/>
              </w:rPr>
            </w:pPr>
          </w:p>
        </w:tc>
        <w:tc>
          <w:tcPr>
            <w:tcW w:w="331" w:type="pct"/>
            <w:vMerge/>
            <w:vAlign w:val="center"/>
            <w:hideMark/>
          </w:tcPr>
          <w:p w14:paraId="594B00E7" w14:textId="77777777" w:rsidR="00185CB9" w:rsidRPr="00263141" w:rsidRDefault="00185CB9" w:rsidP="00EF49A7">
            <w:pPr>
              <w:rPr>
                <w:rFonts w:cs="Arial"/>
                <w:color w:val="FFFFFF"/>
                <w:sz w:val="20"/>
                <w:szCs w:val="20"/>
              </w:rPr>
            </w:pPr>
          </w:p>
        </w:tc>
      </w:tr>
      <w:tr w:rsidR="00CE1BDB" w:rsidRPr="00263141" w14:paraId="55C7C59A" w14:textId="77777777" w:rsidTr="00185CB9">
        <w:trPr>
          <w:trHeight w:val="326"/>
        </w:trPr>
        <w:tc>
          <w:tcPr>
            <w:tcW w:w="1086" w:type="pct"/>
            <w:shd w:val="clear" w:color="auto" w:fill="auto"/>
            <w:noWrap/>
            <w:vAlign w:val="center"/>
            <w:hideMark/>
          </w:tcPr>
          <w:p w14:paraId="03EF0864" w14:textId="77777777" w:rsidR="00CE1BDB" w:rsidRPr="00263141" w:rsidRDefault="00CE1BDB" w:rsidP="00EF49A7">
            <w:pPr>
              <w:jc w:val="both"/>
              <w:rPr>
                <w:rFonts w:cs="Arial"/>
                <w:color w:val="000000"/>
                <w:sz w:val="20"/>
                <w:szCs w:val="20"/>
              </w:rPr>
            </w:pPr>
            <w:r w:rsidRPr="00263141">
              <w:rPr>
                <w:rFonts w:cs="Arial"/>
                <w:color w:val="000000"/>
                <w:sz w:val="20"/>
                <w:szCs w:val="20"/>
              </w:rPr>
              <w:t>Chatham Central</w:t>
            </w:r>
          </w:p>
        </w:tc>
        <w:tc>
          <w:tcPr>
            <w:tcW w:w="263" w:type="pct"/>
            <w:shd w:val="clear" w:color="auto" w:fill="auto"/>
            <w:noWrap/>
            <w:tcMar>
              <w:left w:w="0" w:type="dxa"/>
            </w:tcMar>
            <w:vAlign w:val="bottom"/>
            <w:hideMark/>
          </w:tcPr>
          <w:p w14:paraId="04219AF4" w14:textId="77777777" w:rsidR="00CE1BDB" w:rsidRPr="00263141" w:rsidRDefault="00CE1BDB" w:rsidP="00EF49A7">
            <w:pPr>
              <w:jc w:val="right"/>
              <w:rPr>
                <w:rFonts w:cs="Arial"/>
                <w:color w:val="000000"/>
                <w:sz w:val="20"/>
                <w:szCs w:val="20"/>
              </w:rPr>
            </w:pPr>
            <w:r w:rsidRPr="00263141">
              <w:rPr>
                <w:rFonts w:cs="Arial"/>
                <w:color w:val="000000"/>
                <w:sz w:val="20"/>
                <w:szCs w:val="20"/>
              </w:rPr>
              <w:t>1.5%</w:t>
            </w:r>
          </w:p>
        </w:tc>
        <w:tc>
          <w:tcPr>
            <w:tcW w:w="461" w:type="pct"/>
            <w:shd w:val="clear" w:color="auto" w:fill="auto"/>
            <w:noWrap/>
            <w:tcMar>
              <w:left w:w="0" w:type="dxa"/>
            </w:tcMar>
            <w:vAlign w:val="bottom"/>
            <w:hideMark/>
          </w:tcPr>
          <w:p w14:paraId="18424614" w14:textId="77777777" w:rsidR="00CE1BDB" w:rsidRPr="00263141" w:rsidRDefault="00CE1BDB" w:rsidP="00EF49A7">
            <w:pPr>
              <w:jc w:val="right"/>
              <w:rPr>
                <w:rFonts w:cs="Arial"/>
                <w:color w:val="000000"/>
                <w:sz w:val="20"/>
                <w:szCs w:val="20"/>
              </w:rPr>
            </w:pPr>
            <w:r w:rsidRPr="00263141">
              <w:rPr>
                <w:rFonts w:cs="Arial"/>
                <w:color w:val="000000"/>
                <w:sz w:val="20"/>
                <w:szCs w:val="20"/>
              </w:rPr>
              <w:t>29.3%</w:t>
            </w:r>
          </w:p>
        </w:tc>
        <w:tc>
          <w:tcPr>
            <w:tcW w:w="399" w:type="pct"/>
            <w:shd w:val="clear" w:color="auto" w:fill="auto"/>
            <w:noWrap/>
            <w:tcMar>
              <w:left w:w="0" w:type="dxa"/>
            </w:tcMar>
            <w:vAlign w:val="bottom"/>
            <w:hideMark/>
          </w:tcPr>
          <w:p w14:paraId="41873306" w14:textId="77777777" w:rsidR="00CE1BDB" w:rsidRPr="00263141" w:rsidRDefault="00CE1BDB" w:rsidP="00EF49A7">
            <w:pPr>
              <w:jc w:val="right"/>
              <w:rPr>
                <w:rFonts w:cs="Arial"/>
                <w:color w:val="000000"/>
                <w:sz w:val="20"/>
                <w:szCs w:val="20"/>
              </w:rPr>
            </w:pPr>
            <w:r w:rsidRPr="00263141">
              <w:rPr>
                <w:rFonts w:cs="Arial"/>
                <w:color w:val="000000"/>
                <w:sz w:val="20"/>
                <w:szCs w:val="20"/>
              </w:rPr>
              <w:t>45.2%</w:t>
            </w:r>
          </w:p>
        </w:tc>
        <w:tc>
          <w:tcPr>
            <w:tcW w:w="381" w:type="pct"/>
            <w:shd w:val="clear" w:color="auto" w:fill="auto"/>
            <w:noWrap/>
            <w:tcMar>
              <w:left w:w="0" w:type="dxa"/>
            </w:tcMar>
            <w:vAlign w:val="bottom"/>
            <w:hideMark/>
          </w:tcPr>
          <w:p w14:paraId="7ABD4B23" w14:textId="77777777" w:rsidR="00CE1BDB" w:rsidRPr="00263141" w:rsidRDefault="00CE1BDB" w:rsidP="00EF49A7">
            <w:pPr>
              <w:jc w:val="right"/>
              <w:rPr>
                <w:rFonts w:cs="Arial"/>
                <w:color w:val="000000"/>
                <w:sz w:val="20"/>
                <w:szCs w:val="20"/>
              </w:rPr>
            </w:pPr>
            <w:r w:rsidRPr="00263141">
              <w:rPr>
                <w:rFonts w:cs="Arial"/>
                <w:color w:val="000000"/>
                <w:sz w:val="20"/>
                <w:szCs w:val="20"/>
              </w:rPr>
              <w:t>20.0%</w:t>
            </w:r>
          </w:p>
        </w:tc>
        <w:tc>
          <w:tcPr>
            <w:tcW w:w="381" w:type="pct"/>
            <w:shd w:val="clear" w:color="auto" w:fill="auto"/>
            <w:noWrap/>
            <w:tcMar>
              <w:left w:w="0" w:type="dxa"/>
            </w:tcMar>
            <w:vAlign w:val="bottom"/>
            <w:hideMark/>
          </w:tcPr>
          <w:p w14:paraId="4AF87560" w14:textId="77777777" w:rsidR="00CE1BDB" w:rsidRPr="00263141" w:rsidRDefault="00CE1BDB" w:rsidP="00EF49A7">
            <w:pPr>
              <w:jc w:val="right"/>
              <w:rPr>
                <w:rFonts w:cs="Arial"/>
                <w:color w:val="000000"/>
                <w:sz w:val="20"/>
                <w:szCs w:val="20"/>
              </w:rPr>
            </w:pPr>
            <w:r w:rsidRPr="00263141">
              <w:rPr>
                <w:rFonts w:cs="Arial"/>
                <w:color w:val="000000"/>
                <w:sz w:val="20"/>
                <w:szCs w:val="20"/>
              </w:rPr>
              <w:t>3.7%</w:t>
            </w:r>
          </w:p>
        </w:tc>
        <w:tc>
          <w:tcPr>
            <w:tcW w:w="381" w:type="pct"/>
            <w:shd w:val="clear" w:color="auto" w:fill="auto"/>
            <w:noWrap/>
            <w:tcMar>
              <w:left w:w="0" w:type="dxa"/>
            </w:tcMar>
            <w:vAlign w:val="bottom"/>
            <w:hideMark/>
          </w:tcPr>
          <w:p w14:paraId="38BBC0DD" w14:textId="77777777" w:rsidR="00CE1BDB" w:rsidRPr="00263141" w:rsidRDefault="00CE1BDB" w:rsidP="00EF49A7">
            <w:pPr>
              <w:jc w:val="right"/>
              <w:rPr>
                <w:rFonts w:cs="Arial"/>
                <w:color w:val="000000"/>
                <w:sz w:val="20"/>
                <w:szCs w:val="20"/>
              </w:rPr>
            </w:pPr>
            <w:r w:rsidRPr="00263141">
              <w:rPr>
                <w:rFonts w:cs="Arial"/>
                <w:color w:val="000000"/>
                <w:sz w:val="20"/>
                <w:szCs w:val="20"/>
              </w:rPr>
              <w:t>0.3%</w:t>
            </w:r>
          </w:p>
        </w:tc>
        <w:tc>
          <w:tcPr>
            <w:tcW w:w="351" w:type="pct"/>
            <w:shd w:val="clear" w:color="auto" w:fill="auto"/>
            <w:noWrap/>
            <w:tcMar>
              <w:left w:w="0" w:type="dxa"/>
            </w:tcMar>
            <w:vAlign w:val="bottom"/>
            <w:hideMark/>
          </w:tcPr>
          <w:p w14:paraId="15E2A1B9"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3262FBF7"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1A6910B1"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4BB22799"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0CA5F57F" w14:textId="77777777" w:rsidR="00CE1BDB" w:rsidRPr="00263141" w:rsidRDefault="00CE1BDB" w:rsidP="00EF49A7">
            <w:pPr>
              <w:jc w:val="right"/>
              <w:rPr>
                <w:rFonts w:cs="Arial"/>
                <w:color w:val="000000"/>
                <w:sz w:val="20"/>
                <w:szCs w:val="20"/>
              </w:rPr>
            </w:pPr>
            <w:r w:rsidRPr="00263141">
              <w:rPr>
                <w:rFonts w:cs="Arial"/>
                <w:color w:val="000000"/>
                <w:sz w:val="20"/>
                <w:szCs w:val="20"/>
              </w:rPr>
              <w:t>£24,802</w:t>
            </w:r>
          </w:p>
        </w:tc>
      </w:tr>
      <w:tr w:rsidR="00CE1BDB" w:rsidRPr="00263141" w14:paraId="25269D44" w14:textId="77777777" w:rsidTr="00185CB9">
        <w:trPr>
          <w:trHeight w:val="84"/>
        </w:trPr>
        <w:tc>
          <w:tcPr>
            <w:tcW w:w="1086" w:type="pct"/>
            <w:shd w:val="clear" w:color="auto" w:fill="auto"/>
            <w:noWrap/>
            <w:vAlign w:val="center"/>
            <w:hideMark/>
          </w:tcPr>
          <w:p w14:paraId="6BF4952F" w14:textId="77777777" w:rsidR="00CE1BDB" w:rsidRPr="00263141" w:rsidRDefault="00CE1BDB" w:rsidP="00EF49A7">
            <w:pPr>
              <w:jc w:val="both"/>
              <w:rPr>
                <w:rFonts w:cs="Arial"/>
                <w:color w:val="000000"/>
                <w:sz w:val="20"/>
                <w:szCs w:val="20"/>
              </w:rPr>
            </w:pPr>
            <w:proofErr w:type="spellStart"/>
            <w:r w:rsidRPr="00263141">
              <w:rPr>
                <w:rFonts w:cs="Arial"/>
                <w:color w:val="000000"/>
                <w:sz w:val="20"/>
                <w:szCs w:val="20"/>
              </w:rPr>
              <w:t>Cuxton</w:t>
            </w:r>
            <w:proofErr w:type="spellEnd"/>
            <w:r w:rsidRPr="00263141">
              <w:rPr>
                <w:rFonts w:cs="Arial"/>
                <w:color w:val="000000"/>
                <w:sz w:val="20"/>
                <w:szCs w:val="20"/>
              </w:rPr>
              <w:t xml:space="preserve"> and </w:t>
            </w:r>
            <w:proofErr w:type="spellStart"/>
            <w:r w:rsidRPr="00263141">
              <w:rPr>
                <w:rFonts w:cs="Arial"/>
                <w:color w:val="000000"/>
                <w:sz w:val="20"/>
                <w:szCs w:val="20"/>
              </w:rPr>
              <w:t>Halling</w:t>
            </w:r>
            <w:proofErr w:type="spellEnd"/>
          </w:p>
        </w:tc>
        <w:tc>
          <w:tcPr>
            <w:tcW w:w="263" w:type="pct"/>
            <w:shd w:val="clear" w:color="auto" w:fill="auto"/>
            <w:noWrap/>
            <w:tcMar>
              <w:left w:w="0" w:type="dxa"/>
            </w:tcMar>
            <w:vAlign w:val="bottom"/>
            <w:hideMark/>
          </w:tcPr>
          <w:p w14:paraId="210C3006" w14:textId="77777777" w:rsidR="00CE1BDB" w:rsidRPr="00263141" w:rsidRDefault="00CE1BDB" w:rsidP="00EF49A7">
            <w:pPr>
              <w:jc w:val="right"/>
              <w:rPr>
                <w:rFonts w:cs="Arial"/>
                <w:color w:val="000000"/>
                <w:sz w:val="20"/>
                <w:szCs w:val="20"/>
              </w:rPr>
            </w:pPr>
            <w:r w:rsidRPr="00263141">
              <w:rPr>
                <w:rFonts w:cs="Arial"/>
                <w:color w:val="000000"/>
                <w:sz w:val="20"/>
                <w:szCs w:val="20"/>
              </w:rPr>
              <w:t>1.3%</w:t>
            </w:r>
          </w:p>
        </w:tc>
        <w:tc>
          <w:tcPr>
            <w:tcW w:w="461" w:type="pct"/>
            <w:shd w:val="clear" w:color="auto" w:fill="auto"/>
            <w:noWrap/>
            <w:tcMar>
              <w:left w:w="0" w:type="dxa"/>
            </w:tcMar>
            <w:vAlign w:val="bottom"/>
            <w:hideMark/>
          </w:tcPr>
          <w:p w14:paraId="6B9B2B12" w14:textId="77777777" w:rsidR="00CE1BDB" w:rsidRPr="00263141" w:rsidRDefault="00CE1BDB" w:rsidP="00EF49A7">
            <w:pPr>
              <w:jc w:val="right"/>
              <w:rPr>
                <w:rFonts w:cs="Arial"/>
                <w:color w:val="000000"/>
                <w:sz w:val="20"/>
                <w:szCs w:val="20"/>
              </w:rPr>
            </w:pPr>
            <w:r w:rsidRPr="00263141">
              <w:rPr>
                <w:rFonts w:cs="Arial"/>
                <w:color w:val="000000"/>
                <w:sz w:val="20"/>
                <w:szCs w:val="20"/>
              </w:rPr>
              <w:t>3.2%</w:t>
            </w:r>
          </w:p>
        </w:tc>
        <w:tc>
          <w:tcPr>
            <w:tcW w:w="399" w:type="pct"/>
            <w:shd w:val="clear" w:color="auto" w:fill="auto"/>
            <w:noWrap/>
            <w:tcMar>
              <w:left w:w="0" w:type="dxa"/>
            </w:tcMar>
            <w:vAlign w:val="bottom"/>
            <w:hideMark/>
          </w:tcPr>
          <w:p w14:paraId="3AD04A06" w14:textId="77777777" w:rsidR="00CE1BDB" w:rsidRPr="00263141" w:rsidRDefault="00CE1BDB" w:rsidP="00EF49A7">
            <w:pPr>
              <w:jc w:val="right"/>
              <w:rPr>
                <w:rFonts w:cs="Arial"/>
                <w:color w:val="000000"/>
                <w:sz w:val="20"/>
                <w:szCs w:val="20"/>
              </w:rPr>
            </w:pPr>
            <w:r w:rsidRPr="00263141">
              <w:rPr>
                <w:rFonts w:cs="Arial"/>
                <w:color w:val="000000"/>
                <w:sz w:val="20"/>
                <w:szCs w:val="20"/>
              </w:rPr>
              <w:t>14.3%</w:t>
            </w:r>
          </w:p>
        </w:tc>
        <w:tc>
          <w:tcPr>
            <w:tcW w:w="381" w:type="pct"/>
            <w:shd w:val="clear" w:color="auto" w:fill="auto"/>
            <w:noWrap/>
            <w:tcMar>
              <w:left w:w="0" w:type="dxa"/>
            </w:tcMar>
            <w:vAlign w:val="bottom"/>
            <w:hideMark/>
          </w:tcPr>
          <w:p w14:paraId="63B4A504" w14:textId="77777777" w:rsidR="00CE1BDB" w:rsidRPr="00263141" w:rsidRDefault="00CE1BDB" w:rsidP="00EF49A7">
            <w:pPr>
              <w:jc w:val="right"/>
              <w:rPr>
                <w:rFonts w:cs="Arial"/>
                <w:color w:val="000000"/>
                <w:sz w:val="20"/>
                <w:szCs w:val="20"/>
              </w:rPr>
            </w:pPr>
            <w:r w:rsidRPr="00263141">
              <w:rPr>
                <w:rFonts w:cs="Arial"/>
                <w:color w:val="000000"/>
                <w:sz w:val="20"/>
                <w:szCs w:val="20"/>
              </w:rPr>
              <w:t>30.4%</w:t>
            </w:r>
          </w:p>
        </w:tc>
        <w:tc>
          <w:tcPr>
            <w:tcW w:w="381" w:type="pct"/>
            <w:shd w:val="clear" w:color="auto" w:fill="auto"/>
            <w:noWrap/>
            <w:tcMar>
              <w:left w:w="0" w:type="dxa"/>
            </w:tcMar>
            <w:vAlign w:val="bottom"/>
            <w:hideMark/>
          </w:tcPr>
          <w:p w14:paraId="242B6651" w14:textId="77777777" w:rsidR="00CE1BDB" w:rsidRPr="00263141" w:rsidRDefault="00CE1BDB" w:rsidP="00EF49A7">
            <w:pPr>
              <w:jc w:val="right"/>
              <w:rPr>
                <w:rFonts w:cs="Arial"/>
                <w:color w:val="000000"/>
                <w:sz w:val="20"/>
                <w:szCs w:val="20"/>
              </w:rPr>
            </w:pPr>
            <w:r w:rsidRPr="00263141">
              <w:rPr>
                <w:rFonts w:cs="Arial"/>
                <w:color w:val="000000"/>
                <w:sz w:val="20"/>
                <w:szCs w:val="20"/>
              </w:rPr>
              <w:t>28.6%</w:t>
            </w:r>
          </w:p>
        </w:tc>
        <w:tc>
          <w:tcPr>
            <w:tcW w:w="381" w:type="pct"/>
            <w:shd w:val="clear" w:color="auto" w:fill="auto"/>
            <w:noWrap/>
            <w:tcMar>
              <w:left w:w="0" w:type="dxa"/>
            </w:tcMar>
            <w:vAlign w:val="bottom"/>
            <w:hideMark/>
          </w:tcPr>
          <w:p w14:paraId="3000FF6D" w14:textId="77777777" w:rsidR="00CE1BDB" w:rsidRPr="00263141" w:rsidRDefault="00CE1BDB" w:rsidP="00EF49A7">
            <w:pPr>
              <w:jc w:val="right"/>
              <w:rPr>
                <w:rFonts w:cs="Arial"/>
                <w:color w:val="000000"/>
                <w:sz w:val="20"/>
                <w:szCs w:val="20"/>
              </w:rPr>
            </w:pPr>
            <w:r w:rsidRPr="00263141">
              <w:rPr>
                <w:rFonts w:cs="Arial"/>
                <w:color w:val="000000"/>
                <w:sz w:val="20"/>
                <w:szCs w:val="20"/>
              </w:rPr>
              <w:t>21.6%</w:t>
            </w:r>
          </w:p>
        </w:tc>
        <w:tc>
          <w:tcPr>
            <w:tcW w:w="351" w:type="pct"/>
            <w:shd w:val="clear" w:color="auto" w:fill="auto"/>
            <w:noWrap/>
            <w:tcMar>
              <w:left w:w="0" w:type="dxa"/>
            </w:tcMar>
            <w:vAlign w:val="bottom"/>
            <w:hideMark/>
          </w:tcPr>
          <w:p w14:paraId="3153D5CF" w14:textId="77777777" w:rsidR="00CE1BDB" w:rsidRPr="00263141" w:rsidRDefault="00CE1BDB" w:rsidP="00EF49A7">
            <w:pPr>
              <w:jc w:val="right"/>
              <w:rPr>
                <w:rFonts w:cs="Arial"/>
                <w:color w:val="000000"/>
                <w:sz w:val="20"/>
                <w:szCs w:val="20"/>
              </w:rPr>
            </w:pPr>
            <w:r w:rsidRPr="00263141">
              <w:rPr>
                <w:rFonts w:cs="Arial"/>
                <w:color w:val="000000"/>
                <w:sz w:val="20"/>
                <w:szCs w:val="20"/>
              </w:rPr>
              <w:t>0.7%</w:t>
            </w:r>
          </w:p>
        </w:tc>
        <w:tc>
          <w:tcPr>
            <w:tcW w:w="318" w:type="pct"/>
            <w:shd w:val="clear" w:color="auto" w:fill="auto"/>
            <w:noWrap/>
            <w:tcMar>
              <w:left w:w="0" w:type="dxa"/>
            </w:tcMar>
            <w:vAlign w:val="bottom"/>
            <w:hideMark/>
          </w:tcPr>
          <w:p w14:paraId="783E3E89"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06F213E5"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0FF1F111"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4FB9C77B" w14:textId="77777777" w:rsidR="00CE1BDB" w:rsidRPr="00263141" w:rsidRDefault="00CE1BDB" w:rsidP="00EF49A7">
            <w:pPr>
              <w:jc w:val="right"/>
              <w:rPr>
                <w:rFonts w:cs="Arial"/>
                <w:color w:val="000000"/>
                <w:sz w:val="20"/>
                <w:szCs w:val="20"/>
              </w:rPr>
            </w:pPr>
            <w:r w:rsidRPr="00263141">
              <w:rPr>
                <w:rFonts w:cs="Arial"/>
                <w:color w:val="000000"/>
                <w:sz w:val="20"/>
                <w:szCs w:val="20"/>
              </w:rPr>
              <w:t>£42,133</w:t>
            </w:r>
          </w:p>
        </w:tc>
      </w:tr>
      <w:tr w:rsidR="00CE1BDB" w:rsidRPr="00263141" w14:paraId="6D927CC2" w14:textId="77777777" w:rsidTr="00185CB9">
        <w:trPr>
          <w:trHeight w:val="326"/>
        </w:trPr>
        <w:tc>
          <w:tcPr>
            <w:tcW w:w="1086" w:type="pct"/>
            <w:shd w:val="clear" w:color="auto" w:fill="auto"/>
            <w:noWrap/>
            <w:vAlign w:val="center"/>
            <w:hideMark/>
          </w:tcPr>
          <w:p w14:paraId="556BFC8A" w14:textId="77777777" w:rsidR="00CE1BDB" w:rsidRPr="00263141" w:rsidRDefault="00CE1BDB" w:rsidP="00EF49A7">
            <w:pPr>
              <w:jc w:val="both"/>
              <w:rPr>
                <w:rFonts w:cs="Arial"/>
                <w:color w:val="000000"/>
                <w:sz w:val="20"/>
                <w:szCs w:val="20"/>
              </w:rPr>
            </w:pPr>
            <w:r w:rsidRPr="00263141">
              <w:rPr>
                <w:rFonts w:cs="Arial"/>
                <w:color w:val="000000"/>
                <w:sz w:val="20"/>
                <w:szCs w:val="20"/>
              </w:rPr>
              <w:t>Gillingham North</w:t>
            </w:r>
          </w:p>
        </w:tc>
        <w:tc>
          <w:tcPr>
            <w:tcW w:w="263" w:type="pct"/>
            <w:shd w:val="clear" w:color="auto" w:fill="auto"/>
            <w:noWrap/>
            <w:tcMar>
              <w:left w:w="0" w:type="dxa"/>
            </w:tcMar>
            <w:vAlign w:val="bottom"/>
            <w:hideMark/>
          </w:tcPr>
          <w:p w14:paraId="2AC414DF" w14:textId="77777777" w:rsidR="00CE1BDB" w:rsidRPr="00263141" w:rsidRDefault="00CE1BDB" w:rsidP="00EF49A7">
            <w:pPr>
              <w:jc w:val="right"/>
              <w:rPr>
                <w:rFonts w:cs="Arial"/>
                <w:color w:val="000000"/>
                <w:sz w:val="20"/>
                <w:szCs w:val="20"/>
              </w:rPr>
            </w:pPr>
            <w:r w:rsidRPr="00263141">
              <w:rPr>
                <w:rFonts w:cs="Arial"/>
                <w:color w:val="000000"/>
                <w:sz w:val="20"/>
                <w:szCs w:val="20"/>
              </w:rPr>
              <w:t>1.0%</w:t>
            </w:r>
          </w:p>
        </w:tc>
        <w:tc>
          <w:tcPr>
            <w:tcW w:w="461" w:type="pct"/>
            <w:shd w:val="clear" w:color="auto" w:fill="auto"/>
            <w:noWrap/>
            <w:tcMar>
              <w:left w:w="0" w:type="dxa"/>
            </w:tcMar>
            <w:vAlign w:val="bottom"/>
            <w:hideMark/>
          </w:tcPr>
          <w:p w14:paraId="3F618794" w14:textId="77777777" w:rsidR="00CE1BDB" w:rsidRPr="00263141" w:rsidRDefault="00CE1BDB" w:rsidP="00EF49A7">
            <w:pPr>
              <w:jc w:val="right"/>
              <w:rPr>
                <w:rFonts w:cs="Arial"/>
                <w:color w:val="000000"/>
                <w:sz w:val="20"/>
                <w:szCs w:val="20"/>
              </w:rPr>
            </w:pPr>
            <w:r w:rsidRPr="00263141">
              <w:rPr>
                <w:rFonts w:cs="Arial"/>
                <w:color w:val="000000"/>
                <w:sz w:val="20"/>
                <w:szCs w:val="20"/>
              </w:rPr>
              <w:t>21.4%</w:t>
            </w:r>
          </w:p>
        </w:tc>
        <w:tc>
          <w:tcPr>
            <w:tcW w:w="399" w:type="pct"/>
            <w:shd w:val="clear" w:color="auto" w:fill="auto"/>
            <w:noWrap/>
            <w:tcMar>
              <w:left w:w="0" w:type="dxa"/>
            </w:tcMar>
            <w:vAlign w:val="bottom"/>
            <w:hideMark/>
          </w:tcPr>
          <w:p w14:paraId="1B9B0711" w14:textId="77777777" w:rsidR="00CE1BDB" w:rsidRPr="00263141" w:rsidRDefault="00CE1BDB" w:rsidP="00EF49A7">
            <w:pPr>
              <w:jc w:val="right"/>
              <w:rPr>
                <w:rFonts w:cs="Arial"/>
                <w:color w:val="000000"/>
                <w:sz w:val="20"/>
                <w:szCs w:val="20"/>
              </w:rPr>
            </w:pPr>
            <w:r w:rsidRPr="00263141">
              <w:rPr>
                <w:rFonts w:cs="Arial"/>
                <w:color w:val="000000"/>
                <w:sz w:val="20"/>
                <w:szCs w:val="20"/>
              </w:rPr>
              <w:t>46.5%</w:t>
            </w:r>
          </w:p>
        </w:tc>
        <w:tc>
          <w:tcPr>
            <w:tcW w:w="381" w:type="pct"/>
            <w:shd w:val="clear" w:color="auto" w:fill="auto"/>
            <w:noWrap/>
            <w:tcMar>
              <w:left w:w="0" w:type="dxa"/>
            </w:tcMar>
            <w:vAlign w:val="bottom"/>
            <w:hideMark/>
          </w:tcPr>
          <w:p w14:paraId="256AE9E6" w14:textId="77777777" w:rsidR="00CE1BDB" w:rsidRPr="00263141" w:rsidRDefault="00CE1BDB" w:rsidP="00EF49A7">
            <w:pPr>
              <w:jc w:val="right"/>
              <w:rPr>
                <w:rFonts w:cs="Arial"/>
                <w:color w:val="000000"/>
                <w:sz w:val="20"/>
                <w:szCs w:val="20"/>
              </w:rPr>
            </w:pPr>
            <w:r w:rsidRPr="00263141">
              <w:rPr>
                <w:rFonts w:cs="Arial"/>
                <w:color w:val="000000"/>
                <w:sz w:val="20"/>
                <w:szCs w:val="20"/>
              </w:rPr>
              <w:t>26.1%</w:t>
            </w:r>
          </w:p>
        </w:tc>
        <w:tc>
          <w:tcPr>
            <w:tcW w:w="381" w:type="pct"/>
            <w:shd w:val="clear" w:color="auto" w:fill="auto"/>
            <w:noWrap/>
            <w:tcMar>
              <w:left w:w="0" w:type="dxa"/>
            </w:tcMar>
            <w:vAlign w:val="bottom"/>
            <w:hideMark/>
          </w:tcPr>
          <w:p w14:paraId="119BE46A" w14:textId="77777777" w:rsidR="00CE1BDB" w:rsidRPr="00263141" w:rsidRDefault="00CE1BDB" w:rsidP="00EF49A7">
            <w:pPr>
              <w:jc w:val="right"/>
              <w:rPr>
                <w:rFonts w:cs="Arial"/>
                <w:color w:val="000000"/>
                <w:sz w:val="20"/>
                <w:szCs w:val="20"/>
              </w:rPr>
            </w:pPr>
            <w:r w:rsidRPr="00263141">
              <w:rPr>
                <w:rFonts w:cs="Arial"/>
                <w:color w:val="000000"/>
                <w:sz w:val="20"/>
                <w:szCs w:val="20"/>
              </w:rPr>
              <w:t>4.4%</w:t>
            </w:r>
          </w:p>
        </w:tc>
        <w:tc>
          <w:tcPr>
            <w:tcW w:w="381" w:type="pct"/>
            <w:shd w:val="clear" w:color="auto" w:fill="auto"/>
            <w:noWrap/>
            <w:tcMar>
              <w:left w:w="0" w:type="dxa"/>
            </w:tcMar>
            <w:vAlign w:val="bottom"/>
            <w:hideMark/>
          </w:tcPr>
          <w:p w14:paraId="24967167" w14:textId="77777777" w:rsidR="00CE1BDB" w:rsidRPr="00263141" w:rsidRDefault="00CE1BDB" w:rsidP="00EF49A7">
            <w:pPr>
              <w:jc w:val="right"/>
              <w:rPr>
                <w:rFonts w:cs="Arial"/>
                <w:color w:val="000000"/>
                <w:sz w:val="20"/>
                <w:szCs w:val="20"/>
              </w:rPr>
            </w:pPr>
            <w:r w:rsidRPr="00263141">
              <w:rPr>
                <w:rFonts w:cs="Arial"/>
                <w:color w:val="000000"/>
                <w:sz w:val="20"/>
                <w:szCs w:val="20"/>
              </w:rPr>
              <w:t>0.7%</w:t>
            </w:r>
          </w:p>
        </w:tc>
        <w:tc>
          <w:tcPr>
            <w:tcW w:w="351" w:type="pct"/>
            <w:shd w:val="clear" w:color="auto" w:fill="auto"/>
            <w:noWrap/>
            <w:tcMar>
              <w:left w:w="0" w:type="dxa"/>
            </w:tcMar>
            <w:vAlign w:val="bottom"/>
            <w:hideMark/>
          </w:tcPr>
          <w:p w14:paraId="3A894D6B"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406BC2E9"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0121319A"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717882F6"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3745030B" w14:textId="77777777" w:rsidR="00CE1BDB" w:rsidRPr="00263141" w:rsidRDefault="00CE1BDB" w:rsidP="00EF49A7">
            <w:pPr>
              <w:jc w:val="right"/>
              <w:rPr>
                <w:rFonts w:cs="Arial"/>
                <w:color w:val="000000"/>
                <w:sz w:val="20"/>
                <w:szCs w:val="20"/>
              </w:rPr>
            </w:pPr>
            <w:r w:rsidRPr="00263141">
              <w:rPr>
                <w:rFonts w:cs="Arial"/>
                <w:color w:val="000000"/>
                <w:sz w:val="20"/>
                <w:szCs w:val="20"/>
              </w:rPr>
              <w:t>£26,530</w:t>
            </w:r>
          </w:p>
        </w:tc>
      </w:tr>
      <w:tr w:rsidR="00CE1BDB" w:rsidRPr="00263141" w14:paraId="2FB8A4BA" w14:textId="77777777" w:rsidTr="00185CB9">
        <w:trPr>
          <w:trHeight w:val="326"/>
        </w:trPr>
        <w:tc>
          <w:tcPr>
            <w:tcW w:w="1086" w:type="pct"/>
            <w:shd w:val="clear" w:color="auto" w:fill="auto"/>
            <w:noWrap/>
            <w:vAlign w:val="center"/>
            <w:hideMark/>
          </w:tcPr>
          <w:p w14:paraId="27C90E6C" w14:textId="77777777" w:rsidR="00CE1BDB" w:rsidRPr="00263141" w:rsidRDefault="00CE1BDB" w:rsidP="00EF49A7">
            <w:pPr>
              <w:jc w:val="both"/>
              <w:rPr>
                <w:rFonts w:cs="Arial"/>
                <w:color w:val="000000"/>
                <w:sz w:val="20"/>
                <w:szCs w:val="20"/>
              </w:rPr>
            </w:pPr>
            <w:r w:rsidRPr="00263141">
              <w:rPr>
                <w:rFonts w:cs="Arial"/>
                <w:color w:val="000000"/>
                <w:sz w:val="20"/>
                <w:szCs w:val="20"/>
              </w:rPr>
              <w:t>Gillingham South</w:t>
            </w:r>
          </w:p>
        </w:tc>
        <w:tc>
          <w:tcPr>
            <w:tcW w:w="263" w:type="pct"/>
            <w:shd w:val="clear" w:color="auto" w:fill="auto"/>
            <w:noWrap/>
            <w:tcMar>
              <w:left w:w="0" w:type="dxa"/>
            </w:tcMar>
            <w:vAlign w:val="bottom"/>
            <w:hideMark/>
          </w:tcPr>
          <w:p w14:paraId="673B0718" w14:textId="77777777" w:rsidR="00CE1BDB" w:rsidRPr="00263141" w:rsidRDefault="00CE1BDB" w:rsidP="00EF49A7">
            <w:pPr>
              <w:jc w:val="right"/>
              <w:rPr>
                <w:rFonts w:cs="Arial"/>
                <w:color w:val="000000"/>
                <w:sz w:val="20"/>
                <w:szCs w:val="20"/>
              </w:rPr>
            </w:pPr>
            <w:r w:rsidRPr="00263141">
              <w:rPr>
                <w:rFonts w:cs="Arial"/>
                <w:color w:val="000000"/>
                <w:sz w:val="20"/>
                <w:szCs w:val="20"/>
              </w:rPr>
              <w:t>0.1%</w:t>
            </w:r>
          </w:p>
        </w:tc>
        <w:tc>
          <w:tcPr>
            <w:tcW w:w="461" w:type="pct"/>
            <w:shd w:val="clear" w:color="auto" w:fill="auto"/>
            <w:noWrap/>
            <w:tcMar>
              <w:left w:w="0" w:type="dxa"/>
            </w:tcMar>
            <w:vAlign w:val="bottom"/>
            <w:hideMark/>
          </w:tcPr>
          <w:p w14:paraId="5E8C16F5" w14:textId="77777777" w:rsidR="00CE1BDB" w:rsidRPr="00263141" w:rsidRDefault="00CE1BDB" w:rsidP="00EF49A7">
            <w:pPr>
              <w:jc w:val="right"/>
              <w:rPr>
                <w:rFonts w:cs="Arial"/>
                <w:color w:val="000000"/>
                <w:sz w:val="20"/>
                <w:szCs w:val="20"/>
              </w:rPr>
            </w:pPr>
            <w:r w:rsidRPr="00263141">
              <w:rPr>
                <w:rFonts w:cs="Arial"/>
                <w:color w:val="000000"/>
                <w:sz w:val="20"/>
                <w:szCs w:val="20"/>
              </w:rPr>
              <w:t>5.7%</w:t>
            </w:r>
          </w:p>
        </w:tc>
        <w:tc>
          <w:tcPr>
            <w:tcW w:w="399" w:type="pct"/>
            <w:shd w:val="clear" w:color="auto" w:fill="auto"/>
            <w:noWrap/>
            <w:tcMar>
              <w:left w:w="0" w:type="dxa"/>
            </w:tcMar>
            <w:vAlign w:val="bottom"/>
            <w:hideMark/>
          </w:tcPr>
          <w:p w14:paraId="3F599CC8" w14:textId="77777777" w:rsidR="00CE1BDB" w:rsidRPr="00263141" w:rsidRDefault="00CE1BDB" w:rsidP="00EF49A7">
            <w:pPr>
              <w:jc w:val="right"/>
              <w:rPr>
                <w:rFonts w:cs="Arial"/>
                <w:color w:val="000000"/>
                <w:sz w:val="20"/>
                <w:szCs w:val="20"/>
              </w:rPr>
            </w:pPr>
            <w:r w:rsidRPr="00263141">
              <w:rPr>
                <w:rFonts w:cs="Arial"/>
                <w:color w:val="000000"/>
                <w:sz w:val="20"/>
                <w:szCs w:val="20"/>
              </w:rPr>
              <w:t>46.7%</w:t>
            </w:r>
          </w:p>
        </w:tc>
        <w:tc>
          <w:tcPr>
            <w:tcW w:w="381" w:type="pct"/>
            <w:shd w:val="clear" w:color="auto" w:fill="auto"/>
            <w:noWrap/>
            <w:tcMar>
              <w:left w:w="0" w:type="dxa"/>
            </w:tcMar>
            <w:vAlign w:val="bottom"/>
            <w:hideMark/>
          </w:tcPr>
          <w:p w14:paraId="6BE06E15" w14:textId="77777777" w:rsidR="00CE1BDB" w:rsidRPr="00263141" w:rsidRDefault="00CE1BDB" w:rsidP="00EF49A7">
            <w:pPr>
              <w:jc w:val="right"/>
              <w:rPr>
                <w:rFonts w:cs="Arial"/>
                <w:color w:val="000000"/>
                <w:sz w:val="20"/>
                <w:szCs w:val="20"/>
              </w:rPr>
            </w:pPr>
            <w:r w:rsidRPr="00263141">
              <w:rPr>
                <w:rFonts w:cs="Arial"/>
                <w:color w:val="000000"/>
                <w:sz w:val="20"/>
                <w:szCs w:val="20"/>
              </w:rPr>
              <w:t>42.5%</w:t>
            </w:r>
          </w:p>
        </w:tc>
        <w:tc>
          <w:tcPr>
            <w:tcW w:w="381" w:type="pct"/>
            <w:shd w:val="clear" w:color="auto" w:fill="auto"/>
            <w:noWrap/>
            <w:tcMar>
              <w:left w:w="0" w:type="dxa"/>
            </w:tcMar>
            <w:vAlign w:val="bottom"/>
            <w:hideMark/>
          </w:tcPr>
          <w:p w14:paraId="1BEC1C22" w14:textId="77777777" w:rsidR="00CE1BDB" w:rsidRPr="00263141" w:rsidRDefault="00CE1BDB" w:rsidP="00EF49A7">
            <w:pPr>
              <w:jc w:val="right"/>
              <w:rPr>
                <w:rFonts w:cs="Arial"/>
                <w:color w:val="000000"/>
                <w:sz w:val="20"/>
                <w:szCs w:val="20"/>
              </w:rPr>
            </w:pPr>
            <w:r w:rsidRPr="00263141">
              <w:rPr>
                <w:rFonts w:cs="Arial"/>
                <w:color w:val="000000"/>
                <w:sz w:val="20"/>
                <w:szCs w:val="20"/>
              </w:rPr>
              <w:t>4.8%</w:t>
            </w:r>
          </w:p>
        </w:tc>
        <w:tc>
          <w:tcPr>
            <w:tcW w:w="381" w:type="pct"/>
            <w:shd w:val="clear" w:color="auto" w:fill="auto"/>
            <w:noWrap/>
            <w:tcMar>
              <w:left w:w="0" w:type="dxa"/>
            </w:tcMar>
            <w:vAlign w:val="bottom"/>
            <w:hideMark/>
          </w:tcPr>
          <w:p w14:paraId="4C000B9C" w14:textId="77777777" w:rsidR="00CE1BDB" w:rsidRPr="00263141" w:rsidRDefault="00CE1BDB" w:rsidP="00EF49A7">
            <w:pPr>
              <w:jc w:val="right"/>
              <w:rPr>
                <w:rFonts w:cs="Arial"/>
                <w:color w:val="000000"/>
                <w:sz w:val="20"/>
                <w:szCs w:val="20"/>
              </w:rPr>
            </w:pPr>
            <w:r w:rsidRPr="00263141">
              <w:rPr>
                <w:rFonts w:cs="Arial"/>
                <w:color w:val="000000"/>
                <w:sz w:val="20"/>
                <w:szCs w:val="20"/>
              </w:rPr>
              <w:t>0.1%</w:t>
            </w:r>
          </w:p>
        </w:tc>
        <w:tc>
          <w:tcPr>
            <w:tcW w:w="351" w:type="pct"/>
            <w:shd w:val="clear" w:color="auto" w:fill="auto"/>
            <w:noWrap/>
            <w:tcMar>
              <w:left w:w="0" w:type="dxa"/>
            </w:tcMar>
            <w:vAlign w:val="bottom"/>
            <w:hideMark/>
          </w:tcPr>
          <w:p w14:paraId="38CA2F8C" w14:textId="77777777" w:rsidR="00CE1BDB" w:rsidRPr="00263141" w:rsidRDefault="00CE1BDB" w:rsidP="00EF49A7">
            <w:pPr>
              <w:jc w:val="right"/>
              <w:rPr>
                <w:rFonts w:cs="Arial"/>
                <w:color w:val="000000"/>
                <w:sz w:val="20"/>
                <w:szCs w:val="20"/>
              </w:rPr>
            </w:pPr>
            <w:r w:rsidRPr="00263141">
              <w:rPr>
                <w:rFonts w:cs="Arial"/>
                <w:color w:val="000000"/>
                <w:sz w:val="20"/>
                <w:szCs w:val="20"/>
              </w:rPr>
              <w:t>0.1%</w:t>
            </w:r>
          </w:p>
        </w:tc>
        <w:tc>
          <w:tcPr>
            <w:tcW w:w="318" w:type="pct"/>
            <w:shd w:val="clear" w:color="auto" w:fill="auto"/>
            <w:noWrap/>
            <w:tcMar>
              <w:left w:w="0" w:type="dxa"/>
            </w:tcMar>
            <w:vAlign w:val="bottom"/>
            <w:hideMark/>
          </w:tcPr>
          <w:p w14:paraId="3F8ED976"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66396845"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43620831"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22E11393" w14:textId="77777777" w:rsidR="00CE1BDB" w:rsidRPr="00263141" w:rsidRDefault="00CE1BDB" w:rsidP="00EF49A7">
            <w:pPr>
              <w:jc w:val="right"/>
              <w:rPr>
                <w:rFonts w:cs="Arial"/>
                <w:color w:val="000000"/>
                <w:sz w:val="20"/>
                <w:szCs w:val="20"/>
              </w:rPr>
            </w:pPr>
            <w:r w:rsidRPr="00263141">
              <w:rPr>
                <w:rFonts w:cs="Arial"/>
                <w:color w:val="000000"/>
                <w:sz w:val="20"/>
                <w:szCs w:val="20"/>
              </w:rPr>
              <w:t>£29,115</w:t>
            </w:r>
          </w:p>
        </w:tc>
      </w:tr>
      <w:tr w:rsidR="00CE1BDB" w:rsidRPr="00263141" w14:paraId="32F4C20E" w14:textId="77777777" w:rsidTr="00185CB9">
        <w:trPr>
          <w:trHeight w:val="321"/>
        </w:trPr>
        <w:tc>
          <w:tcPr>
            <w:tcW w:w="1086" w:type="pct"/>
            <w:shd w:val="clear" w:color="auto" w:fill="auto"/>
            <w:noWrap/>
            <w:vAlign w:val="center"/>
            <w:hideMark/>
          </w:tcPr>
          <w:p w14:paraId="5994417F" w14:textId="77777777" w:rsidR="00CE1BDB" w:rsidRPr="00263141" w:rsidRDefault="00CE1BDB" w:rsidP="00EF49A7">
            <w:pPr>
              <w:jc w:val="both"/>
              <w:rPr>
                <w:rFonts w:cs="Arial"/>
                <w:color w:val="000000"/>
                <w:sz w:val="20"/>
                <w:szCs w:val="20"/>
              </w:rPr>
            </w:pPr>
            <w:r w:rsidRPr="00263141">
              <w:rPr>
                <w:rFonts w:cs="Arial"/>
                <w:color w:val="000000"/>
                <w:sz w:val="20"/>
                <w:szCs w:val="20"/>
              </w:rPr>
              <w:t xml:space="preserve">Hempstead and </w:t>
            </w:r>
            <w:proofErr w:type="spellStart"/>
            <w:r w:rsidRPr="00263141">
              <w:rPr>
                <w:rFonts w:cs="Arial"/>
                <w:color w:val="000000"/>
                <w:sz w:val="20"/>
                <w:szCs w:val="20"/>
              </w:rPr>
              <w:t>Wigmore</w:t>
            </w:r>
            <w:proofErr w:type="spellEnd"/>
          </w:p>
        </w:tc>
        <w:tc>
          <w:tcPr>
            <w:tcW w:w="263" w:type="pct"/>
            <w:shd w:val="clear" w:color="auto" w:fill="auto"/>
            <w:noWrap/>
            <w:tcMar>
              <w:left w:w="0" w:type="dxa"/>
            </w:tcMar>
            <w:vAlign w:val="bottom"/>
            <w:hideMark/>
          </w:tcPr>
          <w:p w14:paraId="27A17B62"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461" w:type="pct"/>
            <w:shd w:val="clear" w:color="auto" w:fill="auto"/>
            <w:noWrap/>
            <w:tcMar>
              <w:left w:w="0" w:type="dxa"/>
            </w:tcMar>
            <w:vAlign w:val="bottom"/>
            <w:hideMark/>
          </w:tcPr>
          <w:p w14:paraId="790714B2" w14:textId="77777777" w:rsidR="00CE1BDB" w:rsidRPr="00263141" w:rsidRDefault="00CE1BDB" w:rsidP="00EF49A7">
            <w:pPr>
              <w:jc w:val="right"/>
              <w:rPr>
                <w:rFonts w:cs="Arial"/>
                <w:color w:val="000000"/>
                <w:sz w:val="20"/>
                <w:szCs w:val="20"/>
              </w:rPr>
            </w:pPr>
            <w:r w:rsidRPr="00263141">
              <w:rPr>
                <w:rFonts w:cs="Arial"/>
                <w:color w:val="000000"/>
                <w:sz w:val="20"/>
                <w:szCs w:val="20"/>
              </w:rPr>
              <w:t>0.2%</w:t>
            </w:r>
          </w:p>
        </w:tc>
        <w:tc>
          <w:tcPr>
            <w:tcW w:w="399" w:type="pct"/>
            <w:shd w:val="clear" w:color="auto" w:fill="auto"/>
            <w:noWrap/>
            <w:tcMar>
              <w:left w:w="0" w:type="dxa"/>
            </w:tcMar>
            <w:vAlign w:val="bottom"/>
            <w:hideMark/>
          </w:tcPr>
          <w:p w14:paraId="1FB1F66A" w14:textId="77777777" w:rsidR="00CE1BDB" w:rsidRPr="00263141" w:rsidRDefault="00CE1BDB" w:rsidP="00EF49A7">
            <w:pPr>
              <w:jc w:val="right"/>
              <w:rPr>
                <w:rFonts w:cs="Arial"/>
                <w:color w:val="000000"/>
                <w:sz w:val="20"/>
                <w:szCs w:val="20"/>
              </w:rPr>
            </w:pPr>
            <w:r w:rsidRPr="00263141">
              <w:rPr>
                <w:rFonts w:cs="Arial"/>
                <w:color w:val="000000"/>
                <w:sz w:val="20"/>
                <w:szCs w:val="20"/>
              </w:rPr>
              <w:t>3.1%</w:t>
            </w:r>
          </w:p>
        </w:tc>
        <w:tc>
          <w:tcPr>
            <w:tcW w:w="381" w:type="pct"/>
            <w:shd w:val="clear" w:color="auto" w:fill="auto"/>
            <w:noWrap/>
            <w:tcMar>
              <w:left w:w="0" w:type="dxa"/>
            </w:tcMar>
            <w:vAlign w:val="bottom"/>
            <w:hideMark/>
          </w:tcPr>
          <w:p w14:paraId="0946FCD4" w14:textId="77777777" w:rsidR="00CE1BDB" w:rsidRPr="00263141" w:rsidRDefault="00CE1BDB" w:rsidP="00EF49A7">
            <w:pPr>
              <w:jc w:val="right"/>
              <w:rPr>
                <w:rFonts w:cs="Arial"/>
                <w:color w:val="000000"/>
                <w:sz w:val="20"/>
                <w:szCs w:val="20"/>
              </w:rPr>
            </w:pPr>
            <w:r w:rsidRPr="00263141">
              <w:rPr>
                <w:rFonts w:cs="Arial"/>
                <w:color w:val="000000"/>
                <w:sz w:val="20"/>
                <w:szCs w:val="20"/>
              </w:rPr>
              <w:t>30.8%</w:t>
            </w:r>
          </w:p>
        </w:tc>
        <w:tc>
          <w:tcPr>
            <w:tcW w:w="381" w:type="pct"/>
            <w:shd w:val="clear" w:color="auto" w:fill="auto"/>
            <w:noWrap/>
            <w:tcMar>
              <w:left w:w="0" w:type="dxa"/>
            </w:tcMar>
            <w:vAlign w:val="bottom"/>
            <w:hideMark/>
          </w:tcPr>
          <w:p w14:paraId="035E0CF6" w14:textId="77777777" w:rsidR="00CE1BDB" w:rsidRPr="00263141" w:rsidRDefault="00CE1BDB" w:rsidP="00EF49A7">
            <w:pPr>
              <w:jc w:val="right"/>
              <w:rPr>
                <w:rFonts w:cs="Arial"/>
                <w:color w:val="000000"/>
                <w:sz w:val="20"/>
                <w:szCs w:val="20"/>
              </w:rPr>
            </w:pPr>
            <w:r w:rsidRPr="00263141">
              <w:rPr>
                <w:rFonts w:cs="Arial"/>
                <w:color w:val="000000"/>
                <w:sz w:val="20"/>
                <w:szCs w:val="20"/>
              </w:rPr>
              <w:t>34.5%</w:t>
            </w:r>
          </w:p>
        </w:tc>
        <w:tc>
          <w:tcPr>
            <w:tcW w:w="381" w:type="pct"/>
            <w:shd w:val="clear" w:color="auto" w:fill="auto"/>
            <w:noWrap/>
            <w:tcMar>
              <w:left w:w="0" w:type="dxa"/>
            </w:tcMar>
            <w:vAlign w:val="bottom"/>
            <w:hideMark/>
          </w:tcPr>
          <w:p w14:paraId="4A23F8D5" w14:textId="77777777" w:rsidR="00CE1BDB" w:rsidRPr="00263141" w:rsidRDefault="00CE1BDB" w:rsidP="00EF49A7">
            <w:pPr>
              <w:jc w:val="right"/>
              <w:rPr>
                <w:rFonts w:cs="Arial"/>
                <w:color w:val="000000"/>
                <w:sz w:val="20"/>
                <w:szCs w:val="20"/>
              </w:rPr>
            </w:pPr>
            <w:r w:rsidRPr="00263141">
              <w:rPr>
                <w:rFonts w:cs="Arial"/>
                <w:color w:val="000000"/>
                <w:sz w:val="20"/>
                <w:szCs w:val="20"/>
              </w:rPr>
              <w:t>26.0%</w:t>
            </w:r>
          </w:p>
        </w:tc>
        <w:tc>
          <w:tcPr>
            <w:tcW w:w="351" w:type="pct"/>
            <w:shd w:val="clear" w:color="auto" w:fill="auto"/>
            <w:noWrap/>
            <w:tcMar>
              <w:left w:w="0" w:type="dxa"/>
            </w:tcMar>
            <w:vAlign w:val="bottom"/>
            <w:hideMark/>
          </w:tcPr>
          <w:p w14:paraId="610DD772" w14:textId="77777777" w:rsidR="00CE1BDB" w:rsidRPr="00263141" w:rsidRDefault="00CE1BDB" w:rsidP="00EF49A7">
            <w:pPr>
              <w:jc w:val="right"/>
              <w:rPr>
                <w:rFonts w:cs="Arial"/>
                <w:color w:val="000000"/>
                <w:sz w:val="20"/>
                <w:szCs w:val="20"/>
              </w:rPr>
            </w:pPr>
            <w:r w:rsidRPr="00263141">
              <w:rPr>
                <w:rFonts w:cs="Arial"/>
                <w:color w:val="000000"/>
                <w:sz w:val="20"/>
                <w:szCs w:val="20"/>
              </w:rPr>
              <w:t>5.5%</w:t>
            </w:r>
          </w:p>
        </w:tc>
        <w:tc>
          <w:tcPr>
            <w:tcW w:w="318" w:type="pct"/>
            <w:shd w:val="clear" w:color="auto" w:fill="auto"/>
            <w:noWrap/>
            <w:tcMar>
              <w:left w:w="0" w:type="dxa"/>
            </w:tcMar>
            <w:vAlign w:val="bottom"/>
            <w:hideMark/>
          </w:tcPr>
          <w:p w14:paraId="6B0F28F9"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3FA3BC43"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24" w:type="pct"/>
            <w:shd w:val="clear" w:color="auto" w:fill="auto"/>
            <w:noWrap/>
            <w:tcMar>
              <w:left w:w="0" w:type="dxa"/>
            </w:tcMar>
            <w:vAlign w:val="bottom"/>
            <w:hideMark/>
          </w:tcPr>
          <w:p w14:paraId="077A2E16" w14:textId="77777777" w:rsidR="00CE1BDB" w:rsidRPr="00263141" w:rsidRDefault="00CE1BDB" w:rsidP="00EF49A7">
            <w:pPr>
              <w:jc w:val="right"/>
              <w:rPr>
                <w:rFonts w:cs="Arial"/>
                <w:color w:val="000000"/>
                <w:sz w:val="20"/>
                <w:szCs w:val="20"/>
              </w:rPr>
            </w:pPr>
            <w:r w:rsidRPr="00263141">
              <w:rPr>
                <w:rFonts w:cs="Arial"/>
                <w:color w:val="000000"/>
                <w:sz w:val="20"/>
                <w:szCs w:val="20"/>
              </w:rPr>
              <w:t>£45,000</w:t>
            </w:r>
          </w:p>
        </w:tc>
        <w:tc>
          <w:tcPr>
            <w:tcW w:w="331" w:type="pct"/>
            <w:shd w:val="clear" w:color="auto" w:fill="auto"/>
            <w:noWrap/>
            <w:tcMar>
              <w:left w:w="0" w:type="dxa"/>
            </w:tcMar>
            <w:vAlign w:val="bottom"/>
            <w:hideMark/>
          </w:tcPr>
          <w:p w14:paraId="7546AA00" w14:textId="77777777" w:rsidR="00CE1BDB" w:rsidRPr="00263141" w:rsidRDefault="00CE1BDB" w:rsidP="00EF49A7">
            <w:pPr>
              <w:jc w:val="right"/>
              <w:rPr>
                <w:rFonts w:cs="Arial"/>
                <w:color w:val="000000"/>
                <w:sz w:val="20"/>
                <w:szCs w:val="20"/>
              </w:rPr>
            </w:pPr>
            <w:r w:rsidRPr="00263141">
              <w:rPr>
                <w:rFonts w:cs="Arial"/>
                <w:color w:val="000000"/>
                <w:sz w:val="20"/>
                <w:szCs w:val="20"/>
              </w:rPr>
              <w:t>£49,966</w:t>
            </w:r>
          </w:p>
        </w:tc>
      </w:tr>
      <w:tr w:rsidR="00CE1BDB" w:rsidRPr="00263141" w14:paraId="79433CAF" w14:textId="77777777" w:rsidTr="00185CB9">
        <w:trPr>
          <w:trHeight w:val="387"/>
        </w:trPr>
        <w:tc>
          <w:tcPr>
            <w:tcW w:w="1086" w:type="pct"/>
            <w:shd w:val="clear" w:color="auto" w:fill="auto"/>
            <w:noWrap/>
            <w:vAlign w:val="center"/>
            <w:hideMark/>
          </w:tcPr>
          <w:p w14:paraId="72C556E5" w14:textId="77777777" w:rsidR="00CE1BDB" w:rsidRPr="00263141" w:rsidRDefault="00CE1BDB" w:rsidP="00EF49A7">
            <w:pPr>
              <w:jc w:val="both"/>
              <w:rPr>
                <w:rFonts w:cs="Arial"/>
                <w:color w:val="000000"/>
                <w:sz w:val="20"/>
                <w:szCs w:val="20"/>
              </w:rPr>
            </w:pPr>
            <w:proofErr w:type="spellStart"/>
            <w:r w:rsidRPr="00263141">
              <w:rPr>
                <w:rFonts w:cs="Arial"/>
                <w:color w:val="000000"/>
                <w:sz w:val="20"/>
                <w:szCs w:val="20"/>
              </w:rPr>
              <w:t>Lordswood</w:t>
            </w:r>
            <w:proofErr w:type="spellEnd"/>
            <w:r w:rsidRPr="00263141">
              <w:rPr>
                <w:rFonts w:cs="Arial"/>
                <w:color w:val="000000"/>
                <w:sz w:val="20"/>
                <w:szCs w:val="20"/>
              </w:rPr>
              <w:t xml:space="preserve"> and Capstone</w:t>
            </w:r>
          </w:p>
        </w:tc>
        <w:tc>
          <w:tcPr>
            <w:tcW w:w="263" w:type="pct"/>
            <w:shd w:val="clear" w:color="auto" w:fill="auto"/>
            <w:noWrap/>
            <w:tcMar>
              <w:left w:w="0" w:type="dxa"/>
            </w:tcMar>
            <w:vAlign w:val="bottom"/>
            <w:hideMark/>
          </w:tcPr>
          <w:p w14:paraId="17A377CB" w14:textId="77777777" w:rsidR="00CE1BDB" w:rsidRPr="00263141" w:rsidRDefault="00CE1BDB" w:rsidP="00EF49A7">
            <w:pPr>
              <w:jc w:val="right"/>
              <w:rPr>
                <w:rFonts w:cs="Arial"/>
                <w:color w:val="000000"/>
                <w:sz w:val="20"/>
                <w:szCs w:val="20"/>
              </w:rPr>
            </w:pPr>
            <w:r w:rsidRPr="00263141">
              <w:rPr>
                <w:rFonts w:cs="Arial"/>
                <w:color w:val="000000"/>
                <w:sz w:val="20"/>
                <w:szCs w:val="20"/>
              </w:rPr>
              <w:t>1.9%</w:t>
            </w:r>
          </w:p>
        </w:tc>
        <w:tc>
          <w:tcPr>
            <w:tcW w:w="461" w:type="pct"/>
            <w:shd w:val="clear" w:color="auto" w:fill="auto"/>
            <w:noWrap/>
            <w:tcMar>
              <w:left w:w="0" w:type="dxa"/>
            </w:tcMar>
            <w:vAlign w:val="bottom"/>
            <w:hideMark/>
          </w:tcPr>
          <w:p w14:paraId="75377019" w14:textId="77777777" w:rsidR="00CE1BDB" w:rsidRPr="00263141" w:rsidRDefault="00CE1BDB" w:rsidP="00EF49A7">
            <w:pPr>
              <w:jc w:val="right"/>
              <w:rPr>
                <w:rFonts w:cs="Arial"/>
                <w:color w:val="000000"/>
                <w:sz w:val="20"/>
                <w:szCs w:val="20"/>
              </w:rPr>
            </w:pPr>
            <w:r w:rsidRPr="00263141">
              <w:rPr>
                <w:rFonts w:cs="Arial"/>
                <w:color w:val="000000"/>
                <w:sz w:val="20"/>
                <w:szCs w:val="20"/>
              </w:rPr>
              <w:t>10.1%</w:t>
            </w:r>
          </w:p>
        </w:tc>
        <w:tc>
          <w:tcPr>
            <w:tcW w:w="399" w:type="pct"/>
            <w:shd w:val="clear" w:color="auto" w:fill="auto"/>
            <w:noWrap/>
            <w:tcMar>
              <w:left w:w="0" w:type="dxa"/>
            </w:tcMar>
            <w:vAlign w:val="bottom"/>
            <w:hideMark/>
          </w:tcPr>
          <w:p w14:paraId="6AD4689D" w14:textId="77777777" w:rsidR="00CE1BDB" w:rsidRPr="00263141" w:rsidRDefault="00CE1BDB" w:rsidP="00EF49A7">
            <w:pPr>
              <w:jc w:val="right"/>
              <w:rPr>
                <w:rFonts w:cs="Arial"/>
                <w:color w:val="000000"/>
                <w:sz w:val="20"/>
                <w:szCs w:val="20"/>
              </w:rPr>
            </w:pPr>
            <w:r w:rsidRPr="00263141">
              <w:rPr>
                <w:rFonts w:cs="Arial"/>
                <w:color w:val="000000"/>
                <w:sz w:val="20"/>
                <w:szCs w:val="20"/>
              </w:rPr>
              <w:t>21.9%</w:t>
            </w:r>
          </w:p>
        </w:tc>
        <w:tc>
          <w:tcPr>
            <w:tcW w:w="381" w:type="pct"/>
            <w:shd w:val="clear" w:color="auto" w:fill="auto"/>
            <w:noWrap/>
            <w:tcMar>
              <w:left w:w="0" w:type="dxa"/>
            </w:tcMar>
            <w:vAlign w:val="bottom"/>
            <w:hideMark/>
          </w:tcPr>
          <w:p w14:paraId="71BE40D9" w14:textId="77777777" w:rsidR="00CE1BDB" w:rsidRPr="00263141" w:rsidRDefault="00CE1BDB" w:rsidP="00EF49A7">
            <w:pPr>
              <w:jc w:val="right"/>
              <w:rPr>
                <w:rFonts w:cs="Arial"/>
                <w:color w:val="000000"/>
                <w:sz w:val="20"/>
                <w:szCs w:val="20"/>
              </w:rPr>
            </w:pPr>
            <w:r w:rsidRPr="00263141">
              <w:rPr>
                <w:rFonts w:cs="Arial"/>
                <w:color w:val="000000"/>
                <w:sz w:val="20"/>
                <w:szCs w:val="20"/>
              </w:rPr>
              <w:t>38.4%</w:t>
            </w:r>
          </w:p>
        </w:tc>
        <w:tc>
          <w:tcPr>
            <w:tcW w:w="381" w:type="pct"/>
            <w:shd w:val="clear" w:color="auto" w:fill="auto"/>
            <w:noWrap/>
            <w:tcMar>
              <w:left w:w="0" w:type="dxa"/>
            </w:tcMar>
            <w:vAlign w:val="bottom"/>
            <w:hideMark/>
          </w:tcPr>
          <w:p w14:paraId="2ACAC1BD" w14:textId="77777777" w:rsidR="00CE1BDB" w:rsidRPr="00263141" w:rsidRDefault="00CE1BDB" w:rsidP="00EF49A7">
            <w:pPr>
              <w:jc w:val="right"/>
              <w:rPr>
                <w:rFonts w:cs="Arial"/>
                <w:color w:val="000000"/>
                <w:sz w:val="20"/>
                <w:szCs w:val="20"/>
              </w:rPr>
            </w:pPr>
            <w:r w:rsidRPr="00263141">
              <w:rPr>
                <w:rFonts w:cs="Arial"/>
                <w:color w:val="000000"/>
                <w:sz w:val="20"/>
                <w:szCs w:val="20"/>
              </w:rPr>
              <w:t>20.5%</w:t>
            </w:r>
          </w:p>
        </w:tc>
        <w:tc>
          <w:tcPr>
            <w:tcW w:w="381" w:type="pct"/>
            <w:shd w:val="clear" w:color="auto" w:fill="auto"/>
            <w:noWrap/>
            <w:tcMar>
              <w:left w:w="0" w:type="dxa"/>
            </w:tcMar>
            <w:vAlign w:val="bottom"/>
            <w:hideMark/>
          </w:tcPr>
          <w:p w14:paraId="3F7741B5" w14:textId="77777777" w:rsidR="00CE1BDB" w:rsidRPr="00263141" w:rsidRDefault="00CE1BDB" w:rsidP="00EF49A7">
            <w:pPr>
              <w:jc w:val="right"/>
              <w:rPr>
                <w:rFonts w:cs="Arial"/>
                <w:color w:val="000000"/>
                <w:sz w:val="20"/>
                <w:szCs w:val="20"/>
              </w:rPr>
            </w:pPr>
            <w:r w:rsidRPr="00263141">
              <w:rPr>
                <w:rFonts w:cs="Arial"/>
                <w:color w:val="000000"/>
                <w:sz w:val="20"/>
                <w:szCs w:val="20"/>
              </w:rPr>
              <w:t>7.2%</w:t>
            </w:r>
          </w:p>
        </w:tc>
        <w:tc>
          <w:tcPr>
            <w:tcW w:w="351" w:type="pct"/>
            <w:shd w:val="clear" w:color="auto" w:fill="auto"/>
            <w:noWrap/>
            <w:tcMar>
              <w:left w:w="0" w:type="dxa"/>
            </w:tcMar>
            <w:vAlign w:val="bottom"/>
            <w:hideMark/>
          </w:tcPr>
          <w:p w14:paraId="5D20929F"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45A5BDBF"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026D1604"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2DF251D3"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4439D23D" w14:textId="77777777" w:rsidR="00CE1BDB" w:rsidRPr="00263141" w:rsidRDefault="00CE1BDB" w:rsidP="00EF49A7">
            <w:pPr>
              <w:jc w:val="right"/>
              <w:rPr>
                <w:rFonts w:cs="Arial"/>
                <w:color w:val="000000"/>
                <w:sz w:val="20"/>
                <w:szCs w:val="20"/>
              </w:rPr>
            </w:pPr>
            <w:r w:rsidRPr="00263141">
              <w:rPr>
                <w:rFonts w:cs="Arial"/>
                <w:color w:val="000000"/>
                <w:sz w:val="20"/>
                <w:szCs w:val="20"/>
              </w:rPr>
              <w:t>£33,841</w:t>
            </w:r>
          </w:p>
        </w:tc>
      </w:tr>
      <w:tr w:rsidR="00CE1BDB" w:rsidRPr="00263141" w14:paraId="2851627C" w14:textId="77777777" w:rsidTr="00185CB9">
        <w:trPr>
          <w:trHeight w:val="326"/>
        </w:trPr>
        <w:tc>
          <w:tcPr>
            <w:tcW w:w="1086" w:type="pct"/>
            <w:shd w:val="clear" w:color="auto" w:fill="auto"/>
            <w:noWrap/>
            <w:vAlign w:val="center"/>
            <w:hideMark/>
          </w:tcPr>
          <w:p w14:paraId="237BED34" w14:textId="77777777" w:rsidR="00CE1BDB" w:rsidRPr="00263141" w:rsidRDefault="00CE1BDB" w:rsidP="00EF49A7">
            <w:pPr>
              <w:jc w:val="both"/>
              <w:rPr>
                <w:rFonts w:cs="Arial"/>
                <w:color w:val="000000"/>
                <w:sz w:val="20"/>
                <w:szCs w:val="20"/>
              </w:rPr>
            </w:pPr>
            <w:r w:rsidRPr="00263141">
              <w:rPr>
                <w:rFonts w:cs="Arial"/>
                <w:color w:val="000000"/>
                <w:sz w:val="20"/>
                <w:szCs w:val="20"/>
              </w:rPr>
              <w:t xml:space="preserve">Luton and </w:t>
            </w:r>
            <w:proofErr w:type="spellStart"/>
            <w:r w:rsidRPr="00263141">
              <w:rPr>
                <w:rFonts w:cs="Arial"/>
                <w:color w:val="000000"/>
                <w:sz w:val="20"/>
                <w:szCs w:val="20"/>
              </w:rPr>
              <w:t>Wayfield</w:t>
            </w:r>
            <w:proofErr w:type="spellEnd"/>
          </w:p>
        </w:tc>
        <w:tc>
          <w:tcPr>
            <w:tcW w:w="263" w:type="pct"/>
            <w:shd w:val="clear" w:color="auto" w:fill="auto"/>
            <w:noWrap/>
            <w:tcMar>
              <w:left w:w="0" w:type="dxa"/>
            </w:tcMar>
            <w:vAlign w:val="bottom"/>
            <w:hideMark/>
          </w:tcPr>
          <w:p w14:paraId="64479F75" w14:textId="77777777" w:rsidR="00CE1BDB" w:rsidRPr="00263141" w:rsidRDefault="00CE1BDB" w:rsidP="00EF49A7">
            <w:pPr>
              <w:jc w:val="right"/>
              <w:rPr>
                <w:rFonts w:cs="Arial"/>
                <w:color w:val="000000"/>
                <w:sz w:val="20"/>
                <w:szCs w:val="20"/>
              </w:rPr>
            </w:pPr>
            <w:r w:rsidRPr="00263141">
              <w:rPr>
                <w:rFonts w:cs="Arial"/>
                <w:color w:val="000000"/>
                <w:sz w:val="20"/>
                <w:szCs w:val="20"/>
              </w:rPr>
              <w:t>1.3%</w:t>
            </w:r>
          </w:p>
        </w:tc>
        <w:tc>
          <w:tcPr>
            <w:tcW w:w="461" w:type="pct"/>
            <w:shd w:val="clear" w:color="auto" w:fill="auto"/>
            <w:noWrap/>
            <w:tcMar>
              <w:left w:w="0" w:type="dxa"/>
            </w:tcMar>
            <w:vAlign w:val="bottom"/>
            <w:hideMark/>
          </w:tcPr>
          <w:p w14:paraId="2ABD34DB" w14:textId="77777777" w:rsidR="00CE1BDB" w:rsidRPr="00263141" w:rsidRDefault="00CE1BDB" w:rsidP="00EF49A7">
            <w:pPr>
              <w:jc w:val="right"/>
              <w:rPr>
                <w:rFonts w:cs="Arial"/>
                <w:color w:val="000000"/>
                <w:sz w:val="20"/>
                <w:szCs w:val="20"/>
              </w:rPr>
            </w:pPr>
            <w:r w:rsidRPr="00263141">
              <w:rPr>
                <w:rFonts w:cs="Arial"/>
                <w:color w:val="000000"/>
                <w:sz w:val="20"/>
                <w:szCs w:val="20"/>
              </w:rPr>
              <w:t>34.8%</w:t>
            </w:r>
          </w:p>
        </w:tc>
        <w:tc>
          <w:tcPr>
            <w:tcW w:w="399" w:type="pct"/>
            <w:shd w:val="clear" w:color="auto" w:fill="auto"/>
            <w:noWrap/>
            <w:tcMar>
              <w:left w:w="0" w:type="dxa"/>
            </w:tcMar>
            <w:vAlign w:val="bottom"/>
            <w:hideMark/>
          </w:tcPr>
          <w:p w14:paraId="37A177DF" w14:textId="77777777" w:rsidR="00CE1BDB" w:rsidRPr="00263141" w:rsidRDefault="00CE1BDB" w:rsidP="00EF49A7">
            <w:pPr>
              <w:jc w:val="right"/>
              <w:rPr>
                <w:rFonts w:cs="Arial"/>
                <w:color w:val="000000"/>
                <w:sz w:val="20"/>
                <w:szCs w:val="20"/>
              </w:rPr>
            </w:pPr>
            <w:r w:rsidRPr="00263141">
              <w:rPr>
                <w:rFonts w:cs="Arial"/>
                <w:color w:val="000000"/>
                <w:sz w:val="20"/>
                <w:szCs w:val="20"/>
              </w:rPr>
              <w:t>39.5%</w:t>
            </w:r>
          </w:p>
        </w:tc>
        <w:tc>
          <w:tcPr>
            <w:tcW w:w="381" w:type="pct"/>
            <w:shd w:val="clear" w:color="auto" w:fill="auto"/>
            <w:noWrap/>
            <w:tcMar>
              <w:left w:w="0" w:type="dxa"/>
            </w:tcMar>
            <w:vAlign w:val="bottom"/>
            <w:hideMark/>
          </w:tcPr>
          <w:p w14:paraId="48807656" w14:textId="77777777" w:rsidR="00CE1BDB" w:rsidRPr="00263141" w:rsidRDefault="00CE1BDB" w:rsidP="00EF49A7">
            <w:pPr>
              <w:jc w:val="right"/>
              <w:rPr>
                <w:rFonts w:cs="Arial"/>
                <w:color w:val="000000"/>
                <w:sz w:val="20"/>
                <w:szCs w:val="20"/>
              </w:rPr>
            </w:pPr>
            <w:r w:rsidRPr="00263141">
              <w:rPr>
                <w:rFonts w:cs="Arial"/>
                <w:color w:val="000000"/>
                <w:sz w:val="20"/>
                <w:szCs w:val="20"/>
              </w:rPr>
              <w:t>21.2%</w:t>
            </w:r>
          </w:p>
        </w:tc>
        <w:tc>
          <w:tcPr>
            <w:tcW w:w="381" w:type="pct"/>
            <w:shd w:val="clear" w:color="auto" w:fill="auto"/>
            <w:noWrap/>
            <w:tcMar>
              <w:left w:w="0" w:type="dxa"/>
            </w:tcMar>
            <w:vAlign w:val="bottom"/>
            <w:hideMark/>
          </w:tcPr>
          <w:p w14:paraId="0348904C" w14:textId="77777777" w:rsidR="00CE1BDB" w:rsidRPr="00263141" w:rsidRDefault="00CE1BDB" w:rsidP="00EF49A7">
            <w:pPr>
              <w:jc w:val="right"/>
              <w:rPr>
                <w:rFonts w:cs="Arial"/>
                <w:color w:val="000000"/>
                <w:sz w:val="20"/>
                <w:szCs w:val="20"/>
              </w:rPr>
            </w:pPr>
            <w:r w:rsidRPr="00263141">
              <w:rPr>
                <w:rFonts w:cs="Arial"/>
                <w:color w:val="000000"/>
                <w:sz w:val="20"/>
                <w:szCs w:val="20"/>
              </w:rPr>
              <w:t>3.3%</w:t>
            </w:r>
          </w:p>
        </w:tc>
        <w:tc>
          <w:tcPr>
            <w:tcW w:w="381" w:type="pct"/>
            <w:shd w:val="clear" w:color="auto" w:fill="auto"/>
            <w:noWrap/>
            <w:tcMar>
              <w:left w:w="0" w:type="dxa"/>
            </w:tcMar>
            <w:vAlign w:val="bottom"/>
            <w:hideMark/>
          </w:tcPr>
          <w:p w14:paraId="11D458ED"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51" w:type="pct"/>
            <w:shd w:val="clear" w:color="auto" w:fill="auto"/>
            <w:noWrap/>
            <w:tcMar>
              <w:left w:w="0" w:type="dxa"/>
            </w:tcMar>
            <w:vAlign w:val="bottom"/>
            <w:hideMark/>
          </w:tcPr>
          <w:p w14:paraId="1A64411D"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1322A4D1"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3319B101"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7BA84D59"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02AC554F" w14:textId="77777777" w:rsidR="00CE1BDB" w:rsidRPr="00263141" w:rsidRDefault="00CE1BDB" w:rsidP="00EF49A7">
            <w:pPr>
              <w:jc w:val="right"/>
              <w:rPr>
                <w:rFonts w:cs="Arial"/>
                <w:color w:val="000000"/>
                <w:sz w:val="20"/>
                <w:szCs w:val="20"/>
              </w:rPr>
            </w:pPr>
            <w:r w:rsidRPr="00263141">
              <w:rPr>
                <w:rFonts w:cs="Arial"/>
                <w:color w:val="000000"/>
                <w:sz w:val="20"/>
                <w:szCs w:val="20"/>
              </w:rPr>
              <w:t>£24,450</w:t>
            </w:r>
          </w:p>
        </w:tc>
      </w:tr>
      <w:tr w:rsidR="00CE1BDB" w:rsidRPr="00263141" w14:paraId="1AE7BE8F" w14:textId="77777777" w:rsidTr="00185CB9">
        <w:trPr>
          <w:trHeight w:val="326"/>
        </w:trPr>
        <w:tc>
          <w:tcPr>
            <w:tcW w:w="1086" w:type="pct"/>
            <w:shd w:val="clear" w:color="auto" w:fill="auto"/>
            <w:noWrap/>
            <w:vAlign w:val="center"/>
            <w:hideMark/>
          </w:tcPr>
          <w:p w14:paraId="553BFE06" w14:textId="77777777" w:rsidR="00CE1BDB" w:rsidRPr="00263141" w:rsidRDefault="00CE1BDB" w:rsidP="00EF49A7">
            <w:pPr>
              <w:jc w:val="both"/>
              <w:rPr>
                <w:rFonts w:cs="Arial"/>
                <w:color w:val="000000"/>
                <w:sz w:val="20"/>
                <w:szCs w:val="20"/>
              </w:rPr>
            </w:pPr>
            <w:r w:rsidRPr="00263141">
              <w:rPr>
                <w:rFonts w:cs="Arial"/>
                <w:color w:val="000000"/>
                <w:sz w:val="20"/>
                <w:szCs w:val="20"/>
              </w:rPr>
              <w:t>Peninsula</w:t>
            </w:r>
          </w:p>
        </w:tc>
        <w:tc>
          <w:tcPr>
            <w:tcW w:w="263" w:type="pct"/>
            <w:shd w:val="clear" w:color="auto" w:fill="auto"/>
            <w:noWrap/>
            <w:tcMar>
              <w:left w:w="0" w:type="dxa"/>
            </w:tcMar>
            <w:vAlign w:val="bottom"/>
            <w:hideMark/>
          </w:tcPr>
          <w:p w14:paraId="798D07E4" w14:textId="77777777" w:rsidR="00CE1BDB" w:rsidRPr="00263141" w:rsidRDefault="00CE1BDB" w:rsidP="00EF49A7">
            <w:pPr>
              <w:jc w:val="right"/>
              <w:rPr>
                <w:rFonts w:cs="Arial"/>
                <w:color w:val="000000"/>
                <w:sz w:val="20"/>
                <w:szCs w:val="20"/>
              </w:rPr>
            </w:pPr>
            <w:r w:rsidRPr="00263141">
              <w:rPr>
                <w:rFonts w:cs="Arial"/>
                <w:color w:val="000000"/>
                <w:sz w:val="20"/>
                <w:szCs w:val="20"/>
              </w:rPr>
              <w:t>0.2%</w:t>
            </w:r>
          </w:p>
        </w:tc>
        <w:tc>
          <w:tcPr>
            <w:tcW w:w="461" w:type="pct"/>
            <w:shd w:val="clear" w:color="auto" w:fill="auto"/>
            <w:noWrap/>
            <w:tcMar>
              <w:left w:w="0" w:type="dxa"/>
            </w:tcMar>
            <w:vAlign w:val="bottom"/>
            <w:hideMark/>
          </w:tcPr>
          <w:p w14:paraId="32749C42" w14:textId="77777777" w:rsidR="00CE1BDB" w:rsidRPr="00263141" w:rsidRDefault="00CE1BDB" w:rsidP="00EF49A7">
            <w:pPr>
              <w:jc w:val="right"/>
              <w:rPr>
                <w:rFonts w:cs="Arial"/>
                <w:color w:val="000000"/>
                <w:sz w:val="20"/>
                <w:szCs w:val="20"/>
              </w:rPr>
            </w:pPr>
            <w:r w:rsidRPr="00263141">
              <w:rPr>
                <w:rFonts w:cs="Arial"/>
                <w:color w:val="000000"/>
                <w:sz w:val="20"/>
                <w:szCs w:val="20"/>
              </w:rPr>
              <w:t>11.8%</w:t>
            </w:r>
          </w:p>
        </w:tc>
        <w:tc>
          <w:tcPr>
            <w:tcW w:w="399" w:type="pct"/>
            <w:shd w:val="clear" w:color="auto" w:fill="auto"/>
            <w:noWrap/>
            <w:tcMar>
              <w:left w:w="0" w:type="dxa"/>
            </w:tcMar>
            <w:vAlign w:val="bottom"/>
            <w:hideMark/>
          </w:tcPr>
          <w:p w14:paraId="3E9B4F24" w14:textId="77777777" w:rsidR="00CE1BDB" w:rsidRPr="00263141" w:rsidRDefault="00CE1BDB" w:rsidP="00EF49A7">
            <w:pPr>
              <w:jc w:val="right"/>
              <w:rPr>
                <w:rFonts w:cs="Arial"/>
                <w:color w:val="000000"/>
                <w:sz w:val="20"/>
                <w:szCs w:val="20"/>
              </w:rPr>
            </w:pPr>
            <w:r w:rsidRPr="00263141">
              <w:rPr>
                <w:rFonts w:cs="Arial"/>
                <w:color w:val="000000"/>
                <w:sz w:val="20"/>
                <w:szCs w:val="20"/>
              </w:rPr>
              <w:t>47.6%</w:t>
            </w:r>
          </w:p>
        </w:tc>
        <w:tc>
          <w:tcPr>
            <w:tcW w:w="381" w:type="pct"/>
            <w:shd w:val="clear" w:color="auto" w:fill="auto"/>
            <w:noWrap/>
            <w:tcMar>
              <w:left w:w="0" w:type="dxa"/>
            </w:tcMar>
            <w:vAlign w:val="bottom"/>
            <w:hideMark/>
          </w:tcPr>
          <w:p w14:paraId="6737F6A3" w14:textId="77777777" w:rsidR="00CE1BDB" w:rsidRPr="00263141" w:rsidRDefault="00CE1BDB" w:rsidP="00EF49A7">
            <w:pPr>
              <w:jc w:val="right"/>
              <w:rPr>
                <w:rFonts w:cs="Arial"/>
                <w:color w:val="000000"/>
                <w:sz w:val="20"/>
                <w:szCs w:val="20"/>
              </w:rPr>
            </w:pPr>
            <w:r w:rsidRPr="00263141">
              <w:rPr>
                <w:rFonts w:cs="Arial"/>
                <w:color w:val="000000"/>
                <w:sz w:val="20"/>
                <w:szCs w:val="20"/>
              </w:rPr>
              <w:t>26.8%</w:t>
            </w:r>
          </w:p>
        </w:tc>
        <w:tc>
          <w:tcPr>
            <w:tcW w:w="381" w:type="pct"/>
            <w:shd w:val="clear" w:color="auto" w:fill="auto"/>
            <w:noWrap/>
            <w:tcMar>
              <w:left w:w="0" w:type="dxa"/>
            </w:tcMar>
            <w:vAlign w:val="bottom"/>
            <w:hideMark/>
          </w:tcPr>
          <w:p w14:paraId="68FDADE5" w14:textId="77777777" w:rsidR="00CE1BDB" w:rsidRPr="00263141" w:rsidRDefault="00CE1BDB" w:rsidP="00EF49A7">
            <w:pPr>
              <w:jc w:val="right"/>
              <w:rPr>
                <w:rFonts w:cs="Arial"/>
                <w:color w:val="000000"/>
                <w:sz w:val="20"/>
                <w:szCs w:val="20"/>
              </w:rPr>
            </w:pPr>
            <w:r w:rsidRPr="00263141">
              <w:rPr>
                <w:rFonts w:cs="Arial"/>
                <w:color w:val="000000"/>
                <w:sz w:val="20"/>
                <w:szCs w:val="20"/>
              </w:rPr>
              <w:t>7.5%</w:t>
            </w:r>
          </w:p>
        </w:tc>
        <w:tc>
          <w:tcPr>
            <w:tcW w:w="381" w:type="pct"/>
            <w:shd w:val="clear" w:color="auto" w:fill="auto"/>
            <w:noWrap/>
            <w:tcMar>
              <w:left w:w="0" w:type="dxa"/>
            </w:tcMar>
            <w:vAlign w:val="bottom"/>
            <w:hideMark/>
          </w:tcPr>
          <w:p w14:paraId="67050C7F" w14:textId="77777777" w:rsidR="00CE1BDB" w:rsidRPr="00263141" w:rsidRDefault="00CE1BDB" w:rsidP="00EF49A7">
            <w:pPr>
              <w:jc w:val="right"/>
              <w:rPr>
                <w:rFonts w:cs="Arial"/>
                <w:color w:val="000000"/>
                <w:sz w:val="20"/>
                <w:szCs w:val="20"/>
              </w:rPr>
            </w:pPr>
            <w:r w:rsidRPr="00263141">
              <w:rPr>
                <w:rFonts w:cs="Arial"/>
                <w:color w:val="000000"/>
                <w:sz w:val="20"/>
                <w:szCs w:val="20"/>
              </w:rPr>
              <w:t>5.8%</w:t>
            </w:r>
          </w:p>
        </w:tc>
        <w:tc>
          <w:tcPr>
            <w:tcW w:w="351" w:type="pct"/>
            <w:shd w:val="clear" w:color="auto" w:fill="auto"/>
            <w:noWrap/>
            <w:tcMar>
              <w:left w:w="0" w:type="dxa"/>
            </w:tcMar>
            <w:vAlign w:val="bottom"/>
            <w:hideMark/>
          </w:tcPr>
          <w:p w14:paraId="47BD49F7" w14:textId="77777777" w:rsidR="00CE1BDB" w:rsidRPr="00263141" w:rsidRDefault="00CE1BDB" w:rsidP="00EF49A7">
            <w:pPr>
              <w:jc w:val="right"/>
              <w:rPr>
                <w:rFonts w:cs="Arial"/>
                <w:color w:val="000000"/>
                <w:sz w:val="20"/>
                <w:szCs w:val="20"/>
              </w:rPr>
            </w:pPr>
            <w:r w:rsidRPr="00263141">
              <w:rPr>
                <w:rFonts w:cs="Arial"/>
                <w:color w:val="000000"/>
                <w:sz w:val="20"/>
                <w:szCs w:val="20"/>
              </w:rPr>
              <w:t>0.4%</w:t>
            </w:r>
          </w:p>
        </w:tc>
        <w:tc>
          <w:tcPr>
            <w:tcW w:w="318" w:type="pct"/>
            <w:shd w:val="clear" w:color="auto" w:fill="auto"/>
            <w:noWrap/>
            <w:tcMar>
              <w:left w:w="0" w:type="dxa"/>
            </w:tcMar>
            <w:vAlign w:val="bottom"/>
            <w:hideMark/>
          </w:tcPr>
          <w:p w14:paraId="43CB5CCD"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6BB3F6AB"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720AE1EC"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268A18D7" w14:textId="77777777" w:rsidR="00CE1BDB" w:rsidRPr="00263141" w:rsidRDefault="00CE1BDB" w:rsidP="00EF49A7">
            <w:pPr>
              <w:jc w:val="right"/>
              <w:rPr>
                <w:rFonts w:cs="Arial"/>
                <w:color w:val="000000"/>
                <w:sz w:val="20"/>
                <w:szCs w:val="20"/>
              </w:rPr>
            </w:pPr>
            <w:r w:rsidRPr="00263141">
              <w:rPr>
                <w:rFonts w:cs="Arial"/>
                <w:color w:val="000000"/>
                <w:sz w:val="20"/>
                <w:szCs w:val="20"/>
              </w:rPr>
              <w:t>£31,950</w:t>
            </w:r>
          </w:p>
        </w:tc>
      </w:tr>
      <w:tr w:rsidR="00CE1BDB" w:rsidRPr="00263141" w14:paraId="71231675" w14:textId="77777777" w:rsidTr="00185CB9">
        <w:trPr>
          <w:trHeight w:val="326"/>
        </w:trPr>
        <w:tc>
          <w:tcPr>
            <w:tcW w:w="1086" w:type="pct"/>
            <w:shd w:val="clear" w:color="auto" w:fill="auto"/>
            <w:noWrap/>
            <w:vAlign w:val="center"/>
            <w:hideMark/>
          </w:tcPr>
          <w:p w14:paraId="47862E3E" w14:textId="77777777" w:rsidR="00CE1BDB" w:rsidRPr="00263141" w:rsidRDefault="00CE1BDB" w:rsidP="00EF49A7">
            <w:pPr>
              <w:jc w:val="both"/>
              <w:rPr>
                <w:rFonts w:cs="Arial"/>
                <w:color w:val="000000"/>
                <w:sz w:val="20"/>
                <w:szCs w:val="20"/>
              </w:rPr>
            </w:pPr>
            <w:r w:rsidRPr="00263141">
              <w:rPr>
                <w:rFonts w:cs="Arial"/>
                <w:color w:val="000000"/>
                <w:sz w:val="20"/>
                <w:szCs w:val="20"/>
              </w:rPr>
              <w:t>Princes Park</w:t>
            </w:r>
          </w:p>
        </w:tc>
        <w:tc>
          <w:tcPr>
            <w:tcW w:w="263" w:type="pct"/>
            <w:shd w:val="clear" w:color="auto" w:fill="auto"/>
            <w:noWrap/>
            <w:tcMar>
              <w:left w:w="0" w:type="dxa"/>
            </w:tcMar>
            <w:vAlign w:val="bottom"/>
            <w:hideMark/>
          </w:tcPr>
          <w:p w14:paraId="01A8E681" w14:textId="77777777" w:rsidR="00CE1BDB" w:rsidRPr="00263141" w:rsidRDefault="00CE1BDB" w:rsidP="00EF49A7">
            <w:pPr>
              <w:jc w:val="right"/>
              <w:rPr>
                <w:rFonts w:cs="Arial"/>
                <w:color w:val="000000"/>
                <w:sz w:val="20"/>
                <w:szCs w:val="20"/>
              </w:rPr>
            </w:pPr>
            <w:r w:rsidRPr="00263141">
              <w:rPr>
                <w:rFonts w:cs="Arial"/>
                <w:color w:val="000000"/>
                <w:sz w:val="20"/>
                <w:szCs w:val="20"/>
              </w:rPr>
              <w:t>1.6%</w:t>
            </w:r>
          </w:p>
        </w:tc>
        <w:tc>
          <w:tcPr>
            <w:tcW w:w="461" w:type="pct"/>
            <w:shd w:val="clear" w:color="auto" w:fill="auto"/>
            <w:noWrap/>
            <w:tcMar>
              <w:left w:w="0" w:type="dxa"/>
            </w:tcMar>
            <w:vAlign w:val="bottom"/>
            <w:hideMark/>
          </w:tcPr>
          <w:p w14:paraId="479F9E82" w14:textId="77777777" w:rsidR="00CE1BDB" w:rsidRPr="00263141" w:rsidRDefault="00CE1BDB" w:rsidP="00EF49A7">
            <w:pPr>
              <w:jc w:val="right"/>
              <w:rPr>
                <w:rFonts w:cs="Arial"/>
                <w:color w:val="000000"/>
                <w:sz w:val="20"/>
                <w:szCs w:val="20"/>
              </w:rPr>
            </w:pPr>
            <w:r w:rsidRPr="00263141">
              <w:rPr>
                <w:rFonts w:cs="Arial"/>
                <w:color w:val="000000"/>
                <w:sz w:val="20"/>
                <w:szCs w:val="20"/>
              </w:rPr>
              <w:t>10.4%</w:t>
            </w:r>
          </w:p>
        </w:tc>
        <w:tc>
          <w:tcPr>
            <w:tcW w:w="399" w:type="pct"/>
            <w:shd w:val="clear" w:color="auto" w:fill="auto"/>
            <w:noWrap/>
            <w:tcMar>
              <w:left w:w="0" w:type="dxa"/>
            </w:tcMar>
            <w:vAlign w:val="bottom"/>
            <w:hideMark/>
          </w:tcPr>
          <w:p w14:paraId="5190AB2E" w14:textId="77777777" w:rsidR="00CE1BDB" w:rsidRPr="00263141" w:rsidRDefault="00CE1BDB" w:rsidP="00EF49A7">
            <w:pPr>
              <w:jc w:val="right"/>
              <w:rPr>
                <w:rFonts w:cs="Arial"/>
                <w:color w:val="000000"/>
                <w:sz w:val="20"/>
                <w:szCs w:val="20"/>
              </w:rPr>
            </w:pPr>
            <w:r w:rsidRPr="00263141">
              <w:rPr>
                <w:rFonts w:cs="Arial"/>
                <w:color w:val="000000"/>
                <w:sz w:val="20"/>
                <w:szCs w:val="20"/>
              </w:rPr>
              <w:t>14.5%</w:t>
            </w:r>
          </w:p>
        </w:tc>
        <w:tc>
          <w:tcPr>
            <w:tcW w:w="381" w:type="pct"/>
            <w:shd w:val="clear" w:color="auto" w:fill="auto"/>
            <w:noWrap/>
            <w:tcMar>
              <w:left w:w="0" w:type="dxa"/>
            </w:tcMar>
            <w:vAlign w:val="bottom"/>
            <w:hideMark/>
          </w:tcPr>
          <w:p w14:paraId="3603F3BB" w14:textId="77777777" w:rsidR="00CE1BDB" w:rsidRPr="00263141" w:rsidRDefault="00CE1BDB" w:rsidP="00EF49A7">
            <w:pPr>
              <w:jc w:val="right"/>
              <w:rPr>
                <w:rFonts w:cs="Arial"/>
                <w:color w:val="000000"/>
                <w:sz w:val="20"/>
                <w:szCs w:val="20"/>
              </w:rPr>
            </w:pPr>
            <w:r w:rsidRPr="00263141">
              <w:rPr>
                <w:rFonts w:cs="Arial"/>
                <w:color w:val="000000"/>
                <w:sz w:val="20"/>
                <w:szCs w:val="20"/>
              </w:rPr>
              <w:t>26.8%</w:t>
            </w:r>
          </w:p>
        </w:tc>
        <w:tc>
          <w:tcPr>
            <w:tcW w:w="381" w:type="pct"/>
            <w:shd w:val="clear" w:color="auto" w:fill="auto"/>
            <w:noWrap/>
            <w:tcMar>
              <w:left w:w="0" w:type="dxa"/>
            </w:tcMar>
            <w:vAlign w:val="bottom"/>
            <w:hideMark/>
          </w:tcPr>
          <w:p w14:paraId="50AA159D" w14:textId="77777777" w:rsidR="00CE1BDB" w:rsidRPr="00263141" w:rsidRDefault="00CE1BDB" w:rsidP="00EF49A7">
            <w:pPr>
              <w:jc w:val="right"/>
              <w:rPr>
                <w:rFonts w:cs="Arial"/>
                <w:color w:val="000000"/>
                <w:sz w:val="20"/>
                <w:szCs w:val="20"/>
              </w:rPr>
            </w:pPr>
            <w:r w:rsidRPr="00263141">
              <w:rPr>
                <w:rFonts w:cs="Arial"/>
                <w:color w:val="000000"/>
                <w:sz w:val="20"/>
                <w:szCs w:val="20"/>
              </w:rPr>
              <w:t>37.8%</w:t>
            </w:r>
          </w:p>
        </w:tc>
        <w:tc>
          <w:tcPr>
            <w:tcW w:w="381" w:type="pct"/>
            <w:shd w:val="clear" w:color="auto" w:fill="auto"/>
            <w:noWrap/>
            <w:tcMar>
              <w:left w:w="0" w:type="dxa"/>
            </w:tcMar>
            <w:vAlign w:val="bottom"/>
            <w:hideMark/>
          </w:tcPr>
          <w:p w14:paraId="280C0938" w14:textId="77777777" w:rsidR="00CE1BDB" w:rsidRPr="00263141" w:rsidRDefault="00CE1BDB" w:rsidP="00EF49A7">
            <w:pPr>
              <w:jc w:val="right"/>
              <w:rPr>
                <w:rFonts w:cs="Arial"/>
                <w:color w:val="000000"/>
                <w:sz w:val="20"/>
                <w:szCs w:val="20"/>
              </w:rPr>
            </w:pPr>
            <w:r w:rsidRPr="00263141">
              <w:rPr>
                <w:rFonts w:cs="Arial"/>
                <w:color w:val="000000"/>
                <w:sz w:val="20"/>
                <w:szCs w:val="20"/>
              </w:rPr>
              <w:t>9.0%</w:t>
            </w:r>
          </w:p>
        </w:tc>
        <w:tc>
          <w:tcPr>
            <w:tcW w:w="351" w:type="pct"/>
            <w:shd w:val="clear" w:color="auto" w:fill="auto"/>
            <w:noWrap/>
            <w:tcMar>
              <w:left w:w="0" w:type="dxa"/>
            </w:tcMar>
            <w:vAlign w:val="bottom"/>
            <w:hideMark/>
          </w:tcPr>
          <w:p w14:paraId="70CA735F"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21B8EF09"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4EB6F8EC"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5C78489B"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0D86381B" w14:textId="77777777" w:rsidR="00CE1BDB" w:rsidRPr="00263141" w:rsidRDefault="00CE1BDB" w:rsidP="00EF49A7">
            <w:pPr>
              <w:jc w:val="right"/>
              <w:rPr>
                <w:rFonts w:cs="Arial"/>
                <w:color w:val="000000"/>
                <w:sz w:val="20"/>
                <w:szCs w:val="20"/>
              </w:rPr>
            </w:pPr>
            <w:r w:rsidRPr="00263141">
              <w:rPr>
                <w:rFonts w:cs="Arial"/>
                <w:color w:val="000000"/>
                <w:sz w:val="20"/>
                <w:szCs w:val="20"/>
              </w:rPr>
              <w:t>£37,730</w:t>
            </w:r>
          </w:p>
        </w:tc>
      </w:tr>
      <w:tr w:rsidR="00CE1BDB" w:rsidRPr="00263141" w14:paraId="3FAAEB72" w14:textId="77777777" w:rsidTr="00185CB9">
        <w:trPr>
          <w:trHeight w:val="326"/>
        </w:trPr>
        <w:tc>
          <w:tcPr>
            <w:tcW w:w="1086" w:type="pct"/>
            <w:shd w:val="clear" w:color="auto" w:fill="auto"/>
            <w:noWrap/>
            <w:vAlign w:val="center"/>
            <w:hideMark/>
          </w:tcPr>
          <w:p w14:paraId="6A217E9D" w14:textId="77777777" w:rsidR="00CE1BDB" w:rsidRPr="00263141" w:rsidRDefault="00CE1BDB" w:rsidP="00EF49A7">
            <w:pPr>
              <w:jc w:val="both"/>
              <w:rPr>
                <w:rFonts w:cs="Arial"/>
                <w:color w:val="000000"/>
                <w:sz w:val="20"/>
                <w:szCs w:val="20"/>
              </w:rPr>
            </w:pPr>
            <w:r w:rsidRPr="00263141">
              <w:rPr>
                <w:rFonts w:cs="Arial"/>
                <w:color w:val="000000"/>
                <w:sz w:val="20"/>
                <w:szCs w:val="20"/>
              </w:rPr>
              <w:t>Rainham Central</w:t>
            </w:r>
          </w:p>
        </w:tc>
        <w:tc>
          <w:tcPr>
            <w:tcW w:w="263" w:type="pct"/>
            <w:shd w:val="clear" w:color="auto" w:fill="auto"/>
            <w:noWrap/>
            <w:tcMar>
              <w:left w:w="0" w:type="dxa"/>
            </w:tcMar>
            <w:vAlign w:val="bottom"/>
            <w:hideMark/>
          </w:tcPr>
          <w:p w14:paraId="22032D78"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461" w:type="pct"/>
            <w:shd w:val="clear" w:color="auto" w:fill="auto"/>
            <w:noWrap/>
            <w:tcMar>
              <w:left w:w="0" w:type="dxa"/>
            </w:tcMar>
            <w:vAlign w:val="bottom"/>
            <w:hideMark/>
          </w:tcPr>
          <w:p w14:paraId="6EF425AA" w14:textId="77777777" w:rsidR="00CE1BDB" w:rsidRPr="00263141" w:rsidRDefault="00CE1BDB" w:rsidP="00EF49A7">
            <w:pPr>
              <w:jc w:val="right"/>
              <w:rPr>
                <w:rFonts w:cs="Arial"/>
                <w:color w:val="000000"/>
                <w:sz w:val="20"/>
                <w:szCs w:val="20"/>
              </w:rPr>
            </w:pPr>
            <w:r w:rsidRPr="00263141">
              <w:rPr>
                <w:rFonts w:cs="Arial"/>
                <w:color w:val="000000"/>
                <w:sz w:val="20"/>
                <w:szCs w:val="20"/>
              </w:rPr>
              <w:t>5.3%</w:t>
            </w:r>
          </w:p>
        </w:tc>
        <w:tc>
          <w:tcPr>
            <w:tcW w:w="399" w:type="pct"/>
            <w:shd w:val="clear" w:color="auto" w:fill="auto"/>
            <w:noWrap/>
            <w:tcMar>
              <w:left w:w="0" w:type="dxa"/>
            </w:tcMar>
            <w:vAlign w:val="bottom"/>
            <w:hideMark/>
          </w:tcPr>
          <w:p w14:paraId="2755D921" w14:textId="77777777" w:rsidR="00CE1BDB" w:rsidRPr="00263141" w:rsidRDefault="00CE1BDB" w:rsidP="00EF49A7">
            <w:pPr>
              <w:jc w:val="right"/>
              <w:rPr>
                <w:rFonts w:cs="Arial"/>
                <w:color w:val="000000"/>
                <w:sz w:val="20"/>
                <w:szCs w:val="20"/>
              </w:rPr>
            </w:pPr>
            <w:r w:rsidRPr="00263141">
              <w:rPr>
                <w:rFonts w:cs="Arial"/>
                <w:color w:val="000000"/>
                <w:sz w:val="20"/>
                <w:szCs w:val="20"/>
              </w:rPr>
              <w:t>17.8%</w:t>
            </w:r>
          </w:p>
        </w:tc>
        <w:tc>
          <w:tcPr>
            <w:tcW w:w="381" w:type="pct"/>
            <w:shd w:val="clear" w:color="auto" w:fill="auto"/>
            <w:noWrap/>
            <w:tcMar>
              <w:left w:w="0" w:type="dxa"/>
            </w:tcMar>
            <w:vAlign w:val="bottom"/>
            <w:hideMark/>
          </w:tcPr>
          <w:p w14:paraId="23778FE5" w14:textId="77777777" w:rsidR="00CE1BDB" w:rsidRPr="00263141" w:rsidRDefault="00CE1BDB" w:rsidP="00EF49A7">
            <w:pPr>
              <w:jc w:val="right"/>
              <w:rPr>
                <w:rFonts w:cs="Arial"/>
                <w:color w:val="000000"/>
                <w:sz w:val="20"/>
                <w:szCs w:val="20"/>
              </w:rPr>
            </w:pPr>
            <w:r w:rsidRPr="00263141">
              <w:rPr>
                <w:rFonts w:cs="Arial"/>
                <w:color w:val="000000"/>
                <w:sz w:val="20"/>
                <w:szCs w:val="20"/>
              </w:rPr>
              <w:t>35.1%</w:t>
            </w:r>
          </w:p>
        </w:tc>
        <w:tc>
          <w:tcPr>
            <w:tcW w:w="381" w:type="pct"/>
            <w:shd w:val="clear" w:color="auto" w:fill="auto"/>
            <w:noWrap/>
            <w:tcMar>
              <w:left w:w="0" w:type="dxa"/>
            </w:tcMar>
            <w:vAlign w:val="bottom"/>
            <w:hideMark/>
          </w:tcPr>
          <w:p w14:paraId="3CD813EA" w14:textId="77777777" w:rsidR="00CE1BDB" w:rsidRPr="00263141" w:rsidRDefault="00CE1BDB" w:rsidP="00EF49A7">
            <w:pPr>
              <w:jc w:val="right"/>
              <w:rPr>
                <w:rFonts w:cs="Arial"/>
                <w:color w:val="000000"/>
                <w:sz w:val="20"/>
                <w:szCs w:val="20"/>
              </w:rPr>
            </w:pPr>
            <w:r w:rsidRPr="00263141">
              <w:rPr>
                <w:rFonts w:cs="Arial"/>
                <w:color w:val="000000"/>
                <w:sz w:val="20"/>
                <w:szCs w:val="20"/>
              </w:rPr>
              <w:t>30.8%</w:t>
            </w:r>
          </w:p>
        </w:tc>
        <w:tc>
          <w:tcPr>
            <w:tcW w:w="381" w:type="pct"/>
            <w:shd w:val="clear" w:color="auto" w:fill="auto"/>
            <w:noWrap/>
            <w:tcMar>
              <w:left w:w="0" w:type="dxa"/>
            </w:tcMar>
            <w:vAlign w:val="bottom"/>
            <w:hideMark/>
          </w:tcPr>
          <w:p w14:paraId="4880DC09" w14:textId="77777777" w:rsidR="00CE1BDB" w:rsidRPr="00263141" w:rsidRDefault="00CE1BDB" w:rsidP="00EF49A7">
            <w:pPr>
              <w:jc w:val="right"/>
              <w:rPr>
                <w:rFonts w:cs="Arial"/>
                <w:color w:val="000000"/>
                <w:sz w:val="20"/>
                <w:szCs w:val="20"/>
              </w:rPr>
            </w:pPr>
            <w:r w:rsidRPr="00263141">
              <w:rPr>
                <w:rFonts w:cs="Arial"/>
                <w:color w:val="000000"/>
                <w:sz w:val="20"/>
                <w:szCs w:val="20"/>
              </w:rPr>
              <w:t>10.9%</w:t>
            </w:r>
          </w:p>
        </w:tc>
        <w:tc>
          <w:tcPr>
            <w:tcW w:w="351" w:type="pct"/>
            <w:shd w:val="clear" w:color="auto" w:fill="auto"/>
            <w:noWrap/>
            <w:tcMar>
              <w:left w:w="0" w:type="dxa"/>
            </w:tcMar>
            <w:vAlign w:val="bottom"/>
            <w:hideMark/>
          </w:tcPr>
          <w:p w14:paraId="128631EB"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4135C662"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4708786A"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2B005A0B"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478B222D" w14:textId="77777777" w:rsidR="00CE1BDB" w:rsidRPr="00263141" w:rsidRDefault="00CE1BDB" w:rsidP="00EF49A7">
            <w:pPr>
              <w:jc w:val="right"/>
              <w:rPr>
                <w:rFonts w:cs="Arial"/>
                <w:color w:val="000000"/>
                <w:sz w:val="20"/>
                <w:szCs w:val="20"/>
              </w:rPr>
            </w:pPr>
            <w:r w:rsidRPr="00263141">
              <w:rPr>
                <w:rFonts w:cs="Arial"/>
                <w:color w:val="000000"/>
                <w:sz w:val="20"/>
                <w:szCs w:val="20"/>
              </w:rPr>
              <w:t>£38,027</w:t>
            </w:r>
          </w:p>
        </w:tc>
      </w:tr>
      <w:tr w:rsidR="00CE1BDB" w:rsidRPr="00263141" w14:paraId="48B77956" w14:textId="77777777" w:rsidTr="00185CB9">
        <w:trPr>
          <w:trHeight w:val="326"/>
        </w:trPr>
        <w:tc>
          <w:tcPr>
            <w:tcW w:w="1086" w:type="pct"/>
            <w:shd w:val="clear" w:color="auto" w:fill="auto"/>
            <w:noWrap/>
            <w:vAlign w:val="center"/>
            <w:hideMark/>
          </w:tcPr>
          <w:p w14:paraId="1B1738C0" w14:textId="77777777" w:rsidR="00CE1BDB" w:rsidRPr="00263141" w:rsidRDefault="00CE1BDB" w:rsidP="00EF49A7">
            <w:pPr>
              <w:jc w:val="both"/>
              <w:rPr>
                <w:rFonts w:cs="Arial"/>
                <w:color w:val="000000"/>
                <w:sz w:val="20"/>
                <w:szCs w:val="20"/>
              </w:rPr>
            </w:pPr>
            <w:r w:rsidRPr="00263141">
              <w:rPr>
                <w:rFonts w:cs="Arial"/>
                <w:color w:val="000000"/>
                <w:sz w:val="20"/>
                <w:szCs w:val="20"/>
              </w:rPr>
              <w:t>Rainham North</w:t>
            </w:r>
          </w:p>
        </w:tc>
        <w:tc>
          <w:tcPr>
            <w:tcW w:w="263" w:type="pct"/>
            <w:shd w:val="clear" w:color="auto" w:fill="auto"/>
            <w:noWrap/>
            <w:tcMar>
              <w:left w:w="0" w:type="dxa"/>
            </w:tcMar>
            <w:vAlign w:val="bottom"/>
            <w:hideMark/>
          </w:tcPr>
          <w:p w14:paraId="64E8EA66" w14:textId="77777777" w:rsidR="00CE1BDB" w:rsidRPr="00263141" w:rsidRDefault="00CE1BDB" w:rsidP="00EF49A7">
            <w:pPr>
              <w:jc w:val="right"/>
              <w:rPr>
                <w:rFonts w:cs="Arial"/>
                <w:color w:val="000000"/>
                <w:sz w:val="20"/>
                <w:szCs w:val="20"/>
              </w:rPr>
            </w:pPr>
            <w:r w:rsidRPr="00263141">
              <w:rPr>
                <w:rFonts w:cs="Arial"/>
                <w:color w:val="000000"/>
                <w:sz w:val="20"/>
                <w:szCs w:val="20"/>
              </w:rPr>
              <w:t>1.3%</w:t>
            </w:r>
          </w:p>
        </w:tc>
        <w:tc>
          <w:tcPr>
            <w:tcW w:w="461" w:type="pct"/>
            <w:shd w:val="clear" w:color="auto" w:fill="auto"/>
            <w:noWrap/>
            <w:tcMar>
              <w:left w:w="0" w:type="dxa"/>
            </w:tcMar>
            <w:vAlign w:val="bottom"/>
            <w:hideMark/>
          </w:tcPr>
          <w:p w14:paraId="5675444A" w14:textId="77777777" w:rsidR="00CE1BDB" w:rsidRPr="00263141" w:rsidRDefault="00CE1BDB" w:rsidP="00EF49A7">
            <w:pPr>
              <w:jc w:val="right"/>
              <w:rPr>
                <w:rFonts w:cs="Arial"/>
                <w:color w:val="000000"/>
                <w:sz w:val="20"/>
                <w:szCs w:val="20"/>
              </w:rPr>
            </w:pPr>
            <w:r w:rsidRPr="00263141">
              <w:rPr>
                <w:rFonts w:cs="Arial"/>
                <w:color w:val="000000"/>
                <w:sz w:val="20"/>
                <w:szCs w:val="20"/>
              </w:rPr>
              <w:t>6.5%</w:t>
            </w:r>
          </w:p>
        </w:tc>
        <w:tc>
          <w:tcPr>
            <w:tcW w:w="399" w:type="pct"/>
            <w:shd w:val="clear" w:color="auto" w:fill="auto"/>
            <w:noWrap/>
            <w:tcMar>
              <w:left w:w="0" w:type="dxa"/>
            </w:tcMar>
            <w:vAlign w:val="bottom"/>
            <w:hideMark/>
          </w:tcPr>
          <w:p w14:paraId="6BC9A0AC" w14:textId="77777777" w:rsidR="00CE1BDB" w:rsidRPr="00263141" w:rsidRDefault="00CE1BDB" w:rsidP="00EF49A7">
            <w:pPr>
              <w:jc w:val="right"/>
              <w:rPr>
                <w:rFonts w:cs="Arial"/>
                <w:color w:val="000000"/>
                <w:sz w:val="20"/>
                <w:szCs w:val="20"/>
              </w:rPr>
            </w:pPr>
            <w:r w:rsidRPr="00263141">
              <w:rPr>
                <w:rFonts w:cs="Arial"/>
                <w:color w:val="000000"/>
                <w:sz w:val="20"/>
                <w:szCs w:val="20"/>
              </w:rPr>
              <w:t>38.6%</w:t>
            </w:r>
          </w:p>
        </w:tc>
        <w:tc>
          <w:tcPr>
            <w:tcW w:w="381" w:type="pct"/>
            <w:shd w:val="clear" w:color="auto" w:fill="auto"/>
            <w:noWrap/>
            <w:tcMar>
              <w:left w:w="0" w:type="dxa"/>
            </w:tcMar>
            <w:vAlign w:val="bottom"/>
            <w:hideMark/>
          </w:tcPr>
          <w:p w14:paraId="3125E5DD" w14:textId="77777777" w:rsidR="00CE1BDB" w:rsidRPr="00263141" w:rsidRDefault="00CE1BDB" w:rsidP="00EF49A7">
            <w:pPr>
              <w:jc w:val="right"/>
              <w:rPr>
                <w:rFonts w:cs="Arial"/>
                <w:color w:val="000000"/>
                <w:sz w:val="20"/>
                <w:szCs w:val="20"/>
              </w:rPr>
            </w:pPr>
            <w:r w:rsidRPr="00263141">
              <w:rPr>
                <w:rFonts w:cs="Arial"/>
                <w:color w:val="000000"/>
                <w:sz w:val="20"/>
                <w:szCs w:val="20"/>
              </w:rPr>
              <w:t>36.2%</w:t>
            </w:r>
          </w:p>
        </w:tc>
        <w:tc>
          <w:tcPr>
            <w:tcW w:w="381" w:type="pct"/>
            <w:shd w:val="clear" w:color="auto" w:fill="auto"/>
            <w:noWrap/>
            <w:tcMar>
              <w:left w:w="0" w:type="dxa"/>
            </w:tcMar>
            <w:vAlign w:val="bottom"/>
            <w:hideMark/>
          </w:tcPr>
          <w:p w14:paraId="15F02109" w14:textId="77777777" w:rsidR="00CE1BDB" w:rsidRPr="00263141" w:rsidRDefault="00CE1BDB" w:rsidP="00EF49A7">
            <w:pPr>
              <w:jc w:val="right"/>
              <w:rPr>
                <w:rFonts w:cs="Arial"/>
                <w:color w:val="000000"/>
                <w:sz w:val="20"/>
                <w:szCs w:val="20"/>
              </w:rPr>
            </w:pPr>
            <w:r w:rsidRPr="00263141">
              <w:rPr>
                <w:rFonts w:cs="Arial"/>
                <w:color w:val="000000"/>
                <w:sz w:val="20"/>
                <w:szCs w:val="20"/>
              </w:rPr>
              <w:t>10.5%</w:t>
            </w:r>
          </w:p>
        </w:tc>
        <w:tc>
          <w:tcPr>
            <w:tcW w:w="381" w:type="pct"/>
            <w:shd w:val="clear" w:color="auto" w:fill="auto"/>
            <w:noWrap/>
            <w:tcMar>
              <w:left w:w="0" w:type="dxa"/>
            </w:tcMar>
            <w:vAlign w:val="bottom"/>
            <w:hideMark/>
          </w:tcPr>
          <w:p w14:paraId="38301044" w14:textId="77777777" w:rsidR="00CE1BDB" w:rsidRPr="00263141" w:rsidRDefault="00CE1BDB" w:rsidP="00EF49A7">
            <w:pPr>
              <w:jc w:val="right"/>
              <w:rPr>
                <w:rFonts w:cs="Arial"/>
                <w:color w:val="000000"/>
                <w:sz w:val="20"/>
                <w:szCs w:val="20"/>
              </w:rPr>
            </w:pPr>
            <w:r w:rsidRPr="00263141">
              <w:rPr>
                <w:rFonts w:cs="Arial"/>
                <w:color w:val="000000"/>
                <w:sz w:val="20"/>
                <w:szCs w:val="20"/>
              </w:rPr>
              <w:t>6.9%</w:t>
            </w:r>
          </w:p>
        </w:tc>
        <w:tc>
          <w:tcPr>
            <w:tcW w:w="351" w:type="pct"/>
            <w:shd w:val="clear" w:color="auto" w:fill="auto"/>
            <w:noWrap/>
            <w:tcMar>
              <w:left w:w="0" w:type="dxa"/>
            </w:tcMar>
            <w:vAlign w:val="bottom"/>
            <w:hideMark/>
          </w:tcPr>
          <w:p w14:paraId="26ECCACF"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652D3353"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1216E5F9"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13814DBD"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628FFBB0" w14:textId="77777777" w:rsidR="00CE1BDB" w:rsidRPr="00263141" w:rsidRDefault="00CE1BDB" w:rsidP="00EF49A7">
            <w:pPr>
              <w:jc w:val="right"/>
              <w:rPr>
                <w:rFonts w:cs="Arial"/>
                <w:color w:val="000000"/>
                <w:sz w:val="20"/>
                <w:szCs w:val="20"/>
              </w:rPr>
            </w:pPr>
            <w:r w:rsidRPr="00263141">
              <w:rPr>
                <w:rFonts w:cs="Arial"/>
                <w:color w:val="000000"/>
                <w:sz w:val="20"/>
                <w:szCs w:val="20"/>
              </w:rPr>
              <w:t>£33,281</w:t>
            </w:r>
          </w:p>
        </w:tc>
      </w:tr>
      <w:tr w:rsidR="00CE1BDB" w:rsidRPr="00263141" w14:paraId="31831438" w14:textId="77777777" w:rsidTr="00185CB9">
        <w:trPr>
          <w:trHeight w:val="326"/>
        </w:trPr>
        <w:tc>
          <w:tcPr>
            <w:tcW w:w="1086" w:type="pct"/>
            <w:shd w:val="clear" w:color="auto" w:fill="auto"/>
            <w:noWrap/>
            <w:vAlign w:val="center"/>
            <w:hideMark/>
          </w:tcPr>
          <w:p w14:paraId="41B6AF62" w14:textId="77777777" w:rsidR="00CE1BDB" w:rsidRPr="00263141" w:rsidRDefault="00CE1BDB" w:rsidP="00EF49A7">
            <w:pPr>
              <w:jc w:val="both"/>
              <w:rPr>
                <w:rFonts w:cs="Arial"/>
                <w:color w:val="000000"/>
                <w:sz w:val="20"/>
                <w:szCs w:val="20"/>
              </w:rPr>
            </w:pPr>
            <w:r w:rsidRPr="00263141">
              <w:rPr>
                <w:rFonts w:cs="Arial"/>
                <w:color w:val="000000"/>
                <w:sz w:val="20"/>
                <w:szCs w:val="20"/>
              </w:rPr>
              <w:t>Rainham South</w:t>
            </w:r>
          </w:p>
        </w:tc>
        <w:tc>
          <w:tcPr>
            <w:tcW w:w="263" w:type="pct"/>
            <w:shd w:val="clear" w:color="auto" w:fill="auto"/>
            <w:noWrap/>
            <w:tcMar>
              <w:left w:w="0" w:type="dxa"/>
            </w:tcMar>
            <w:vAlign w:val="bottom"/>
            <w:hideMark/>
          </w:tcPr>
          <w:p w14:paraId="187325F6"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461" w:type="pct"/>
            <w:shd w:val="clear" w:color="auto" w:fill="auto"/>
            <w:noWrap/>
            <w:tcMar>
              <w:left w:w="0" w:type="dxa"/>
            </w:tcMar>
            <w:vAlign w:val="bottom"/>
            <w:hideMark/>
          </w:tcPr>
          <w:p w14:paraId="1483FC4D" w14:textId="77777777" w:rsidR="00CE1BDB" w:rsidRPr="00263141" w:rsidRDefault="00CE1BDB" w:rsidP="00EF49A7">
            <w:pPr>
              <w:jc w:val="right"/>
              <w:rPr>
                <w:rFonts w:cs="Arial"/>
                <w:color w:val="000000"/>
                <w:sz w:val="20"/>
                <w:szCs w:val="20"/>
              </w:rPr>
            </w:pPr>
            <w:r w:rsidRPr="00263141">
              <w:rPr>
                <w:rFonts w:cs="Arial"/>
                <w:color w:val="000000"/>
                <w:sz w:val="20"/>
                <w:szCs w:val="20"/>
              </w:rPr>
              <w:t>7.3%</w:t>
            </w:r>
          </w:p>
        </w:tc>
        <w:tc>
          <w:tcPr>
            <w:tcW w:w="399" w:type="pct"/>
            <w:shd w:val="clear" w:color="auto" w:fill="auto"/>
            <w:noWrap/>
            <w:tcMar>
              <w:left w:w="0" w:type="dxa"/>
            </w:tcMar>
            <w:vAlign w:val="bottom"/>
            <w:hideMark/>
          </w:tcPr>
          <w:p w14:paraId="2672D6B6" w14:textId="77777777" w:rsidR="00CE1BDB" w:rsidRPr="00263141" w:rsidRDefault="00CE1BDB" w:rsidP="00EF49A7">
            <w:pPr>
              <w:jc w:val="right"/>
              <w:rPr>
                <w:rFonts w:cs="Arial"/>
                <w:color w:val="000000"/>
                <w:sz w:val="20"/>
                <w:szCs w:val="20"/>
              </w:rPr>
            </w:pPr>
            <w:r w:rsidRPr="00263141">
              <w:rPr>
                <w:rFonts w:cs="Arial"/>
                <w:color w:val="000000"/>
                <w:sz w:val="20"/>
                <w:szCs w:val="20"/>
              </w:rPr>
              <w:t>22.4%</w:t>
            </w:r>
          </w:p>
        </w:tc>
        <w:tc>
          <w:tcPr>
            <w:tcW w:w="381" w:type="pct"/>
            <w:shd w:val="clear" w:color="auto" w:fill="auto"/>
            <w:noWrap/>
            <w:tcMar>
              <w:left w:w="0" w:type="dxa"/>
            </w:tcMar>
            <w:vAlign w:val="bottom"/>
            <w:hideMark/>
          </w:tcPr>
          <w:p w14:paraId="1EA3DB90" w14:textId="77777777" w:rsidR="00CE1BDB" w:rsidRPr="00263141" w:rsidRDefault="00CE1BDB" w:rsidP="00EF49A7">
            <w:pPr>
              <w:jc w:val="right"/>
              <w:rPr>
                <w:rFonts w:cs="Arial"/>
                <w:color w:val="000000"/>
                <w:sz w:val="20"/>
                <w:szCs w:val="20"/>
              </w:rPr>
            </w:pPr>
            <w:r w:rsidRPr="00263141">
              <w:rPr>
                <w:rFonts w:cs="Arial"/>
                <w:color w:val="000000"/>
                <w:sz w:val="20"/>
                <w:szCs w:val="20"/>
              </w:rPr>
              <w:t>42.8%</w:t>
            </w:r>
          </w:p>
        </w:tc>
        <w:tc>
          <w:tcPr>
            <w:tcW w:w="381" w:type="pct"/>
            <w:shd w:val="clear" w:color="auto" w:fill="auto"/>
            <w:noWrap/>
            <w:tcMar>
              <w:left w:w="0" w:type="dxa"/>
            </w:tcMar>
            <w:vAlign w:val="bottom"/>
            <w:hideMark/>
          </w:tcPr>
          <w:p w14:paraId="0F2AD5D1" w14:textId="77777777" w:rsidR="00CE1BDB" w:rsidRPr="00263141" w:rsidRDefault="00CE1BDB" w:rsidP="00EF49A7">
            <w:pPr>
              <w:jc w:val="right"/>
              <w:rPr>
                <w:rFonts w:cs="Arial"/>
                <w:color w:val="000000"/>
                <w:sz w:val="20"/>
                <w:szCs w:val="20"/>
              </w:rPr>
            </w:pPr>
            <w:r w:rsidRPr="00263141">
              <w:rPr>
                <w:rFonts w:cs="Arial"/>
                <w:color w:val="000000"/>
                <w:sz w:val="20"/>
                <w:szCs w:val="20"/>
              </w:rPr>
              <w:t>20.7%</w:t>
            </w:r>
          </w:p>
        </w:tc>
        <w:tc>
          <w:tcPr>
            <w:tcW w:w="381" w:type="pct"/>
            <w:shd w:val="clear" w:color="auto" w:fill="auto"/>
            <w:noWrap/>
            <w:tcMar>
              <w:left w:w="0" w:type="dxa"/>
            </w:tcMar>
            <w:vAlign w:val="bottom"/>
            <w:hideMark/>
          </w:tcPr>
          <w:p w14:paraId="795976BC" w14:textId="77777777" w:rsidR="00CE1BDB" w:rsidRPr="00263141" w:rsidRDefault="00CE1BDB" w:rsidP="00EF49A7">
            <w:pPr>
              <w:jc w:val="right"/>
              <w:rPr>
                <w:rFonts w:cs="Arial"/>
                <w:color w:val="000000"/>
                <w:sz w:val="20"/>
                <w:szCs w:val="20"/>
              </w:rPr>
            </w:pPr>
            <w:r w:rsidRPr="00263141">
              <w:rPr>
                <w:rFonts w:cs="Arial"/>
                <w:color w:val="000000"/>
                <w:sz w:val="20"/>
                <w:szCs w:val="20"/>
              </w:rPr>
              <w:t>6.8%</w:t>
            </w:r>
          </w:p>
        </w:tc>
        <w:tc>
          <w:tcPr>
            <w:tcW w:w="351" w:type="pct"/>
            <w:shd w:val="clear" w:color="auto" w:fill="auto"/>
            <w:noWrap/>
            <w:tcMar>
              <w:left w:w="0" w:type="dxa"/>
            </w:tcMar>
            <w:vAlign w:val="bottom"/>
            <w:hideMark/>
          </w:tcPr>
          <w:p w14:paraId="782CF2E5"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6F6F2AE8"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16CDFFE5"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77DEA02C"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32B3A9BA" w14:textId="77777777" w:rsidR="00CE1BDB" w:rsidRPr="00263141" w:rsidRDefault="00CE1BDB" w:rsidP="00EF49A7">
            <w:pPr>
              <w:jc w:val="right"/>
              <w:rPr>
                <w:rFonts w:cs="Arial"/>
                <w:color w:val="000000"/>
                <w:sz w:val="20"/>
                <w:szCs w:val="20"/>
              </w:rPr>
            </w:pPr>
            <w:r w:rsidRPr="00263141">
              <w:rPr>
                <w:rFonts w:cs="Arial"/>
                <w:color w:val="000000"/>
                <w:sz w:val="20"/>
                <w:szCs w:val="20"/>
              </w:rPr>
              <w:t>£35,127</w:t>
            </w:r>
          </w:p>
        </w:tc>
      </w:tr>
      <w:tr w:rsidR="00CE1BDB" w:rsidRPr="00263141" w14:paraId="60657DC5" w14:textId="77777777" w:rsidTr="00185CB9">
        <w:trPr>
          <w:trHeight w:val="306"/>
        </w:trPr>
        <w:tc>
          <w:tcPr>
            <w:tcW w:w="1086" w:type="pct"/>
            <w:shd w:val="clear" w:color="auto" w:fill="auto"/>
            <w:noWrap/>
            <w:vAlign w:val="center"/>
            <w:hideMark/>
          </w:tcPr>
          <w:p w14:paraId="0CAB8568" w14:textId="77777777" w:rsidR="00CE1BDB" w:rsidRPr="00263141" w:rsidRDefault="00CE1BDB" w:rsidP="00EF49A7">
            <w:pPr>
              <w:jc w:val="both"/>
              <w:rPr>
                <w:rFonts w:cs="Arial"/>
                <w:color w:val="000000"/>
                <w:sz w:val="20"/>
                <w:szCs w:val="20"/>
              </w:rPr>
            </w:pPr>
            <w:r w:rsidRPr="00263141">
              <w:rPr>
                <w:rFonts w:cs="Arial"/>
                <w:color w:val="000000"/>
                <w:sz w:val="20"/>
                <w:szCs w:val="20"/>
              </w:rPr>
              <w:t>River</w:t>
            </w:r>
          </w:p>
        </w:tc>
        <w:tc>
          <w:tcPr>
            <w:tcW w:w="263" w:type="pct"/>
            <w:shd w:val="clear" w:color="auto" w:fill="auto"/>
            <w:noWrap/>
            <w:tcMar>
              <w:left w:w="0" w:type="dxa"/>
            </w:tcMar>
            <w:vAlign w:val="bottom"/>
            <w:hideMark/>
          </w:tcPr>
          <w:p w14:paraId="2B29B130" w14:textId="77777777" w:rsidR="00CE1BDB" w:rsidRPr="00263141" w:rsidRDefault="00CE1BDB" w:rsidP="00EF49A7">
            <w:pPr>
              <w:jc w:val="right"/>
              <w:rPr>
                <w:rFonts w:cs="Arial"/>
                <w:color w:val="000000"/>
                <w:sz w:val="20"/>
                <w:szCs w:val="20"/>
              </w:rPr>
            </w:pPr>
            <w:r w:rsidRPr="00263141">
              <w:rPr>
                <w:rFonts w:cs="Arial"/>
                <w:color w:val="000000"/>
                <w:sz w:val="20"/>
                <w:szCs w:val="20"/>
              </w:rPr>
              <w:t>3.3%</w:t>
            </w:r>
          </w:p>
        </w:tc>
        <w:tc>
          <w:tcPr>
            <w:tcW w:w="461" w:type="pct"/>
            <w:shd w:val="clear" w:color="auto" w:fill="auto"/>
            <w:noWrap/>
            <w:tcMar>
              <w:left w:w="0" w:type="dxa"/>
            </w:tcMar>
            <w:vAlign w:val="bottom"/>
            <w:hideMark/>
          </w:tcPr>
          <w:p w14:paraId="797F4012" w14:textId="77777777" w:rsidR="00CE1BDB" w:rsidRPr="00263141" w:rsidRDefault="00CE1BDB" w:rsidP="00EF49A7">
            <w:pPr>
              <w:jc w:val="right"/>
              <w:rPr>
                <w:rFonts w:cs="Arial"/>
                <w:color w:val="000000"/>
                <w:sz w:val="20"/>
                <w:szCs w:val="20"/>
              </w:rPr>
            </w:pPr>
            <w:r w:rsidRPr="00263141">
              <w:rPr>
                <w:rFonts w:cs="Arial"/>
                <w:color w:val="000000"/>
                <w:sz w:val="20"/>
                <w:szCs w:val="20"/>
              </w:rPr>
              <w:t>22.8%</w:t>
            </w:r>
          </w:p>
        </w:tc>
        <w:tc>
          <w:tcPr>
            <w:tcW w:w="399" w:type="pct"/>
            <w:shd w:val="clear" w:color="auto" w:fill="auto"/>
            <w:noWrap/>
            <w:tcMar>
              <w:left w:w="0" w:type="dxa"/>
            </w:tcMar>
            <w:vAlign w:val="bottom"/>
            <w:hideMark/>
          </w:tcPr>
          <w:p w14:paraId="21C9F73D" w14:textId="77777777" w:rsidR="00CE1BDB" w:rsidRPr="00263141" w:rsidRDefault="00CE1BDB" w:rsidP="00EF49A7">
            <w:pPr>
              <w:jc w:val="right"/>
              <w:rPr>
                <w:rFonts w:cs="Arial"/>
                <w:color w:val="000000"/>
                <w:sz w:val="20"/>
                <w:szCs w:val="20"/>
              </w:rPr>
            </w:pPr>
            <w:r w:rsidRPr="00263141">
              <w:rPr>
                <w:rFonts w:cs="Arial"/>
                <w:color w:val="000000"/>
                <w:sz w:val="20"/>
                <w:szCs w:val="20"/>
              </w:rPr>
              <w:t>18.5%</w:t>
            </w:r>
          </w:p>
        </w:tc>
        <w:tc>
          <w:tcPr>
            <w:tcW w:w="381" w:type="pct"/>
            <w:shd w:val="clear" w:color="auto" w:fill="auto"/>
            <w:noWrap/>
            <w:tcMar>
              <w:left w:w="0" w:type="dxa"/>
            </w:tcMar>
            <w:vAlign w:val="bottom"/>
            <w:hideMark/>
          </w:tcPr>
          <w:p w14:paraId="5C1EAD02" w14:textId="77777777" w:rsidR="00CE1BDB" w:rsidRPr="00263141" w:rsidRDefault="00CE1BDB" w:rsidP="00EF49A7">
            <w:pPr>
              <w:jc w:val="right"/>
              <w:rPr>
                <w:rFonts w:cs="Arial"/>
                <w:color w:val="000000"/>
                <w:sz w:val="20"/>
                <w:szCs w:val="20"/>
              </w:rPr>
            </w:pPr>
            <w:r w:rsidRPr="00263141">
              <w:rPr>
                <w:rFonts w:cs="Arial"/>
                <w:color w:val="000000"/>
                <w:sz w:val="20"/>
                <w:szCs w:val="20"/>
              </w:rPr>
              <w:t>11.5%</w:t>
            </w:r>
          </w:p>
        </w:tc>
        <w:tc>
          <w:tcPr>
            <w:tcW w:w="381" w:type="pct"/>
            <w:shd w:val="clear" w:color="auto" w:fill="auto"/>
            <w:noWrap/>
            <w:tcMar>
              <w:left w:w="0" w:type="dxa"/>
            </w:tcMar>
            <w:vAlign w:val="bottom"/>
            <w:hideMark/>
          </w:tcPr>
          <w:p w14:paraId="1FE01B5E" w14:textId="77777777" w:rsidR="00CE1BDB" w:rsidRPr="00263141" w:rsidRDefault="00CE1BDB" w:rsidP="00EF49A7">
            <w:pPr>
              <w:jc w:val="right"/>
              <w:rPr>
                <w:rFonts w:cs="Arial"/>
                <w:color w:val="000000"/>
                <w:sz w:val="20"/>
                <w:szCs w:val="20"/>
              </w:rPr>
            </w:pPr>
            <w:r w:rsidRPr="00263141">
              <w:rPr>
                <w:rFonts w:cs="Arial"/>
                <w:color w:val="000000"/>
                <w:sz w:val="20"/>
                <w:szCs w:val="20"/>
              </w:rPr>
              <w:t>12.5%</w:t>
            </w:r>
          </w:p>
        </w:tc>
        <w:tc>
          <w:tcPr>
            <w:tcW w:w="381" w:type="pct"/>
            <w:shd w:val="clear" w:color="auto" w:fill="auto"/>
            <w:noWrap/>
            <w:tcMar>
              <w:left w:w="0" w:type="dxa"/>
            </w:tcMar>
            <w:vAlign w:val="bottom"/>
            <w:hideMark/>
          </w:tcPr>
          <w:p w14:paraId="73869F5D" w14:textId="77777777" w:rsidR="00CE1BDB" w:rsidRPr="00263141" w:rsidRDefault="00CE1BDB" w:rsidP="00EF49A7">
            <w:pPr>
              <w:jc w:val="right"/>
              <w:rPr>
                <w:rFonts w:cs="Arial"/>
                <w:color w:val="000000"/>
                <w:sz w:val="20"/>
                <w:szCs w:val="20"/>
              </w:rPr>
            </w:pPr>
            <w:r w:rsidRPr="00263141">
              <w:rPr>
                <w:rFonts w:cs="Arial"/>
                <w:color w:val="000000"/>
                <w:sz w:val="20"/>
                <w:szCs w:val="20"/>
              </w:rPr>
              <w:t>13.4%</w:t>
            </w:r>
          </w:p>
        </w:tc>
        <w:tc>
          <w:tcPr>
            <w:tcW w:w="351" w:type="pct"/>
            <w:shd w:val="clear" w:color="auto" w:fill="auto"/>
            <w:noWrap/>
            <w:tcMar>
              <w:left w:w="0" w:type="dxa"/>
            </w:tcMar>
            <w:vAlign w:val="bottom"/>
            <w:hideMark/>
          </w:tcPr>
          <w:p w14:paraId="0E9CB829" w14:textId="77777777" w:rsidR="00CE1BDB" w:rsidRPr="00263141" w:rsidRDefault="00CE1BDB" w:rsidP="00EF49A7">
            <w:pPr>
              <w:jc w:val="right"/>
              <w:rPr>
                <w:rFonts w:cs="Arial"/>
                <w:color w:val="000000"/>
                <w:sz w:val="20"/>
                <w:szCs w:val="20"/>
              </w:rPr>
            </w:pPr>
            <w:r w:rsidRPr="00263141">
              <w:rPr>
                <w:rFonts w:cs="Arial"/>
                <w:color w:val="000000"/>
                <w:sz w:val="20"/>
                <w:szCs w:val="20"/>
              </w:rPr>
              <w:t>18.0%</w:t>
            </w:r>
          </w:p>
        </w:tc>
        <w:tc>
          <w:tcPr>
            <w:tcW w:w="318" w:type="pct"/>
            <w:shd w:val="clear" w:color="auto" w:fill="auto"/>
            <w:noWrap/>
            <w:tcMar>
              <w:left w:w="0" w:type="dxa"/>
            </w:tcMar>
            <w:vAlign w:val="bottom"/>
            <w:hideMark/>
          </w:tcPr>
          <w:p w14:paraId="2D51BCA9"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33BF68FA"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512B0088"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79C046B5" w14:textId="77777777" w:rsidR="00CE1BDB" w:rsidRPr="00263141" w:rsidRDefault="00CE1BDB" w:rsidP="00EF49A7">
            <w:pPr>
              <w:jc w:val="right"/>
              <w:rPr>
                <w:rFonts w:cs="Arial"/>
                <w:color w:val="000000"/>
                <w:sz w:val="20"/>
                <w:szCs w:val="20"/>
              </w:rPr>
            </w:pPr>
            <w:r w:rsidRPr="00263141">
              <w:rPr>
                <w:rFonts w:cs="Arial"/>
                <w:color w:val="000000"/>
                <w:sz w:val="20"/>
                <w:szCs w:val="20"/>
              </w:rPr>
              <w:t>£42,597</w:t>
            </w:r>
          </w:p>
        </w:tc>
      </w:tr>
      <w:tr w:rsidR="00CE1BDB" w:rsidRPr="00263141" w14:paraId="2FD3F4B0" w14:textId="77777777" w:rsidTr="00185CB9">
        <w:trPr>
          <w:trHeight w:val="306"/>
        </w:trPr>
        <w:tc>
          <w:tcPr>
            <w:tcW w:w="1086" w:type="pct"/>
            <w:shd w:val="clear" w:color="auto" w:fill="auto"/>
            <w:noWrap/>
            <w:vAlign w:val="center"/>
            <w:hideMark/>
          </w:tcPr>
          <w:p w14:paraId="3096DDB0" w14:textId="77777777" w:rsidR="00CE1BDB" w:rsidRPr="00263141" w:rsidRDefault="00CE1BDB" w:rsidP="00EF49A7">
            <w:pPr>
              <w:jc w:val="both"/>
              <w:rPr>
                <w:rFonts w:cs="Arial"/>
                <w:color w:val="000000"/>
                <w:sz w:val="20"/>
                <w:szCs w:val="20"/>
              </w:rPr>
            </w:pPr>
            <w:r w:rsidRPr="00263141">
              <w:rPr>
                <w:rFonts w:cs="Arial"/>
                <w:color w:val="000000"/>
                <w:sz w:val="20"/>
                <w:szCs w:val="20"/>
              </w:rPr>
              <w:t>Rochester East</w:t>
            </w:r>
          </w:p>
        </w:tc>
        <w:tc>
          <w:tcPr>
            <w:tcW w:w="263" w:type="pct"/>
            <w:shd w:val="clear" w:color="auto" w:fill="auto"/>
            <w:noWrap/>
            <w:tcMar>
              <w:left w:w="0" w:type="dxa"/>
            </w:tcMar>
            <w:vAlign w:val="bottom"/>
            <w:hideMark/>
          </w:tcPr>
          <w:p w14:paraId="26C36ABA" w14:textId="77777777" w:rsidR="00CE1BDB" w:rsidRPr="00263141" w:rsidRDefault="00CE1BDB" w:rsidP="00EF49A7">
            <w:pPr>
              <w:jc w:val="right"/>
              <w:rPr>
                <w:rFonts w:cs="Arial"/>
                <w:color w:val="000000"/>
                <w:sz w:val="20"/>
                <w:szCs w:val="20"/>
              </w:rPr>
            </w:pPr>
            <w:r w:rsidRPr="00263141">
              <w:rPr>
                <w:rFonts w:cs="Arial"/>
                <w:color w:val="000000"/>
                <w:sz w:val="20"/>
                <w:szCs w:val="20"/>
              </w:rPr>
              <w:t>2.6%</w:t>
            </w:r>
          </w:p>
        </w:tc>
        <w:tc>
          <w:tcPr>
            <w:tcW w:w="461" w:type="pct"/>
            <w:shd w:val="clear" w:color="auto" w:fill="auto"/>
            <w:noWrap/>
            <w:tcMar>
              <w:left w:w="0" w:type="dxa"/>
            </w:tcMar>
            <w:vAlign w:val="bottom"/>
            <w:hideMark/>
          </w:tcPr>
          <w:p w14:paraId="31E2277B" w14:textId="77777777" w:rsidR="00CE1BDB" w:rsidRPr="00263141" w:rsidRDefault="00CE1BDB" w:rsidP="00EF49A7">
            <w:pPr>
              <w:jc w:val="right"/>
              <w:rPr>
                <w:rFonts w:cs="Arial"/>
                <w:color w:val="000000"/>
                <w:sz w:val="20"/>
                <w:szCs w:val="20"/>
              </w:rPr>
            </w:pPr>
            <w:r w:rsidRPr="00263141">
              <w:rPr>
                <w:rFonts w:cs="Arial"/>
                <w:color w:val="000000"/>
                <w:sz w:val="20"/>
                <w:szCs w:val="20"/>
              </w:rPr>
              <w:t>31.5%</w:t>
            </w:r>
          </w:p>
        </w:tc>
        <w:tc>
          <w:tcPr>
            <w:tcW w:w="399" w:type="pct"/>
            <w:shd w:val="clear" w:color="auto" w:fill="auto"/>
            <w:noWrap/>
            <w:tcMar>
              <w:left w:w="0" w:type="dxa"/>
            </w:tcMar>
            <w:vAlign w:val="bottom"/>
            <w:hideMark/>
          </w:tcPr>
          <w:p w14:paraId="4C115F37" w14:textId="77777777" w:rsidR="00CE1BDB" w:rsidRPr="00263141" w:rsidRDefault="00CE1BDB" w:rsidP="00EF49A7">
            <w:pPr>
              <w:jc w:val="right"/>
              <w:rPr>
                <w:rFonts w:cs="Arial"/>
                <w:color w:val="000000"/>
                <w:sz w:val="20"/>
                <w:szCs w:val="20"/>
              </w:rPr>
            </w:pPr>
            <w:r w:rsidRPr="00263141">
              <w:rPr>
                <w:rFonts w:cs="Arial"/>
                <w:color w:val="000000"/>
                <w:sz w:val="20"/>
                <w:szCs w:val="20"/>
              </w:rPr>
              <w:t>25.9%</w:t>
            </w:r>
          </w:p>
        </w:tc>
        <w:tc>
          <w:tcPr>
            <w:tcW w:w="381" w:type="pct"/>
            <w:shd w:val="clear" w:color="auto" w:fill="auto"/>
            <w:noWrap/>
            <w:tcMar>
              <w:left w:w="0" w:type="dxa"/>
            </w:tcMar>
            <w:vAlign w:val="bottom"/>
            <w:hideMark/>
          </w:tcPr>
          <w:p w14:paraId="517EB066" w14:textId="77777777" w:rsidR="00CE1BDB" w:rsidRPr="00263141" w:rsidRDefault="00CE1BDB" w:rsidP="00EF49A7">
            <w:pPr>
              <w:jc w:val="right"/>
              <w:rPr>
                <w:rFonts w:cs="Arial"/>
                <w:color w:val="000000"/>
                <w:sz w:val="20"/>
                <w:szCs w:val="20"/>
              </w:rPr>
            </w:pPr>
            <w:r w:rsidRPr="00263141">
              <w:rPr>
                <w:rFonts w:cs="Arial"/>
                <w:color w:val="000000"/>
                <w:sz w:val="20"/>
                <w:szCs w:val="20"/>
              </w:rPr>
              <w:t>36.9%</w:t>
            </w:r>
          </w:p>
        </w:tc>
        <w:tc>
          <w:tcPr>
            <w:tcW w:w="381" w:type="pct"/>
            <w:shd w:val="clear" w:color="auto" w:fill="auto"/>
            <w:noWrap/>
            <w:tcMar>
              <w:left w:w="0" w:type="dxa"/>
            </w:tcMar>
            <w:vAlign w:val="bottom"/>
            <w:hideMark/>
          </w:tcPr>
          <w:p w14:paraId="044216B8" w14:textId="77777777" w:rsidR="00CE1BDB" w:rsidRPr="00263141" w:rsidRDefault="00CE1BDB" w:rsidP="00EF49A7">
            <w:pPr>
              <w:jc w:val="right"/>
              <w:rPr>
                <w:rFonts w:cs="Arial"/>
                <w:color w:val="000000"/>
                <w:sz w:val="20"/>
                <w:szCs w:val="20"/>
              </w:rPr>
            </w:pPr>
            <w:r w:rsidRPr="00263141">
              <w:rPr>
                <w:rFonts w:cs="Arial"/>
                <w:color w:val="000000"/>
                <w:sz w:val="20"/>
                <w:szCs w:val="20"/>
              </w:rPr>
              <w:t>2.9%</w:t>
            </w:r>
          </w:p>
        </w:tc>
        <w:tc>
          <w:tcPr>
            <w:tcW w:w="381" w:type="pct"/>
            <w:shd w:val="clear" w:color="auto" w:fill="auto"/>
            <w:noWrap/>
            <w:tcMar>
              <w:left w:w="0" w:type="dxa"/>
            </w:tcMar>
            <w:vAlign w:val="bottom"/>
            <w:hideMark/>
          </w:tcPr>
          <w:p w14:paraId="766E4644" w14:textId="77777777" w:rsidR="00CE1BDB" w:rsidRPr="00263141" w:rsidRDefault="00CE1BDB" w:rsidP="00EF49A7">
            <w:pPr>
              <w:jc w:val="right"/>
              <w:rPr>
                <w:rFonts w:cs="Arial"/>
                <w:color w:val="000000"/>
                <w:sz w:val="20"/>
                <w:szCs w:val="20"/>
              </w:rPr>
            </w:pPr>
            <w:r w:rsidRPr="00263141">
              <w:rPr>
                <w:rFonts w:cs="Arial"/>
                <w:color w:val="000000"/>
                <w:sz w:val="20"/>
                <w:szCs w:val="20"/>
              </w:rPr>
              <w:t>0.2%</w:t>
            </w:r>
          </w:p>
        </w:tc>
        <w:tc>
          <w:tcPr>
            <w:tcW w:w="351" w:type="pct"/>
            <w:shd w:val="clear" w:color="auto" w:fill="auto"/>
            <w:noWrap/>
            <w:tcMar>
              <w:left w:w="0" w:type="dxa"/>
            </w:tcMar>
            <w:vAlign w:val="bottom"/>
            <w:hideMark/>
          </w:tcPr>
          <w:p w14:paraId="7F8A8C18"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012D7C6B"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490AC68C"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3D6FD31C"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0602ADD8" w14:textId="77777777" w:rsidR="00CE1BDB" w:rsidRPr="00263141" w:rsidRDefault="00CE1BDB" w:rsidP="00EF49A7">
            <w:pPr>
              <w:jc w:val="right"/>
              <w:rPr>
                <w:rFonts w:cs="Arial"/>
                <w:color w:val="000000"/>
                <w:sz w:val="20"/>
                <w:szCs w:val="20"/>
              </w:rPr>
            </w:pPr>
            <w:r w:rsidRPr="00263141">
              <w:rPr>
                <w:rFonts w:cs="Arial"/>
                <w:color w:val="000000"/>
                <w:sz w:val="20"/>
                <w:szCs w:val="20"/>
              </w:rPr>
              <w:t>£24,961</w:t>
            </w:r>
          </w:p>
        </w:tc>
      </w:tr>
      <w:tr w:rsidR="00CE1BDB" w:rsidRPr="00263141" w14:paraId="38031524" w14:textId="77777777" w:rsidTr="00185CB9">
        <w:trPr>
          <w:trHeight w:val="200"/>
        </w:trPr>
        <w:tc>
          <w:tcPr>
            <w:tcW w:w="1086" w:type="pct"/>
            <w:shd w:val="clear" w:color="auto" w:fill="auto"/>
            <w:noWrap/>
            <w:vAlign w:val="center"/>
            <w:hideMark/>
          </w:tcPr>
          <w:p w14:paraId="715EC6C5" w14:textId="77777777" w:rsidR="00CE1BDB" w:rsidRPr="00263141" w:rsidRDefault="00CE1BDB" w:rsidP="00EF49A7">
            <w:pPr>
              <w:jc w:val="both"/>
              <w:rPr>
                <w:rFonts w:cs="Arial"/>
                <w:color w:val="000000"/>
                <w:sz w:val="20"/>
                <w:szCs w:val="20"/>
              </w:rPr>
            </w:pPr>
            <w:r w:rsidRPr="00263141">
              <w:rPr>
                <w:rFonts w:cs="Arial"/>
                <w:color w:val="000000"/>
                <w:sz w:val="20"/>
                <w:szCs w:val="20"/>
              </w:rPr>
              <w:t xml:space="preserve">Rochester South and </w:t>
            </w:r>
            <w:proofErr w:type="spellStart"/>
            <w:r w:rsidRPr="00263141">
              <w:rPr>
                <w:rFonts w:cs="Arial"/>
                <w:color w:val="000000"/>
                <w:sz w:val="20"/>
                <w:szCs w:val="20"/>
              </w:rPr>
              <w:t>Horsted</w:t>
            </w:r>
            <w:proofErr w:type="spellEnd"/>
          </w:p>
        </w:tc>
        <w:tc>
          <w:tcPr>
            <w:tcW w:w="263" w:type="pct"/>
            <w:shd w:val="clear" w:color="auto" w:fill="auto"/>
            <w:noWrap/>
            <w:tcMar>
              <w:left w:w="0" w:type="dxa"/>
            </w:tcMar>
            <w:vAlign w:val="bottom"/>
            <w:hideMark/>
          </w:tcPr>
          <w:p w14:paraId="5BFC74AB"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461" w:type="pct"/>
            <w:shd w:val="clear" w:color="auto" w:fill="auto"/>
            <w:noWrap/>
            <w:tcMar>
              <w:left w:w="0" w:type="dxa"/>
            </w:tcMar>
            <w:vAlign w:val="bottom"/>
            <w:hideMark/>
          </w:tcPr>
          <w:p w14:paraId="7F149CC2" w14:textId="77777777" w:rsidR="00CE1BDB" w:rsidRPr="00263141" w:rsidRDefault="00CE1BDB" w:rsidP="00EF49A7">
            <w:pPr>
              <w:jc w:val="right"/>
              <w:rPr>
                <w:rFonts w:cs="Arial"/>
                <w:color w:val="000000"/>
                <w:sz w:val="20"/>
                <w:szCs w:val="20"/>
              </w:rPr>
            </w:pPr>
            <w:r w:rsidRPr="00263141">
              <w:rPr>
                <w:rFonts w:cs="Arial"/>
                <w:color w:val="000000"/>
                <w:sz w:val="20"/>
                <w:szCs w:val="20"/>
              </w:rPr>
              <w:t>3.0%</w:t>
            </w:r>
          </w:p>
        </w:tc>
        <w:tc>
          <w:tcPr>
            <w:tcW w:w="399" w:type="pct"/>
            <w:shd w:val="clear" w:color="auto" w:fill="auto"/>
            <w:noWrap/>
            <w:tcMar>
              <w:left w:w="0" w:type="dxa"/>
            </w:tcMar>
            <w:vAlign w:val="bottom"/>
            <w:hideMark/>
          </w:tcPr>
          <w:p w14:paraId="54CEBA1B" w14:textId="77777777" w:rsidR="00CE1BDB" w:rsidRPr="00263141" w:rsidRDefault="00CE1BDB" w:rsidP="00EF49A7">
            <w:pPr>
              <w:jc w:val="right"/>
              <w:rPr>
                <w:rFonts w:cs="Arial"/>
                <w:color w:val="000000"/>
                <w:sz w:val="20"/>
                <w:szCs w:val="20"/>
              </w:rPr>
            </w:pPr>
            <w:r w:rsidRPr="00263141">
              <w:rPr>
                <w:rFonts w:cs="Arial"/>
                <w:color w:val="000000"/>
                <w:sz w:val="20"/>
                <w:szCs w:val="20"/>
              </w:rPr>
              <w:t>37.7%</w:t>
            </w:r>
          </w:p>
        </w:tc>
        <w:tc>
          <w:tcPr>
            <w:tcW w:w="381" w:type="pct"/>
            <w:shd w:val="clear" w:color="auto" w:fill="auto"/>
            <w:noWrap/>
            <w:tcMar>
              <w:left w:w="0" w:type="dxa"/>
            </w:tcMar>
            <w:vAlign w:val="bottom"/>
            <w:hideMark/>
          </w:tcPr>
          <w:p w14:paraId="19C692ED" w14:textId="77777777" w:rsidR="00CE1BDB" w:rsidRPr="00263141" w:rsidRDefault="00CE1BDB" w:rsidP="00EF49A7">
            <w:pPr>
              <w:jc w:val="right"/>
              <w:rPr>
                <w:rFonts w:cs="Arial"/>
                <w:color w:val="000000"/>
                <w:sz w:val="20"/>
                <w:szCs w:val="20"/>
              </w:rPr>
            </w:pPr>
            <w:r w:rsidRPr="00263141">
              <w:rPr>
                <w:rFonts w:cs="Arial"/>
                <w:color w:val="000000"/>
                <w:sz w:val="20"/>
                <w:szCs w:val="20"/>
              </w:rPr>
              <w:t>41.2%</w:t>
            </w:r>
          </w:p>
        </w:tc>
        <w:tc>
          <w:tcPr>
            <w:tcW w:w="381" w:type="pct"/>
            <w:shd w:val="clear" w:color="auto" w:fill="auto"/>
            <w:noWrap/>
            <w:tcMar>
              <w:left w:w="0" w:type="dxa"/>
            </w:tcMar>
            <w:vAlign w:val="bottom"/>
            <w:hideMark/>
          </w:tcPr>
          <w:p w14:paraId="71FF3DE6" w14:textId="77777777" w:rsidR="00CE1BDB" w:rsidRPr="00263141" w:rsidRDefault="00CE1BDB" w:rsidP="00EF49A7">
            <w:pPr>
              <w:jc w:val="right"/>
              <w:rPr>
                <w:rFonts w:cs="Arial"/>
                <w:color w:val="000000"/>
                <w:sz w:val="20"/>
                <w:szCs w:val="20"/>
              </w:rPr>
            </w:pPr>
            <w:r w:rsidRPr="00263141">
              <w:rPr>
                <w:rFonts w:cs="Arial"/>
                <w:color w:val="000000"/>
                <w:sz w:val="20"/>
                <w:szCs w:val="20"/>
              </w:rPr>
              <w:t>11.5%</w:t>
            </w:r>
          </w:p>
        </w:tc>
        <w:tc>
          <w:tcPr>
            <w:tcW w:w="381" w:type="pct"/>
            <w:shd w:val="clear" w:color="auto" w:fill="auto"/>
            <w:noWrap/>
            <w:tcMar>
              <w:left w:w="0" w:type="dxa"/>
            </w:tcMar>
            <w:vAlign w:val="bottom"/>
            <w:hideMark/>
          </w:tcPr>
          <w:p w14:paraId="67F69C69" w14:textId="77777777" w:rsidR="00CE1BDB" w:rsidRPr="00263141" w:rsidRDefault="00CE1BDB" w:rsidP="00EF49A7">
            <w:pPr>
              <w:jc w:val="right"/>
              <w:rPr>
                <w:rFonts w:cs="Arial"/>
                <w:color w:val="000000"/>
                <w:sz w:val="20"/>
                <w:szCs w:val="20"/>
              </w:rPr>
            </w:pPr>
            <w:r w:rsidRPr="00263141">
              <w:rPr>
                <w:rFonts w:cs="Arial"/>
                <w:color w:val="000000"/>
                <w:sz w:val="20"/>
                <w:szCs w:val="20"/>
              </w:rPr>
              <w:t>6.5%</w:t>
            </w:r>
          </w:p>
        </w:tc>
        <w:tc>
          <w:tcPr>
            <w:tcW w:w="351" w:type="pct"/>
            <w:shd w:val="clear" w:color="auto" w:fill="auto"/>
            <w:noWrap/>
            <w:tcMar>
              <w:left w:w="0" w:type="dxa"/>
            </w:tcMar>
            <w:vAlign w:val="bottom"/>
            <w:hideMark/>
          </w:tcPr>
          <w:p w14:paraId="7ADB4BB9" w14:textId="77777777" w:rsidR="00CE1BDB" w:rsidRPr="00263141" w:rsidRDefault="00CE1BDB" w:rsidP="00EF49A7">
            <w:pPr>
              <w:jc w:val="right"/>
              <w:rPr>
                <w:rFonts w:cs="Arial"/>
                <w:color w:val="000000"/>
                <w:sz w:val="20"/>
                <w:szCs w:val="20"/>
              </w:rPr>
            </w:pPr>
            <w:r w:rsidRPr="00263141">
              <w:rPr>
                <w:rFonts w:cs="Arial"/>
                <w:color w:val="000000"/>
                <w:sz w:val="20"/>
                <w:szCs w:val="20"/>
              </w:rPr>
              <w:t>0.1%</w:t>
            </w:r>
          </w:p>
        </w:tc>
        <w:tc>
          <w:tcPr>
            <w:tcW w:w="318" w:type="pct"/>
            <w:shd w:val="clear" w:color="auto" w:fill="auto"/>
            <w:noWrap/>
            <w:tcMar>
              <w:left w:w="0" w:type="dxa"/>
            </w:tcMar>
            <w:vAlign w:val="bottom"/>
            <w:hideMark/>
          </w:tcPr>
          <w:p w14:paraId="49F4E168"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52782D85"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67771FE1"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600EEF66" w14:textId="77777777" w:rsidR="00CE1BDB" w:rsidRPr="00263141" w:rsidRDefault="00CE1BDB" w:rsidP="00EF49A7">
            <w:pPr>
              <w:jc w:val="right"/>
              <w:rPr>
                <w:rFonts w:cs="Arial"/>
                <w:color w:val="000000"/>
                <w:sz w:val="20"/>
                <w:szCs w:val="20"/>
              </w:rPr>
            </w:pPr>
            <w:r w:rsidRPr="00263141">
              <w:rPr>
                <w:rFonts w:cs="Arial"/>
                <w:color w:val="000000"/>
                <w:sz w:val="20"/>
                <w:szCs w:val="20"/>
              </w:rPr>
              <w:t>£34,753</w:t>
            </w:r>
          </w:p>
        </w:tc>
      </w:tr>
      <w:tr w:rsidR="00CE1BDB" w:rsidRPr="00263141" w14:paraId="2DF8D841" w14:textId="77777777" w:rsidTr="00185CB9">
        <w:trPr>
          <w:trHeight w:val="306"/>
        </w:trPr>
        <w:tc>
          <w:tcPr>
            <w:tcW w:w="1086" w:type="pct"/>
            <w:shd w:val="clear" w:color="auto" w:fill="auto"/>
            <w:noWrap/>
            <w:vAlign w:val="center"/>
            <w:hideMark/>
          </w:tcPr>
          <w:p w14:paraId="694ECDEF" w14:textId="77777777" w:rsidR="00CE1BDB" w:rsidRPr="00263141" w:rsidRDefault="00CE1BDB" w:rsidP="00EF49A7">
            <w:pPr>
              <w:jc w:val="both"/>
              <w:rPr>
                <w:rFonts w:cs="Arial"/>
                <w:color w:val="000000"/>
                <w:sz w:val="20"/>
                <w:szCs w:val="20"/>
              </w:rPr>
            </w:pPr>
            <w:r w:rsidRPr="00263141">
              <w:rPr>
                <w:rFonts w:cs="Arial"/>
                <w:color w:val="000000"/>
                <w:sz w:val="20"/>
                <w:szCs w:val="20"/>
              </w:rPr>
              <w:t>Rochester West</w:t>
            </w:r>
          </w:p>
        </w:tc>
        <w:tc>
          <w:tcPr>
            <w:tcW w:w="263" w:type="pct"/>
            <w:shd w:val="clear" w:color="auto" w:fill="auto"/>
            <w:noWrap/>
            <w:tcMar>
              <w:left w:w="0" w:type="dxa"/>
            </w:tcMar>
            <w:vAlign w:val="bottom"/>
            <w:hideMark/>
          </w:tcPr>
          <w:p w14:paraId="0F3F2B16" w14:textId="77777777" w:rsidR="00CE1BDB" w:rsidRPr="00263141" w:rsidRDefault="00CE1BDB" w:rsidP="00EF49A7">
            <w:pPr>
              <w:jc w:val="right"/>
              <w:rPr>
                <w:rFonts w:cs="Arial"/>
                <w:color w:val="000000"/>
                <w:sz w:val="20"/>
                <w:szCs w:val="20"/>
              </w:rPr>
            </w:pPr>
            <w:r w:rsidRPr="00263141">
              <w:rPr>
                <w:rFonts w:cs="Arial"/>
                <w:color w:val="000000"/>
                <w:sz w:val="20"/>
                <w:szCs w:val="20"/>
              </w:rPr>
              <w:t>0.1%</w:t>
            </w:r>
          </w:p>
        </w:tc>
        <w:tc>
          <w:tcPr>
            <w:tcW w:w="461" w:type="pct"/>
            <w:shd w:val="clear" w:color="auto" w:fill="auto"/>
            <w:noWrap/>
            <w:tcMar>
              <w:left w:w="0" w:type="dxa"/>
            </w:tcMar>
            <w:vAlign w:val="bottom"/>
            <w:hideMark/>
          </w:tcPr>
          <w:p w14:paraId="056495A1" w14:textId="77777777" w:rsidR="00CE1BDB" w:rsidRPr="00263141" w:rsidRDefault="00CE1BDB" w:rsidP="00EF49A7">
            <w:pPr>
              <w:jc w:val="right"/>
              <w:rPr>
                <w:rFonts w:cs="Arial"/>
                <w:color w:val="000000"/>
                <w:sz w:val="20"/>
                <w:szCs w:val="20"/>
              </w:rPr>
            </w:pPr>
            <w:r w:rsidRPr="00263141">
              <w:rPr>
                <w:rFonts w:cs="Arial"/>
                <w:color w:val="000000"/>
                <w:sz w:val="20"/>
                <w:szCs w:val="20"/>
              </w:rPr>
              <w:t>12.6%</w:t>
            </w:r>
          </w:p>
        </w:tc>
        <w:tc>
          <w:tcPr>
            <w:tcW w:w="399" w:type="pct"/>
            <w:shd w:val="clear" w:color="auto" w:fill="auto"/>
            <w:noWrap/>
            <w:tcMar>
              <w:left w:w="0" w:type="dxa"/>
            </w:tcMar>
            <w:vAlign w:val="bottom"/>
            <w:hideMark/>
          </w:tcPr>
          <w:p w14:paraId="7ECD0286" w14:textId="77777777" w:rsidR="00CE1BDB" w:rsidRPr="00263141" w:rsidRDefault="00CE1BDB" w:rsidP="00EF49A7">
            <w:pPr>
              <w:jc w:val="right"/>
              <w:rPr>
                <w:rFonts w:cs="Arial"/>
                <w:color w:val="000000"/>
                <w:sz w:val="20"/>
                <w:szCs w:val="20"/>
              </w:rPr>
            </w:pPr>
            <w:r w:rsidRPr="00263141">
              <w:rPr>
                <w:rFonts w:cs="Arial"/>
                <w:color w:val="000000"/>
                <w:sz w:val="20"/>
                <w:szCs w:val="20"/>
              </w:rPr>
              <w:t>15.5%</w:t>
            </w:r>
          </w:p>
        </w:tc>
        <w:tc>
          <w:tcPr>
            <w:tcW w:w="381" w:type="pct"/>
            <w:shd w:val="clear" w:color="auto" w:fill="auto"/>
            <w:noWrap/>
            <w:tcMar>
              <w:left w:w="0" w:type="dxa"/>
            </w:tcMar>
            <w:vAlign w:val="bottom"/>
            <w:hideMark/>
          </w:tcPr>
          <w:p w14:paraId="19E6C1FF" w14:textId="77777777" w:rsidR="00CE1BDB" w:rsidRPr="00263141" w:rsidRDefault="00CE1BDB" w:rsidP="00EF49A7">
            <w:pPr>
              <w:jc w:val="right"/>
              <w:rPr>
                <w:rFonts w:cs="Arial"/>
                <w:color w:val="000000"/>
                <w:sz w:val="20"/>
                <w:szCs w:val="20"/>
              </w:rPr>
            </w:pPr>
            <w:r w:rsidRPr="00263141">
              <w:rPr>
                <w:rFonts w:cs="Arial"/>
                <w:color w:val="000000"/>
                <w:sz w:val="20"/>
                <w:szCs w:val="20"/>
              </w:rPr>
              <w:t>25.8%</w:t>
            </w:r>
          </w:p>
        </w:tc>
        <w:tc>
          <w:tcPr>
            <w:tcW w:w="381" w:type="pct"/>
            <w:shd w:val="clear" w:color="auto" w:fill="auto"/>
            <w:noWrap/>
            <w:tcMar>
              <w:left w:w="0" w:type="dxa"/>
            </w:tcMar>
            <w:vAlign w:val="bottom"/>
            <w:hideMark/>
          </w:tcPr>
          <w:p w14:paraId="44AD1C18" w14:textId="77777777" w:rsidR="00CE1BDB" w:rsidRPr="00263141" w:rsidRDefault="00CE1BDB" w:rsidP="00EF49A7">
            <w:pPr>
              <w:jc w:val="right"/>
              <w:rPr>
                <w:rFonts w:cs="Arial"/>
                <w:color w:val="000000"/>
                <w:sz w:val="20"/>
                <w:szCs w:val="20"/>
              </w:rPr>
            </w:pPr>
            <w:r w:rsidRPr="00263141">
              <w:rPr>
                <w:rFonts w:cs="Arial"/>
                <w:color w:val="000000"/>
                <w:sz w:val="20"/>
                <w:szCs w:val="20"/>
              </w:rPr>
              <w:t>23.0%</w:t>
            </w:r>
          </w:p>
        </w:tc>
        <w:tc>
          <w:tcPr>
            <w:tcW w:w="381" w:type="pct"/>
            <w:shd w:val="clear" w:color="auto" w:fill="auto"/>
            <w:noWrap/>
            <w:tcMar>
              <w:left w:w="0" w:type="dxa"/>
            </w:tcMar>
            <w:vAlign w:val="bottom"/>
            <w:hideMark/>
          </w:tcPr>
          <w:p w14:paraId="401B90FF" w14:textId="77777777" w:rsidR="00CE1BDB" w:rsidRPr="00263141" w:rsidRDefault="00CE1BDB" w:rsidP="00EF49A7">
            <w:pPr>
              <w:jc w:val="right"/>
              <w:rPr>
                <w:rFonts w:cs="Arial"/>
                <w:color w:val="000000"/>
                <w:sz w:val="20"/>
                <w:szCs w:val="20"/>
              </w:rPr>
            </w:pPr>
            <w:r w:rsidRPr="00263141">
              <w:rPr>
                <w:rFonts w:cs="Arial"/>
                <w:color w:val="000000"/>
                <w:sz w:val="20"/>
                <w:szCs w:val="20"/>
              </w:rPr>
              <w:t>15.1%</w:t>
            </w:r>
          </w:p>
        </w:tc>
        <w:tc>
          <w:tcPr>
            <w:tcW w:w="351" w:type="pct"/>
            <w:shd w:val="clear" w:color="auto" w:fill="auto"/>
            <w:noWrap/>
            <w:tcMar>
              <w:left w:w="0" w:type="dxa"/>
            </w:tcMar>
            <w:vAlign w:val="bottom"/>
            <w:hideMark/>
          </w:tcPr>
          <w:p w14:paraId="7C965D07" w14:textId="77777777" w:rsidR="00CE1BDB" w:rsidRPr="00263141" w:rsidRDefault="00CE1BDB" w:rsidP="00EF49A7">
            <w:pPr>
              <w:jc w:val="right"/>
              <w:rPr>
                <w:rFonts w:cs="Arial"/>
                <w:color w:val="000000"/>
                <w:sz w:val="20"/>
                <w:szCs w:val="20"/>
              </w:rPr>
            </w:pPr>
            <w:r w:rsidRPr="00263141">
              <w:rPr>
                <w:rFonts w:cs="Arial"/>
                <w:color w:val="000000"/>
                <w:sz w:val="20"/>
                <w:szCs w:val="20"/>
              </w:rPr>
              <w:t>7.9%</w:t>
            </w:r>
          </w:p>
        </w:tc>
        <w:tc>
          <w:tcPr>
            <w:tcW w:w="318" w:type="pct"/>
            <w:shd w:val="clear" w:color="auto" w:fill="auto"/>
            <w:noWrap/>
            <w:tcMar>
              <w:left w:w="0" w:type="dxa"/>
            </w:tcMar>
            <w:vAlign w:val="bottom"/>
            <w:hideMark/>
          </w:tcPr>
          <w:p w14:paraId="2F7BBFF1"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397F57B1"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655404A7"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63437553" w14:textId="77777777" w:rsidR="00CE1BDB" w:rsidRPr="00263141" w:rsidRDefault="00CE1BDB" w:rsidP="00EF49A7">
            <w:pPr>
              <w:jc w:val="right"/>
              <w:rPr>
                <w:rFonts w:cs="Arial"/>
                <w:color w:val="000000"/>
                <w:sz w:val="20"/>
                <w:szCs w:val="20"/>
              </w:rPr>
            </w:pPr>
            <w:r w:rsidRPr="00263141">
              <w:rPr>
                <w:rFonts w:cs="Arial"/>
                <w:color w:val="000000"/>
                <w:sz w:val="20"/>
                <w:szCs w:val="20"/>
              </w:rPr>
              <w:t>£42,840</w:t>
            </w:r>
          </w:p>
        </w:tc>
      </w:tr>
      <w:tr w:rsidR="00CE1BDB" w:rsidRPr="00263141" w14:paraId="50CF62AF" w14:textId="77777777" w:rsidTr="00185CB9">
        <w:trPr>
          <w:trHeight w:val="306"/>
        </w:trPr>
        <w:tc>
          <w:tcPr>
            <w:tcW w:w="1086" w:type="pct"/>
            <w:shd w:val="clear" w:color="auto" w:fill="auto"/>
            <w:noWrap/>
            <w:vAlign w:val="center"/>
            <w:hideMark/>
          </w:tcPr>
          <w:p w14:paraId="3E8D0D0E" w14:textId="77777777" w:rsidR="00CE1BDB" w:rsidRPr="00263141" w:rsidRDefault="00CE1BDB" w:rsidP="00EF49A7">
            <w:pPr>
              <w:jc w:val="both"/>
              <w:rPr>
                <w:rFonts w:cs="Arial"/>
                <w:color w:val="000000"/>
                <w:sz w:val="20"/>
                <w:szCs w:val="20"/>
              </w:rPr>
            </w:pPr>
            <w:r w:rsidRPr="00263141">
              <w:rPr>
                <w:rFonts w:cs="Arial"/>
                <w:color w:val="000000"/>
                <w:sz w:val="20"/>
                <w:szCs w:val="20"/>
              </w:rPr>
              <w:t>Strood North</w:t>
            </w:r>
          </w:p>
        </w:tc>
        <w:tc>
          <w:tcPr>
            <w:tcW w:w="263" w:type="pct"/>
            <w:shd w:val="clear" w:color="auto" w:fill="auto"/>
            <w:noWrap/>
            <w:tcMar>
              <w:left w:w="0" w:type="dxa"/>
            </w:tcMar>
            <w:vAlign w:val="bottom"/>
            <w:hideMark/>
          </w:tcPr>
          <w:p w14:paraId="443AAAF3" w14:textId="77777777" w:rsidR="00CE1BDB" w:rsidRPr="00263141" w:rsidRDefault="00CE1BDB" w:rsidP="00EF49A7">
            <w:pPr>
              <w:jc w:val="right"/>
              <w:rPr>
                <w:rFonts w:cs="Arial"/>
                <w:color w:val="000000"/>
                <w:sz w:val="20"/>
                <w:szCs w:val="20"/>
              </w:rPr>
            </w:pPr>
            <w:r w:rsidRPr="00263141">
              <w:rPr>
                <w:rFonts w:cs="Arial"/>
                <w:color w:val="000000"/>
                <w:sz w:val="20"/>
                <w:szCs w:val="20"/>
              </w:rPr>
              <w:t>1.2%</w:t>
            </w:r>
          </w:p>
        </w:tc>
        <w:tc>
          <w:tcPr>
            <w:tcW w:w="461" w:type="pct"/>
            <w:shd w:val="clear" w:color="auto" w:fill="auto"/>
            <w:noWrap/>
            <w:tcMar>
              <w:left w:w="0" w:type="dxa"/>
            </w:tcMar>
            <w:vAlign w:val="bottom"/>
            <w:hideMark/>
          </w:tcPr>
          <w:p w14:paraId="19BD1674" w14:textId="77777777" w:rsidR="00CE1BDB" w:rsidRPr="00263141" w:rsidRDefault="00CE1BDB" w:rsidP="00EF49A7">
            <w:pPr>
              <w:jc w:val="right"/>
              <w:rPr>
                <w:rFonts w:cs="Arial"/>
                <w:color w:val="000000"/>
                <w:sz w:val="20"/>
                <w:szCs w:val="20"/>
              </w:rPr>
            </w:pPr>
            <w:r w:rsidRPr="00263141">
              <w:rPr>
                <w:rFonts w:cs="Arial"/>
                <w:color w:val="000000"/>
                <w:sz w:val="20"/>
                <w:szCs w:val="20"/>
              </w:rPr>
              <w:t>7.6%</w:t>
            </w:r>
          </w:p>
        </w:tc>
        <w:tc>
          <w:tcPr>
            <w:tcW w:w="399" w:type="pct"/>
            <w:shd w:val="clear" w:color="auto" w:fill="auto"/>
            <w:noWrap/>
            <w:tcMar>
              <w:left w:w="0" w:type="dxa"/>
            </w:tcMar>
            <w:vAlign w:val="bottom"/>
            <w:hideMark/>
          </w:tcPr>
          <w:p w14:paraId="06132262" w14:textId="77777777" w:rsidR="00CE1BDB" w:rsidRPr="00263141" w:rsidRDefault="00CE1BDB" w:rsidP="00EF49A7">
            <w:pPr>
              <w:jc w:val="right"/>
              <w:rPr>
                <w:rFonts w:cs="Arial"/>
                <w:color w:val="000000"/>
                <w:sz w:val="20"/>
                <w:szCs w:val="20"/>
              </w:rPr>
            </w:pPr>
            <w:r w:rsidRPr="00263141">
              <w:rPr>
                <w:rFonts w:cs="Arial"/>
                <w:color w:val="000000"/>
                <w:sz w:val="20"/>
                <w:szCs w:val="20"/>
              </w:rPr>
              <w:t>23.6%</w:t>
            </w:r>
          </w:p>
        </w:tc>
        <w:tc>
          <w:tcPr>
            <w:tcW w:w="381" w:type="pct"/>
            <w:shd w:val="clear" w:color="auto" w:fill="auto"/>
            <w:noWrap/>
            <w:tcMar>
              <w:left w:w="0" w:type="dxa"/>
            </w:tcMar>
            <w:vAlign w:val="bottom"/>
            <w:hideMark/>
          </w:tcPr>
          <w:p w14:paraId="271AAC98" w14:textId="77777777" w:rsidR="00CE1BDB" w:rsidRPr="00263141" w:rsidRDefault="00CE1BDB" w:rsidP="00EF49A7">
            <w:pPr>
              <w:jc w:val="right"/>
              <w:rPr>
                <w:rFonts w:cs="Arial"/>
                <w:color w:val="000000"/>
                <w:sz w:val="20"/>
                <w:szCs w:val="20"/>
              </w:rPr>
            </w:pPr>
            <w:r w:rsidRPr="00263141">
              <w:rPr>
                <w:rFonts w:cs="Arial"/>
                <w:color w:val="000000"/>
                <w:sz w:val="20"/>
                <w:szCs w:val="20"/>
              </w:rPr>
              <w:t>49.3%</w:t>
            </w:r>
          </w:p>
        </w:tc>
        <w:tc>
          <w:tcPr>
            <w:tcW w:w="381" w:type="pct"/>
            <w:shd w:val="clear" w:color="auto" w:fill="auto"/>
            <w:noWrap/>
            <w:tcMar>
              <w:left w:w="0" w:type="dxa"/>
            </w:tcMar>
            <w:vAlign w:val="bottom"/>
            <w:hideMark/>
          </w:tcPr>
          <w:p w14:paraId="455C1664" w14:textId="77777777" w:rsidR="00CE1BDB" w:rsidRPr="00263141" w:rsidRDefault="00CE1BDB" w:rsidP="00EF49A7">
            <w:pPr>
              <w:jc w:val="right"/>
              <w:rPr>
                <w:rFonts w:cs="Arial"/>
                <w:color w:val="000000"/>
                <w:sz w:val="20"/>
                <w:szCs w:val="20"/>
              </w:rPr>
            </w:pPr>
            <w:r w:rsidRPr="00263141">
              <w:rPr>
                <w:rFonts w:cs="Arial"/>
                <w:color w:val="000000"/>
                <w:sz w:val="20"/>
                <w:szCs w:val="20"/>
              </w:rPr>
              <w:t>10.5%</w:t>
            </w:r>
          </w:p>
        </w:tc>
        <w:tc>
          <w:tcPr>
            <w:tcW w:w="381" w:type="pct"/>
            <w:shd w:val="clear" w:color="auto" w:fill="auto"/>
            <w:noWrap/>
            <w:tcMar>
              <w:left w:w="0" w:type="dxa"/>
            </w:tcMar>
            <w:vAlign w:val="bottom"/>
            <w:hideMark/>
          </w:tcPr>
          <w:p w14:paraId="78D3C5A1" w14:textId="77777777" w:rsidR="00CE1BDB" w:rsidRPr="00263141" w:rsidRDefault="00CE1BDB" w:rsidP="00EF49A7">
            <w:pPr>
              <w:jc w:val="right"/>
              <w:rPr>
                <w:rFonts w:cs="Arial"/>
                <w:color w:val="000000"/>
                <w:sz w:val="20"/>
                <w:szCs w:val="20"/>
              </w:rPr>
            </w:pPr>
            <w:r w:rsidRPr="00263141">
              <w:rPr>
                <w:rFonts w:cs="Arial"/>
                <w:color w:val="000000"/>
                <w:sz w:val="20"/>
                <w:szCs w:val="20"/>
              </w:rPr>
              <w:t>5.9%</w:t>
            </w:r>
          </w:p>
        </w:tc>
        <w:tc>
          <w:tcPr>
            <w:tcW w:w="351" w:type="pct"/>
            <w:shd w:val="clear" w:color="auto" w:fill="auto"/>
            <w:noWrap/>
            <w:tcMar>
              <w:left w:w="0" w:type="dxa"/>
            </w:tcMar>
            <w:vAlign w:val="bottom"/>
            <w:hideMark/>
          </w:tcPr>
          <w:p w14:paraId="6F51A061" w14:textId="77777777" w:rsidR="00CE1BDB" w:rsidRPr="00263141" w:rsidRDefault="00CE1BDB" w:rsidP="00EF49A7">
            <w:pPr>
              <w:jc w:val="right"/>
              <w:rPr>
                <w:rFonts w:cs="Arial"/>
                <w:color w:val="000000"/>
                <w:sz w:val="20"/>
                <w:szCs w:val="20"/>
              </w:rPr>
            </w:pPr>
            <w:r w:rsidRPr="00263141">
              <w:rPr>
                <w:rFonts w:cs="Arial"/>
                <w:color w:val="000000"/>
                <w:sz w:val="20"/>
                <w:szCs w:val="20"/>
              </w:rPr>
              <w:t>1.9%</w:t>
            </w:r>
          </w:p>
        </w:tc>
        <w:tc>
          <w:tcPr>
            <w:tcW w:w="318" w:type="pct"/>
            <w:shd w:val="clear" w:color="auto" w:fill="auto"/>
            <w:noWrap/>
            <w:tcMar>
              <w:left w:w="0" w:type="dxa"/>
            </w:tcMar>
            <w:vAlign w:val="bottom"/>
            <w:hideMark/>
          </w:tcPr>
          <w:p w14:paraId="2982A2D9"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13AE312E"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1CA17D17"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7A48AADA" w14:textId="77777777" w:rsidR="00CE1BDB" w:rsidRPr="00263141" w:rsidRDefault="00CE1BDB" w:rsidP="00EF49A7">
            <w:pPr>
              <w:jc w:val="right"/>
              <w:rPr>
                <w:rFonts w:cs="Arial"/>
                <w:color w:val="000000"/>
                <w:sz w:val="20"/>
                <w:szCs w:val="20"/>
              </w:rPr>
            </w:pPr>
            <w:r w:rsidRPr="00263141">
              <w:rPr>
                <w:rFonts w:cs="Arial"/>
                <w:color w:val="000000"/>
                <w:sz w:val="20"/>
                <w:szCs w:val="20"/>
              </w:rPr>
              <w:t>£34,239</w:t>
            </w:r>
          </w:p>
        </w:tc>
      </w:tr>
      <w:tr w:rsidR="00CE1BDB" w:rsidRPr="00263141" w14:paraId="307E83B5" w14:textId="77777777" w:rsidTr="00185CB9">
        <w:trPr>
          <w:trHeight w:val="306"/>
        </w:trPr>
        <w:tc>
          <w:tcPr>
            <w:tcW w:w="1086" w:type="pct"/>
            <w:shd w:val="clear" w:color="auto" w:fill="auto"/>
            <w:noWrap/>
            <w:vAlign w:val="center"/>
            <w:hideMark/>
          </w:tcPr>
          <w:p w14:paraId="3F09A638" w14:textId="77777777" w:rsidR="00CE1BDB" w:rsidRPr="00263141" w:rsidRDefault="00CE1BDB" w:rsidP="00EF49A7">
            <w:pPr>
              <w:jc w:val="both"/>
              <w:rPr>
                <w:rFonts w:cs="Arial"/>
                <w:color w:val="000000"/>
                <w:sz w:val="20"/>
                <w:szCs w:val="20"/>
              </w:rPr>
            </w:pPr>
            <w:r w:rsidRPr="00263141">
              <w:rPr>
                <w:rFonts w:cs="Arial"/>
                <w:color w:val="000000"/>
                <w:sz w:val="20"/>
                <w:szCs w:val="20"/>
              </w:rPr>
              <w:t>Strood Rural</w:t>
            </w:r>
          </w:p>
        </w:tc>
        <w:tc>
          <w:tcPr>
            <w:tcW w:w="263" w:type="pct"/>
            <w:shd w:val="clear" w:color="auto" w:fill="auto"/>
            <w:noWrap/>
            <w:tcMar>
              <w:left w:w="0" w:type="dxa"/>
            </w:tcMar>
            <w:vAlign w:val="bottom"/>
            <w:hideMark/>
          </w:tcPr>
          <w:p w14:paraId="703A9998" w14:textId="77777777" w:rsidR="00CE1BDB" w:rsidRPr="00263141" w:rsidRDefault="00CE1BDB" w:rsidP="00EF49A7">
            <w:pPr>
              <w:jc w:val="right"/>
              <w:rPr>
                <w:rFonts w:cs="Arial"/>
                <w:color w:val="000000"/>
                <w:sz w:val="20"/>
                <w:szCs w:val="20"/>
              </w:rPr>
            </w:pPr>
            <w:r w:rsidRPr="00263141">
              <w:rPr>
                <w:rFonts w:cs="Arial"/>
                <w:color w:val="000000"/>
                <w:sz w:val="20"/>
                <w:szCs w:val="20"/>
              </w:rPr>
              <w:t>0.2%</w:t>
            </w:r>
          </w:p>
        </w:tc>
        <w:tc>
          <w:tcPr>
            <w:tcW w:w="461" w:type="pct"/>
            <w:shd w:val="clear" w:color="auto" w:fill="auto"/>
            <w:noWrap/>
            <w:tcMar>
              <w:left w:w="0" w:type="dxa"/>
            </w:tcMar>
            <w:vAlign w:val="bottom"/>
            <w:hideMark/>
          </w:tcPr>
          <w:p w14:paraId="1323419A" w14:textId="77777777" w:rsidR="00CE1BDB" w:rsidRPr="00263141" w:rsidRDefault="00CE1BDB" w:rsidP="00EF49A7">
            <w:pPr>
              <w:jc w:val="right"/>
              <w:rPr>
                <w:rFonts w:cs="Arial"/>
                <w:color w:val="000000"/>
                <w:sz w:val="20"/>
                <w:szCs w:val="20"/>
              </w:rPr>
            </w:pPr>
            <w:r w:rsidRPr="00263141">
              <w:rPr>
                <w:rFonts w:cs="Arial"/>
                <w:color w:val="000000"/>
                <w:sz w:val="20"/>
                <w:szCs w:val="20"/>
              </w:rPr>
              <w:t>11.5%</w:t>
            </w:r>
          </w:p>
        </w:tc>
        <w:tc>
          <w:tcPr>
            <w:tcW w:w="399" w:type="pct"/>
            <w:shd w:val="clear" w:color="auto" w:fill="auto"/>
            <w:noWrap/>
            <w:tcMar>
              <w:left w:w="0" w:type="dxa"/>
            </w:tcMar>
            <w:vAlign w:val="bottom"/>
            <w:hideMark/>
          </w:tcPr>
          <w:p w14:paraId="4A985B48" w14:textId="77777777" w:rsidR="00CE1BDB" w:rsidRPr="00263141" w:rsidRDefault="00CE1BDB" w:rsidP="00EF49A7">
            <w:pPr>
              <w:jc w:val="right"/>
              <w:rPr>
                <w:rFonts w:cs="Arial"/>
                <w:color w:val="000000"/>
                <w:sz w:val="20"/>
                <w:szCs w:val="20"/>
              </w:rPr>
            </w:pPr>
            <w:r w:rsidRPr="00263141">
              <w:rPr>
                <w:rFonts w:cs="Arial"/>
                <w:color w:val="000000"/>
                <w:sz w:val="20"/>
                <w:szCs w:val="20"/>
              </w:rPr>
              <w:t>23.1%</w:t>
            </w:r>
          </w:p>
        </w:tc>
        <w:tc>
          <w:tcPr>
            <w:tcW w:w="381" w:type="pct"/>
            <w:shd w:val="clear" w:color="auto" w:fill="auto"/>
            <w:noWrap/>
            <w:tcMar>
              <w:left w:w="0" w:type="dxa"/>
            </w:tcMar>
            <w:vAlign w:val="bottom"/>
            <w:hideMark/>
          </w:tcPr>
          <w:p w14:paraId="51F2A4AF" w14:textId="77777777" w:rsidR="00CE1BDB" w:rsidRPr="00263141" w:rsidRDefault="00CE1BDB" w:rsidP="00EF49A7">
            <w:pPr>
              <w:jc w:val="right"/>
              <w:rPr>
                <w:rFonts w:cs="Arial"/>
                <w:color w:val="000000"/>
                <w:sz w:val="20"/>
                <w:szCs w:val="20"/>
              </w:rPr>
            </w:pPr>
            <w:r w:rsidRPr="00263141">
              <w:rPr>
                <w:rFonts w:cs="Arial"/>
                <w:color w:val="000000"/>
                <w:sz w:val="20"/>
                <w:szCs w:val="20"/>
              </w:rPr>
              <w:t>37.0%</w:t>
            </w:r>
          </w:p>
        </w:tc>
        <w:tc>
          <w:tcPr>
            <w:tcW w:w="381" w:type="pct"/>
            <w:shd w:val="clear" w:color="auto" w:fill="auto"/>
            <w:noWrap/>
            <w:tcMar>
              <w:left w:w="0" w:type="dxa"/>
            </w:tcMar>
            <w:vAlign w:val="bottom"/>
            <w:hideMark/>
          </w:tcPr>
          <w:p w14:paraId="64A4AB02" w14:textId="77777777" w:rsidR="00CE1BDB" w:rsidRPr="00263141" w:rsidRDefault="00CE1BDB" w:rsidP="00EF49A7">
            <w:pPr>
              <w:jc w:val="right"/>
              <w:rPr>
                <w:rFonts w:cs="Arial"/>
                <w:color w:val="000000"/>
                <w:sz w:val="20"/>
                <w:szCs w:val="20"/>
              </w:rPr>
            </w:pPr>
            <w:r w:rsidRPr="00263141">
              <w:rPr>
                <w:rFonts w:cs="Arial"/>
                <w:color w:val="000000"/>
                <w:sz w:val="20"/>
                <w:szCs w:val="20"/>
              </w:rPr>
              <w:t>17.3%</w:t>
            </w:r>
          </w:p>
        </w:tc>
        <w:tc>
          <w:tcPr>
            <w:tcW w:w="381" w:type="pct"/>
            <w:shd w:val="clear" w:color="auto" w:fill="auto"/>
            <w:noWrap/>
            <w:tcMar>
              <w:left w:w="0" w:type="dxa"/>
            </w:tcMar>
            <w:vAlign w:val="bottom"/>
            <w:hideMark/>
          </w:tcPr>
          <w:p w14:paraId="1C4158F9" w14:textId="77777777" w:rsidR="00CE1BDB" w:rsidRPr="00263141" w:rsidRDefault="00CE1BDB" w:rsidP="00EF49A7">
            <w:pPr>
              <w:jc w:val="right"/>
              <w:rPr>
                <w:rFonts w:cs="Arial"/>
                <w:color w:val="000000"/>
                <w:sz w:val="20"/>
                <w:szCs w:val="20"/>
              </w:rPr>
            </w:pPr>
            <w:r w:rsidRPr="00263141">
              <w:rPr>
                <w:rFonts w:cs="Arial"/>
                <w:color w:val="000000"/>
                <w:sz w:val="20"/>
                <w:szCs w:val="20"/>
              </w:rPr>
              <w:t>7.4%</w:t>
            </w:r>
          </w:p>
        </w:tc>
        <w:tc>
          <w:tcPr>
            <w:tcW w:w="351" w:type="pct"/>
            <w:shd w:val="clear" w:color="auto" w:fill="auto"/>
            <w:noWrap/>
            <w:tcMar>
              <w:left w:w="0" w:type="dxa"/>
            </w:tcMar>
            <w:vAlign w:val="bottom"/>
            <w:hideMark/>
          </w:tcPr>
          <w:p w14:paraId="11FF1BDB" w14:textId="77777777" w:rsidR="00CE1BDB" w:rsidRPr="00263141" w:rsidRDefault="00CE1BDB" w:rsidP="00EF49A7">
            <w:pPr>
              <w:jc w:val="right"/>
              <w:rPr>
                <w:rFonts w:cs="Arial"/>
                <w:color w:val="000000"/>
                <w:sz w:val="20"/>
                <w:szCs w:val="20"/>
              </w:rPr>
            </w:pPr>
            <w:r w:rsidRPr="00263141">
              <w:rPr>
                <w:rFonts w:cs="Arial"/>
                <w:color w:val="000000"/>
                <w:sz w:val="20"/>
                <w:szCs w:val="20"/>
              </w:rPr>
              <w:t>3.4%</w:t>
            </w:r>
          </w:p>
        </w:tc>
        <w:tc>
          <w:tcPr>
            <w:tcW w:w="318" w:type="pct"/>
            <w:shd w:val="clear" w:color="auto" w:fill="auto"/>
            <w:noWrap/>
            <w:tcMar>
              <w:left w:w="0" w:type="dxa"/>
            </w:tcMar>
            <w:vAlign w:val="bottom"/>
            <w:hideMark/>
          </w:tcPr>
          <w:p w14:paraId="02DC5A68"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5A8503F3"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3BF555A6"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4DE3A003" w14:textId="77777777" w:rsidR="00CE1BDB" w:rsidRPr="00263141" w:rsidRDefault="00CE1BDB" w:rsidP="00EF49A7">
            <w:pPr>
              <w:jc w:val="right"/>
              <w:rPr>
                <w:rFonts w:cs="Arial"/>
                <w:color w:val="000000"/>
                <w:sz w:val="20"/>
                <w:szCs w:val="20"/>
              </w:rPr>
            </w:pPr>
            <w:r w:rsidRPr="00263141">
              <w:rPr>
                <w:rFonts w:cs="Arial"/>
                <w:color w:val="000000"/>
                <w:sz w:val="20"/>
                <w:szCs w:val="20"/>
              </w:rPr>
              <w:t>£36,405</w:t>
            </w:r>
          </w:p>
        </w:tc>
      </w:tr>
      <w:tr w:rsidR="00CE1BDB" w:rsidRPr="00263141" w14:paraId="23AB4FB8" w14:textId="77777777" w:rsidTr="00185CB9">
        <w:trPr>
          <w:trHeight w:val="306"/>
        </w:trPr>
        <w:tc>
          <w:tcPr>
            <w:tcW w:w="1086" w:type="pct"/>
            <w:shd w:val="clear" w:color="auto" w:fill="auto"/>
            <w:noWrap/>
            <w:vAlign w:val="center"/>
            <w:hideMark/>
          </w:tcPr>
          <w:p w14:paraId="008F90D2" w14:textId="77777777" w:rsidR="00CE1BDB" w:rsidRPr="00263141" w:rsidRDefault="00CE1BDB" w:rsidP="00EF49A7">
            <w:pPr>
              <w:jc w:val="both"/>
              <w:rPr>
                <w:rFonts w:cs="Arial"/>
                <w:color w:val="000000"/>
                <w:sz w:val="20"/>
                <w:szCs w:val="20"/>
              </w:rPr>
            </w:pPr>
            <w:r w:rsidRPr="00263141">
              <w:rPr>
                <w:rFonts w:cs="Arial"/>
                <w:color w:val="000000"/>
                <w:sz w:val="20"/>
                <w:szCs w:val="20"/>
              </w:rPr>
              <w:t>Strood South</w:t>
            </w:r>
          </w:p>
        </w:tc>
        <w:tc>
          <w:tcPr>
            <w:tcW w:w="263" w:type="pct"/>
            <w:shd w:val="clear" w:color="auto" w:fill="auto"/>
            <w:noWrap/>
            <w:tcMar>
              <w:left w:w="0" w:type="dxa"/>
            </w:tcMar>
            <w:vAlign w:val="bottom"/>
            <w:hideMark/>
          </w:tcPr>
          <w:p w14:paraId="1EB38881" w14:textId="77777777" w:rsidR="00CE1BDB" w:rsidRPr="00263141" w:rsidRDefault="00CE1BDB" w:rsidP="00EF49A7">
            <w:pPr>
              <w:jc w:val="right"/>
              <w:rPr>
                <w:rFonts w:cs="Arial"/>
                <w:color w:val="000000"/>
                <w:sz w:val="20"/>
                <w:szCs w:val="20"/>
              </w:rPr>
            </w:pPr>
            <w:r w:rsidRPr="00263141">
              <w:rPr>
                <w:rFonts w:cs="Arial"/>
                <w:color w:val="000000"/>
                <w:sz w:val="20"/>
                <w:szCs w:val="20"/>
              </w:rPr>
              <w:t>0.4%</w:t>
            </w:r>
          </w:p>
        </w:tc>
        <w:tc>
          <w:tcPr>
            <w:tcW w:w="461" w:type="pct"/>
            <w:shd w:val="clear" w:color="auto" w:fill="auto"/>
            <w:noWrap/>
            <w:tcMar>
              <w:left w:w="0" w:type="dxa"/>
            </w:tcMar>
            <w:vAlign w:val="bottom"/>
            <w:hideMark/>
          </w:tcPr>
          <w:p w14:paraId="688889E3" w14:textId="77777777" w:rsidR="00CE1BDB" w:rsidRPr="00263141" w:rsidRDefault="00CE1BDB" w:rsidP="00EF49A7">
            <w:pPr>
              <w:jc w:val="right"/>
              <w:rPr>
                <w:rFonts w:cs="Arial"/>
                <w:color w:val="000000"/>
                <w:sz w:val="20"/>
                <w:szCs w:val="20"/>
              </w:rPr>
            </w:pPr>
            <w:r w:rsidRPr="00263141">
              <w:rPr>
                <w:rFonts w:cs="Arial"/>
                <w:color w:val="000000"/>
                <w:sz w:val="20"/>
                <w:szCs w:val="20"/>
              </w:rPr>
              <w:t>23.5%</w:t>
            </w:r>
          </w:p>
        </w:tc>
        <w:tc>
          <w:tcPr>
            <w:tcW w:w="399" w:type="pct"/>
            <w:shd w:val="clear" w:color="auto" w:fill="auto"/>
            <w:noWrap/>
            <w:tcMar>
              <w:left w:w="0" w:type="dxa"/>
            </w:tcMar>
            <w:vAlign w:val="bottom"/>
            <w:hideMark/>
          </w:tcPr>
          <w:p w14:paraId="591ECAAD" w14:textId="77777777" w:rsidR="00CE1BDB" w:rsidRPr="00263141" w:rsidRDefault="00CE1BDB" w:rsidP="00EF49A7">
            <w:pPr>
              <w:jc w:val="right"/>
              <w:rPr>
                <w:rFonts w:cs="Arial"/>
                <w:color w:val="000000"/>
                <w:sz w:val="20"/>
                <w:szCs w:val="20"/>
              </w:rPr>
            </w:pPr>
            <w:r w:rsidRPr="00263141">
              <w:rPr>
                <w:rFonts w:cs="Arial"/>
                <w:color w:val="000000"/>
                <w:sz w:val="20"/>
                <w:szCs w:val="20"/>
              </w:rPr>
              <w:t>39.0%</w:t>
            </w:r>
          </w:p>
        </w:tc>
        <w:tc>
          <w:tcPr>
            <w:tcW w:w="381" w:type="pct"/>
            <w:shd w:val="clear" w:color="auto" w:fill="auto"/>
            <w:noWrap/>
            <w:tcMar>
              <w:left w:w="0" w:type="dxa"/>
            </w:tcMar>
            <w:vAlign w:val="bottom"/>
            <w:hideMark/>
          </w:tcPr>
          <w:p w14:paraId="0D524517" w14:textId="77777777" w:rsidR="00CE1BDB" w:rsidRPr="00263141" w:rsidRDefault="00CE1BDB" w:rsidP="00EF49A7">
            <w:pPr>
              <w:jc w:val="right"/>
              <w:rPr>
                <w:rFonts w:cs="Arial"/>
                <w:color w:val="000000"/>
                <w:sz w:val="20"/>
                <w:szCs w:val="20"/>
              </w:rPr>
            </w:pPr>
            <w:r w:rsidRPr="00263141">
              <w:rPr>
                <w:rFonts w:cs="Arial"/>
                <w:color w:val="000000"/>
                <w:sz w:val="20"/>
                <w:szCs w:val="20"/>
              </w:rPr>
              <w:t>29.6%</w:t>
            </w:r>
          </w:p>
        </w:tc>
        <w:tc>
          <w:tcPr>
            <w:tcW w:w="381" w:type="pct"/>
            <w:shd w:val="clear" w:color="auto" w:fill="auto"/>
            <w:noWrap/>
            <w:tcMar>
              <w:left w:w="0" w:type="dxa"/>
            </w:tcMar>
            <w:vAlign w:val="bottom"/>
            <w:hideMark/>
          </w:tcPr>
          <w:p w14:paraId="28312899" w14:textId="77777777" w:rsidR="00CE1BDB" w:rsidRPr="00263141" w:rsidRDefault="00CE1BDB" w:rsidP="00EF49A7">
            <w:pPr>
              <w:jc w:val="right"/>
              <w:rPr>
                <w:rFonts w:cs="Arial"/>
                <w:color w:val="000000"/>
                <w:sz w:val="20"/>
                <w:szCs w:val="20"/>
              </w:rPr>
            </w:pPr>
            <w:r w:rsidRPr="00263141">
              <w:rPr>
                <w:rFonts w:cs="Arial"/>
                <w:color w:val="000000"/>
                <w:sz w:val="20"/>
                <w:szCs w:val="20"/>
              </w:rPr>
              <w:t>7.3%</w:t>
            </w:r>
          </w:p>
        </w:tc>
        <w:tc>
          <w:tcPr>
            <w:tcW w:w="381" w:type="pct"/>
            <w:shd w:val="clear" w:color="auto" w:fill="auto"/>
            <w:noWrap/>
            <w:tcMar>
              <w:left w:w="0" w:type="dxa"/>
            </w:tcMar>
            <w:vAlign w:val="bottom"/>
            <w:hideMark/>
          </w:tcPr>
          <w:p w14:paraId="00EF33A0" w14:textId="77777777" w:rsidR="00CE1BDB" w:rsidRPr="00263141" w:rsidRDefault="00CE1BDB" w:rsidP="00EF49A7">
            <w:pPr>
              <w:jc w:val="right"/>
              <w:rPr>
                <w:rFonts w:cs="Arial"/>
                <w:color w:val="000000"/>
                <w:sz w:val="20"/>
                <w:szCs w:val="20"/>
              </w:rPr>
            </w:pPr>
            <w:r w:rsidRPr="00263141">
              <w:rPr>
                <w:rFonts w:cs="Arial"/>
                <w:color w:val="000000"/>
                <w:sz w:val="20"/>
                <w:szCs w:val="20"/>
              </w:rPr>
              <w:t>0.3%</w:t>
            </w:r>
          </w:p>
        </w:tc>
        <w:tc>
          <w:tcPr>
            <w:tcW w:w="351" w:type="pct"/>
            <w:shd w:val="clear" w:color="auto" w:fill="auto"/>
            <w:noWrap/>
            <w:tcMar>
              <w:left w:w="0" w:type="dxa"/>
            </w:tcMar>
            <w:vAlign w:val="bottom"/>
            <w:hideMark/>
          </w:tcPr>
          <w:p w14:paraId="739C43E2"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4CE52F3C"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0F51F907"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56CB280E"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4ACC88DC" w14:textId="77777777" w:rsidR="00CE1BDB" w:rsidRPr="00263141" w:rsidRDefault="00CE1BDB" w:rsidP="00EF49A7">
            <w:pPr>
              <w:jc w:val="right"/>
              <w:rPr>
                <w:rFonts w:cs="Arial"/>
                <w:color w:val="000000"/>
                <w:sz w:val="20"/>
                <w:szCs w:val="20"/>
              </w:rPr>
            </w:pPr>
            <w:r w:rsidRPr="00263141">
              <w:rPr>
                <w:rFonts w:cs="Arial"/>
                <w:color w:val="000000"/>
                <w:sz w:val="20"/>
                <w:szCs w:val="20"/>
              </w:rPr>
              <w:t>£27,086</w:t>
            </w:r>
          </w:p>
        </w:tc>
      </w:tr>
      <w:tr w:rsidR="00CE1BDB" w:rsidRPr="00263141" w14:paraId="0C28B5B8" w14:textId="77777777" w:rsidTr="00185CB9">
        <w:trPr>
          <w:trHeight w:val="306"/>
        </w:trPr>
        <w:tc>
          <w:tcPr>
            <w:tcW w:w="1086" w:type="pct"/>
            <w:shd w:val="clear" w:color="auto" w:fill="auto"/>
            <w:noWrap/>
            <w:vAlign w:val="center"/>
            <w:hideMark/>
          </w:tcPr>
          <w:p w14:paraId="7E1DF99E" w14:textId="77777777" w:rsidR="00CE1BDB" w:rsidRPr="00263141" w:rsidRDefault="00CE1BDB" w:rsidP="00EF49A7">
            <w:pPr>
              <w:jc w:val="both"/>
              <w:rPr>
                <w:rFonts w:cs="Arial"/>
                <w:color w:val="000000"/>
                <w:sz w:val="20"/>
                <w:szCs w:val="20"/>
              </w:rPr>
            </w:pPr>
            <w:proofErr w:type="spellStart"/>
            <w:r w:rsidRPr="00263141">
              <w:rPr>
                <w:rFonts w:cs="Arial"/>
                <w:color w:val="000000"/>
                <w:sz w:val="20"/>
                <w:szCs w:val="20"/>
              </w:rPr>
              <w:t>Twydall</w:t>
            </w:r>
            <w:proofErr w:type="spellEnd"/>
          </w:p>
        </w:tc>
        <w:tc>
          <w:tcPr>
            <w:tcW w:w="263" w:type="pct"/>
            <w:shd w:val="clear" w:color="auto" w:fill="auto"/>
            <w:noWrap/>
            <w:tcMar>
              <w:left w:w="0" w:type="dxa"/>
            </w:tcMar>
            <w:vAlign w:val="bottom"/>
            <w:hideMark/>
          </w:tcPr>
          <w:p w14:paraId="5EFE0FF1" w14:textId="77777777" w:rsidR="00CE1BDB" w:rsidRPr="00263141" w:rsidRDefault="00CE1BDB" w:rsidP="00EF49A7">
            <w:pPr>
              <w:jc w:val="right"/>
              <w:rPr>
                <w:rFonts w:cs="Arial"/>
                <w:color w:val="000000"/>
                <w:sz w:val="20"/>
                <w:szCs w:val="20"/>
              </w:rPr>
            </w:pPr>
            <w:r w:rsidRPr="00263141">
              <w:rPr>
                <w:rFonts w:cs="Arial"/>
                <w:color w:val="000000"/>
                <w:sz w:val="20"/>
                <w:szCs w:val="20"/>
              </w:rPr>
              <w:t>1.6%</w:t>
            </w:r>
          </w:p>
        </w:tc>
        <w:tc>
          <w:tcPr>
            <w:tcW w:w="461" w:type="pct"/>
            <w:shd w:val="clear" w:color="auto" w:fill="auto"/>
            <w:noWrap/>
            <w:tcMar>
              <w:left w:w="0" w:type="dxa"/>
            </w:tcMar>
            <w:vAlign w:val="bottom"/>
            <w:hideMark/>
          </w:tcPr>
          <w:p w14:paraId="53B67FF8" w14:textId="77777777" w:rsidR="00CE1BDB" w:rsidRPr="00263141" w:rsidRDefault="00CE1BDB" w:rsidP="00EF49A7">
            <w:pPr>
              <w:jc w:val="right"/>
              <w:rPr>
                <w:rFonts w:cs="Arial"/>
                <w:color w:val="000000"/>
                <w:sz w:val="20"/>
                <w:szCs w:val="20"/>
              </w:rPr>
            </w:pPr>
            <w:r w:rsidRPr="00263141">
              <w:rPr>
                <w:rFonts w:cs="Arial"/>
                <w:color w:val="000000"/>
                <w:sz w:val="20"/>
                <w:szCs w:val="20"/>
              </w:rPr>
              <w:t>24.7%</w:t>
            </w:r>
          </w:p>
        </w:tc>
        <w:tc>
          <w:tcPr>
            <w:tcW w:w="399" w:type="pct"/>
            <w:shd w:val="clear" w:color="auto" w:fill="auto"/>
            <w:noWrap/>
            <w:tcMar>
              <w:left w:w="0" w:type="dxa"/>
            </w:tcMar>
            <w:vAlign w:val="bottom"/>
            <w:hideMark/>
          </w:tcPr>
          <w:p w14:paraId="1B582AC2" w14:textId="77777777" w:rsidR="00CE1BDB" w:rsidRPr="00263141" w:rsidRDefault="00CE1BDB" w:rsidP="00EF49A7">
            <w:pPr>
              <w:jc w:val="right"/>
              <w:rPr>
                <w:rFonts w:cs="Arial"/>
                <w:color w:val="000000"/>
                <w:sz w:val="20"/>
                <w:szCs w:val="20"/>
              </w:rPr>
            </w:pPr>
            <w:r w:rsidRPr="00263141">
              <w:rPr>
                <w:rFonts w:cs="Arial"/>
                <w:color w:val="000000"/>
                <w:sz w:val="20"/>
                <w:szCs w:val="20"/>
              </w:rPr>
              <w:t>45.1%</w:t>
            </w:r>
          </w:p>
        </w:tc>
        <w:tc>
          <w:tcPr>
            <w:tcW w:w="381" w:type="pct"/>
            <w:shd w:val="clear" w:color="auto" w:fill="auto"/>
            <w:noWrap/>
            <w:tcMar>
              <w:left w:w="0" w:type="dxa"/>
            </w:tcMar>
            <w:vAlign w:val="bottom"/>
            <w:hideMark/>
          </w:tcPr>
          <w:p w14:paraId="206D09E7" w14:textId="77777777" w:rsidR="00CE1BDB" w:rsidRPr="00263141" w:rsidRDefault="00CE1BDB" w:rsidP="00EF49A7">
            <w:pPr>
              <w:jc w:val="right"/>
              <w:rPr>
                <w:rFonts w:cs="Arial"/>
                <w:color w:val="000000"/>
                <w:sz w:val="20"/>
                <w:szCs w:val="20"/>
              </w:rPr>
            </w:pPr>
            <w:r w:rsidRPr="00263141">
              <w:rPr>
                <w:rFonts w:cs="Arial"/>
                <w:color w:val="000000"/>
                <w:sz w:val="20"/>
                <w:szCs w:val="20"/>
              </w:rPr>
              <w:t>21.9%</w:t>
            </w:r>
          </w:p>
        </w:tc>
        <w:tc>
          <w:tcPr>
            <w:tcW w:w="381" w:type="pct"/>
            <w:shd w:val="clear" w:color="auto" w:fill="auto"/>
            <w:noWrap/>
            <w:tcMar>
              <w:left w:w="0" w:type="dxa"/>
            </w:tcMar>
            <w:vAlign w:val="bottom"/>
            <w:hideMark/>
          </w:tcPr>
          <w:p w14:paraId="1221A9F4" w14:textId="77777777" w:rsidR="00CE1BDB" w:rsidRPr="00263141" w:rsidRDefault="00CE1BDB" w:rsidP="00EF49A7">
            <w:pPr>
              <w:jc w:val="right"/>
              <w:rPr>
                <w:rFonts w:cs="Arial"/>
                <w:color w:val="000000"/>
                <w:sz w:val="20"/>
                <w:szCs w:val="20"/>
              </w:rPr>
            </w:pPr>
            <w:r w:rsidRPr="00263141">
              <w:rPr>
                <w:rFonts w:cs="Arial"/>
                <w:color w:val="000000"/>
                <w:sz w:val="20"/>
                <w:szCs w:val="20"/>
              </w:rPr>
              <w:t>6.2%</w:t>
            </w:r>
          </w:p>
        </w:tc>
        <w:tc>
          <w:tcPr>
            <w:tcW w:w="381" w:type="pct"/>
            <w:shd w:val="clear" w:color="auto" w:fill="auto"/>
            <w:noWrap/>
            <w:tcMar>
              <w:left w:w="0" w:type="dxa"/>
            </w:tcMar>
            <w:vAlign w:val="bottom"/>
            <w:hideMark/>
          </w:tcPr>
          <w:p w14:paraId="3081B09C" w14:textId="77777777" w:rsidR="00CE1BDB" w:rsidRPr="00263141" w:rsidRDefault="00CE1BDB" w:rsidP="00EF49A7">
            <w:pPr>
              <w:jc w:val="right"/>
              <w:rPr>
                <w:rFonts w:cs="Arial"/>
                <w:color w:val="000000"/>
                <w:sz w:val="20"/>
                <w:szCs w:val="20"/>
              </w:rPr>
            </w:pPr>
            <w:r w:rsidRPr="00263141">
              <w:rPr>
                <w:rFonts w:cs="Arial"/>
                <w:color w:val="000000"/>
                <w:sz w:val="20"/>
                <w:szCs w:val="20"/>
              </w:rPr>
              <w:t>0.5%</w:t>
            </w:r>
          </w:p>
        </w:tc>
        <w:tc>
          <w:tcPr>
            <w:tcW w:w="351" w:type="pct"/>
            <w:shd w:val="clear" w:color="auto" w:fill="auto"/>
            <w:noWrap/>
            <w:tcMar>
              <w:left w:w="0" w:type="dxa"/>
            </w:tcMar>
            <w:vAlign w:val="bottom"/>
            <w:hideMark/>
          </w:tcPr>
          <w:p w14:paraId="7A6128A2"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7C60D87E"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2A5E4D8A" w14:textId="77777777" w:rsidR="00CE1BDB" w:rsidRPr="00263141" w:rsidRDefault="00CE1BDB" w:rsidP="00EF49A7">
            <w:pPr>
              <w:jc w:val="right"/>
              <w:rPr>
                <w:rFonts w:cs="Arial"/>
                <w:color w:val="000000"/>
                <w:sz w:val="20"/>
                <w:szCs w:val="20"/>
              </w:rPr>
            </w:pPr>
            <w:r w:rsidRPr="00263141">
              <w:rPr>
                <w:rFonts w:cs="Arial"/>
                <w:color w:val="000000"/>
                <w:sz w:val="20"/>
                <w:szCs w:val="20"/>
              </w:rPr>
              <w:t>£15,000</w:t>
            </w:r>
          </w:p>
        </w:tc>
        <w:tc>
          <w:tcPr>
            <w:tcW w:w="324" w:type="pct"/>
            <w:shd w:val="clear" w:color="auto" w:fill="auto"/>
            <w:noWrap/>
            <w:tcMar>
              <w:left w:w="0" w:type="dxa"/>
            </w:tcMar>
            <w:vAlign w:val="bottom"/>
            <w:hideMark/>
          </w:tcPr>
          <w:p w14:paraId="7ED17308"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4436FA2F" w14:textId="77777777" w:rsidR="00CE1BDB" w:rsidRPr="00263141" w:rsidRDefault="00CE1BDB" w:rsidP="00EF49A7">
            <w:pPr>
              <w:jc w:val="right"/>
              <w:rPr>
                <w:rFonts w:cs="Arial"/>
                <w:color w:val="000000"/>
                <w:sz w:val="20"/>
                <w:szCs w:val="20"/>
              </w:rPr>
            </w:pPr>
            <w:r w:rsidRPr="00263141">
              <w:rPr>
                <w:rFonts w:cs="Arial"/>
                <w:color w:val="000000"/>
                <w:sz w:val="20"/>
                <w:szCs w:val="20"/>
              </w:rPr>
              <w:t>£25,966</w:t>
            </w:r>
          </w:p>
        </w:tc>
      </w:tr>
      <w:tr w:rsidR="00CE1BDB" w:rsidRPr="00263141" w14:paraId="719D6595" w14:textId="77777777" w:rsidTr="00185CB9">
        <w:trPr>
          <w:trHeight w:val="306"/>
        </w:trPr>
        <w:tc>
          <w:tcPr>
            <w:tcW w:w="1086" w:type="pct"/>
            <w:shd w:val="clear" w:color="auto" w:fill="auto"/>
            <w:noWrap/>
            <w:vAlign w:val="center"/>
            <w:hideMark/>
          </w:tcPr>
          <w:p w14:paraId="10D002C1" w14:textId="77777777" w:rsidR="00CE1BDB" w:rsidRPr="00263141" w:rsidRDefault="00CE1BDB" w:rsidP="00EF49A7">
            <w:pPr>
              <w:jc w:val="both"/>
              <w:rPr>
                <w:rFonts w:cs="Arial"/>
                <w:color w:val="000000"/>
                <w:sz w:val="20"/>
                <w:szCs w:val="20"/>
              </w:rPr>
            </w:pPr>
            <w:r w:rsidRPr="00263141">
              <w:rPr>
                <w:rFonts w:cs="Arial"/>
                <w:color w:val="000000"/>
                <w:sz w:val="20"/>
                <w:szCs w:val="20"/>
              </w:rPr>
              <w:t>Walderslade</w:t>
            </w:r>
          </w:p>
        </w:tc>
        <w:tc>
          <w:tcPr>
            <w:tcW w:w="263" w:type="pct"/>
            <w:shd w:val="clear" w:color="auto" w:fill="auto"/>
            <w:noWrap/>
            <w:tcMar>
              <w:left w:w="0" w:type="dxa"/>
            </w:tcMar>
            <w:vAlign w:val="bottom"/>
            <w:hideMark/>
          </w:tcPr>
          <w:p w14:paraId="17064E5A" w14:textId="77777777" w:rsidR="00CE1BDB" w:rsidRPr="00263141" w:rsidRDefault="00CE1BDB" w:rsidP="00EF49A7">
            <w:pPr>
              <w:jc w:val="right"/>
              <w:rPr>
                <w:rFonts w:cs="Arial"/>
                <w:color w:val="000000"/>
                <w:sz w:val="20"/>
                <w:szCs w:val="20"/>
              </w:rPr>
            </w:pPr>
            <w:r w:rsidRPr="00263141">
              <w:rPr>
                <w:rFonts w:cs="Arial"/>
                <w:color w:val="000000"/>
                <w:sz w:val="20"/>
                <w:szCs w:val="20"/>
              </w:rPr>
              <w:t>4.2%</w:t>
            </w:r>
          </w:p>
        </w:tc>
        <w:tc>
          <w:tcPr>
            <w:tcW w:w="461" w:type="pct"/>
            <w:shd w:val="clear" w:color="auto" w:fill="auto"/>
            <w:noWrap/>
            <w:tcMar>
              <w:left w:w="0" w:type="dxa"/>
            </w:tcMar>
            <w:vAlign w:val="bottom"/>
            <w:hideMark/>
          </w:tcPr>
          <w:p w14:paraId="67F89AED" w14:textId="77777777" w:rsidR="00CE1BDB" w:rsidRPr="00263141" w:rsidRDefault="00CE1BDB" w:rsidP="00EF49A7">
            <w:pPr>
              <w:jc w:val="right"/>
              <w:rPr>
                <w:rFonts w:cs="Arial"/>
                <w:color w:val="000000"/>
                <w:sz w:val="20"/>
                <w:szCs w:val="20"/>
              </w:rPr>
            </w:pPr>
            <w:r w:rsidRPr="00263141">
              <w:rPr>
                <w:rFonts w:cs="Arial"/>
                <w:color w:val="000000"/>
                <w:sz w:val="20"/>
                <w:szCs w:val="20"/>
              </w:rPr>
              <w:t>17.9%</w:t>
            </w:r>
          </w:p>
        </w:tc>
        <w:tc>
          <w:tcPr>
            <w:tcW w:w="399" w:type="pct"/>
            <w:shd w:val="clear" w:color="auto" w:fill="auto"/>
            <w:noWrap/>
            <w:tcMar>
              <w:left w:w="0" w:type="dxa"/>
            </w:tcMar>
            <w:vAlign w:val="bottom"/>
            <w:hideMark/>
          </w:tcPr>
          <w:p w14:paraId="475C53D5" w14:textId="77777777" w:rsidR="00CE1BDB" w:rsidRPr="00263141" w:rsidRDefault="00CE1BDB" w:rsidP="00EF49A7">
            <w:pPr>
              <w:jc w:val="right"/>
              <w:rPr>
                <w:rFonts w:cs="Arial"/>
                <w:color w:val="000000"/>
                <w:sz w:val="20"/>
                <w:szCs w:val="20"/>
              </w:rPr>
            </w:pPr>
            <w:r w:rsidRPr="00263141">
              <w:rPr>
                <w:rFonts w:cs="Arial"/>
                <w:color w:val="000000"/>
                <w:sz w:val="20"/>
                <w:szCs w:val="20"/>
              </w:rPr>
              <w:t>24.1%</w:t>
            </w:r>
          </w:p>
        </w:tc>
        <w:tc>
          <w:tcPr>
            <w:tcW w:w="381" w:type="pct"/>
            <w:shd w:val="clear" w:color="auto" w:fill="auto"/>
            <w:noWrap/>
            <w:tcMar>
              <w:left w:w="0" w:type="dxa"/>
            </w:tcMar>
            <w:vAlign w:val="bottom"/>
            <w:hideMark/>
          </w:tcPr>
          <w:p w14:paraId="3C08F523" w14:textId="77777777" w:rsidR="00CE1BDB" w:rsidRPr="00263141" w:rsidRDefault="00CE1BDB" w:rsidP="00EF49A7">
            <w:pPr>
              <w:jc w:val="right"/>
              <w:rPr>
                <w:rFonts w:cs="Arial"/>
                <w:color w:val="000000"/>
                <w:sz w:val="20"/>
                <w:szCs w:val="20"/>
              </w:rPr>
            </w:pPr>
            <w:r w:rsidRPr="00263141">
              <w:rPr>
                <w:rFonts w:cs="Arial"/>
                <w:color w:val="000000"/>
                <w:sz w:val="20"/>
                <w:szCs w:val="20"/>
              </w:rPr>
              <w:t>36.8%</w:t>
            </w:r>
          </w:p>
        </w:tc>
        <w:tc>
          <w:tcPr>
            <w:tcW w:w="381" w:type="pct"/>
            <w:shd w:val="clear" w:color="auto" w:fill="auto"/>
            <w:noWrap/>
            <w:tcMar>
              <w:left w:w="0" w:type="dxa"/>
            </w:tcMar>
            <w:vAlign w:val="bottom"/>
            <w:hideMark/>
          </w:tcPr>
          <w:p w14:paraId="3EB102A0" w14:textId="77777777" w:rsidR="00CE1BDB" w:rsidRPr="00263141" w:rsidRDefault="00CE1BDB" w:rsidP="00EF49A7">
            <w:pPr>
              <w:jc w:val="right"/>
              <w:rPr>
                <w:rFonts w:cs="Arial"/>
                <w:color w:val="000000"/>
                <w:sz w:val="20"/>
                <w:szCs w:val="20"/>
              </w:rPr>
            </w:pPr>
            <w:r w:rsidRPr="00263141">
              <w:rPr>
                <w:rFonts w:cs="Arial"/>
                <w:color w:val="000000"/>
                <w:sz w:val="20"/>
                <w:szCs w:val="20"/>
              </w:rPr>
              <w:t>14.9%</w:t>
            </w:r>
          </w:p>
        </w:tc>
        <w:tc>
          <w:tcPr>
            <w:tcW w:w="381" w:type="pct"/>
            <w:shd w:val="clear" w:color="auto" w:fill="auto"/>
            <w:noWrap/>
            <w:tcMar>
              <w:left w:w="0" w:type="dxa"/>
            </w:tcMar>
            <w:vAlign w:val="bottom"/>
            <w:hideMark/>
          </w:tcPr>
          <w:p w14:paraId="27BE95D5" w14:textId="77777777" w:rsidR="00CE1BDB" w:rsidRPr="00263141" w:rsidRDefault="00CE1BDB" w:rsidP="00EF49A7">
            <w:pPr>
              <w:jc w:val="right"/>
              <w:rPr>
                <w:rFonts w:cs="Arial"/>
                <w:color w:val="000000"/>
                <w:sz w:val="20"/>
                <w:szCs w:val="20"/>
              </w:rPr>
            </w:pPr>
            <w:r w:rsidRPr="00263141">
              <w:rPr>
                <w:rFonts w:cs="Arial"/>
                <w:color w:val="000000"/>
                <w:sz w:val="20"/>
                <w:szCs w:val="20"/>
              </w:rPr>
              <w:t>2.2%</w:t>
            </w:r>
          </w:p>
        </w:tc>
        <w:tc>
          <w:tcPr>
            <w:tcW w:w="351" w:type="pct"/>
            <w:shd w:val="clear" w:color="auto" w:fill="auto"/>
            <w:noWrap/>
            <w:tcMar>
              <w:left w:w="0" w:type="dxa"/>
            </w:tcMar>
            <w:vAlign w:val="bottom"/>
            <w:hideMark/>
          </w:tcPr>
          <w:p w14:paraId="5586E0D2"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318" w:type="pct"/>
            <w:shd w:val="clear" w:color="auto" w:fill="auto"/>
            <w:noWrap/>
            <w:tcMar>
              <w:left w:w="0" w:type="dxa"/>
            </w:tcMar>
            <w:vAlign w:val="bottom"/>
            <w:hideMark/>
          </w:tcPr>
          <w:p w14:paraId="326BCD54"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6CB0DEB6"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585CEC18"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31" w:type="pct"/>
            <w:shd w:val="clear" w:color="auto" w:fill="auto"/>
            <w:noWrap/>
            <w:tcMar>
              <w:left w:w="0" w:type="dxa"/>
            </w:tcMar>
            <w:vAlign w:val="bottom"/>
            <w:hideMark/>
          </w:tcPr>
          <w:p w14:paraId="7FDA37D8" w14:textId="77777777" w:rsidR="00CE1BDB" w:rsidRPr="00263141" w:rsidRDefault="00CE1BDB" w:rsidP="00EF49A7">
            <w:pPr>
              <w:jc w:val="right"/>
              <w:rPr>
                <w:rFonts w:cs="Arial"/>
                <w:color w:val="000000"/>
                <w:sz w:val="20"/>
                <w:szCs w:val="20"/>
              </w:rPr>
            </w:pPr>
            <w:r w:rsidRPr="00263141">
              <w:rPr>
                <w:rFonts w:cs="Arial"/>
                <w:color w:val="000000"/>
                <w:sz w:val="20"/>
                <w:szCs w:val="20"/>
              </w:rPr>
              <w:t>£29,805</w:t>
            </w:r>
          </w:p>
        </w:tc>
      </w:tr>
      <w:tr w:rsidR="00CE1BDB" w:rsidRPr="00263141" w14:paraId="1D8036AF" w14:textId="77777777" w:rsidTr="00185CB9">
        <w:trPr>
          <w:trHeight w:val="326"/>
        </w:trPr>
        <w:tc>
          <w:tcPr>
            <w:tcW w:w="1086" w:type="pct"/>
            <w:shd w:val="clear" w:color="auto" w:fill="auto"/>
            <w:noWrap/>
            <w:vAlign w:val="center"/>
            <w:hideMark/>
          </w:tcPr>
          <w:p w14:paraId="3E4EF8BE" w14:textId="77777777" w:rsidR="00CE1BDB" w:rsidRPr="00263141" w:rsidRDefault="00CE1BDB" w:rsidP="00EF49A7">
            <w:pPr>
              <w:jc w:val="both"/>
              <w:rPr>
                <w:rFonts w:cs="Arial"/>
                <w:color w:val="000000"/>
                <w:sz w:val="20"/>
                <w:szCs w:val="20"/>
              </w:rPr>
            </w:pPr>
            <w:r w:rsidRPr="00263141">
              <w:rPr>
                <w:rFonts w:cs="Arial"/>
                <w:color w:val="000000"/>
                <w:sz w:val="20"/>
                <w:szCs w:val="20"/>
              </w:rPr>
              <w:t>Watling</w:t>
            </w:r>
          </w:p>
        </w:tc>
        <w:tc>
          <w:tcPr>
            <w:tcW w:w="263" w:type="pct"/>
            <w:shd w:val="clear" w:color="auto" w:fill="auto"/>
            <w:noWrap/>
            <w:tcMar>
              <w:left w:w="0" w:type="dxa"/>
            </w:tcMar>
            <w:vAlign w:val="bottom"/>
            <w:hideMark/>
          </w:tcPr>
          <w:p w14:paraId="76A97559" w14:textId="77777777" w:rsidR="00CE1BDB" w:rsidRPr="00263141" w:rsidRDefault="00CE1BDB" w:rsidP="00EF49A7">
            <w:pPr>
              <w:jc w:val="right"/>
              <w:rPr>
                <w:rFonts w:cs="Arial"/>
                <w:color w:val="000000"/>
                <w:sz w:val="20"/>
                <w:szCs w:val="20"/>
              </w:rPr>
            </w:pPr>
            <w:r w:rsidRPr="00263141">
              <w:rPr>
                <w:rFonts w:cs="Arial"/>
                <w:color w:val="000000"/>
                <w:sz w:val="20"/>
                <w:szCs w:val="20"/>
              </w:rPr>
              <w:t>0.0%</w:t>
            </w:r>
          </w:p>
        </w:tc>
        <w:tc>
          <w:tcPr>
            <w:tcW w:w="461" w:type="pct"/>
            <w:shd w:val="clear" w:color="auto" w:fill="auto"/>
            <w:noWrap/>
            <w:tcMar>
              <w:left w:w="0" w:type="dxa"/>
            </w:tcMar>
            <w:vAlign w:val="bottom"/>
            <w:hideMark/>
          </w:tcPr>
          <w:p w14:paraId="5E07DFDA" w14:textId="77777777" w:rsidR="00CE1BDB" w:rsidRPr="00263141" w:rsidRDefault="00CE1BDB" w:rsidP="00EF49A7">
            <w:pPr>
              <w:jc w:val="right"/>
              <w:rPr>
                <w:rFonts w:cs="Arial"/>
                <w:color w:val="000000"/>
                <w:sz w:val="20"/>
                <w:szCs w:val="20"/>
              </w:rPr>
            </w:pPr>
            <w:r w:rsidRPr="00263141">
              <w:rPr>
                <w:rFonts w:cs="Arial"/>
                <w:color w:val="000000"/>
                <w:sz w:val="20"/>
                <w:szCs w:val="20"/>
              </w:rPr>
              <w:t>0.7%</w:t>
            </w:r>
          </w:p>
        </w:tc>
        <w:tc>
          <w:tcPr>
            <w:tcW w:w="399" w:type="pct"/>
            <w:shd w:val="clear" w:color="auto" w:fill="auto"/>
            <w:noWrap/>
            <w:tcMar>
              <w:left w:w="0" w:type="dxa"/>
            </w:tcMar>
            <w:vAlign w:val="bottom"/>
            <w:hideMark/>
          </w:tcPr>
          <w:p w14:paraId="6F23863C" w14:textId="77777777" w:rsidR="00CE1BDB" w:rsidRPr="00263141" w:rsidRDefault="00CE1BDB" w:rsidP="00EF49A7">
            <w:pPr>
              <w:jc w:val="right"/>
              <w:rPr>
                <w:rFonts w:cs="Arial"/>
                <w:color w:val="000000"/>
                <w:sz w:val="20"/>
                <w:szCs w:val="20"/>
              </w:rPr>
            </w:pPr>
            <w:r w:rsidRPr="00263141">
              <w:rPr>
                <w:rFonts w:cs="Arial"/>
                <w:color w:val="000000"/>
                <w:sz w:val="20"/>
                <w:szCs w:val="20"/>
              </w:rPr>
              <w:t>16.6%</w:t>
            </w:r>
          </w:p>
        </w:tc>
        <w:tc>
          <w:tcPr>
            <w:tcW w:w="381" w:type="pct"/>
            <w:shd w:val="clear" w:color="auto" w:fill="auto"/>
            <w:noWrap/>
            <w:tcMar>
              <w:left w:w="0" w:type="dxa"/>
            </w:tcMar>
            <w:vAlign w:val="bottom"/>
            <w:hideMark/>
          </w:tcPr>
          <w:p w14:paraId="40E1960C" w14:textId="77777777" w:rsidR="00CE1BDB" w:rsidRPr="00263141" w:rsidRDefault="00CE1BDB" w:rsidP="00EF49A7">
            <w:pPr>
              <w:jc w:val="right"/>
              <w:rPr>
                <w:rFonts w:cs="Arial"/>
                <w:color w:val="000000"/>
                <w:sz w:val="20"/>
                <w:szCs w:val="20"/>
              </w:rPr>
            </w:pPr>
            <w:r w:rsidRPr="00263141">
              <w:rPr>
                <w:rFonts w:cs="Arial"/>
                <w:color w:val="000000"/>
                <w:sz w:val="20"/>
                <w:szCs w:val="20"/>
              </w:rPr>
              <w:t>51.8%</w:t>
            </w:r>
          </w:p>
        </w:tc>
        <w:tc>
          <w:tcPr>
            <w:tcW w:w="381" w:type="pct"/>
            <w:shd w:val="clear" w:color="auto" w:fill="auto"/>
            <w:noWrap/>
            <w:tcMar>
              <w:left w:w="0" w:type="dxa"/>
            </w:tcMar>
            <w:vAlign w:val="bottom"/>
            <w:hideMark/>
          </w:tcPr>
          <w:p w14:paraId="294613B7" w14:textId="77777777" w:rsidR="00CE1BDB" w:rsidRPr="00263141" w:rsidRDefault="00CE1BDB" w:rsidP="00EF49A7">
            <w:pPr>
              <w:jc w:val="right"/>
              <w:rPr>
                <w:rFonts w:cs="Arial"/>
                <w:color w:val="000000"/>
                <w:sz w:val="20"/>
                <w:szCs w:val="20"/>
              </w:rPr>
            </w:pPr>
            <w:r w:rsidRPr="00263141">
              <w:rPr>
                <w:rFonts w:cs="Arial"/>
                <w:color w:val="000000"/>
                <w:sz w:val="20"/>
                <w:szCs w:val="20"/>
              </w:rPr>
              <w:t>19.9%</w:t>
            </w:r>
          </w:p>
        </w:tc>
        <w:tc>
          <w:tcPr>
            <w:tcW w:w="381" w:type="pct"/>
            <w:shd w:val="clear" w:color="auto" w:fill="auto"/>
            <w:noWrap/>
            <w:tcMar>
              <w:left w:w="0" w:type="dxa"/>
            </w:tcMar>
            <w:vAlign w:val="bottom"/>
            <w:hideMark/>
          </w:tcPr>
          <w:p w14:paraId="006F26A8" w14:textId="77777777" w:rsidR="00CE1BDB" w:rsidRPr="00263141" w:rsidRDefault="00CE1BDB" w:rsidP="00EF49A7">
            <w:pPr>
              <w:jc w:val="right"/>
              <w:rPr>
                <w:rFonts w:cs="Arial"/>
                <w:color w:val="000000"/>
                <w:sz w:val="20"/>
                <w:szCs w:val="20"/>
              </w:rPr>
            </w:pPr>
            <w:r w:rsidRPr="00263141">
              <w:rPr>
                <w:rFonts w:cs="Arial"/>
                <w:color w:val="000000"/>
                <w:sz w:val="20"/>
                <w:szCs w:val="20"/>
              </w:rPr>
              <w:t>10.1%</w:t>
            </w:r>
          </w:p>
        </w:tc>
        <w:tc>
          <w:tcPr>
            <w:tcW w:w="351" w:type="pct"/>
            <w:shd w:val="clear" w:color="auto" w:fill="auto"/>
            <w:noWrap/>
            <w:tcMar>
              <w:left w:w="0" w:type="dxa"/>
            </w:tcMar>
            <w:vAlign w:val="bottom"/>
            <w:hideMark/>
          </w:tcPr>
          <w:p w14:paraId="432A9FF9" w14:textId="77777777" w:rsidR="00CE1BDB" w:rsidRPr="00263141" w:rsidRDefault="00CE1BDB" w:rsidP="00EF49A7">
            <w:pPr>
              <w:jc w:val="right"/>
              <w:rPr>
                <w:rFonts w:cs="Arial"/>
                <w:color w:val="000000"/>
                <w:sz w:val="20"/>
                <w:szCs w:val="20"/>
              </w:rPr>
            </w:pPr>
            <w:r w:rsidRPr="00263141">
              <w:rPr>
                <w:rFonts w:cs="Arial"/>
                <w:color w:val="000000"/>
                <w:sz w:val="20"/>
                <w:szCs w:val="20"/>
              </w:rPr>
              <w:t>1.0%</w:t>
            </w:r>
          </w:p>
        </w:tc>
        <w:tc>
          <w:tcPr>
            <w:tcW w:w="318" w:type="pct"/>
            <w:shd w:val="clear" w:color="auto" w:fill="auto"/>
            <w:noWrap/>
            <w:tcMar>
              <w:left w:w="0" w:type="dxa"/>
            </w:tcMar>
            <w:vAlign w:val="bottom"/>
            <w:hideMark/>
          </w:tcPr>
          <w:p w14:paraId="5547DBFD"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40CF579F"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24" w:type="pct"/>
            <w:shd w:val="clear" w:color="auto" w:fill="auto"/>
            <w:noWrap/>
            <w:tcMar>
              <w:left w:w="0" w:type="dxa"/>
            </w:tcMar>
            <w:vAlign w:val="bottom"/>
            <w:hideMark/>
          </w:tcPr>
          <w:p w14:paraId="6D613903"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45D52884" w14:textId="77777777" w:rsidR="00CE1BDB" w:rsidRPr="00263141" w:rsidRDefault="00CE1BDB" w:rsidP="00EF49A7">
            <w:pPr>
              <w:jc w:val="right"/>
              <w:rPr>
                <w:rFonts w:cs="Arial"/>
                <w:color w:val="000000"/>
                <w:sz w:val="20"/>
                <w:szCs w:val="20"/>
              </w:rPr>
            </w:pPr>
            <w:r w:rsidRPr="00263141">
              <w:rPr>
                <w:rFonts w:cs="Arial"/>
                <w:color w:val="000000"/>
                <w:sz w:val="20"/>
                <w:szCs w:val="20"/>
              </w:rPr>
              <w:t>£38,817</w:t>
            </w:r>
          </w:p>
        </w:tc>
      </w:tr>
      <w:tr w:rsidR="00CE1BDB" w:rsidRPr="00263141" w14:paraId="1FCC44F9" w14:textId="77777777" w:rsidTr="00185CB9">
        <w:trPr>
          <w:trHeight w:val="326"/>
        </w:trPr>
        <w:tc>
          <w:tcPr>
            <w:tcW w:w="1086" w:type="pct"/>
            <w:shd w:val="clear" w:color="auto" w:fill="auto"/>
            <w:noWrap/>
            <w:vAlign w:val="center"/>
            <w:hideMark/>
          </w:tcPr>
          <w:p w14:paraId="5ABE8C2C" w14:textId="77777777" w:rsidR="00CE1BDB" w:rsidRPr="00263141" w:rsidRDefault="00CE1BDB" w:rsidP="00EF49A7">
            <w:pPr>
              <w:jc w:val="both"/>
              <w:rPr>
                <w:rFonts w:cs="Arial"/>
                <w:b/>
                <w:bCs/>
                <w:color w:val="000000"/>
                <w:sz w:val="20"/>
                <w:szCs w:val="20"/>
              </w:rPr>
            </w:pPr>
            <w:r w:rsidRPr="00263141">
              <w:rPr>
                <w:rFonts w:cs="Arial"/>
                <w:b/>
                <w:bCs/>
                <w:color w:val="000000"/>
                <w:sz w:val="20"/>
                <w:szCs w:val="20"/>
              </w:rPr>
              <w:t>Medway</w:t>
            </w:r>
          </w:p>
        </w:tc>
        <w:tc>
          <w:tcPr>
            <w:tcW w:w="263" w:type="pct"/>
            <w:shd w:val="clear" w:color="auto" w:fill="auto"/>
            <w:noWrap/>
            <w:tcMar>
              <w:left w:w="0" w:type="dxa"/>
            </w:tcMar>
            <w:vAlign w:val="bottom"/>
            <w:hideMark/>
          </w:tcPr>
          <w:p w14:paraId="5B146174" w14:textId="77777777" w:rsidR="00CE1BDB" w:rsidRPr="00263141" w:rsidRDefault="00CE1BDB" w:rsidP="00EF49A7">
            <w:pPr>
              <w:jc w:val="right"/>
              <w:rPr>
                <w:rFonts w:cs="Arial"/>
                <w:color w:val="000000"/>
                <w:sz w:val="20"/>
                <w:szCs w:val="20"/>
              </w:rPr>
            </w:pPr>
            <w:r w:rsidRPr="00263141">
              <w:rPr>
                <w:rFonts w:cs="Arial"/>
                <w:color w:val="000000"/>
                <w:sz w:val="20"/>
                <w:szCs w:val="20"/>
              </w:rPr>
              <w:t>1.0%</w:t>
            </w:r>
          </w:p>
        </w:tc>
        <w:tc>
          <w:tcPr>
            <w:tcW w:w="461" w:type="pct"/>
            <w:shd w:val="clear" w:color="auto" w:fill="auto"/>
            <w:noWrap/>
            <w:tcMar>
              <w:left w:w="0" w:type="dxa"/>
            </w:tcMar>
            <w:vAlign w:val="bottom"/>
            <w:hideMark/>
          </w:tcPr>
          <w:p w14:paraId="37EB8771" w14:textId="77777777" w:rsidR="00CE1BDB" w:rsidRPr="00263141" w:rsidRDefault="00CE1BDB" w:rsidP="00EF49A7">
            <w:pPr>
              <w:jc w:val="right"/>
              <w:rPr>
                <w:rFonts w:cs="Arial"/>
                <w:color w:val="000000"/>
                <w:sz w:val="20"/>
                <w:szCs w:val="20"/>
              </w:rPr>
            </w:pPr>
            <w:r w:rsidRPr="00263141">
              <w:rPr>
                <w:rFonts w:cs="Arial"/>
                <w:color w:val="000000"/>
                <w:sz w:val="20"/>
                <w:szCs w:val="20"/>
              </w:rPr>
              <w:t>14.8%</w:t>
            </w:r>
          </w:p>
        </w:tc>
        <w:tc>
          <w:tcPr>
            <w:tcW w:w="399" w:type="pct"/>
            <w:shd w:val="clear" w:color="auto" w:fill="auto"/>
            <w:noWrap/>
            <w:tcMar>
              <w:left w:w="0" w:type="dxa"/>
            </w:tcMar>
            <w:vAlign w:val="bottom"/>
            <w:hideMark/>
          </w:tcPr>
          <w:p w14:paraId="61B7CDE5" w14:textId="77777777" w:rsidR="00CE1BDB" w:rsidRPr="00263141" w:rsidRDefault="00CE1BDB" w:rsidP="00EF49A7">
            <w:pPr>
              <w:jc w:val="right"/>
              <w:rPr>
                <w:rFonts w:cs="Arial"/>
                <w:color w:val="000000"/>
                <w:sz w:val="20"/>
                <w:szCs w:val="20"/>
              </w:rPr>
            </w:pPr>
            <w:r w:rsidRPr="00263141">
              <w:rPr>
                <w:rFonts w:cs="Arial"/>
                <w:color w:val="000000"/>
                <w:sz w:val="20"/>
                <w:szCs w:val="20"/>
              </w:rPr>
              <w:t>31.0%</w:t>
            </w:r>
          </w:p>
        </w:tc>
        <w:tc>
          <w:tcPr>
            <w:tcW w:w="381" w:type="pct"/>
            <w:shd w:val="clear" w:color="auto" w:fill="auto"/>
            <w:noWrap/>
            <w:tcMar>
              <w:left w:w="0" w:type="dxa"/>
            </w:tcMar>
            <w:vAlign w:val="bottom"/>
            <w:hideMark/>
          </w:tcPr>
          <w:p w14:paraId="6362ADD8" w14:textId="77777777" w:rsidR="00CE1BDB" w:rsidRPr="00263141" w:rsidRDefault="00CE1BDB" w:rsidP="00EF49A7">
            <w:pPr>
              <w:jc w:val="right"/>
              <w:rPr>
                <w:rFonts w:cs="Arial"/>
                <w:color w:val="000000"/>
                <w:sz w:val="20"/>
                <w:szCs w:val="20"/>
              </w:rPr>
            </w:pPr>
            <w:r w:rsidRPr="00263141">
              <w:rPr>
                <w:rFonts w:cs="Arial"/>
                <w:color w:val="000000"/>
                <w:sz w:val="20"/>
                <w:szCs w:val="20"/>
              </w:rPr>
              <w:t>32.4%</w:t>
            </w:r>
          </w:p>
        </w:tc>
        <w:tc>
          <w:tcPr>
            <w:tcW w:w="381" w:type="pct"/>
            <w:shd w:val="clear" w:color="auto" w:fill="auto"/>
            <w:noWrap/>
            <w:tcMar>
              <w:left w:w="0" w:type="dxa"/>
            </w:tcMar>
            <w:vAlign w:val="bottom"/>
            <w:hideMark/>
          </w:tcPr>
          <w:p w14:paraId="5BB427A3" w14:textId="77777777" w:rsidR="00CE1BDB" w:rsidRPr="00263141" w:rsidRDefault="00CE1BDB" w:rsidP="00EF49A7">
            <w:pPr>
              <w:jc w:val="right"/>
              <w:rPr>
                <w:rFonts w:cs="Arial"/>
                <w:color w:val="000000"/>
                <w:sz w:val="20"/>
                <w:szCs w:val="20"/>
              </w:rPr>
            </w:pPr>
            <w:r w:rsidRPr="00263141">
              <w:rPr>
                <w:rFonts w:cs="Arial"/>
                <w:color w:val="000000"/>
                <w:sz w:val="20"/>
                <w:szCs w:val="20"/>
              </w:rPr>
              <w:t>13.4%</w:t>
            </w:r>
          </w:p>
        </w:tc>
        <w:tc>
          <w:tcPr>
            <w:tcW w:w="381" w:type="pct"/>
            <w:shd w:val="clear" w:color="auto" w:fill="auto"/>
            <w:noWrap/>
            <w:tcMar>
              <w:left w:w="0" w:type="dxa"/>
            </w:tcMar>
            <w:vAlign w:val="bottom"/>
            <w:hideMark/>
          </w:tcPr>
          <w:p w14:paraId="29616ED5" w14:textId="77777777" w:rsidR="00CE1BDB" w:rsidRPr="00263141" w:rsidRDefault="00CE1BDB" w:rsidP="00EF49A7">
            <w:pPr>
              <w:jc w:val="right"/>
              <w:rPr>
                <w:rFonts w:cs="Arial"/>
                <w:color w:val="000000"/>
                <w:sz w:val="20"/>
                <w:szCs w:val="20"/>
              </w:rPr>
            </w:pPr>
            <w:r w:rsidRPr="00263141">
              <w:rPr>
                <w:rFonts w:cs="Arial"/>
                <w:color w:val="000000"/>
                <w:sz w:val="20"/>
                <w:szCs w:val="20"/>
              </w:rPr>
              <w:t>5.9%</w:t>
            </w:r>
          </w:p>
        </w:tc>
        <w:tc>
          <w:tcPr>
            <w:tcW w:w="351" w:type="pct"/>
            <w:shd w:val="clear" w:color="auto" w:fill="auto"/>
            <w:noWrap/>
            <w:tcMar>
              <w:left w:w="0" w:type="dxa"/>
            </w:tcMar>
            <w:vAlign w:val="bottom"/>
            <w:hideMark/>
          </w:tcPr>
          <w:p w14:paraId="19E5BA52" w14:textId="77777777" w:rsidR="00CE1BDB" w:rsidRPr="00263141" w:rsidRDefault="00CE1BDB" w:rsidP="00EF49A7">
            <w:pPr>
              <w:jc w:val="right"/>
              <w:rPr>
                <w:rFonts w:cs="Arial"/>
                <w:color w:val="000000"/>
                <w:sz w:val="20"/>
                <w:szCs w:val="20"/>
              </w:rPr>
            </w:pPr>
            <w:r w:rsidRPr="00263141">
              <w:rPr>
                <w:rFonts w:cs="Arial"/>
                <w:color w:val="000000"/>
                <w:sz w:val="20"/>
                <w:szCs w:val="20"/>
              </w:rPr>
              <w:t>1.5%</w:t>
            </w:r>
          </w:p>
        </w:tc>
        <w:tc>
          <w:tcPr>
            <w:tcW w:w="318" w:type="pct"/>
            <w:shd w:val="clear" w:color="auto" w:fill="auto"/>
            <w:noWrap/>
            <w:tcMar>
              <w:left w:w="0" w:type="dxa"/>
            </w:tcMar>
            <w:vAlign w:val="bottom"/>
            <w:hideMark/>
          </w:tcPr>
          <w:p w14:paraId="1D29A692" w14:textId="77777777" w:rsidR="00CE1BDB" w:rsidRPr="00263141" w:rsidRDefault="00CE1BDB" w:rsidP="00EF49A7">
            <w:pPr>
              <w:jc w:val="right"/>
              <w:rPr>
                <w:rFonts w:cs="Arial"/>
                <w:color w:val="000000"/>
                <w:sz w:val="20"/>
                <w:szCs w:val="20"/>
              </w:rPr>
            </w:pPr>
            <w:r w:rsidRPr="00263141">
              <w:rPr>
                <w:rFonts w:cs="Arial"/>
                <w:color w:val="000000"/>
                <w:sz w:val="20"/>
                <w:szCs w:val="20"/>
              </w:rPr>
              <w:t>100.0%</w:t>
            </w:r>
          </w:p>
        </w:tc>
        <w:tc>
          <w:tcPr>
            <w:tcW w:w="324" w:type="pct"/>
            <w:shd w:val="clear" w:color="auto" w:fill="auto"/>
            <w:noWrap/>
            <w:tcMar>
              <w:left w:w="0" w:type="dxa"/>
            </w:tcMar>
            <w:vAlign w:val="bottom"/>
            <w:hideMark/>
          </w:tcPr>
          <w:p w14:paraId="61E7ED27" w14:textId="77777777" w:rsidR="00CE1BDB" w:rsidRPr="00263141" w:rsidRDefault="00CE1BDB" w:rsidP="00EF49A7">
            <w:pPr>
              <w:jc w:val="right"/>
              <w:rPr>
                <w:rFonts w:cs="Arial"/>
                <w:color w:val="000000"/>
                <w:sz w:val="20"/>
                <w:szCs w:val="20"/>
              </w:rPr>
            </w:pPr>
            <w:r w:rsidRPr="00263141">
              <w:rPr>
                <w:rFonts w:cs="Arial"/>
                <w:color w:val="000000"/>
                <w:sz w:val="20"/>
                <w:szCs w:val="20"/>
              </w:rPr>
              <w:t>£25,000</w:t>
            </w:r>
          </w:p>
        </w:tc>
        <w:tc>
          <w:tcPr>
            <w:tcW w:w="324" w:type="pct"/>
            <w:shd w:val="clear" w:color="auto" w:fill="auto"/>
            <w:noWrap/>
            <w:tcMar>
              <w:left w:w="0" w:type="dxa"/>
            </w:tcMar>
            <w:vAlign w:val="bottom"/>
            <w:hideMark/>
          </w:tcPr>
          <w:p w14:paraId="1981E143" w14:textId="77777777" w:rsidR="00CE1BDB" w:rsidRPr="00263141" w:rsidRDefault="00CE1BDB" w:rsidP="00EF49A7">
            <w:pPr>
              <w:jc w:val="right"/>
              <w:rPr>
                <w:rFonts w:cs="Arial"/>
                <w:color w:val="000000"/>
                <w:sz w:val="20"/>
                <w:szCs w:val="20"/>
              </w:rPr>
            </w:pPr>
            <w:r w:rsidRPr="00263141">
              <w:rPr>
                <w:rFonts w:cs="Arial"/>
                <w:color w:val="000000"/>
                <w:sz w:val="20"/>
                <w:szCs w:val="20"/>
              </w:rPr>
              <w:t>£35,000</w:t>
            </w:r>
          </w:p>
        </w:tc>
        <w:tc>
          <w:tcPr>
            <w:tcW w:w="331" w:type="pct"/>
            <w:shd w:val="clear" w:color="auto" w:fill="auto"/>
            <w:noWrap/>
            <w:tcMar>
              <w:left w:w="0" w:type="dxa"/>
            </w:tcMar>
            <w:vAlign w:val="bottom"/>
            <w:hideMark/>
          </w:tcPr>
          <w:p w14:paraId="26AB96FE" w14:textId="77777777" w:rsidR="00CE1BDB" w:rsidRPr="00263141" w:rsidRDefault="00CE1BDB" w:rsidP="00EF49A7">
            <w:pPr>
              <w:jc w:val="right"/>
              <w:rPr>
                <w:rFonts w:cs="Arial"/>
                <w:color w:val="000000"/>
                <w:sz w:val="20"/>
                <w:szCs w:val="20"/>
              </w:rPr>
            </w:pPr>
            <w:r w:rsidRPr="00263141">
              <w:rPr>
                <w:rFonts w:cs="Arial"/>
                <w:color w:val="000000"/>
                <w:sz w:val="20"/>
                <w:szCs w:val="20"/>
              </w:rPr>
              <w:t>£33,307</w:t>
            </w:r>
          </w:p>
        </w:tc>
      </w:tr>
    </w:tbl>
    <w:p w14:paraId="7A7ECEDC" w14:textId="77777777" w:rsidR="00CE1BDB" w:rsidRPr="00FA4DC7" w:rsidRDefault="00CE1BDB" w:rsidP="00CE1BDB">
      <w:pPr>
        <w:rPr>
          <w:rFonts w:cs="Arial"/>
          <w:sz w:val="20"/>
          <w:szCs w:val="20"/>
        </w:rPr>
      </w:pPr>
      <w:r w:rsidRPr="00FA4DC7">
        <w:rPr>
          <w:rFonts w:cs="Arial"/>
          <w:sz w:val="20"/>
          <w:szCs w:val="20"/>
        </w:rPr>
        <w:t xml:space="preserve">Source: CAMEO UK 2021. Note: data is show for broad income bands and sometime lower quartile and median earnings fall within the same band. </w:t>
      </w:r>
    </w:p>
    <w:p w14:paraId="6DD2B5EB" w14:textId="77777777" w:rsidR="00CE1BDB" w:rsidRPr="00FA4DC7" w:rsidRDefault="00CE1BDB" w:rsidP="00CE1BDB">
      <w:pPr>
        <w:jc w:val="both"/>
        <w:rPr>
          <w:rFonts w:cs="Arial"/>
          <w:b/>
          <w:bCs/>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930"/>
        <w:gridCol w:w="1014"/>
        <w:gridCol w:w="1159"/>
        <w:gridCol w:w="860"/>
        <w:gridCol w:w="860"/>
        <w:gridCol w:w="860"/>
        <w:gridCol w:w="1120"/>
        <w:gridCol w:w="992"/>
        <w:gridCol w:w="1148"/>
        <w:gridCol w:w="1084"/>
        <w:gridCol w:w="1109"/>
      </w:tblGrid>
      <w:tr w:rsidR="00625CD5" w:rsidRPr="00FA4DC7" w14:paraId="28BEE600" w14:textId="77777777" w:rsidTr="00625CD5">
        <w:trPr>
          <w:trHeight w:val="315"/>
        </w:trPr>
        <w:tc>
          <w:tcPr>
            <w:tcW w:w="5000" w:type="pct"/>
            <w:gridSpan w:val="12"/>
            <w:shd w:val="clear" w:color="auto" w:fill="006666"/>
            <w:noWrap/>
            <w:vAlign w:val="center"/>
          </w:tcPr>
          <w:p w14:paraId="1DD252CB" w14:textId="6638CAF2" w:rsidR="00625CD5" w:rsidRPr="00FA4DC7" w:rsidRDefault="00625CD5" w:rsidP="00625CD5">
            <w:pPr>
              <w:pStyle w:val="Tableheading1"/>
              <w:rPr>
                <w:color w:val="FFFFFF"/>
              </w:rPr>
            </w:pPr>
            <w:bookmarkStart w:id="195" w:name="_Toc83036074"/>
            <w:r w:rsidRPr="00FA4DC7">
              <w:lastRenderedPageBreak/>
              <w:t>Table 2.20b</w:t>
            </w:r>
            <w:r>
              <w:tab/>
            </w:r>
            <w:r w:rsidRPr="00FA4DC7">
              <w:t>Gross household income by Key Development Locations and Neighbourhood Planning Areas</w:t>
            </w:r>
            <w:bookmarkEnd w:id="195"/>
          </w:p>
        </w:tc>
      </w:tr>
      <w:tr w:rsidR="00625CD5" w:rsidRPr="00FA4DC7" w14:paraId="34146AEC" w14:textId="77777777" w:rsidTr="00625CD5">
        <w:trPr>
          <w:trHeight w:val="315"/>
        </w:trPr>
        <w:tc>
          <w:tcPr>
            <w:tcW w:w="1013" w:type="pct"/>
            <w:vMerge w:val="restart"/>
            <w:shd w:val="clear" w:color="auto" w:fill="006666"/>
            <w:noWrap/>
            <w:vAlign w:val="bottom"/>
            <w:hideMark/>
          </w:tcPr>
          <w:p w14:paraId="798E6963"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Key Development Locations</w:t>
            </w:r>
          </w:p>
        </w:tc>
        <w:tc>
          <w:tcPr>
            <w:tcW w:w="2436" w:type="pct"/>
            <w:gridSpan w:val="7"/>
            <w:shd w:val="clear" w:color="auto" w:fill="006666"/>
            <w:noWrap/>
            <w:vAlign w:val="bottom"/>
            <w:hideMark/>
          </w:tcPr>
          <w:p w14:paraId="74C008A9"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Annual gross household income</w:t>
            </w:r>
          </w:p>
        </w:tc>
        <w:tc>
          <w:tcPr>
            <w:tcW w:w="355" w:type="pct"/>
            <w:vMerge w:val="restart"/>
            <w:shd w:val="clear" w:color="auto" w:fill="006666"/>
            <w:vAlign w:val="bottom"/>
          </w:tcPr>
          <w:p w14:paraId="676DF09A" w14:textId="7C79A008" w:rsidR="00625CD5" w:rsidRPr="00FA4DC7" w:rsidRDefault="00625CD5" w:rsidP="00625CD5">
            <w:pPr>
              <w:jc w:val="center"/>
              <w:rPr>
                <w:rFonts w:cs="Arial"/>
                <w:b/>
                <w:bCs/>
                <w:color w:val="FFFFFF"/>
                <w:sz w:val="22"/>
                <w:szCs w:val="22"/>
              </w:rPr>
            </w:pPr>
            <w:r w:rsidRPr="00FA4DC7">
              <w:rPr>
                <w:rFonts w:cs="Arial"/>
                <w:b/>
                <w:bCs/>
                <w:color w:val="FFFFFF"/>
                <w:sz w:val="22"/>
                <w:szCs w:val="22"/>
              </w:rPr>
              <w:t>Total</w:t>
            </w:r>
          </w:p>
        </w:tc>
        <w:tc>
          <w:tcPr>
            <w:tcW w:w="411" w:type="pct"/>
            <w:vMerge w:val="restart"/>
            <w:shd w:val="clear" w:color="auto" w:fill="006666"/>
            <w:vAlign w:val="bottom"/>
            <w:hideMark/>
          </w:tcPr>
          <w:p w14:paraId="7FB424AD"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Lower Quartile</w:t>
            </w:r>
          </w:p>
        </w:tc>
        <w:tc>
          <w:tcPr>
            <w:tcW w:w="388" w:type="pct"/>
            <w:vMerge w:val="restart"/>
            <w:shd w:val="clear" w:color="auto" w:fill="006666"/>
            <w:noWrap/>
            <w:vAlign w:val="bottom"/>
            <w:hideMark/>
          </w:tcPr>
          <w:p w14:paraId="3CEFEDCB"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Median</w:t>
            </w:r>
          </w:p>
        </w:tc>
        <w:tc>
          <w:tcPr>
            <w:tcW w:w="397" w:type="pct"/>
            <w:vMerge w:val="restart"/>
            <w:shd w:val="clear" w:color="auto" w:fill="006666"/>
            <w:noWrap/>
            <w:vAlign w:val="bottom"/>
            <w:hideMark/>
          </w:tcPr>
          <w:p w14:paraId="5B8262C8"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Average</w:t>
            </w:r>
          </w:p>
        </w:tc>
      </w:tr>
      <w:tr w:rsidR="00625CD5" w:rsidRPr="00FA4DC7" w14:paraId="216A083C" w14:textId="77777777" w:rsidTr="00625CD5">
        <w:trPr>
          <w:trHeight w:val="340"/>
        </w:trPr>
        <w:tc>
          <w:tcPr>
            <w:tcW w:w="1013" w:type="pct"/>
            <w:vMerge/>
            <w:shd w:val="clear" w:color="auto" w:fill="006666"/>
            <w:vAlign w:val="center"/>
            <w:hideMark/>
          </w:tcPr>
          <w:p w14:paraId="0E56B887" w14:textId="77777777" w:rsidR="00625CD5" w:rsidRPr="00FA4DC7" w:rsidRDefault="00625CD5" w:rsidP="00EF49A7">
            <w:pPr>
              <w:rPr>
                <w:rFonts w:cs="Arial"/>
                <w:b/>
                <w:bCs/>
                <w:color w:val="FFFFFF"/>
                <w:sz w:val="22"/>
                <w:szCs w:val="22"/>
              </w:rPr>
            </w:pPr>
          </w:p>
        </w:tc>
        <w:tc>
          <w:tcPr>
            <w:tcW w:w="333" w:type="pct"/>
            <w:shd w:val="clear" w:color="auto" w:fill="006666"/>
            <w:noWrap/>
            <w:vAlign w:val="bottom"/>
            <w:hideMark/>
          </w:tcPr>
          <w:p w14:paraId="2FF1CFE3"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&lt;£10k</w:t>
            </w:r>
          </w:p>
        </w:tc>
        <w:tc>
          <w:tcPr>
            <w:tcW w:w="363" w:type="pct"/>
            <w:shd w:val="clear" w:color="auto" w:fill="006666"/>
            <w:noWrap/>
            <w:vAlign w:val="bottom"/>
            <w:hideMark/>
          </w:tcPr>
          <w:p w14:paraId="6AC0FDD2"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£10k to &lt;£20k</w:t>
            </w:r>
          </w:p>
        </w:tc>
        <w:tc>
          <w:tcPr>
            <w:tcW w:w="415" w:type="pct"/>
            <w:shd w:val="clear" w:color="auto" w:fill="006666"/>
            <w:noWrap/>
            <w:vAlign w:val="bottom"/>
            <w:hideMark/>
          </w:tcPr>
          <w:p w14:paraId="08D650A3"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£20k -&lt;£30k</w:t>
            </w:r>
          </w:p>
        </w:tc>
        <w:tc>
          <w:tcPr>
            <w:tcW w:w="308" w:type="pct"/>
            <w:shd w:val="clear" w:color="auto" w:fill="006666"/>
            <w:noWrap/>
            <w:vAlign w:val="bottom"/>
            <w:hideMark/>
          </w:tcPr>
          <w:p w14:paraId="20E02D8C"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£30k-&lt;£40k</w:t>
            </w:r>
          </w:p>
        </w:tc>
        <w:tc>
          <w:tcPr>
            <w:tcW w:w="308" w:type="pct"/>
            <w:shd w:val="clear" w:color="auto" w:fill="006666"/>
            <w:noWrap/>
            <w:vAlign w:val="bottom"/>
            <w:hideMark/>
          </w:tcPr>
          <w:p w14:paraId="53400D67"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£40k-&lt;£50k</w:t>
            </w:r>
          </w:p>
        </w:tc>
        <w:tc>
          <w:tcPr>
            <w:tcW w:w="308" w:type="pct"/>
            <w:shd w:val="clear" w:color="auto" w:fill="006666"/>
            <w:noWrap/>
            <w:vAlign w:val="bottom"/>
            <w:hideMark/>
          </w:tcPr>
          <w:p w14:paraId="5B4F1570"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£50k-&lt;£75k</w:t>
            </w:r>
          </w:p>
        </w:tc>
        <w:tc>
          <w:tcPr>
            <w:tcW w:w="401" w:type="pct"/>
            <w:shd w:val="clear" w:color="auto" w:fill="006666"/>
            <w:noWrap/>
            <w:vAlign w:val="bottom"/>
            <w:hideMark/>
          </w:tcPr>
          <w:p w14:paraId="03F64E8C" w14:textId="77777777" w:rsidR="00625CD5" w:rsidRPr="00FA4DC7" w:rsidRDefault="00625CD5" w:rsidP="00625CD5">
            <w:pPr>
              <w:jc w:val="center"/>
              <w:rPr>
                <w:rFonts w:cs="Arial"/>
                <w:b/>
                <w:bCs/>
                <w:color w:val="FFFFFF"/>
                <w:sz w:val="22"/>
                <w:szCs w:val="22"/>
              </w:rPr>
            </w:pPr>
            <w:r w:rsidRPr="00FA4DC7">
              <w:rPr>
                <w:rFonts w:cs="Arial"/>
                <w:b/>
                <w:bCs/>
                <w:color w:val="FFFFFF"/>
                <w:sz w:val="22"/>
                <w:szCs w:val="22"/>
              </w:rPr>
              <w:t>£75k or more</w:t>
            </w:r>
          </w:p>
        </w:tc>
        <w:tc>
          <w:tcPr>
            <w:tcW w:w="355" w:type="pct"/>
            <w:vMerge/>
            <w:shd w:val="clear" w:color="auto" w:fill="006666"/>
            <w:vAlign w:val="center"/>
            <w:hideMark/>
          </w:tcPr>
          <w:p w14:paraId="1B2FF0B5" w14:textId="4B3CF46C" w:rsidR="00625CD5" w:rsidRPr="00FA4DC7" w:rsidRDefault="00625CD5" w:rsidP="00EF49A7">
            <w:pPr>
              <w:jc w:val="center"/>
              <w:rPr>
                <w:rFonts w:cs="Arial"/>
                <w:b/>
                <w:bCs/>
                <w:color w:val="FFFFFF"/>
                <w:sz w:val="22"/>
                <w:szCs w:val="22"/>
              </w:rPr>
            </w:pPr>
          </w:p>
        </w:tc>
        <w:tc>
          <w:tcPr>
            <w:tcW w:w="411" w:type="pct"/>
            <w:vMerge/>
            <w:shd w:val="clear" w:color="auto" w:fill="006666"/>
            <w:vAlign w:val="center"/>
            <w:hideMark/>
          </w:tcPr>
          <w:p w14:paraId="19320ACD" w14:textId="77777777" w:rsidR="00625CD5" w:rsidRPr="00FA4DC7" w:rsidRDefault="00625CD5" w:rsidP="00EF49A7">
            <w:pPr>
              <w:rPr>
                <w:rFonts w:cs="Arial"/>
                <w:color w:val="FFFFFF"/>
                <w:sz w:val="22"/>
                <w:szCs w:val="22"/>
              </w:rPr>
            </w:pPr>
          </w:p>
        </w:tc>
        <w:tc>
          <w:tcPr>
            <w:tcW w:w="388" w:type="pct"/>
            <w:vMerge/>
            <w:shd w:val="clear" w:color="auto" w:fill="006666"/>
            <w:vAlign w:val="center"/>
            <w:hideMark/>
          </w:tcPr>
          <w:p w14:paraId="2FD5130B" w14:textId="77777777" w:rsidR="00625CD5" w:rsidRPr="00FA4DC7" w:rsidRDefault="00625CD5" w:rsidP="00EF49A7">
            <w:pPr>
              <w:rPr>
                <w:rFonts w:cs="Arial"/>
                <w:color w:val="FFFFFF"/>
                <w:sz w:val="22"/>
                <w:szCs w:val="22"/>
              </w:rPr>
            </w:pPr>
          </w:p>
        </w:tc>
        <w:tc>
          <w:tcPr>
            <w:tcW w:w="397" w:type="pct"/>
            <w:vMerge/>
            <w:shd w:val="clear" w:color="auto" w:fill="006666"/>
            <w:vAlign w:val="center"/>
            <w:hideMark/>
          </w:tcPr>
          <w:p w14:paraId="1C486C28" w14:textId="77777777" w:rsidR="00625CD5" w:rsidRPr="00FA4DC7" w:rsidRDefault="00625CD5" w:rsidP="00EF49A7">
            <w:pPr>
              <w:rPr>
                <w:rFonts w:cs="Arial"/>
                <w:color w:val="FFFFFF"/>
                <w:sz w:val="22"/>
                <w:szCs w:val="22"/>
              </w:rPr>
            </w:pPr>
          </w:p>
        </w:tc>
      </w:tr>
      <w:tr w:rsidR="00CE1BDB" w:rsidRPr="00FA4DC7" w14:paraId="4F69FEE4" w14:textId="77777777" w:rsidTr="00625CD5">
        <w:trPr>
          <w:trHeight w:val="340"/>
        </w:trPr>
        <w:tc>
          <w:tcPr>
            <w:tcW w:w="1013" w:type="pct"/>
            <w:shd w:val="clear" w:color="auto" w:fill="auto"/>
            <w:noWrap/>
            <w:vAlign w:val="center"/>
            <w:hideMark/>
          </w:tcPr>
          <w:p w14:paraId="7BCAA722" w14:textId="77777777" w:rsidR="00CE1BDB" w:rsidRPr="00FA4DC7" w:rsidRDefault="00CE1BDB" w:rsidP="00EF49A7">
            <w:pPr>
              <w:jc w:val="both"/>
              <w:rPr>
                <w:rFonts w:cs="Arial"/>
                <w:color w:val="000000"/>
                <w:sz w:val="22"/>
                <w:szCs w:val="22"/>
              </w:rPr>
            </w:pPr>
            <w:r w:rsidRPr="00FA4DC7">
              <w:rPr>
                <w:rFonts w:cs="Arial"/>
                <w:color w:val="000000"/>
                <w:sz w:val="22"/>
                <w:szCs w:val="22"/>
              </w:rPr>
              <w:t>Chatham</w:t>
            </w:r>
          </w:p>
        </w:tc>
        <w:tc>
          <w:tcPr>
            <w:tcW w:w="333" w:type="pct"/>
            <w:shd w:val="clear" w:color="auto" w:fill="auto"/>
            <w:noWrap/>
            <w:vAlign w:val="center"/>
            <w:hideMark/>
          </w:tcPr>
          <w:p w14:paraId="287AAC2E" w14:textId="77777777" w:rsidR="00CE1BDB" w:rsidRPr="00FA4DC7" w:rsidRDefault="00CE1BDB" w:rsidP="00625CD5">
            <w:pPr>
              <w:jc w:val="right"/>
              <w:rPr>
                <w:rFonts w:cs="Arial"/>
                <w:color w:val="000000"/>
                <w:sz w:val="22"/>
                <w:szCs w:val="22"/>
              </w:rPr>
            </w:pPr>
            <w:r w:rsidRPr="00FA4DC7">
              <w:rPr>
                <w:rFonts w:cs="Arial"/>
                <w:color w:val="000000"/>
                <w:sz w:val="22"/>
                <w:szCs w:val="22"/>
              </w:rPr>
              <w:t>1.4%</w:t>
            </w:r>
          </w:p>
        </w:tc>
        <w:tc>
          <w:tcPr>
            <w:tcW w:w="363" w:type="pct"/>
            <w:shd w:val="clear" w:color="auto" w:fill="auto"/>
            <w:noWrap/>
            <w:vAlign w:val="center"/>
            <w:hideMark/>
          </w:tcPr>
          <w:p w14:paraId="052C18B0" w14:textId="77777777" w:rsidR="00CE1BDB" w:rsidRPr="00FA4DC7" w:rsidRDefault="00CE1BDB" w:rsidP="00625CD5">
            <w:pPr>
              <w:jc w:val="right"/>
              <w:rPr>
                <w:rFonts w:cs="Arial"/>
                <w:color w:val="000000"/>
                <w:sz w:val="22"/>
                <w:szCs w:val="22"/>
              </w:rPr>
            </w:pPr>
            <w:r w:rsidRPr="00FA4DC7">
              <w:rPr>
                <w:rFonts w:cs="Arial"/>
                <w:color w:val="000000"/>
                <w:sz w:val="22"/>
                <w:szCs w:val="22"/>
              </w:rPr>
              <w:t>29.4%</w:t>
            </w:r>
          </w:p>
        </w:tc>
        <w:tc>
          <w:tcPr>
            <w:tcW w:w="415" w:type="pct"/>
            <w:shd w:val="clear" w:color="auto" w:fill="auto"/>
            <w:noWrap/>
            <w:vAlign w:val="center"/>
            <w:hideMark/>
          </w:tcPr>
          <w:p w14:paraId="07BBBF5B" w14:textId="77777777" w:rsidR="00CE1BDB" w:rsidRPr="00FA4DC7" w:rsidRDefault="00CE1BDB" w:rsidP="00625CD5">
            <w:pPr>
              <w:jc w:val="right"/>
              <w:rPr>
                <w:rFonts w:cs="Arial"/>
                <w:color w:val="000000"/>
                <w:sz w:val="22"/>
                <w:szCs w:val="22"/>
              </w:rPr>
            </w:pPr>
            <w:r w:rsidRPr="00FA4DC7">
              <w:rPr>
                <w:rFonts w:cs="Arial"/>
                <w:color w:val="000000"/>
                <w:sz w:val="22"/>
                <w:szCs w:val="22"/>
              </w:rPr>
              <w:t>44.7%</w:t>
            </w:r>
          </w:p>
        </w:tc>
        <w:tc>
          <w:tcPr>
            <w:tcW w:w="308" w:type="pct"/>
            <w:shd w:val="clear" w:color="auto" w:fill="auto"/>
            <w:noWrap/>
            <w:vAlign w:val="center"/>
            <w:hideMark/>
          </w:tcPr>
          <w:p w14:paraId="48A8A800" w14:textId="77777777" w:rsidR="00CE1BDB" w:rsidRPr="00FA4DC7" w:rsidRDefault="00CE1BDB" w:rsidP="00625CD5">
            <w:pPr>
              <w:jc w:val="right"/>
              <w:rPr>
                <w:rFonts w:cs="Arial"/>
                <w:color w:val="000000"/>
                <w:sz w:val="22"/>
                <w:szCs w:val="22"/>
              </w:rPr>
            </w:pPr>
            <w:r w:rsidRPr="00FA4DC7">
              <w:rPr>
                <w:rFonts w:cs="Arial"/>
                <w:color w:val="000000"/>
                <w:sz w:val="22"/>
                <w:szCs w:val="22"/>
              </w:rPr>
              <w:t>20.9%</w:t>
            </w:r>
          </w:p>
        </w:tc>
        <w:tc>
          <w:tcPr>
            <w:tcW w:w="308" w:type="pct"/>
            <w:shd w:val="clear" w:color="auto" w:fill="auto"/>
            <w:noWrap/>
            <w:vAlign w:val="center"/>
            <w:hideMark/>
          </w:tcPr>
          <w:p w14:paraId="0941ECB5" w14:textId="77777777" w:rsidR="00CE1BDB" w:rsidRPr="00FA4DC7" w:rsidRDefault="00CE1BDB" w:rsidP="00625CD5">
            <w:pPr>
              <w:jc w:val="right"/>
              <w:rPr>
                <w:rFonts w:cs="Arial"/>
                <w:color w:val="000000"/>
                <w:sz w:val="22"/>
                <w:szCs w:val="22"/>
              </w:rPr>
            </w:pPr>
            <w:r w:rsidRPr="00FA4DC7">
              <w:rPr>
                <w:rFonts w:cs="Arial"/>
                <w:color w:val="000000"/>
                <w:sz w:val="22"/>
                <w:szCs w:val="22"/>
              </w:rPr>
              <w:t>3.4%</w:t>
            </w:r>
          </w:p>
        </w:tc>
        <w:tc>
          <w:tcPr>
            <w:tcW w:w="308" w:type="pct"/>
            <w:shd w:val="clear" w:color="auto" w:fill="auto"/>
            <w:noWrap/>
            <w:vAlign w:val="center"/>
            <w:hideMark/>
          </w:tcPr>
          <w:p w14:paraId="41229406" w14:textId="77777777" w:rsidR="00CE1BDB" w:rsidRPr="00FA4DC7" w:rsidRDefault="00CE1BDB" w:rsidP="00625CD5">
            <w:pPr>
              <w:jc w:val="right"/>
              <w:rPr>
                <w:rFonts w:cs="Arial"/>
                <w:color w:val="000000"/>
                <w:sz w:val="22"/>
                <w:szCs w:val="22"/>
              </w:rPr>
            </w:pPr>
            <w:r w:rsidRPr="00FA4DC7">
              <w:rPr>
                <w:rFonts w:cs="Arial"/>
                <w:color w:val="000000"/>
                <w:sz w:val="22"/>
                <w:szCs w:val="22"/>
              </w:rPr>
              <w:t>0.3%</w:t>
            </w:r>
          </w:p>
        </w:tc>
        <w:tc>
          <w:tcPr>
            <w:tcW w:w="401" w:type="pct"/>
            <w:shd w:val="clear" w:color="auto" w:fill="auto"/>
            <w:noWrap/>
            <w:vAlign w:val="center"/>
            <w:hideMark/>
          </w:tcPr>
          <w:p w14:paraId="669593D4" w14:textId="77777777" w:rsidR="00CE1BDB" w:rsidRPr="00FA4DC7" w:rsidRDefault="00CE1BDB" w:rsidP="00625CD5">
            <w:pPr>
              <w:jc w:val="right"/>
              <w:rPr>
                <w:rFonts w:cs="Arial"/>
                <w:color w:val="000000"/>
                <w:sz w:val="22"/>
                <w:szCs w:val="22"/>
              </w:rPr>
            </w:pPr>
            <w:r w:rsidRPr="00FA4DC7">
              <w:rPr>
                <w:rFonts w:cs="Arial"/>
                <w:color w:val="000000"/>
                <w:sz w:val="22"/>
                <w:szCs w:val="22"/>
              </w:rPr>
              <w:t>0.0%</w:t>
            </w:r>
          </w:p>
        </w:tc>
        <w:tc>
          <w:tcPr>
            <w:tcW w:w="355" w:type="pct"/>
            <w:shd w:val="clear" w:color="auto" w:fill="auto"/>
            <w:noWrap/>
            <w:vAlign w:val="center"/>
            <w:hideMark/>
          </w:tcPr>
          <w:p w14:paraId="13550A34"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40752CBB" w14:textId="77777777" w:rsidR="00CE1BDB" w:rsidRPr="00FA4DC7" w:rsidRDefault="00CE1BDB" w:rsidP="00625CD5">
            <w:pPr>
              <w:jc w:val="right"/>
              <w:rPr>
                <w:rFonts w:cs="Arial"/>
                <w:color w:val="000000"/>
                <w:sz w:val="22"/>
                <w:szCs w:val="22"/>
              </w:rPr>
            </w:pPr>
            <w:r w:rsidRPr="00FA4DC7">
              <w:rPr>
                <w:rFonts w:cs="Arial"/>
                <w:color w:val="000000"/>
                <w:sz w:val="22"/>
                <w:szCs w:val="22"/>
              </w:rPr>
              <w:t>£15,000</w:t>
            </w:r>
          </w:p>
        </w:tc>
        <w:tc>
          <w:tcPr>
            <w:tcW w:w="388" w:type="pct"/>
            <w:shd w:val="clear" w:color="auto" w:fill="auto"/>
            <w:noWrap/>
            <w:vAlign w:val="center"/>
            <w:hideMark/>
          </w:tcPr>
          <w:p w14:paraId="6A41D27B"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97" w:type="pct"/>
            <w:shd w:val="clear" w:color="auto" w:fill="auto"/>
            <w:noWrap/>
            <w:vAlign w:val="center"/>
            <w:hideMark/>
          </w:tcPr>
          <w:p w14:paraId="7A349CA2" w14:textId="77777777" w:rsidR="00CE1BDB" w:rsidRPr="00FA4DC7" w:rsidRDefault="00CE1BDB" w:rsidP="00625CD5">
            <w:pPr>
              <w:jc w:val="right"/>
              <w:rPr>
                <w:rFonts w:cs="Arial"/>
                <w:color w:val="000000"/>
                <w:sz w:val="22"/>
                <w:szCs w:val="22"/>
              </w:rPr>
            </w:pPr>
            <w:r w:rsidRPr="00FA4DC7">
              <w:rPr>
                <w:rFonts w:cs="Arial"/>
                <w:color w:val="000000"/>
                <w:sz w:val="22"/>
                <w:szCs w:val="22"/>
              </w:rPr>
              <w:t>£25,125</w:t>
            </w:r>
          </w:p>
        </w:tc>
      </w:tr>
      <w:tr w:rsidR="00CE1BDB" w:rsidRPr="00FA4DC7" w14:paraId="1CBFEF7F" w14:textId="77777777" w:rsidTr="00625CD5">
        <w:trPr>
          <w:trHeight w:val="980"/>
        </w:trPr>
        <w:tc>
          <w:tcPr>
            <w:tcW w:w="1013" w:type="pct"/>
            <w:shd w:val="clear" w:color="auto" w:fill="auto"/>
            <w:noWrap/>
            <w:vAlign w:val="center"/>
            <w:hideMark/>
          </w:tcPr>
          <w:p w14:paraId="30645D67" w14:textId="77777777" w:rsidR="00CE1BDB" w:rsidRPr="00FA4DC7" w:rsidRDefault="00CE1BDB" w:rsidP="00625CD5">
            <w:pPr>
              <w:rPr>
                <w:rFonts w:cs="Arial"/>
                <w:color w:val="000000"/>
                <w:sz w:val="22"/>
                <w:szCs w:val="22"/>
              </w:rPr>
            </w:pPr>
            <w:r w:rsidRPr="00FA4DC7">
              <w:rPr>
                <w:rFonts w:cs="Arial"/>
                <w:color w:val="000000"/>
                <w:sz w:val="22"/>
                <w:szCs w:val="22"/>
              </w:rPr>
              <w:t>Chatham Maritime and Gillingham (</w:t>
            </w:r>
            <w:proofErr w:type="spellStart"/>
            <w:r w:rsidRPr="00FA4DC7">
              <w:rPr>
                <w:rFonts w:cs="Arial"/>
                <w:color w:val="000000"/>
                <w:sz w:val="22"/>
                <w:szCs w:val="22"/>
              </w:rPr>
              <w:t>inc</w:t>
            </w:r>
            <w:proofErr w:type="spellEnd"/>
            <w:r w:rsidRPr="00FA4DC7">
              <w:rPr>
                <w:rFonts w:cs="Arial"/>
                <w:color w:val="000000"/>
                <w:sz w:val="22"/>
                <w:szCs w:val="22"/>
              </w:rPr>
              <w:t xml:space="preserve"> St Mary’s Island &amp; Brompton) </w:t>
            </w:r>
          </w:p>
        </w:tc>
        <w:tc>
          <w:tcPr>
            <w:tcW w:w="333" w:type="pct"/>
            <w:shd w:val="clear" w:color="auto" w:fill="auto"/>
            <w:noWrap/>
            <w:vAlign w:val="center"/>
            <w:hideMark/>
          </w:tcPr>
          <w:p w14:paraId="155FF377" w14:textId="77777777" w:rsidR="00CE1BDB" w:rsidRPr="00FA4DC7" w:rsidRDefault="00CE1BDB" w:rsidP="00625CD5">
            <w:pPr>
              <w:jc w:val="right"/>
              <w:rPr>
                <w:rFonts w:cs="Arial"/>
                <w:color w:val="000000"/>
                <w:sz w:val="22"/>
                <w:szCs w:val="22"/>
              </w:rPr>
            </w:pPr>
            <w:r w:rsidRPr="00FA4DC7">
              <w:rPr>
                <w:rFonts w:cs="Arial"/>
                <w:color w:val="000000"/>
                <w:sz w:val="22"/>
                <w:szCs w:val="22"/>
              </w:rPr>
              <w:t>1.0%</w:t>
            </w:r>
          </w:p>
        </w:tc>
        <w:tc>
          <w:tcPr>
            <w:tcW w:w="363" w:type="pct"/>
            <w:shd w:val="clear" w:color="auto" w:fill="auto"/>
            <w:noWrap/>
            <w:vAlign w:val="center"/>
            <w:hideMark/>
          </w:tcPr>
          <w:p w14:paraId="1D0BD4CE" w14:textId="77777777" w:rsidR="00CE1BDB" w:rsidRPr="00FA4DC7" w:rsidRDefault="00CE1BDB" w:rsidP="00625CD5">
            <w:pPr>
              <w:jc w:val="right"/>
              <w:rPr>
                <w:rFonts w:cs="Arial"/>
                <w:color w:val="000000"/>
                <w:sz w:val="22"/>
                <w:szCs w:val="22"/>
              </w:rPr>
            </w:pPr>
            <w:r w:rsidRPr="00FA4DC7">
              <w:rPr>
                <w:rFonts w:cs="Arial"/>
                <w:color w:val="000000"/>
                <w:sz w:val="22"/>
                <w:szCs w:val="22"/>
              </w:rPr>
              <w:t>13.2%</w:t>
            </w:r>
          </w:p>
        </w:tc>
        <w:tc>
          <w:tcPr>
            <w:tcW w:w="415" w:type="pct"/>
            <w:shd w:val="clear" w:color="auto" w:fill="auto"/>
            <w:noWrap/>
            <w:vAlign w:val="center"/>
            <w:hideMark/>
          </w:tcPr>
          <w:p w14:paraId="69EF9BA1" w14:textId="77777777" w:rsidR="00CE1BDB" w:rsidRPr="00FA4DC7" w:rsidRDefault="00CE1BDB" w:rsidP="00625CD5">
            <w:pPr>
              <w:jc w:val="right"/>
              <w:rPr>
                <w:rFonts w:cs="Arial"/>
                <w:color w:val="000000"/>
                <w:sz w:val="22"/>
                <w:szCs w:val="22"/>
              </w:rPr>
            </w:pPr>
            <w:r w:rsidRPr="00FA4DC7">
              <w:rPr>
                <w:rFonts w:cs="Arial"/>
                <w:color w:val="000000"/>
                <w:sz w:val="22"/>
                <w:szCs w:val="22"/>
              </w:rPr>
              <w:t>39.0%</w:t>
            </w:r>
          </w:p>
        </w:tc>
        <w:tc>
          <w:tcPr>
            <w:tcW w:w="308" w:type="pct"/>
            <w:shd w:val="clear" w:color="auto" w:fill="auto"/>
            <w:noWrap/>
            <w:vAlign w:val="center"/>
            <w:hideMark/>
          </w:tcPr>
          <w:p w14:paraId="2832638E" w14:textId="77777777" w:rsidR="00CE1BDB" w:rsidRPr="00FA4DC7" w:rsidRDefault="00CE1BDB" w:rsidP="00625CD5">
            <w:pPr>
              <w:jc w:val="right"/>
              <w:rPr>
                <w:rFonts w:cs="Arial"/>
                <w:color w:val="000000"/>
                <w:sz w:val="22"/>
                <w:szCs w:val="22"/>
              </w:rPr>
            </w:pPr>
            <w:r w:rsidRPr="00FA4DC7">
              <w:rPr>
                <w:rFonts w:cs="Arial"/>
                <w:color w:val="000000"/>
                <w:sz w:val="22"/>
                <w:szCs w:val="22"/>
              </w:rPr>
              <w:t>32.6%</w:t>
            </w:r>
          </w:p>
        </w:tc>
        <w:tc>
          <w:tcPr>
            <w:tcW w:w="308" w:type="pct"/>
            <w:shd w:val="clear" w:color="auto" w:fill="auto"/>
            <w:noWrap/>
            <w:vAlign w:val="center"/>
            <w:hideMark/>
          </w:tcPr>
          <w:p w14:paraId="3021FFED" w14:textId="77777777" w:rsidR="00CE1BDB" w:rsidRPr="00FA4DC7" w:rsidRDefault="00CE1BDB" w:rsidP="00625CD5">
            <w:pPr>
              <w:jc w:val="right"/>
              <w:rPr>
                <w:rFonts w:cs="Arial"/>
                <w:color w:val="000000"/>
                <w:sz w:val="22"/>
                <w:szCs w:val="22"/>
              </w:rPr>
            </w:pPr>
            <w:r w:rsidRPr="00FA4DC7">
              <w:rPr>
                <w:rFonts w:cs="Arial"/>
                <w:color w:val="000000"/>
                <w:sz w:val="22"/>
                <w:szCs w:val="22"/>
              </w:rPr>
              <w:t>7.1%</w:t>
            </w:r>
          </w:p>
        </w:tc>
        <w:tc>
          <w:tcPr>
            <w:tcW w:w="308" w:type="pct"/>
            <w:shd w:val="clear" w:color="auto" w:fill="auto"/>
            <w:noWrap/>
            <w:vAlign w:val="center"/>
            <w:hideMark/>
          </w:tcPr>
          <w:p w14:paraId="2363E990" w14:textId="77777777" w:rsidR="00CE1BDB" w:rsidRPr="00FA4DC7" w:rsidRDefault="00CE1BDB" w:rsidP="00625CD5">
            <w:pPr>
              <w:jc w:val="right"/>
              <w:rPr>
                <w:rFonts w:cs="Arial"/>
                <w:color w:val="000000"/>
                <w:sz w:val="22"/>
                <w:szCs w:val="22"/>
              </w:rPr>
            </w:pPr>
            <w:r w:rsidRPr="00FA4DC7">
              <w:rPr>
                <w:rFonts w:cs="Arial"/>
                <w:color w:val="000000"/>
                <w:sz w:val="22"/>
                <w:szCs w:val="22"/>
              </w:rPr>
              <w:t>3.2%</w:t>
            </w:r>
          </w:p>
        </w:tc>
        <w:tc>
          <w:tcPr>
            <w:tcW w:w="401" w:type="pct"/>
            <w:shd w:val="clear" w:color="auto" w:fill="auto"/>
            <w:noWrap/>
            <w:vAlign w:val="center"/>
            <w:hideMark/>
          </w:tcPr>
          <w:p w14:paraId="4B03F135" w14:textId="77777777" w:rsidR="00CE1BDB" w:rsidRPr="00FA4DC7" w:rsidRDefault="00CE1BDB" w:rsidP="00625CD5">
            <w:pPr>
              <w:jc w:val="right"/>
              <w:rPr>
                <w:rFonts w:cs="Arial"/>
                <w:color w:val="000000"/>
                <w:sz w:val="22"/>
                <w:szCs w:val="22"/>
              </w:rPr>
            </w:pPr>
            <w:r w:rsidRPr="00FA4DC7">
              <w:rPr>
                <w:rFonts w:cs="Arial"/>
                <w:color w:val="000000"/>
                <w:sz w:val="22"/>
                <w:szCs w:val="22"/>
              </w:rPr>
              <w:t>3.8%</w:t>
            </w:r>
          </w:p>
        </w:tc>
        <w:tc>
          <w:tcPr>
            <w:tcW w:w="355" w:type="pct"/>
            <w:shd w:val="clear" w:color="auto" w:fill="auto"/>
            <w:noWrap/>
            <w:vAlign w:val="center"/>
            <w:hideMark/>
          </w:tcPr>
          <w:p w14:paraId="71496B6C"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28AB0107"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43532782"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97" w:type="pct"/>
            <w:shd w:val="clear" w:color="auto" w:fill="auto"/>
            <w:noWrap/>
            <w:vAlign w:val="center"/>
            <w:hideMark/>
          </w:tcPr>
          <w:p w14:paraId="681F8861" w14:textId="77777777" w:rsidR="00CE1BDB" w:rsidRPr="00FA4DC7" w:rsidRDefault="00CE1BDB" w:rsidP="00625CD5">
            <w:pPr>
              <w:jc w:val="right"/>
              <w:rPr>
                <w:rFonts w:cs="Arial"/>
                <w:color w:val="000000"/>
                <w:sz w:val="22"/>
                <w:szCs w:val="22"/>
              </w:rPr>
            </w:pPr>
            <w:r w:rsidRPr="00FA4DC7">
              <w:rPr>
                <w:rFonts w:cs="Arial"/>
                <w:color w:val="000000"/>
                <w:sz w:val="22"/>
                <w:szCs w:val="22"/>
              </w:rPr>
              <w:t>£34,188</w:t>
            </w:r>
          </w:p>
        </w:tc>
      </w:tr>
      <w:tr w:rsidR="00CE1BDB" w:rsidRPr="00FA4DC7" w14:paraId="57114311" w14:textId="77777777" w:rsidTr="00625CD5">
        <w:trPr>
          <w:trHeight w:val="340"/>
        </w:trPr>
        <w:tc>
          <w:tcPr>
            <w:tcW w:w="1013" w:type="pct"/>
            <w:shd w:val="clear" w:color="auto" w:fill="auto"/>
            <w:noWrap/>
            <w:vAlign w:val="center"/>
            <w:hideMark/>
          </w:tcPr>
          <w:p w14:paraId="0A539117" w14:textId="77777777" w:rsidR="00CE1BDB" w:rsidRPr="00FA4DC7" w:rsidRDefault="00CE1BDB" w:rsidP="00EF49A7">
            <w:pPr>
              <w:jc w:val="both"/>
              <w:rPr>
                <w:rFonts w:cs="Arial"/>
                <w:color w:val="000000"/>
                <w:sz w:val="22"/>
                <w:szCs w:val="22"/>
              </w:rPr>
            </w:pPr>
            <w:r w:rsidRPr="00FA4DC7">
              <w:rPr>
                <w:rFonts w:cs="Arial"/>
                <w:color w:val="000000"/>
                <w:sz w:val="22"/>
                <w:szCs w:val="22"/>
              </w:rPr>
              <w:t>Rainham</w:t>
            </w:r>
          </w:p>
        </w:tc>
        <w:tc>
          <w:tcPr>
            <w:tcW w:w="333" w:type="pct"/>
            <w:shd w:val="clear" w:color="auto" w:fill="auto"/>
            <w:noWrap/>
            <w:vAlign w:val="center"/>
            <w:hideMark/>
          </w:tcPr>
          <w:p w14:paraId="42F1CA70" w14:textId="77777777" w:rsidR="00CE1BDB" w:rsidRPr="00FA4DC7" w:rsidRDefault="00CE1BDB" w:rsidP="00625CD5">
            <w:pPr>
              <w:jc w:val="right"/>
              <w:rPr>
                <w:rFonts w:cs="Arial"/>
                <w:color w:val="000000"/>
                <w:sz w:val="22"/>
                <w:szCs w:val="22"/>
              </w:rPr>
            </w:pPr>
            <w:r w:rsidRPr="00FA4DC7">
              <w:rPr>
                <w:rFonts w:cs="Arial"/>
                <w:color w:val="000000"/>
                <w:sz w:val="22"/>
                <w:szCs w:val="22"/>
              </w:rPr>
              <w:t>1.1%</w:t>
            </w:r>
          </w:p>
        </w:tc>
        <w:tc>
          <w:tcPr>
            <w:tcW w:w="363" w:type="pct"/>
            <w:shd w:val="clear" w:color="auto" w:fill="auto"/>
            <w:noWrap/>
            <w:vAlign w:val="center"/>
            <w:hideMark/>
          </w:tcPr>
          <w:p w14:paraId="50F01589" w14:textId="77777777" w:rsidR="00CE1BDB" w:rsidRPr="00FA4DC7" w:rsidRDefault="00CE1BDB" w:rsidP="00625CD5">
            <w:pPr>
              <w:jc w:val="right"/>
              <w:rPr>
                <w:rFonts w:cs="Arial"/>
                <w:color w:val="000000"/>
                <w:sz w:val="22"/>
                <w:szCs w:val="22"/>
              </w:rPr>
            </w:pPr>
            <w:r w:rsidRPr="00FA4DC7">
              <w:rPr>
                <w:rFonts w:cs="Arial"/>
                <w:color w:val="000000"/>
                <w:sz w:val="22"/>
                <w:szCs w:val="22"/>
              </w:rPr>
              <w:t>13.0%</w:t>
            </w:r>
          </w:p>
        </w:tc>
        <w:tc>
          <w:tcPr>
            <w:tcW w:w="415" w:type="pct"/>
            <w:shd w:val="clear" w:color="auto" w:fill="auto"/>
            <w:noWrap/>
            <w:vAlign w:val="center"/>
            <w:hideMark/>
          </w:tcPr>
          <w:p w14:paraId="2577035C" w14:textId="77777777" w:rsidR="00CE1BDB" w:rsidRPr="00FA4DC7" w:rsidRDefault="00CE1BDB" w:rsidP="00625CD5">
            <w:pPr>
              <w:jc w:val="right"/>
              <w:rPr>
                <w:rFonts w:cs="Arial"/>
                <w:color w:val="000000"/>
                <w:sz w:val="22"/>
                <w:szCs w:val="22"/>
              </w:rPr>
            </w:pPr>
            <w:r w:rsidRPr="00FA4DC7">
              <w:rPr>
                <w:rFonts w:cs="Arial"/>
                <w:color w:val="000000"/>
                <w:sz w:val="22"/>
                <w:szCs w:val="22"/>
              </w:rPr>
              <w:t>31.4%</w:t>
            </w:r>
          </w:p>
        </w:tc>
        <w:tc>
          <w:tcPr>
            <w:tcW w:w="308" w:type="pct"/>
            <w:shd w:val="clear" w:color="auto" w:fill="auto"/>
            <w:noWrap/>
            <w:vAlign w:val="center"/>
            <w:hideMark/>
          </w:tcPr>
          <w:p w14:paraId="61C8AB0C" w14:textId="77777777" w:rsidR="00CE1BDB" w:rsidRPr="00FA4DC7" w:rsidRDefault="00CE1BDB" w:rsidP="00625CD5">
            <w:pPr>
              <w:jc w:val="right"/>
              <w:rPr>
                <w:rFonts w:cs="Arial"/>
                <w:color w:val="000000"/>
                <w:sz w:val="22"/>
                <w:szCs w:val="22"/>
              </w:rPr>
            </w:pPr>
            <w:r w:rsidRPr="00FA4DC7">
              <w:rPr>
                <w:rFonts w:cs="Arial"/>
                <w:color w:val="000000"/>
                <w:sz w:val="22"/>
                <w:szCs w:val="22"/>
              </w:rPr>
              <w:t>31.0%</w:t>
            </w:r>
          </w:p>
        </w:tc>
        <w:tc>
          <w:tcPr>
            <w:tcW w:w="308" w:type="pct"/>
            <w:shd w:val="clear" w:color="auto" w:fill="auto"/>
            <w:noWrap/>
            <w:vAlign w:val="center"/>
            <w:hideMark/>
          </w:tcPr>
          <w:p w14:paraId="6A56E843" w14:textId="77777777" w:rsidR="00CE1BDB" w:rsidRPr="00FA4DC7" w:rsidRDefault="00CE1BDB" w:rsidP="00625CD5">
            <w:pPr>
              <w:jc w:val="right"/>
              <w:rPr>
                <w:rFonts w:cs="Arial"/>
                <w:color w:val="000000"/>
                <w:sz w:val="22"/>
                <w:szCs w:val="22"/>
              </w:rPr>
            </w:pPr>
            <w:r w:rsidRPr="00FA4DC7">
              <w:rPr>
                <w:rFonts w:cs="Arial"/>
                <w:color w:val="000000"/>
                <w:sz w:val="22"/>
                <w:szCs w:val="22"/>
              </w:rPr>
              <w:t>17.7%</w:t>
            </w:r>
          </w:p>
        </w:tc>
        <w:tc>
          <w:tcPr>
            <w:tcW w:w="308" w:type="pct"/>
            <w:shd w:val="clear" w:color="auto" w:fill="auto"/>
            <w:noWrap/>
            <w:vAlign w:val="center"/>
            <w:hideMark/>
          </w:tcPr>
          <w:p w14:paraId="23194AAD" w14:textId="77777777" w:rsidR="00CE1BDB" w:rsidRPr="00FA4DC7" w:rsidRDefault="00CE1BDB" w:rsidP="00625CD5">
            <w:pPr>
              <w:jc w:val="right"/>
              <w:rPr>
                <w:rFonts w:cs="Arial"/>
                <w:color w:val="000000"/>
                <w:sz w:val="22"/>
                <w:szCs w:val="22"/>
              </w:rPr>
            </w:pPr>
            <w:r w:rsidRPr="00FA4DC7">
              <w:rPr>
                <w:rFonts w:cs="Arial"/>
                <w:color w:val="000000"/>
                <w:sz w:val="22"/>
                <w:szCs w:val="22"/>
              </w:rPr>
              <w:t>5.8%</w:t>
            </w:r>
          </w:p>
        </w:tc>
        <w:tc>
          <w:tcPr>
            <w:tcW w:w="401" w:type="pct"/>
            <w:shd w:val="clear" w:color="auto" w:fill="auto"/>
            <w:noWrap/>
            <w:vAlign w:val="center"/>
            <w:hideMark/>
          </w:tcPr>
          <w:p w14:paraId="1C529DC0" w14:textId="77777777" w:rsidR="00CE1BDB" w:rsidRPr="00FA4DC7" w:rsidRDefault="00CE1BDB" w:rsidP="00625CD5">
            <w:pPr>
              <w:jc w:val="right"/>
              <w:rPr>
                <w:rFonts w:cs="Arial"/>
                <w:color w:val="000000"/>
                <w:sz w:val="22"/>
                <w:szCs w:val="22"/>
              </w:rPr>
            </w:pPr>
            <w:r w:rsidRPr="00FA4DC7">
              <w:rPr>
                <w:rFonts w:cs="Arial"/>
                <w:color w:val="000000"/>
                <w:sz w:val="22"/>
                <w:szCs w:val="22"/>
              </w:rPr>
              <w:t>0.0%</w:t>
            </w:r>
          </w:p>
        </w:tc>
        <w:tc>
          <w:tcPr>
            <w:tcW w:w="355" w:type="pct"/>
            <w:shd w:val="clear" w:color="auto" w:fill="auto"/>
            <w:noWrap/>
            <w:vAlign w:val="center"/>
            <w:hideMark/>
          </w:tcPr>
          <w:p w14:paraId="287A8C7E"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006C8B07"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5F1E496F" w14:textId="77777777" w:rsidR="00CE1BDB" w:rsidRPr="00FA4DC7" w:rsidRDefault="00CE1BDB" w:rsidP="00625CD5">
            <w:pPr>
              <w:jc w:val="right"/>
              <w:rPr>
                <w:rFonts w:cs="Arial"/>
                <w:color w:val="000000"/>
                <w:sz w:val="22"/>
                <w:szCs w:val="22"/>
              </w:rPr>
            </w:pPr>
            <w:r w:rsidRPr="00FA4DC7">
              <w:rPr>
                <w:rFonts w:cs="Arial"/>
                <w:color w:val="000000"/>
                <w:sz w:val="22"/>
                <w:szCs w:val="22"/>
              </w:rPr>
              <w:t>£35,000</w:t>
            </w:r>
          </w:p>
        </w:tc>
        <w:tc>
          <w:tcPr>
            <w:tcW w:w="397" w:type="pct"/>
            <w:shd w:val="clear" w:color="auto" w:fill="auto"/>
            <w:noWrap/>
            <w:vAlign w:val="center"/>
            <w:hideMark/>
          </w:tcPr>
          <w:p w14:paraId="27F40284" w14:textId="77777777" w:rsidR="00CE1BDB" w:rsidRPr="00FA4DC7" w:rsidRDefault="00CE1BDB" w:rsidP="00625CD5">
            <w:pPr>
              <w:jc w:val="right"/>
              <w:rPr>
                <w:rFonts w:cs="Arial"/>
                <w:color w:val="000000"/>
                <w:sz w:val="22"/>
                <w:szCs w:val="22"/>
              </w:rPr>
            </w:pPr>
            <w:r w:rsidRPr="00FA4DC7">
              <w:rPr>
                <w:rFonts w:cs="Arial"/>
                <w:color w:val="000000"/>
                <w:sz w:val="22"/>
                <w:szCs w:val="22"/>
              </w:rPr>
              <w:t>£32,143</w:t>
            </w:r>
          </w:p>
        </w:tc>
      </w:tr>
      <w:tr w:rsidR="00CE1BDB" w:rsidRPr="00FA4DC7" w14:paraId="407224A9" w14:textId="77777777" w:rsidTr="00625CD5">
        <w:trPr>
          <w:trHeight w:val="340"/>
        </w:trPr>
        <w:tc>
          <w:tcPr>
            <w:tcW w:w="1013" w:type="pct"/>
            <w:shd w:val="clear" w:color="auto" w:fill="auto"/>
            <w:noWrap/>
            <w:vAlign w:val="center"/>
            <w:hideMark/>
          </w:tcPr>
          <w:p w14:paraId="4C46B718" w14:textId="77777777" w:rsidR="00CE1BDB" w:rsidRPr="00FA4DC7" w:rsidRDefault="00CE1BDB" w:rsidP="00EF49A7">
            <w:pPr>
              <w:jc w:val="both"/>
              <w:rPr>
                <w:rFonts w:cs="Arial"/>
                <w:color w:val="000000"/>
                <w:sz w:val="22"/>
                <w:szCs w:val="22"/>
              </w:rPr>
            </w:pPr>
            <w:r w:rsidRPr="00FA4DC7">
              <w:rPr>
                <w:rFonts w:cs="Arial"/>
                <w:color w:val="000000"/>
                <w:sz w:val="22"/>
                <w:szCs w:val="22"/>
              </w:rPr>
              <w:t>Rochester</w:t>
            </w:r>
          </w:p>
        </w:tc>
        <w:tc>
          <w:tcPr>
            <w:tcW w:w="333" w:type="pct"/>
            <w:shd w:val="clear" w:color="auto" w:fill="auto"/>
            <w:noWrap/>
            <w:vAlign w:val="center"/>
            <w:hideMark/>
          </w:tcPr>
          <w:p w14:paraId="4FEAFE57" w14:textId="77777777" w:rsidR="00CE1BDB" w:rsidRPr="00FA4DC7" w:rsidRDefault="00CE1BDB" w:rsidP="00625CD5">
            <w:pPr>
              <w:jc w:val="right"/>
              <w:rPr>
                <w:rFonts w:cs="Arial"/>
                <w:color w:val="000000"/>
                <w:sz w:val="22"/>
                <w:szCs w:val="22"/>
              </w:rPr>
            </w:pPr>
            <w:r w:rsidRPr="00FA4DC7">
              <w:rPr>
                <w:rFonts w:cs="Arial"/>
                <w:color w:val="000000"/>
                <w:sz w:val="22"/>
                <w:szCs w:val="22"/>
              </w:rPr>
              <w:t>1.0%</w:t>
            </w:r>
          </w:p>
        </w:tc>
        <w:tc>
          <w:tcPr>
            <w:tcW w:w="363" w:type="pct"/>
            <w:shd w:val="clear" w:color="auto" w:fill="auto"/>
            <w:noWrap/>
            <w:vAlign w:val="center"/>
            <w:hideMark/>
          </w:tcPr>
          <w:p w14:paraId="052C3BA8" w14:textId="77777777" w:rsidR="00CE1BDB" w:rsidRPr="00FA4DC7" w:rsidRDefault="00CE1BDB" w:rsidP="00625CD5">
            <w:pPr>
              <w:jc w:val="right"/>
              <w:rPr>
                <w:rFonts w:cs="Arial"/>
                <w:color w:val="000000"/>
                <w:sz w:val="22"/>
                <w:szCs w:val="22"/>
              </w:rPr>
            </w:pPr>
            <w:r w:rsidRPr="00FA4DC7">
              <w:rPr>
                <w:rFonts w:cs="Arial"/>
                <w:color w:val="000000"/>
                <w:sz w:val="22"/>
                <w:szCs w:val="22"/>
              </w:rPr>
              <w:t>17.1%</w:t>
            </w:r>
          </w:p>
        </w:tc>
        <w:tc>
          <w:tcPr>
            <w:tcW w:w="415" w:type="pct"/>
            <w:shd w:val="clear" w:color="auto" w:fill="auto"/>
            <w:noWrap/>
            <w:vAlign w:val="center"/>
            <w:hideMark/>
          </w:tcPr>
          <w:p w14:paraId="0CF94CAA" w14:textId="77777777" w:rsidR="00CE1BDB" w:rsidRPr="00FA4DC7" w:rsidRDefault="00CE1BDB" w:rsidP="00625CD5">
            <w:pPr>
              <w:jc w:val="right"/>
              <w:rPr>
                <w:rFonts w:cs="Arial"/>
                <w:color w:val="000000"/>
                <w:sz w:val="22"/>
                <w:szCs w:val="22"/>
              </w:rPr>
            </w:pPr>
            <w:r w:rsidRPr="00FA4DC7">
              <w:rPr>
                <w:rFonts w:cs="Arial"/>
                <w:color w:val="000000"/>
                <w:sz w:val="22"/>
                <w:szCs w:val="22"/>
              </w:rPr>
              <w:t>22.6%</w:t>
            </w:r>
          </w:p>
        </w:tc>
        <w:tc>
          <w:tcPr>
            <w:tcW w:w="308" w:type="pct"/>
            <w:shd w:val="clear" w:color="auto" w:fill="auto"/>
            <w:noWrap/>
            <w:vAlign w:val="center"/>
            <w:hideMark/>
          </w:tcPr>
          <w:p w14:paraId="52FEC4D0" w14:textId="77777777" w:rsidR="00CE1BDB" w:rsidRPr="00FA4DC7" w:rsidRDefault="00CE1BDB" w:rsidP="00625CD5">
            <w:pPr>
              <w:jc w:val="right"/>
              <w:rPr>
                <w:rFonts w:cs="Arial"/>
                <w:color w:val="000000"/>
                <w:sz w:val="22"/>
                <w:szCs w:val="22"/>
              </w:rPr>
            </w:pPr>
            <w:r w:rsidRPr="00FA4DC7">
              <w:rPr>
                <w:rFonts w:cs="Arial"/>
                <w:color w:val="000000"/>
                <w:sz w:val="22"/>
                <w:szCs w:val="22"/>
              </w:rPr>
              <w:t>34.9%</w:t>
            </w:r>
          </w:p>
        </w:tc>
        <w:tc>
          <w:tcPr>
            <w:tcW w:w="308" w:type="pct"/>
            <w:shd w:val="clear" w:color="auto" w:fill="auto"/>
            <w:noWrap/>
            <w:vAlign w:val="center"/>
            <w:hideMark/>
          </w:tcPr>
          <w:p w14:paraId="12D13C1A" w14:textId="77777777" w:rsidR="00CE1BDB" w:rsidRPr="00FA4DC7" w:rsidRDefault="00CE1BDB" w:rsidP="00625CD5">
            <w:pPr>
              <w:jc w:val="right"/>
              <w:rPr>
                <w:rFonts w:cs="Arial"/>
                <w:color w:val="000000"/>
                <w:sz w:val="22"/>
                <w:szCs w:val="22"/>
              </w:rPr>
            </w:pPr>
            <w:r w:rsidRPr="00FA4DC7">
              <w:rPr>
                <w:rFonts w:cs="Arial"/>
                <w:color w:val="000000"/>
                <w:sz w:val="22"/>
                <w:szCs w:val="22"/>
              </w:rPr>
              <w:t>14.1%</w:t>
            </w:r>
          </w:p>
        </w:tc>
        <w:tc>
          <w:tcPr>
            <w:tcW w:w="308" w:type="pct"/>
            <w:shd w:val="clear" w:color="auto" w:fill="auto"/>
            <w:noWrap/>
            <w:vAlign w:val="center"/>
            <w:hideMark/>
          </w:tcPr>
          <w:p w14:paraId="7FFB716E" w14:textId="77777777" w:rsidR="00CE1BDB" w:rsidRPr="00FA4DC7" w:rsidRDefault="00CE1BDB" w:rsidP="00625CD5">
            <w:pPr>
              <w:jc w:val="right"/>
              <w:rPr>
                <w:rFonts w:cs="Arial"/>
                <w:color w:val="000000"/>
                <w:sz w:val="22"/>
                <w:szCs w:val="22"/>
              </w:rPr>
            </w:pPr>
            <w:r w:rsidRPr="00FA4DC7">
              <w:rPr>
                <w:rFonts w:cs="Arial"/>
                <w:color w:val="000000"/>
                <w:sz w:val="22"/>
                <w:szCs w:val="22"/>
              </w:rPr>
              <w:t>7.1%</w:t>
            </w:r>
          </w:p>
        </w:tc>
        <w:tc>
          <w:tcPr>
            <w:tcW w:w="401" w:type="pct"/>
            <w:shd w:val="clear" w:color="auto" w:fill="auto"/>
            <w:noWrap/>
            <w:vAlign w:val="center"/>
            <w:hideMark/>
          </w:tcPr>
          <w:p w14:paraId="6C3B8DCE" w14:textId="77777777" w:rsidR="00CE1BDB" w:rsidRPr="00FA4DC7" w:rsidRDefault="00CE1BDB" w:rsidP="00625CD5">
            <w:pPr>
              <w:jc w:val="right"/>
              <w:rPr>
                <w:rFonts w:cs="Arial"/>
                <w:color w:val="000000"/>
                <w:sz w:val="22"/>
                <w:szCs w:val="22"/>
              </w:rPr>
            </w:pPr>
            <w:r w:rsidRPr="00FA4DC7">
              <w:rPr>
                <w:rFonts w:cs="Arial"/>
                <w:color w:val="000000"/>
                <w:sz w:val="22"/>
                <w:szCs w:val="22"/>
              </w:rPr>
              <w:t>3.2%</w:t>
            </w:r>
          </w:p>
        </w:tc>
        <w:tc>
          <w:tcPr>
            <w:tcW w:w="355" w:type="pct"/>
            <w:shd w:val="clear" w:color="auto" w:fill="auto"/>
            <w:noWrap/>
            <w:vAlign w:val="center"/>
            <w:hideMark/>
          </w:tcPr>
          <w:p w14:paraId="43BC19FD"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223DC605"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36E26FC1" w14:textId="77777777" w:rsidR="00CE1BDB" w:rsidRPr="00FA4DC7" w:rsidRDefault="00CE1BDB" w:rsidP="00625CD5">
            <w:pPr>
              <w:jc w:val="right"/>
              <w:rPr>
                <w:rFonts w:cs="Arial"/>
                <w:color w:val="000000"/>
                <w:sz w:val="22"/>
                <w:szCs w:val="22"/>
              </w:rPr>
            </w:pPr>
            <w:r w:rsidRPr="00FA4DC7">
              <w:rPr>
                <w:rFonts w:cs="Arial"/>
                <w:color w:val="000000"/>
                <w:sz w:val="22"/>
                <w:szCs w:val="22"/>
              </w:rPr>
              <w:t>£35,000</w:t>
            </w:r>
          </w:p>
        </w:tc>
        <w:tc>
          <w:tcPr>
            <w:tcW w:w="397" w:type="pct"/>
            <w:shd w:val="clear" w:color="auto" w:fill="auto"/>
            <w:noWrap/>
            <w:vAlign w:val="center"/>
            <w:hideMark/>
          </w:tcPr>
          <w:p w14:paraId="27E612F6" w14:textId="77777777" w:rsidR="00CE1BDB" w:rsidRPr="00FA4DC7" w:rsidRDefault="00CE1BDB" w:rsidP="00625CD5">
            <w:pPr>
              <w:jc w:val="right"/>
              <w:rPr>
                <w:rFonts w:cs="Arial"/>
                <w:color w:val="000000"/>
                <w:sz w:val="22"/>
                <w:szCs w:val="22"/>
              </w:rPr>
            </w:pPr>
            <w:r w:rsidRPr="00FA4DC7">
              <w:rPr>
                <w:rFonts w:cs="Arial"/>
                <w:color w:val="000000"/>
                <w:sz w:val="22"/>
                <w:szCs w:val="22"/>
              </w:rPr>
              <w:t>£34,963</w:t>
            </w:r>
          </w:p>
        </w:tc>
      </w:tr>
      <w:tr w:rsidR="00CE1BDB" w:rsidRPr="00FA4DC7" w14:paraId="1B4D804D" w14:textId="77777777" w:rsidTr="00625CD5">
        <w:trPr>
          <w:trHeight w:val="660"/>
        </w:trPr>
        <w:tc>
          <w:tcPr>
            <w:tcW w:w="1013" w:type="pct"/>
            <w:shd w:val="clear" w:color="auto" w:fill="auto"/>
            <w:noWrap/>
            <w:vAlign w:val="center"/>
            <w:hideMark/>
          </w:tcPr>
          <w:p w14:paraId="75F53132" w14:textId="77777777" w:rsidR="00CE1BDB" w:rsidRPr="00FA4DC7" w:rsidRDefault="00CE1BDB" w:rsidP="00EF49A7">
            <w:pPr>
              <w:jc w:val="both"/>
              <w:rPr>
                <w:rFonts w:cs="Arial"/>
                <w:color w:val="000000"/>
                <w:sz w:val="22"/>
                <w:szCs w:val="22"/>
              </w:rPr>
            </w:pPr>
            <w:r w:rsidRPr="00FA4DC7">
              <w:rPr>
                <w:rFonts w:cs="Arial"/>
                <w:color w:val="000000"/>
                <w:sz w:val="22"/>
                <w:szCs w:val="22"/>
              </w:rPr>
              <w:t>Strood</w:t>
            </w:r>
          </w:p>
        </w:tc>
        <w:tc>
          <w:tcPr>
            <w:tcW w:w="333" w:type="pct"/>
            <w:shd w:val="clear" w:color="auto" w:fill="auto"/>
            <w:noWrap/>
            <w:vAlign w:val="center"/>
            <w:hideMark/>
          </w:tcPr>
          <w:p w14:paraId="5A6D4825" w14:textId="77777777" w:rsidR="00CE1BDB" w:rsidRPr="00FA4DC7" w:rsidRDefault="00CE1BDB" w:rsidP="00625CD5">
            <w:pPr>
              <w:jc w:val="right"/>
              <w:rPr>
                <w:rFonts w:cs="Arial"/>
                <w:color w:val="000000"/>
                <w:sz w:val="22"/>
                <w:szCs w:val="22"/>
              </w:rPr>
            </w:pPr>
            <w:r w:rsidRPr="00FA4DC7">
              <w:rPr>
                <w:rFonts w:cs="Arial"/>
                <w:color w:val="000000"/>
                <w:sz w:val="22"/>
                <w:szCs w:val="22"/>
              </w:rPr>
              <w:t>0.8%</w:t>
            </w:r>
          </w:p>
        </w:tc>
        <w:tc>
          <w:tcPr>
            <w:tcW w:w="363" w:type="pct"/>
            <w:shd w:val="clear" w:color="auto" w:fill="auto"/>
            <w:noWrap/>
            <w:vAlign w:val="center"/>
            <w:hideMark/>
          </w:tcPr>
          <w:p w14:paraId="2D758C62" w14:textId="77777777" w:rsidR="00CE1BDB" w:rsidRPr="00FA4DC7" w:rsidRDefault="00CE1BDB" w:rsidP="00625CD5">
            <w:pPr>
              <w:jc w:val="right"/>
              <w:rPr>
                <w:rFonts w:cs="Arial"/>
                <w:color w:val="000000"/>
                <w:sz w:val="22"/>
                <w:szCs w:val="22"/>
              </w:rPr>
            </w:pPr>
            <w:r w:rsidRPr="00FA4DC7">
              <w:rPr>
                <w:rFonts w:cs="Arial"/>
                <w:color w:val="000000"/>
                <w:sz w:val="22"/>
                <w:szCs w:val="22"/>
              </w:rPr>
              <w:t>16.0%</w:t>
            </w:r>
          </w:p>
        </w:tc>
        <w:tc>
          <w:tcPr>
            <w:tcW w:w="415" w:type="pct"/>
            <w:shd w:val="clear" w:color="auto" w:fill="auto"/>
            <w:noWrap/>
            <w:vAlign w:val="center"/>
            <w:hideMark/>
          </w:tcPr>
          <w:p w14:paraId="11975662" w14:textId="77777777" w:rsidR="00CE1BDB" w:rsidRPr="00FA4DC7" w:rsidRDefault="00CE1BDB" w:rsidP="00625CD5">
            <w:pPr>
              <w:jc w:val="right"/>
              <w:rPr>
                <w:rFonts w:cs="Arial"/>
                <w:color w:val="000000"/>
                <w:sz w:val="22"/>
                <w:szCs w:val="22"/>
              </w:rPr>
            </w:pPr>
            <w:r w:rsidRPr="00FA4DC7">
              <w:rPr>
                <w:rFonts w:cs="Arial"/>
                <w:color w:val="000000"/>
                <w:sz w:val="22"/>
                <w:szCs w:val="22"/>
              </w:rPr>
              <w:t>31.7%</w:t>
            </w:r>
          </w:p>
        </w:tc>
        <w:tc>
          <w:tcPr>
            <w:tcW w:w="308" w:type="pct"/>
            <w:shd w:val="clear" w:color="auto" w:fill="auto"/>
            <w:noWrap/>
            <w:vAlign w:val="center"/>
            <w:hideMark/>
          </w:tcPr>
          <w:p w14:paraId="75D9ABB7" w14:textId="77777777" w:rsidR="00CE1BDB" w:rsidRPr="00FA4DC7" w:rsidRDefault="00CE1BDB" w:rsidP="00625CD5">
            <w:pPr>
              <w:jc w:val="right"/>
              <w:rPr>
                <w:rFonts w:cs="Arial"/>
                <w:color w:val="000000"/>
                <w:sz w:val="22"/>
                <w:szCs w:val="22"/>
              </w:rPr>
            </w:pPr>
            <w:r w:rsidRPr="00FA4DC7">
              <w:rPr>
                <w:rFonts w:cs="Arial"/>
                <w:color w:val="000000"/>
                <w:sz w:val="22"/>
                <w:szCs w:val="22"/>
              </w:rPr>
              <w:t>38.9%</w:t>
            </w:r>
          </w:p>
        </w:tc>
        <w:tc>
          <w:tcPr>
            <w:tcW w:w="308" w:type="pct"/>
            <w:shd w:val="clear" w:color="auto" w:fill="auto"/>
            <w:noWrap/>
            <w:vAlign w:val="center"/>
            <w:hideMark/>
          </w:tcPr>
          <w:p w14:paraId="3A9D7B93" w14:textId="77777777" w:rsidR="00CE1BDB" w:rsidRPr="00FA4DC7" w:rsidRDefault="00CE1BDB" w:rsidP="00625CD5">
            <w:pPr>
              <w:jc w:val="right"/>
              <w:rPr>
                <w:rFonts w:cs="Arial"/>
                <w:color w:val="000000"/>
                <w:sz w:val="22"/>
                <w:szCs w:val="22"/>
              </w:rPr>
            </w:pPr>
            <w:r w:rsidRPr="00FA4DC7">
              <w:rPr>
                <w:rFonts w:cs="Arial"/>
                <w:color w:val="000000"/>
                <w:sz w:val="22"/>
                <w:szCs w:val="22"/>
              </w:rPr>
              <w:t>8.8%</w:t>
            </w:r>
          </w:p>
        </w:tc>
        <w:tc>
          <w:tcPr>
            <w:tcW w:w="308" w:type="pct"/>
            <w:shd w:val="clear" w:color="auto" w:fill="auto"/>
            <w:noWrap/>
            <w:vAlign w:val="center"/>
            <w:hideMark/>
          </w:tcPr>
          <w:p w14:paraId="469A860D" w14:textId="77777777" w:rsidR="00CE1BDB" w:rsidRPr="00FA4DC7" w:rsidRDefault="00CE1BDB" w:rsidP="00625CD5">
            <w:pPr>
              <w:jc w:val="right"/>
              <w:rPr>
                <w:rFonts w:cs="Arial"/>
                <w:color w:val="000000"/>
                <w:sz w:val="22"/>
                <w:szCs w:val="22"/>
              </w:rPr>
            </w:pPr>
            <w:r w:rsidRPr="00FA4DC7">
              <w:rPr>
                <w:rFonts w:cs="Arial"/>
                <w:color w:val="000000"/>
                <w:sz w:val="22"/>
                <w:szCs w:val="22"/>
              </w:rPr>
              <w:t>2.9%</w:t>
            </w:r>
          </w:p>
        </w:tc>
        <w:tc>
          <w:tcPr>
            <w:tcW w:w="401" w:type="pct"/>
            <w:shd w:val="clear" w:color="auto" w:fill="auto"/>
            <w:noWrap/>
            <w:vAlign w:val="center"/>
            <w:hideMark/>
          </w:tcPr>
          <w:p w14:paraId="31157DC9" w14:textId="77777777" w:rsidR="00CE1BDB" w:rsidRPr="00FA4DC7" w:rsidRDefault="00CE1BDB" w:rsidP="00625CD5">
            <w:pPr>
              <w:jc w:val="right"/>
              <w:rPr>
                <w:rFonts w:cs="Arial"/>
                <w:color w:val="000000"/>
                <w:sz w:val="22"/>
                <w:szCs w:val="22"/>
              </w:rPr>
            </w:pPr>
            <w:r w:rsidRPr="00FA4DC7">
              <w:rPr>
                <w:rFonts w:cs="Arial"/>
                <w:color w:val="000000"/>
                <w:sz w:val="22"/>
                <w:szCs w:val="22"/>
              </w:rPr>
              <w:t>0.9%</w:t>
            </w:r>
          </w:p>
        </w:tc>
        <w:tc>
          <w:tcPr>
            <w:tcW w:w="355" w:type="pct"/>
            <w:shd w:val="clear" w:color="auto" w:fill="auto"/>
            <w:noWrap/>
            <w:vAlign w:val="center"/>
            <w:hideMark/>
          </w:tcPr>
          <w:p w14:paraId="2087526D"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0271E13D"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65DA9921"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97" w:type="pct"/>
            <w:shd w:val="clear" w:color="auto" w:fill="auto"/>
            <w:noWrap/>
            <w:vAlign w:val="center"/>
            <w:hideMark/>
          </w:tcPr>
          <w:p w14:paraId="0E317B22" w14:textId="77777777" w:rsidR="00CE1BDB" w:rsidRPr="00FA4DC7" w:rsidRDefault="00CE1BDB" w:rsidP="00625CD5">
            <w:pPr>
              <w:jc w:val="right"/>
              <w:rPr>
                <w:rFonts w:cs="Arial"/>
                <w:color w:val="000000"/>
                <w:sz w:val="22"/>
                <w:szCs w:val="22"/>
              </w:rPr>
            </w:pPr>
            <w:r w:rsidRPr="00FA4DC7">
              <w:rPr>
                <w:rFonts w:cs="Arial"/>
                <w:color w:val="000000"/>
                <w:sz w:val="22"/>
                <w:szCs w:val="22"/>
              </w:rPr>
              <w:t>£30,508</w:t>
            </w:r>
          </w:p>
        </w:tc>
      </w:tr>
      <w:tr w:rsidR="00625CD5" w:rsidRPr="00FA4DC7" w14:paraId="50FC3056" w14:textId="77777777" w:rsidTr="00625CD5">
        <w:trPr>
          <w:trHeight w:val="660"/>
        </w:trPr>
        <w:tc>
          <w:tcPr>
            <w:tcW w:w="1013" w:type="pct"/>
            <w:shd w:val="clear" w:color="auto" w:fill="006666"/>
            <w:noWrap/>
            <w:vAlign w:val="bottom"/>
            <w:hideMark/>
          </w:tcPr>
          <w:p w14:paraId="073FBF40"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Neighbourhood Planning Area</w:t>
            </w:r>
          </w:p>
        </w:tc>
        <w:tc>
          <w:tcPr>
            <w:tcW w:w="333" w:type="pct"/>
            <w:shd w:val="clear" w:color="auto" w:fill="006666"/>
            <w:noWrap/>
            <w:vAlign w:val="bottom"/>
            <w:hideMark/>
          </w:tcPr>
          <w:p w14:paraId="3398B359"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&lt;£10k</w:t>
            </w:r>
          </w:p>
        </w:tc>
        <w:tc>
          <w:tcPr>
            <w:tcW w:w="363" w:type="pct"/>
            <w:shd w:val="clear" w:color="auto" w:fill="006666"/>
            <w:noWrap/>
            <w:vAlign w:val="bottom"/>
            <w:hideMark/>
          </w:tcPr>
          <w:p w14:paraId="0425208C"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£10k to &lt;£20k</w:t>
            </w:r>
          </w:p>
        </w:tc>
        <w:tc>
          <w:tcPr>
            <w:tcW w:w="415" w:type="pct"/>
            <w:shd w:val="clear" w:color="auto" w:fill="006666"/>
            <w:noWrap/>
            <w:vAlign w:val="bottom"/>
            <w:hideMark/>
          </w:tcPr>
          <w:p w14:paraId="1F5E4BB7"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£20k -&lt;£30k</w:t>
            </w:r>
          </w:p>
        </w:tc>
        <w:tc>
          <w:tcPr>
            <w:tcW w:w="308" w:type="pct"/>
            <w:shd w:val="clear" w:color="auto" w:fill="006666"/>
            <w:noWrap/>
            <w:vAlign w:val="bottom"/>
            <w:hideMark/>
          </w:tcPr>
          <w:p w14:paraId="7F8B6F70"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£30k-&lt;£40k</w:t>
            </w:r>
          </w:p>
        </w:tc>
        <w:tc>
          <w:tcPr>
            <w:tcW w:w="308" w:type="pct"/>
            <w:shd w:val="clear" w:color="auto" w:fill="006666"/>
            <w:noWrap/>
            <w:vAlign w:val="bottom"/>
            <w:hideMark/>
          </w:tcPr>
          <w:p w14:paraId="233F123A"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£40k-&lt;£50k</w:t>
            </w:r>
          </w:p>
        </w:tc>
        <w:tc>
          <w:tcPr>
            <w:tcW w:w="308" w:type="pct"/>
            <w:shd w:val="clear" w:color="auto" w:fill="006666"/>
            <w:noWrap/>
            <w:vAlign w:val="bottom"/>
            <w:hideMark/>
          </w:tcPr>
          <w:p w14:paraId="45AAFC55"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£50k-&lt;£75k</w:t>
            </w:r>
          </w:p>
        </w:tc>
        <w:tc>
          <w:tcPr>
            <w:tcW w:w="401" w:type="pct"/>
            <w:shd w:val="clear" w:color="auto" w:fill="006666"/>
            <w:noWrap/>
            <w:vAlign w:val="bottom"/>
            <w:hideMark/>
          </w:tcPr>
          <w:p w14:paraId="4B9F2ABC"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£75k or more</w:t>
            </w:r>
          </w:p>
        </w:tc>
        <w:tc>
          <w:tcPr>
            <w:tcW w:w="355" w:type="pct"/>
            <w:shd w:val="clear" w:color="auto" w:fill="006666"/>
            <w:vAlign w:val="bottom"/>
            <w:hideMark/>
          </w:tcPr>
          <w:p w14:paraId="343750AE"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Total</w:t>
            </w:r>
          </w:p>
        </w:tc>
        <w:tc>
          <w:tcPr>
            <w:tcW w:w="411" w:type="pct"/>
            <w:shd w:val="clear" w:color="auto" w:fill="006666"/>
            <w:vAlign w:val="bottom"/>
            <w:hideMark/>
          </w:tcPr>
          <w:p w14:paraId="491EE9A5"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Lower Quartile</w:t>
            </w:r>
          </w:p>
        </w:tc>
        <w:tc>
          <w:tcPr>
            <w:tcW w:w="388" w:type="pct"/>
            <w:shd w:val="clear" w:color="auto" w:fill="006666"/>
            <w:noWrap/>
            <w:vAlign w:val="bottom"/>
            <w:hideMark/>
          </w:tcPr>
          <w:p w14:paraId="41F62EE4"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Median</w:t>
            </w:r>
          </w:p>
        </w:tc>
        <w:tc>
          <w:tcPr>
            <w:tcW w:w="397" w:type="pct"/>
            <w:shd w:val="clear" w:color="auto" w:fill="006666"/>
            <w:noWrap/>
            <w:vAlign w:val="bottom"/>
            <w:hideMark/>
          </w:tcPr>
          <w:p w14:paraId="1C71B367"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Average</w:t>
            </w:r>
          </w:p>
        </w:tc>
      </w:tr>
      <w:tr w:rsidR="00CE1BDB" w:rsidRPr="00FA4DC7" w14:paraId="7C7D708E" w14:textId="77777777" w:rsidTr="00625CD5">
        <w:trPr>
          <w:trHeight w:val="340"/>
        </w:trPr>
        <w:tc>
          <w:tcPr>
            <w:tcW w:w="1013" w:type="pct"/>
            <w:shd w:val="clear" w:color="auto" w:fill="auto"/>
            <w:noWrap/>
            <w:vAlign w:val="center"/>
            <w:hideMark/>
          </w:tcPr>
          <w:p w14:paraId="75D73CBD" w14:textId="77777777" w:rsidR="00CE1BDB" w:rsidRPr="00FA4DC7" w:rsidRDefault="00CE1BDB" w:rsidP="00625CD5">
            <w:pPr>
              <w:rPr>
                <w:rFonts w:cs="Arial"/>
                <w:color w:val="000000"/>
                <w:sz w:val="22"/>
                <w:szCs w:val="22"/>
              </w:rPr>
            </w:pPr>
            <w:r w:rsidRPr="00FA4DC7">
              <w:rPr>
                <w:rFonts w:cs="Arial"/>
                <w:color w:val="000000" w:themeColor="text1"/>
                <w:sz w:val="22"/>
                <w:szCs w:val="22"/>
              </w:rPr>
              <w:t>Cliffe and Cliffe Woods</w:t>
            </w:r>
          </w:p>
        </w:tc>
        <w:tc>
          <w:tcPr>
            <w:tcW w:w="333" w:type="pct"/>
            <w:shd w:val="clear" w:color="auto" w:fill="auto"/>
            <w:noWrap/>
            <w:vAlign w:val="center"/>
            <w:hideMark/>
          </w:tcPr>
          <w:p w14:paraId="5D421545" w14:textId="77777777" w:rsidR="00CE1BDB" w:rsidRPr="00FA4DC7" w:rsidRDefault="00CE1BDB" w:rsidP="00625CD5">
            <w:pPr>
              <w:jc w:val="right"/>
              <w:rPr>
                <w:rFonts w:cs="Arial"/>
                <w:color w:val="000000"/>
                <w:sz w:val="22"/>
                <w:szCs w:val="22"/>
              </w:rPr>
            </w:pPr>
            <w:r w:rsidRPr="00FA4DC7">
              <w:rPr>
                <w:rFonts w:cs="Arial"/>
                <w:color w:val="000000"/>
                <w:sz w:val="22"/>
                <w:szCs w:val="22"/>
              </w:rPr>
              <w:t>0.0%</w:t>
            </w:r>
          </w:p>
        </w:tc>
        <w:tc>
          <w:tcPr>
            <w:tcW w:w="363" w:type="pct"/>
            <w:shd w:val="clear" w:color="auto" w:fill="auto"/>
            <w:noWrap/>
            <w:vAlign w:val="center"/>
            <w:hideMark/>
          </w:tcPr>
          <w:p w14:paraId="4B36E696" w14:textId="77777777" w:rsidR="00CE1BDB" w:rsidRPr="00FA4DC7" w:rsidRDefault="00CE1BDB" w:rsidP="00625CD5">
            <w:pPr>
              <w:jc w:val="right"/>
              <w:rPr>
                <w:rFonts w:cs="Arial"/>
                <w:color w:val="000000"/>
                <w:sz w:val="22"/>
                <w:szCs w:val="22"/>
              </w:rPr>
            </w:pPr>
            <w:r w:rsidRPr="00FA4DC7">
              <w:rPr>
                <w:rFonts w:cs="Arial"/>
                <w:color w:val="000000"/>
                <w:sz w:val="22"/>
                <w:szCs w:val="22"/>
              </w:rPr>
              <w:t>9.1%</w:t>
            </w:r>
          </w:p>
        </w:tc>
        <w:tc>
          <w:tcPr>
            <w:tcW w:w="415" w:type="pct"/>
            <w:shd w:val="clear" w:color="auto" w:fill="auto"/>
            <w:noWrap/>
            <w:vAlign w:val="center"/>
            <w:hideMark/>
          </w:tcPr>
          <w:p w14:paraId="1438DF43" w14:textId="77777777" w:rsidR="00CE1BDB" w:rsidRPr="00FA4DC7" w:rsidRDefault="00CE1BDB" w:rsidP="00625CD5">
            <w:pPr>
              <w:jc w:val="right"/>
              <w:rPr>
                <w:rFonts w:cs="Arial"/>
                <w:color w:val="000000"/>
                <w:sz w:val="22"/>
                <w:szCs w:val="22"/>
              </w:rPr>
            </w:pPr>
            <w:r w:rsidRPr="00FA4DC7">
              <w:rPr>
                <w:rFonts w:cs="Arial"/>
                <w:color w:val="000000"/>
                <w:sz w:val="22"/>
                <w:szCs w:val="22"/>
              </w:rPr>
              <w:t>13.6%</w:t>
            </w:r>
          </w:p>
        </w:tc>
        <w:tc>
          <w:tcPr>
            <w:tcW w:w="308" w:type="pct"/>
            <w:shd w:val="clear" w:color="auto" w:fill="auto"/>
            <w:noWrap/>
            <w:vAlign w:val="center"/>
            <w:hideMark/>
          </w:tcPr>
          <w:p w14:paraId="64D9CDDA" w14:textId="77777777" w:rsidR="00CE1BDB" w:rsidRPr="00FA4DC7" w:rsidRDefault="00CE1BDB" w:rsidP="00625CD5">
            <w:pPr>
              <w:jc w:val="right"/>
              <w:rPr>
                <w:rFonts w:cs="Arial"/>
                <w:color w:val="000000"/>
                <w:sz w:val="22"/>
                <w:szCs w:val="22"/>
              </w:rPr>
            </w:pPr>
            <w:r w:rsidRPr="00FA4DC7">
              <w:rPr>
                <w:rFonts w:cs="Arial"/>
                <w:color w:val="000000"/>
                <w:sz w:val="22"/>
                <w:szCs w:val="22"/>
              </w:rPr>
              <w:t>46.3%</w:t>
            </w:r>
          </w:p>
        </w:tc>
        <w:tc>
          <w:tcPr>
            <w:tcW w:w="308" w:type="pct"/>
            <w:shd w:val="clear" w:color="auto" w:fill="auto"/>
            <w:noWrap/>
            <w:vAlign w:val="center"/>
            <w:hideMark/>
          </w:tcPr>
          <w:p w14:paraId="12BB0D19" w14:textId="77777777" w:rsidR="00CE1BDB" w:rsidRPr="00FA4DC7" w:rsidRDefault="00CE1BDB" w:rsidP="00625CD5">
            <w:pPr>
              <w:jc w:val="right"/>
              <w:rPr>
                <w:rFonts w:cs="Arial"/>
                <w:color w:val="000000"/>
                <w:sz w:val="22"/>
                <w:szCs w:val="22"/>
              </w:rPr>
            </w:pPr>
            <w:r w:rsidRPr="00FA4DC7">
              <w:rPr>
                <w:rFonts w:cs="Arial"/>
                <w:color w:val="000000"/>
                <w:sz w:val="22"/>
                <w:szCs w:val="22"/>
              </w:rPr>
              <w:t>27.0%</w:t>
            </w:r>
          </w:p>
        </w:tc>
        <w:tc>
          <w:tcPr>
            <w:tcW w:w="308" w:type="pct"/>
            <w:shd w:val="clear" w:color="auto" w:fill="auto"/>
            <w:noWrap/>
            <w:vAlign w:val="center"/>
            <w:hideMark/>
          </w:tcPr>
          <w:p w14:paraId="2CF236F3" w14:textId="77777777" w:rsidR="00CE1BDB" w:rsidRPr="00FA4DC7" w:rsidRDefault="00CE1BDB" w:rsidP="00625CD5">
            <w:pPr>
              <w:jc w:val="right"/>
              <w:rPr>
                <w:rFonts w:cs="Arial"/>
                <w:color w:val="000000"/>
                <w:sz w:val="22"/>
                <w:szCs w:val="22"/>
              </w:rPr>
            </w:pPr>
            <w:r w:rsidRPr="00FA4DC7">
              <w:rPr>
                <w:rFonts w:cs="Arial"/>
                <w:color w:val="000000"/>
                <w:sz w:val="22"/>
                <w:szCs w:val="22"/>
              </w:rPr>
              <w:t>3.5%</w:t>
            </w:r>
          </w:p>
        </w:tc>
        <w:tc>
          <w:tcPr>
            <w:tcW w:w="401" w:type="pct"/>
            <w:shd w:val="clear" w:color="auto" w:fill="auto"/>
            <w:noWrap/>
            <w:vAlign w:val="center"/>
            <w:hideMark/>
          </w:tcPr>
          <w:p w14:paraId="6332CAF6" w14:textId="77777777" w:rsidR="00CE1BDB" w:rsidRPr="00FA4DC7" w:rsidRDefault="00CE1BDB" w:rsidP="00625CD5">
            <w:pPr>
              <w:jc w:val="right"/>
              <w:rPr>
                <w:rFonts w:cs="Arial"/>
                <w:color w:val="000000"/>
                <w:sz w:val="22"/>
                <w:szCs w:val="22"/>
              </w:rPr>
            </w:pPr>
            <w:r w:rsidRPr="00FA4DC7">
              <w:rPr>
                <w:rFonts w:cs="Arial"/>
                <w:color w:val="000000"/>
                <w:sz w:val="22"/>
                <w:szCs w:val="22"/>
              </w:rPr>
              <w:t>0.5%</w:t>
            </w:r>
          </w:p>
        </w:tc>
        <w:tc>
          <w:tcPr>
            <w:tcW w:w="355" w:type="pct"/>
            <w:shd w:val="clear" w:color="auto" w:fill="auto"/>
            <w:noWrap/>
            <w:vAlign w:val="center"/>
            <w:hideMark/>
          </w:tcPr>
          <w:p w14:paraId="2EA13289"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791C6C36" w14:textId="77777777" w:rsidR="00CE1BDB" w:rsidRPr="00FA4DC7" w:rsidRDefault="00CE1BDB" w:rsidP="00625CD5">
            <w:pPr>
              <w:jc w:val="right"/>
              <w:rPr>
                <w:rFonts w:cs="Arial"/>
                <w:color w:val="000000"/>
                <w:sz w:val="22"/>
                <w:szCs w:val="22"/>
              </w:rPr>
            </w:pPr>
            <w:r w:rsidRPr="00FA4DC7">
              <w:rPr>
                <w:rFonts w:cs="Arial"/>
                <w:color w:val="000000"/>
                <w:sz w:val="22"/>
                <w:szCs w:val="22"/>
              </w:rPr>
              <w:t>£32,500</w:t>
            </w:r>
          </w:p>
        </w:tc>
        <w:tc>
          <w:tcPr>
            <w:tcW w:w="388" w:type="pct"/>
            <w:shd w:val="clear" w:color="auto" w:fill="auto"/>
            <w:noWrap/>
            <w:vAlign w:val="center"/>
            <w:hideMark/>
          </w:tcPr>
          <w:p w14:paraId="52704788" w14:textId="77777777" w:rsidR="00CE1BDB" w:rsidRPr="00FA4DC7" w:rsidRDefault="00CE1BDB" w:rsidP="00625CD5">
            <w:pPr>
              <w:jc w:val="right"/>
              <w:rPr>
                <w:rFonts w:cs="Arial"/>
                <w:color w:val="000000"/>
                <w:sz w:val="22"/>
                <w:szCs w:val="22"/>
              </w:rPr>
            </w:pPr>
            <w:r w:rsidRPr="00FA4DC7">
              <w:rPr>
                <w:rFonts w:cs="Arial"/>
                <w:color w:val="000000"/>
                <w:sz w:val="22"/>
                <w:szCs w:val="22"/>
              </w:rPr>
              <w:t>£35,000</w:t>
            </w:r>
          </w:p>
        </w:tc>
        <w:tc>
          <w:tcPr>
            <w:tcW w:w="397" w:type="pct"/>
            <w:shd w:val="clear" w:color="auto" w:fill="auto"/>
            <w:noWrap/>
            <w:vAlign w:val="center"/>
            <w:hideMark/>
          </w:tcPr>
          <w:p w14:paraId="3875063F" w14:textId="77777777" w:rsidR="00CE1BDB" w:rsidRPr="00FA4DC7" w:rsidRDefault="00CE1BDB" w:rsidP="00625CD5">
            <w:pPr>
              <w:jc w:val="right"/>
              <w:rPr>
                <w:rFonts w:cs="Arial"/>
                <w:color w:val="000000"/>
                <w:sz w:val="22"/>
                <w:szCs w:val="22"/>
              </w:rPr>
            </w:pPr>
            <w:r w:rsidRPr="00FA4DC7">
              <w:rPr>
                <w:rFonts w:cs="Arial"/>
                <w:color w:val="000000"/>
                <w:sz w:val="22"/>
                <w:szCs w:val="22"/>
              </w:rPr>
              <w:t>£38,169</w:t>
            </w:r>
          </w:p>
        </w:tc>
      </w:tr>
      <w:tr w:rsidR="00CE1BDB" w:rsidRPr="00FA4DC7" w14:paraId="755A128C" w14:textId="77777777" w:rsidTr="00625CD5">
        <w:trPr>
          <w:trHeight w:val="340"/>
        </w:trPr>
        <w:tc>
          <w:tcPr>
            <w:tcW w:w="1013" w:type="pct"/>
            <w:shd w:val="clear" w:color="auto" w:fill="auto"/>
            <w:noWrap/>
            <w:vAlign w:val="center"/>
            <w:hideMark/>
          </w:tcPr>
          <w:p w14:paraId="7353F756" w14:textId="77777777" w:rsidR="00CE1BDB" w:rsidRPr="00FA4DC7" w:rsidRDefault="00CE1BDB" w:rsidP="00625CD5">
            <w:pPr>
              <w:rPr>
                <w:rFonts w:cs="Arial"/>
                <w:color w:val="000000"/>
                <w:sz w:val="22"/>
                <w:szCs w:val="22"/>
              </w:rPr>
            </w:pPr>
            <w:proofErr w:type="spellStart"/>
            <w:r w:rsidRPr="00FA4DC7">
              <w:rPr>
                <w:rFonts w:cs="Arial"/>
                <w:color w:val="000000"/>
                <w:sz w:val="22"/>
                <w:szCs w:val="22"/>
              </w:rPr>
              <w:t>Frindsbury</w:t>
            </w:r>
            <w:proofErr w:type="spellEnd"/>
            <w:r w:rsidRPr="00FA4DC7">
              <w:rPr>
                <w:rFonts w:cs="Arial"/>
                <w:color w:val="000000"/>
                <w:sz w:val="22"/>
                <w:szCs w:val="22"/>
              </w:rPr>
              <w:t xml:space="preserve"> Extra</w:t>
            </w:r>
          </w:p>
        </w:tc>
        <w:tc>
          <w:tcPr>
            <w:tcW w:w="333" w:type="pct"/>
            <w:shd w:val="clear" w:color="auto" w:fill="auto"/>
            <w:noWrap/>
            <w:vAlign w:val="center"/>
            <w:hideMark/>
          </w:tcPr>
          <w:p w14:paraId="774492E7" w14:textId="77777777" w:rsidR="00CE1BDB" w:rsidRPr="00FA4DC7" w:rsidRDefault="00CE1BDB" w:rsidP="00625CD5">
            <w:pPr>
              <w:jc w:val="right"/>
              <w:rPr>
                <w:rFonts w:cs="Arial"/>
                <w:color w:val="000000"/>
                <w:sz w:val="22"/>
                <w:szCs w:val="22"/>
              </w:rPr>
            </w:pPr>
            <w:r w:rsidRPr="00FA4DC7">
              <w:rPr>
                <w:rFonts w:cs="Arial"/>
                <w:color w:val="000000"/>
                <w:sz w:val="22"/>
                <w:szCs w:val="22"/>
              </w:rPr>
              <w:t>0.0%</w:t>
            </w:r>
          </w:p>
        </w:tc>
        <w:tc>
          <w:tcPr>
            <w:tcW w:w="363" w:type="pct"/>
            <w:shd w:val="clear" w:color="auto" w:fill="auto"/>
            <w:noWrap/>
            <w:vAlign w:val="center"/>
            <w:hideMark/>
          </w:tcPr>
          <w:p w14:paraId="1CC4A114" w14:textId="77777777" w:rsidR="00CE1BDB" w:rsidRPr="00FA4DC7" w:rsidRDefault="00CE1BDB" w:rsidP="00625CD5">
            <w:pPr>
              <w:jc w:val="right"/>
              <w:rPr>
                <w:rFonts w:cs="Arial"/>
                <w:color w:val="000000"/>
                <w:sz w:val="22"/>
                <w:szCs w:val="22"/>
              </w:rPr>
            </w:pPr>
            <w:r w:rsidRPr="00FA4DC7">
              <w:rPr>
                <w:rFonts w:cs="Arial"/>
                <w:color w:val="000000"/>
                <w:sz w:val="22"/>
                <w:szCs w:val="22"/>
              </w:rPr>
              <w:t>12.0%</w:t>
            </w:r>
          </w:p>
        </w:tc>
        <w:tc>
          <w:tcPr>
            <w:tcW w:w="415" w:type="pct"/>
            <w:shd w:val="clear" w:color="auto" w:fill="auto"/>
            <w:noWrap/>
            <w:vAlign w:val="center"/>
            <w:hideMark/>
          </w:tcPr>
          <w:p w14:paraId="3E644B2A" w14:textId="77777777" w:rsidR="00CE1BDB" w:rsidRPr="00FA4DC7" w:rsidRDefault="00CE1BDB" w:rsidP="00625CD5">
            <w:pPr>
              <w:jc w:val="right"/>
              <w:rPr>
                <w:rFonts w:cs="Arial"/>
                <w:color w:val="000000"/>
                <w:sz w:val="22"/>
                <w:szCs w:val="22"/>
              </w:rPr>
            </w:pPr>
            <w:r w:rsidRPr="00FA4DC7">
              <w:rPr>
                <w:rFonts w:cs="Arial"/>
                <w:color w:val="000000"/>
                <w:sz w:val="22"/>
                <w:szCs w:val="22"/>
              </w:rPr>
              <w:t>24.7%</w:t>
            </w:r>
          </w:p>
        </w:tc>
        <w:tc>
          <w:tcPr>
            <w:tcW w:w="308" w:type="pct"/>
            <w:shd w:val="clear" w:color="auto" w:fill="auto"/>
            <w:noWrap/>
            <w:vAlign w:val="center"/>
            <w:hideMark/>
          </w:tcPr>
          <w:p w14:paraId="28A46E5D" w14:textId="77777777" w:rsidR="00CE1BDB" w:rsidRPr="00FA4DC7" w:rsidRDefault="00CE1BDB" w:rsidP="00625CD5">
            <w:pPr>
              <w:jc w:val="right"/>
              <w:rPr>
                <w:rFonts w:cs="Arial"/>
                <w:color w:val="000000"/>
                <w:sz w:val="22"/>
                <w:szCs w:val="22"/>
              </w:rPr>
            </w:pPr>
            <w:r w:rsidRPr="00FA4DC7">
              <w:rPr>
                <w:rFonts w:cs="Arial"/>
                <w:color w:val="000000"/>
                <w:sz w:val="22"/>
                <w:szCs w:val="22"/>
              </w:rPr>
              <w:t>33.8%</w:t>
            </w:r>
          </w:p>
        </w:tc>
        <w:tc>
          <w:tcPr>
            <w:tcW w:w="308" w:type="pct"/>
            <w:shd w:val="clear" w:color="auto" w:fill="auto"/>
            <w:noWrap/>
            <w:vAlign w:val="center"/>
            <w:hideMark/>
          </w:tcPr>
          <w:p w14:paraId="472AB309" w14:textId="77777777" w:rsidR="00CE1BDB" w:rsidRPr="00FA4DC7" w:rsidRDefault="00CE1BDB" w:rsidP="00625CD5">
            <w:pPr>
              <w:jc w:val="right"/>
              <w:rPr>
                <w:rFonts w:cs="Arial"/>
                <w:color w:val="000000"/>
                <w:sz w:val="22"/>
                <w:szCs w:val="22"/>
              </w:rPr>
            </w:pPr>
            <w:r w:rsidRPr="00FA4DC7">
              <w:rPr>
                <w:rFonts w:cs="Arial"/>
                <w:color w:val="000000"/>
                <w:sz w:val="22"/>
                <w:szCs w:val="22"/>
              </w:rPr>
              <w:t>15.4%</w:t>
            </w:r>
          </w:p>
        </w:tc>
        <w:tc>
          <w:tcPr>
            <w:tcW w:w="308" w:type="pct"/>
            <w:shd w:val="clear" w:color="auto" w:fill="auto"/>
            <w:noWrap/>
            <w:vAlign w:val="center"/>
            <w:hideMark/>
          </w:tcPr>
          <w:p w14:paraId="4C234486" w14:textId="77777777" w:rsidR="00CE1BDB" w:rsidRPr="00FA4DC7" w:rsidRDefault="00CE1BDB" w:rsidP="00625CD5">
            <w:pPr>
              <w:jc w:val="right"/>
              <w:rPr>
                <w:rFonts w:cs="Arial"/>
                <w:color w:val="000000"/>
                <w:sz w:val="22"/>
                <w:szCs w:val="22"/>
              </w:rPr>
            </w:pPr>
            <w:r w:rsidRPr="00FA4DC7">
              <w:rPr>
                <w:rFonts w:cs="Arial"/>
                <w:color w:val="000000"/>
                <w:sz w:val="22"/>
                <w:szCs w:val="22"/>
              </w:rPr>
              <w:t>8.0%</w:t>
            </w:r>
          </w:p>
        </w:tc>
        <w:tc>
          <w:tcPr>
            <w:tcW w:w="401" w:type="pct"/>
            <w:shd w:val="clear" w:color="auto" w:fill="auto"/>
            <w:noWrap/>
            <w:vAlign w:val="center"/>
            <w:hideMark/>
          </w:tcPr>
          <w:p w14:paraId="0008A3DF" w14:textId="77777777" w:rsidR="00CE1BDB" w:rsidRPr="00FA4DC7" w:rsidRDefault="00CE1BDB" w:rsidP="00625CD5">
            <w:pPr>
              <w:jc w:val="right"/>
              <w:rPr>
                <w:rFonts w:cs="Arial"/>
                <w:color w:val="000000"/>
                <w:sz w:val="22"/>
                <w:szCs w:val="22"/>
              </w:rPr>
            </w:pPr>
            <w:r w:rsidRPr="00FA4DC7">
              <w:rPr>
                <w:rFonts w:cs="Arial"/>
                <w:color w:val="000000"/>
                <w:sz w:val="22"/>
                <w:szCs w:val="22"/>
              </w:rPr>
              <w:t>6.1%</w:t>
            </w:r>
          </w:p>
        </w:tc>
        <w:tc>
          <w:tcPr>
            <w:tcW w:w="355" w:type="pct"/>
            <w:shd w:val="clear" w:color="auto" w:fill="auto"/>
            <w:noWrap/>
            <w:vAlign w:val="center"/>
            <w:hideMark/>
          </w:tcPr>
          <w:p w14:paraId="668357A9"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57C6CA55"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004D017D" w14:textId="77777777" w:rsidR="00CE1BDB" w:rsidRPr="00FA4DC7" w:rsidRDefault="00CE1BDB" w:rsidP="00625CD5">
            <w:pPr>
              <w:jc w:val="right"/>
              <w:rPr>
                <w:rFonts w:cs="Arial"/>
                <w:color w:val="000000"/>
                <w:sz w:val="22"/>
                <w:szCs w:val="22"/>
              </w:rPr>
            </w:pPr>
            <w:r w:rsidRPr="00FA4DC7">
              <w:rPr>
                <w:rFonts w:cs="Arial"/>
                <w:color w:val="000000"/>
                <w:sz w:val="22"/>
                <w:szCs w:val="22"/>
              </w:rPr>
              <w:t>£35,000</w:t>
            </w:r>
          </w:p>
        </w:tc>
        <w:tc>
          <w:tcPr>
            <w:tcW w:w="397" w:type="pct"/>
            <w:shd w:val="clear" w:color="auto" w:fill="auto"/>
            <w:noWrap/>
            <w:vAlign w:val="center"/>
            <w:hideMark/>
          </w:tcPr>
          <w:p w14:paraId="253ECD63" w14:textId="77777777" w:rsidR="00CE1BDB" w:rsidRPr="00FA4DC7" w:rsidRDefault="00CE1BDB" w:rsidP="00625CD5">
            <w:pPr>
              <w:jc w:val="right"/>
              <w:rPr>
                <w:rFonts w:cs="Arial"/>
                <w:color w:val="000000"/>
                <w:sz w:val="22"/>
                <w:szCs w:val="22"/>
              </w:rPr>
            </w:pPr>
            <w:r w:rsidRPr="00FA4DC7">
              <w:rPr>
                <w:rFonts w:cs="Arial"/>
                <w:color w:val="000000"/>
                <w:sz w:val="22"/>
                <w:szCs w:val="22"/>
              </w:rPr>
              <w:t>£35,882</w:t>
            </w:r>
          </w:p>
        </w:tc>
      </w:tr>
      <w:tr w:rsidR="00CE1BDB" w:rsidRPr="00FA4DC7" w14:paraId="730534D2" w14:textId="77777777" w:rsidTr="00625CD5">
        <w:trPr>
          <w:trHeight w:val="340"/>
        </w:trPr>
        <w:tc>
          <w:tcPr>
            <w:tcW w:w="1013" w:type="pct"/>
            <w:shd w:val="clear" w:color="auto" w:fill="auto"/>
            <w:noWrap/>
            <w:vAlign w:val="center"/>
            <w:hideMark/>
          </w:tcPr>
          <w:p w14:paraId="1B868D4E" w14:textId="77777777" w:rsidR="00CE1BDB" w:rsidRPr="00FA4DC7" w:rsidRDefault="00CE1BDB" w:rsidP="00625CD5">
            <w:pPr>
              <w:rPr>
                <w:rFonts w:cs="Arial"/>
                <w:color w:val="000000"/>
                <w:sz w:val="22"/>
                <w:szCs w:val="22"/>
              </w:rPr>
            </w:pPr>
            <w:r w:rsidRPr="00FA4DC7">
              <w:rPr>
                <w:rFonts w:cs="Arial"/>
                <w:color w:val="000000"/>
                <w:sz w:val="22"/>
                <w:szCs w:val="22"/>
              </w:rPr>
              <w:t xml:space="preserve">High </w:t>
            </w:r>
            <w:proofErr w:type="spellStart"/>
            <w:r w:rsidRPr="00FA4DC7">
              <w:rPr>
                <w:rFonts w:cs="Arial"/>
                <w:color w:val="000000"/>
                <w:sz w:val="22"/>
                <w:szCs w:val="22"/>
              </w:rPr>
              <w:t>Halstow</w:t>
            </w:r>
            <w:proofErr w:type="spellEnd"/>
          </w:p>
        </w:tc>
        <w:tc>
          <w:tcPr>
            <w:tcW w:w="333" w:type="pct"/>
            <w:shd w:val="clear" w:color="auto" w:fill="auto"/>
            <w:noWrap/>
            <w:vAlign w:val="center"/>
            <w:hideMark/>
          </w:tcPr>
          <w:p w14:paraId="13E7BA56" w14:textId="77777777" w:rsidR="00CE1BDB" w:rsidRPr="00FA4DC7" w:rsidRDefault="00CE1BDB" w:rsidP="00625CD5">
            <w:pPr>
              <w:jc w:val="right"/>
              <w:rPr>
                <w:rFonts w:cs="Arial"/>
                <w:color w:val="000000"/>
                <w:sz w:val="22"/>
                <w:szCs w:val="22"/>
              </w:rPr>
            </w:pPr>
            <w:r w:rsidRPr="00FA4DC7">
              <w:rPr>
                <w:rFonts w:cs="Arial"/>
                <w:color w:val="000000"/>
                <w:sz w:val="22"/>
                <w:szCs w:val="22"/>
              </w:rPr>
              <w:t>0.0%</w:t>
            </w:r>
          </w:p>
        </w:tc>
        <w:tc>
          <w:tcPr>
            <w:tcW w:w="363" w:type="pct"/>
            <w:shd w:val="clear" w:color="auto" w:fill="auto"/>
            <w:noWrap/>
            <w:vAlign w:val="center"/>
            <w:hideMark/>
          </w:tcPr>
          <w:p w14:paraId="3BE43648" w14:textId="77777777" w:rsidR="00CE1BDB" w:rsidRPr="00FA4DC7" w:rsidRDefault="00CE1BDB" w:rsidP="00625CD5">
            <w:pPr>
              <w:jc w:val="right"/>
              <w:rPr>
                <w:rFonts w:cs="Arial"/>
                <w:color w:val="000000"/>
                <w:sz w:val="22"/>
                <w:szCs w:val="22"/>
              </w:rPr>
            </w:pPr>
            <w:r w:rsidRPr="00FA4DC7">
              <w:rPr>
                <w:rFonts w:cs="Arial"/>
                <w:color w:val="000000"/>
                <w:sz w:val="22"/>
                <w:szCs w:val="22"/>
              </w:rPr>
              <w:t>9.8%</w:t>
            </w:r>
          </w:p>
        </w:tc>
        <w:tc>
          <w:tcPr>
            <w:tcW w:w="415" w:type="pct"/>
            <w:shd w:val="clear" w:color="auto" w:fill="auto"/>
            <w:noWrap/>
            <w:vAlign w:val="center"/>
            <w:hideMark/>
          </w:tcPr>
          <w:p w14:paraId="3D03351C" w14:textId="77777777" w:rsidR="00CE1BDB" w:rsidRPr="00FA4DC7" w:rsidRDefault="00CE1BDB" w:rsidP="00625CD5">
            <w:pPr>
              <w:jc w:val="right"/>
              <w:rPr>
                <w:rFonts w:cs="Arial"/>
                <w:color w:val="000000"/>
                <w:sz w:val="22"/>
                <w:szCs w:val="22"/>
              </w:rPr>
            </w:pPr>
            <w:r w:rsidRPr="00FA4DC7">
              <w:rPr>
                <w:rFonts w:cs="Arial"/>
                <w:color w:val="000000"/>
                <w:sz w:val="22"/>
                <w:szCs w:val="22"/>
              </w:rPr>
              <w:t>6.3%</w:t>
            </w:r>
          </w:p>
        </w:tc>
        <w:tc>
          <w:tcPr>
            <w:tcW w:w="308" w:type="pct"/>
            <w:shd w:val="clear" w:color="auto" w:fill="auto"/>
            <w:noWrap/>
            <w:vAlign w:val="center"/>
            <w:hideMark/>
          </w:tcPr>
          <w:p w14:paraId="3F193B8E" w14:textId="77777777" w:rsidR="00CE1BDB" w:rsidRPr="00FA4DC7" w:rsidRDefault="00CE1BDB" w:rsidP="00625CD5">
            <w:pPr>
              <w:jc w:val="right"/>
              <w:rPr>
                <w:rFonts w:cs="Arial"/>
                <w:color w:val="000000"/>
                <w:sz w:val="22"/>
                <w:szCs w:val="22"/>
              </w:rPr>
            </w:pPr>
            <w:r w:rsidRPr="00FA4DC7">
              <w:rPr>
                <w:rFonts w:cs="Arial"/>
                <w:color w:val="000000"/>
                <w:sz w:val="22"/>
                <w:szCs w:val="22"/>
              </w:rPr>
              <w:t>14.5%</w:t>
            </w:r>
          </w:p>
        </w:tc>
        <w:tc>
          <w:tcPr>
            <w:tcW w:w="308" w:type="pct"/>
            <w:shd w:val="clear" w:color="auto" w:fill="auto"/>
            <w:noWrap/>
            <w:vAlign w:val="center"/>
            <w:hideMark/>
          </w:tcPr>
          <w:p w14:paraId="460E7BE5" w14:textId="77777777" w:rsidR="00CE1BDB" w:rsidRPr="00FA4DC7" w:rsidRDefault="00CE1BDB" w:rsidP="00625CD5">
            <w:pPr>
              <w:jc w:val="right"/>
              <w:rPr>
                <w:rFonts w:cs="Arial"/>
                <w:color w:val="000000"/>
                <w:sz w:val="22"/>
                <w:szCs w:val="22"/>
              </w:rPr>
            </w:pPr>
            <w:r w:rsidRPr="00FA4DC7">
              <w:rPr>
                <w:rFonts w:cs="Arial"/>
                <w:color w:val="000000"/>
                <w:sz w:val="22"/>
                <w:szCs w:val="22"/>
              </w:rPr>
              <w:t>34.4%</w:t>
            </w:r>
          </w:p>
        </w:tc>
        <w:tc>
          <w:tcPr>
            <w:tcW w:w="308" w:type="pct"/>
            <w:shd w:val="clear" w:color="auto" w:fill="auto"/>
            <w:noWrap/>
            <w:vAlign w:val="center"/>
            <w:hideMark/>
          </w:tcPr>
          <w:p w14:paraId="34B3DAB5" w14:textId="77777777" w:rsidR="00CE1BDB" w:rsidRPr="00FA4DC7" w:rsidRDefault="00CE1BDB" w:rsidP="00625CD5">
            <w:pPr>
              <w:jc w:val="right"/>
              <w:rPr>
                <w:rFonts w:cs="Arial"/>
                <w:color w:val="000000"/>
                <w:sz w:val="22"/>
                <w:szCs w:val="22"/>
              </w:rPr>
            </w:pPr>
            <w:r w:rsidRPr="00FA4DC7">
              <w:rPr>
                <w:rFonts w:cs="Arial"/>
                <w:color w:val="000000"/>
                <w:sz w:val="22"/>
                <w:szCs w:val="22"/>
              </w:rPr>
              <w:t>34.0%</w:t>
            </w:r>
          </w:p>
        </w:tc>
        <w:tc>
          <w:tcPr>
            <w:tcW w:w="401" w:type="pct"/>
            <w:shd w:val="clear" w:color="auto" w:fill="auto"/>
            <w:noWrap/>
            <w:vAlign w:val="center"/>
            <w:hideMark/>
          </w:tcPr>
          <w:p w14:paraId="72DA1569" w14:textId="77777777" w:rsidR="00CE1BDB" w:rsidRPr="00FA4DC7" w:rsidRDefault="00CE1BDB" w:rsidP="00625CD5">
            <w:pPr>
              <w:jc w:val="right"/>
              <w:rPr>
                <w:rFonts w:cs="Arial"/>
                <w:color w:val="000000"/>
                <w:sz w:val="22"/>
                <w:szCs w:val="22"/>
              </w:rPr>
            </w:pPr>
            <w:r w:rsidRPr="00FA4DC7">
              <w:rPr>
                <w:rFonts w:cs="Arial"/>
                <w:color w:val="000000"/>
                <w:sz w:val="22"/>
                <w:szCs w:val="22"/>
              </w:rPr>
              <w:t>1.0%</w:t>
            </w:r>
          </w:p>
        </w:tc>
        <w:tc>
          <w:tcPr>
            <w:tcW w:w="355" w:type="pct"/>
            <w:shd w:val="clear" w:color="auto" w:fill="auto"/>
            <w:noWrap/>
            <w:vAlign w:val="center"/>
            <w:hideMark/>
          </w:tcPr>
          <w:p w14:paraId="33745E2C"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124D8FBC" w14:textId="77777777" w:rsidR="00CE1BDB" w:rsidRPr="00FA4DC7" w:rsidRDefault="00CE1BDB" w:rsidP="00625CD5">
            <w:pPr>
              <w:jc w:val="right"/>
              <w:rPr>
                <w:rFonts w:cs="Arial"/>
                <w:color w:val="000000"/>
                <w:sz w:val="22"/>
                <w:szCs w:val="22"/>
              </w:rPr>
            </w:pPr>
            <w:r w:rsidRPr="00FA4DC7">
              <w:rPr>
                <w:rFonts w:cs="Arial"/>
                <w:color w:val="000000"/>
                <w:sz w:val="22"/>
                <w:szCs w:val="22"/>
              </w:rPr>
              <w:t>£35,000</w:t>
            </w:r>
          </w:p>
        </w:tc>
        <w:tc>
          <w:tcPr>
            <w:tcW w:w="388" w:type="pct"/>
            <w:shd w:val="clear" w:color="auto" w:fill="auto"/>
            <w:noWrap/>
            <w:vAlign w:val="center"/>
            <w:hideMark/>
          </w:tcPr>
          <w:p w14:paraId="448FD94B" w14:textId="77777777" w:rsidR="00CE1BDB" w:rsidRPr="00FA4DC7" w:rsidRDefault="00CE1BDB" w:rsidP="00625CD5">
            <w:pPr>
              <w:jc w:val="right"/>
              <w:rPr>
                <w:rFonts w:cs="Arial"/>
                <w:color w:val="000000"/>
                <w:sz w:val="22"/>
                <w:szCs w:val="22"/>
              </w:rPr>
            </w:pPr>
            <w:r w:rsidRPr="00FA4DC7">
              <w:rPr>
                <w:rFonts w:cs="Arial"/>
                <w:color w:val="000000"/>
                <w:sz w:val="22"/>
                <w:szCs w:val="22"/>
              </w:rPr>
              <w:t>£45,000</w:t>
            </w:r>
          </w:p>
        </w:tc>
        <w:tc>
          <w:tcPr>
            <w:tcW w:w="397" w:type="pct"/>
            <w:shd w:val="clear" w:color="auto" w:fill="auto"/>
            <w:noWrap/>
            <w:vAlign w:val="center"/>
            <w:hideMark/>
          </w:tcPr>
          <w:p w14:paraId="5D8FDC59" w14:textId="77777777" w:rsidR="00CE1BDB" w:rsidRPr="00FA4DC7" w:rsidRDefault="00CE1BDB" w:rsidP="00625CD5">
            <w:pPr>
              <w:jc w:val="right"/>
              <w:rPr>
                <w:rFonts w:cs="Arial"/>
                <w:color w:val="000000"/>
                <w:sz w:val="22"/>
                <w:szCs w:val="22"/>
              </w:rPr>
            </w:pPr>
            <w:r w:rsidRPr="00FA4DC7">
              <w:rPr>
                <w:rFonts w:cs="Arial"/>
                <w:color w:val="000000"/>
                <w:sz w:val="22"/>
                <w:szCs w:val="22"/>
              </w:rPr>
              <w:t>£44,192</w:t>
            </w:r>
          </w:p>
        </w:tc>
      </w:tr>
      <w:tr w:rsidR="00CE1BDB" w:rsidRPr="00FA4DC7" w14:paraId="4D59E9E2" w14:textId="77777777" w:rsidTr="00625CD5">
        <w:trPr>
          <w:trHeight w:val="340"/>
        </w:trPr>
        <w:tc>
          <w:tcPr>
            <w:tcW w:w="1013" w:type="pct"/>
            <w:shd w:val="clear" w:color="auto" w:fill="auto"/>
            <w:noWrap/>
            <w:vAlign w:val="center"/>
            <w:hideMark/>
          </w:tcPr>
          <w:p w14:paraId="29C84B1C" w14:textId="77777777" w:rsidR="00CE1BDB" w:rsidRPr="00FA4DC7" w:rsidRDefault="00CE1BDB" w:rsidP="00625CD5">
            <w:pPr>
              <w:rPr>
                <w:rFonts w:cs="Arial"/>
                <w:color w:val="000000"/>
                <w:sz w:val="22"/>
                <w:szCs w:val="22"/>
              </w:rPr>
            </w:pPr>
            <w:proofErr w:type="spellStart"/>
            <w:r w:rsidRPr="00FA4DC7">
              <w:rPr>
                <w:rFonts w:cs="Arial"/>
                <w:color w:val="000000"/>
                <w:sz w:val="22"/>
                <w:szCs w:val="22"/>
              </w:rPr>
              <w:t>Hoo</w:t>
            </w:r>
            <w:proofErr w:type="spellEnd"/>
            <w:r w:rsidRPr="00FA4DC7">
              <w:rPr>
                <w:rFonts w:cs="Arial"/>
                <w:color w:val="000000"/>
                <w:sz w:val="22"/>
                <w:szCs w:val="22"/>
              </w:rPr>
              <w:t xml:space="preserve"> St </w:t>
            </w:r>
            <w:proofErr w:type="spellStart"/>
            <w:r w:rsidRPr="00FA4DC7">
              <w:rPr>
                <w:rFonts w:cs="Arial"/>
                <w:color w:val="000000"/>
                <w:sz w:val="22"/>
                <w:szCs w:val="22"/>
              </w:rPr>
              <w:t>Werburgh</w:t>
            </w:r>
            <w:proofErr w:type="spellEnd"/>
            <w:r w:rsidRPr="00FA4DC7">
              <w:rPr>
                <w:rFonts w:cs="Arial"/>
                <w:color w:val="000000"/>
                <w:sz w:val="22"/>
                <w:szCs w:val="22"/>
              </w:rPr>
              <w:t>/Rural Town</w:t>
            </w:r>
          </w:p>
        </w:tc>
        <w:tc>
          <w:tcPr>
            <w:tcW w:w="333" w:type="pct"/>
            <w:shd w:val="clear" w:color="auto" w:fill="auto"/>
            <w:noWrap/>
            <w:vAlign w:val="center"/>
            <w:hideMark/>
          </w:tcPr>
          <w:p w14:paraId="03F63D87" w14:textId="77777777" w:rsidR="00CE1BDB" w:rsidRPr="00FA4DC7" w:rsidRDefault="00CE1BDB" w:rsidP="00625CD5">
            <w:pPr>
              <w:jc w:val="right"/>
              <w:rPr>
                <w:rFonts w:cs="Arial"/>
                <w:color w:val="000000"/>
                <w:sz w:val="22"/>
                <w:szCs w:val="22"/>
              </w:rPr>
            </w:pPr>
            <w:r w:rsidRPr="00FA4DC7">
              <w:rPr>
                <w:rFonts w:cs="Arial"/>
                <w:color w:val="000000"/>
                <w:sz w:val="22"/>
                <w:szCs w:val="22"/>
              </w:rPr>
              <w:t>0.3%</w:t>
            </w:r>
          </w:p>
        </w:tc>
        <w:tc>
          <w:tcPr>
            <w:tcW w:w="363" w:type="pct"/>
            <w:shd w:val="clear" w:color="auto" w:fill="auto"/>
            <w:noWrap/>
            <w:vAlign w:val="center"/>
            <w:hideMark/>
          </w:tcPr>
          <w:p w14:paraId="18A31B0B" w14:textId="77777777" w:rsidR="00CE1BDB" w:rsidRPr="00FA4DC7" w:rsidRDefault="00CE1BDB" w:rsidP="00625CD5">
            <w:pPr>
              <w:jc w:val="right"/>
              <w:rPr>
                <w:rFonts w:cs="Arial"/>
                <w:color w:val="000000"/>
                <w:sz w:val="22"/>
                <w:szCs w:val="22"/>
              </w:rPr>
            </w:pPr>
            <w:r w:rsidRPr="00FA4DC7">
              <w:rPr>
                <w:rFonts w:cs="Arial"/>
                <w:color w:val="000000"/>
                <w:sz w:val="22"/>
                <w:szCs w:val="22"/>
              </w:rPr>
              <w:t>11.5%</w:t>
            </w:r>
          </w:p>
        </w:tc>
        <w:tc>
          <w:tcPr>
            <w:tcW w:w="415" w:type="pct"/>
            <w:shd w:val="clear" w:color="auto" w:fill="auto"/>
            <w:noWrap/>
            <w:vAlign w:val="center"/>
            <w:hideMark/>
          </w:tcPr>
          <w:p w14:paraId="445134E9" w14:textId="77777777" w:rsidR="00CE1BDB" w:rsidRPr="00FA4DC7" w:rsidRDefault="00CE1BDB" w:rsidP="00625CD5">
            <w:pPr>
              <w:jc w:val="right"/>
              <w:rPr>
                <w:rFonts w:cs="Arial"/>
                <w:color w:val="000000"/>
                <w:sz w:val="22"/>
                <w:szCs w:val="22"/>
              </w:rPr>
            </w:pPr>
            <w:r w:rsidRPr="00FA4DC7">
              <w:rPr>
                <w:rFonts w:cs="Arial"/>
                <w:color w:val="000000"/>
                <w:sz w:val="22"/>
                <w:szCs w:val="22"/>
              </w:rPr>
              <w:t>48.9%</w:t>
            </w:r>
          </w:p>
        </w:tc>
        <w:tc>
          <w:tcPr>
            <w:tcW w:w="308" w:type="pct"/>
            <w:shd w:val="clear" w:color="auto" w:fill="auto"/>
            <w:noWrap/>
            <w:vAlign w:val="center"/>
            <w:hideMark/>
          </w:tcPr>
          <w:p w14:paraId="7A67A628" w14:textId="77777777" w:rsidR="00CE1BDB" w:rsidRPr="00FA4DC7" w:rsidRDefault="00CE1BDB" w:rsidP="00625CD5">
            <w:pPr>
              <w:jc w:val="right"/>
              <w:rPr>
                <w:rFonts w:cs="Arial"/>
                <w:color w:val="000000"/>
                <w:sz w:val="22"/>
                <w:szCs w:val="22"/>
              </w:rPr>
            </w:pPr>
            <w:r w:rsidRPr="00FA4DC7">
              <w:rPr>
                <w:rFonts w:cs="Arial"/>
                <w:color w:val="000000"/>
                <w:sz w:val="22"/>
                <w:szCs w:val="22"/>
              </w:rPr>
              <w:t>33.9%</w:t>
            </w:r>
          </w:p>
        </w:tc>
        <w:tc>
          <w:tcPr>
            <w:tcW w:w="308" w:type="pct"/>
            <w:shd w:val="clear" w:color="auto" w:fill="auto"/>
            <w:noWrap/>
            <w:vAlign w:val="center"/>
            <w:hideMark/>
          </w:tcPr>
          <w:p w14:paraId="755E52BA" w14:textId="77777777" w:rsidR="00CE1BDB" w:rsidRPr="00FA4DC7" w:rsidRDefault="00CE1BDB" w:rsidP="00625CD5">
            <w:pPr>
              <w:jc w:val="right"/>
              <w:rPr>
                <w:rFonts w:cs="Arial"/>
                <w:color w:val="000000"/>
                <w:sz w:val="22"/>
                <w:szCs w:val="22"/>
              </w:rPr>
            </w:pPr>
            <w:r w:rsidRPr="00FA4DC7">
              <w:rPr>
                <w:rFonts w:cs="Arial"/>
                <w:color w:val="000000"/>
                <w:sz w:val="22"/>
                <w:szCs w:val="22"/>
              </w:rPr>
              <w:t>1.1%</w:t>
            </w:r>
          </w:p>
        </w:tc>
        <w:tc>
          <w:tcPr>
            <w:tcW w:w="308" w:type="pct"/>
            <w:shd w:val="clear" w:color="auto" w:fill="auto"/>
            <w:noWrap/>
            <w:vAlign w:val="center"/>
            <w:hideMark/>
          </w:tcPr>
          <w:p w14:paraId="3E988FB3" w14:textId="77777777" w:rsidR="00CE1BDB" w:rsidRPr="00FA4DC7" w:rsidRDefault="00CE1BDB" w:rsidP="00625CD5">
            <w:pPr>
              <w:jc w:val="right"/>
              <w:rPr>
                <w:rFonts w:cs="Arial"/>
                <w:color w:val="000000"/>
                <w:sz w:val="22"/>
                <w:szCs w:val="22"/>
              </w:rPr>
            </w:pPr>
            <w:r w:rsidRPr="00FA4DC7">
              <w:rPr>
                <w:rFonts w:cs="Arial"/>
                <w:color w:val="000000"/>
                <w:sz w:val="22"/>
                <w:szCs w:val="22"/>
              </w:rPr>
              <w:t>3.5%</w:t>
            </w:r>
          </w:p>
        </w:tc>
        <w:tc>
          <w:tcPr>
            <w:tcW w:w="401" w:type="pct"/>
            <w:shd w:val="clear" w:color="auto" w:fill="auto"/>
            <w:noWrap/>
            <w:vAlign w:val="center"/>
            <w:hideMark/>
          </w:tcPr>
          <w:p w14:paraId="7DCD8FAE" w14:textId="77777777" w:rsidR="00CE1BDB" w:rsidRPr="00FA4DC7" w:rsidRDefault="00CE1BDB" w:rsidP="00625CD5">
            <w:pPr>
              <w:jc w:val="right"/>
              <w:rPr>
                <w:rFonts w:cs="Arial"/>
                <w:color w:val="000000"/>
                <w:sz w:val="22"/>
                <w:szCs w:val="22"/>
              </w:rPr>
            </w:pPr>
            <w:r w:rsidRPr="00FA4DC7">
              <w:rPr>
                <w:rFonts w:cs="Arial"/>
                <w:color w:val="000000"/>
                <w:sz w:val="22"/>
                <w:szCs w:val="22"/>
              </w:rPr>
              <w:t>0.8%</w:t>
            </w:r>
          </w:p>
        </w:tc>
        <w:tc>
          <w:tcPr>
            <w:tcW w:w="355" w:type="pct"/>
            <w:shd w:val="clear" w:color="auto" w:fill="auto"/>
            <w:noWrap/>
            <w:vAlign w:val="center"/>
            <w:hideMark/>
          </w:tcPr>
          <w:p w14:paraId="520DF541"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7C869FF1"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53B2DEE1"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97" w:type="pct"/>
            <w:shd w:val="clear" w:color="auto" w:fill="auto"/>
            <w:noWrap/>
            <w:vAlign w:val="center"/>
            <w:hideMark/>
          </w:tcPr>
          <w:p w14:paraId="101D412C" w14:textId="77777777" w:rsidR="00CE1BDB" w:rsidRPr="00FA4DC7" w:rsidRDefault="00CE1BDB" w:rsidP="00625CD5">
            <w:pPr>
              <w:jc w:val="right"/>
              <w:rPr>
                <w:rFonts w:cs="Arial"/>
                <w:color w:val="000000"/>
                <w:sz w:val="22"/>
                <w:szCs w:val="22"/>
              </w:rPr>
            </w:pPr>
            <w:r w:rsidRPr="00FA4DC7">
              <w:rPr>
                <w:rFonts w:cs="Arial"/>
                <w:color w:val="000000"/>
                <w:sz w:val="22"/>
                <w:szCs w:val="22"/>
              </w:rPr>
              <w:t>£30,190</w:t>
            </w:r>
          </w:p>
        </w:tc>
      </w:tr>
      <w:tr w:rsidR="00CE1BDB" w:rsidRPr="00FA4DC7" w14:paraId="3E7794BF" w14:textId="77777777" w:rsidTr="00625CD5">
        <w:trPr>
          <w:trHeight w:val="340"/>
        </w:trPr>
        <w:tc>
          <w:tcPr>
            <w:tcW w:w="1013" w:type="pct"/>
            <w:shd w:val="clear" w:color="auto" w:fill="auto"/>
            <w:noWrap/>
            <w:vAlign w:val="center"/>
            <w:hideMark/>
          </w:tcPr>
          <w:p w14:paraId="0D6E6616" w14:textId="77777777" w:rsidR="00CE1BDB" w:rsidRPr="00FA4DC7" w:rsidRDefault="00CE1BDB" w:rsidP="00625CD5">
            <w:pPr>
              <w:rPr>
                <w:rFonts w:cs="Arial"/>
                <w:color w:val="000000"/>
                <w:sz w:val="22"/>
                <w:szCs w:val="22"/>
              </w:rPr>
            </w:pPr>
            <w:r w:rsidRPr="00FA4DC7">
              <w:rPr>
                <w:rFonts w:cs="Arial"/>
                <w:color w:val="000000" w:themeColor="text1"/>
                <w:sz w:val="22"/>
                <w:szCs w:val="22"/>
              </w:rPr>
              <w:t xml:space="preserve"> Arches (Chatham)</w:t>
            </w:r>
          </w:p>
        </w:tc>
        <w:tc>
          <w:tcPr>
            <w:tcW w:w="333" w:type="pct"/>
            <w:shd w:val="clear" w:color="auto" w:fill="auto"/>
            <w:noWrap/>
            <w:vAlign w:val="center"/>
            <w:hideMark/>
          </w:tcPr>
          <w:p w14:paraId="5F4F0B71" w14:textId="77777777" w:rsidR="00CE1BDB" w:rsidRPr="00FA4DC7" w:rsidRDefault="00CE1BDB" w:rsidP="00625CD5">
            <w:pPr>
              <w:jc w:val="right"/>
              <w:rPr>
                <w:rFonts w:cs="Arial"/>
                <w:color w:val="000000"/>
                <w:sz w:val="22"/>
                <w:szCs w:val="22"/>
              </w:rPr>
            </w:pPr>
            <w:r w:rsidRPr="00FA4DC7">
              <w:rPr>
                <w:rFonts w:cs="Arial"/>
                <w:color w:val="000000"/>
                <w:sz w:val="22"/>
                <w:szCs w:val="22"/>
              </w:rPr>
              <w:t>1.3%</w:t>
            </w:r>
          </w:p>
        </w:tc>
        <w:tc>
          <w:tcPr>
            <w:tcW w:w="363" w:type="pct"/>
            <w:shd w:val="clear" w:color="auto" w:fill="auto"/>
            <w:noWrap/>
            <w:vAlign w:val="center"/>
            <w:hideMark/>
          </w:tcPr>
          <w:p w14:paraId="7676E9C1" w14:textId="77777777" w:rsidR="00CE1BDB" w:rsidRPr="00FA4DC7" w:rsidRDefault="00CE1BDB" w:rsidP="00625CD5">
            <w:pPr>
              <w:jc w:val="right"/>
              <w:rPr>
                <w:rFonts w:cs="Arial"/>
                <w:color w:val="000000"/>
                <w:sz w:val="22"/>
                <w:szCs w:val="22"/>
              </w:rPr>
            </w:pPr>
            <w:r w:rsidRPr="00FA4DC7">
              <w:rPr>
                <w:rFonts w:cs="Arial"/>
                <w:color w:val="000000"/>
                <w:sz w:val="22"/>
                <w:szCs w:val="22"/>
              </w:rPr>
              <w:t>30.3%</w:t>
            </w:r>
          </w:p>
        </w:tc>
        <w:tc>
          <w:tcPr>
            <w:tcW w:w="415" w:type="pct"/>
            <w:shd w:val="clear" w:color="auto" w:fill="auto"/>
            <w:noWrap/>
            <w:vAlign w:val="center"/>
            <w:hideMark/>
          </w:tcPr>
          <w:p w14:paraId="4AF28D0B" w14:textId="77777777" w:rsidR="00CE1BDB" w:rsidRPr="00FA4DC7" w:rsidRDefault="00CE1BDB" w:rsidP="00625CD5">
            <w:pPr>
              <w:jc w:val="right"/>
              <w:rPr>
                <w:rFonts w:cs="Arial"/>
                <w:color w:val="000000"/>
                <w:sz w:val="22"/>
                <w:szCs w:val="22"/>
              </w:rPr>
            </w:pPr>
            <w:r w:rsidRPr="00FA4DC7">
              <w:rPr>
                <w:rFonts w:cs="Arial"/>
                <w:color w:val="000000"/>
                <w:sz w:val="22"/>
                <w:szCs w:val="22"/>
              </w:rPr>
              <w:t>45.6%</w:t>
            </w:r>
          </w:p>
        </w:tc>
        <w:tc>
          <w:tcPr>
            <w:tcW w:w="308" w:type="pct"/>
            <w:shd w:val="clear" w:color="auto" w:fill="auto"/>
            <w:noWrap/>
            <w:vAlign w:val="center"/>
            <w:hideMark/>
          </w:tcPr>
          <w:p w14:paraId="5619C99E" w14:textId="77777777" w:rsidR="00CE1BDB" w:rsidRPr="00FA4DC7" w:rsidRDefault="00CE1BDB" w:rsidP="00625CD5">
            <w:pPr>
              <w:jc w:val="right"/>
              <w:rPr>
                <w:rFonts w:cs="Arial"/>
                <w:color w:val="000000"/>
                <w:sz w:val="22"/>
                <w:szCs w:val="22"/>
              </w:rPr>
            </w:pPr>
            <w:r w:rsidRPr="00FA4DC7">
              <w:rPr>
                <w:rFonts w:cs="Arial"/>
                <w:color w:val="000000"/>
                <w:sz w:val="22"/>
                <w:szCs w:val="22"/>
              </w:rPr>
              <w:t>18.9%</w:t>
            </w:r>
          </w:p>
        </w:tc>
        <w:tc>
          <w:tcPr>
            <w:tcW w:w="308" w:type="pct"/>
            <w:shd w:val="clear" w:color="auto" w:fill="auto"/>
            <w:noWrap/>
            <w:vAlign w:val="center"/>
            <w:hideMark/>
          </w:tcPr>
          <w:p w14:paraId="36589E72" w14:textId="77777777" w:rsidR="00CE1BDB" w:rsidRPr="00FA4DC7" w:rsidRDefault="00CE1BDB" w:rsidP="00625CD5">
            <w:pPr>
              <w:jc w:val="right"/>
              <w:rPr>
                <w:rFonts w:cs="Arial"/>
                <w:color w:val="000000"/>
                <w:sz w:val="22"/>
                <w:szCs w:val="22"/>
              </w:rPr>
            </w:pPr>
            <w:r w:rsidRPr="00FA4DC7">
              <w:rPr>
                <w:rFonts w:cs="Arial"/>
                <w:color w:val="000000"/>
                <w:sz w:val="22"/>
                <w:szCs w:val="22"/>
              </w:rPr>
              <w:t>3.7%</w:t>
            </w:r>
          </w:p>
        </w:tc>
        <w:tc>
          <w:tcPr>
            <w:tcW w:w="308" w:type="pct"/>
            <w:shd w:val="clear" w:color="auto" w:fill="auto"/>
            <w:noWrap/>
            <w:vAlign w:val="center"/>
            <w:hideMark/>
          </w:tcPr>
          <w:p w14:paraId="00C35269" w14:textId="77777777" w:rsidR="00CE1BDB" w:rsidRPr="00FA4DC7" w:rsidRDefault="00CE1BDB" w:rsidP="00625CD5">
            <w:pPr>
              <w:jc w:val="right"/>
              <w:rPr>
                <w:rFonts w:cs="Arial"/>
                <w:color w:val="000000"/>
                <w:sz w:val="22"/>
                <w:szCs w:val="22"/>
              </w:rPr>
            </w:pPr>
            <w:r w:rsidRPr="00FA4DC7">
              <w:rPr>
                <w:rFonts w:cs="Arial"/>
                <w:color w:val="000000"/>
                <w:sz w:val="22"/>
                <w:szCs w:val="22"/>
              </w:rPr>
              <w:t>0.3%</w:t>
            </w:r>
          </w:p>
        </w:tc>
        <w:tc>
          <w:tcPr>
            <w:tcW w:w="401" w:type="pct"/>
            <w:shd w:val="clear" w:color="auto" w:fill="auto"/>
            <w:noWrap/>
            <w:vAlign w:val="center"/>
            <w:hideMark/>
          </w:tcPr>
          <w:p w14:paraId="603D3533" w14:textId="77777777" w:rsidR="00CE1BDB" w:rsidRPr="00FA4DC7" w:rsidRDefault="00CE1BDB" w:rsidP="00625CD5">
            <w:pPr>
              <w:jc w:val="right"/>
              <w:rPr>
                <w:rFonts w:cs="Arial"/>
                <w:color w:val="000000"/>
                <w:sz w:val="22"/>
                <w:szCs w:val="22"/>
              </w:rPr>
            </w:pPr>
            <w:r w:rsidRPr="00FA4DC7">
              <w:rPr>
                <w:rFonts w:cs="Arial"/>
                <w:color w:val="000000"/>
                <w:sz w:val="22"/>
                <w:szCs w:val="22"/>
              </w:rPr>
              <w:t>0.0%</w:t>
            </w:r>
          </w:p>
        </w:tc>
        <w:tc>
          <w:tcPr>
            <w:tcW w:w="355" w:type="pct"/>
            <w:shd w:val="clear" w:color="auto" w:fill="auto"/>
            <w:noWrap/>
            <w:vAlign w:val="center"/>
            <w:hideMark/>
          </w:tcPr>
          <w:p w14:paraId="272EC211" w14:textId="77777777" w:rsidR="00CE1BDB" w:rsidRPr="00FA4DC7" w:rsidRDefault="00CE1BDB" w:rsidP="00625CD5">
            <w:pPr>
              <w:jc w:val="right"/>
              <w:rPr>
                <w:rFonts w:cs="Arial"/>
                <w:color w:val="000000"/>
                <w:sz w:val="22"/>
                <w:szCs w:val="22"/>
              </w:rPr>
            </w:pPr>
            <w:r w:rsidRPr="00FA4DC7">
              <w:rPr>
                <w:rFonts w:cs="Arial"/>
                <w:color w:val="000000"/>
                <w:sz w:val="22"/>
                <w:szCs w:val="22"/>
              </w:rPr>
              <w:t>100.0%</w:t>
            </w:r>
          </w:p>
        </w:tc>
        <w:tc>
          <w:tcPr>
            <w:tcW w:w="411" w:type="pct"/>
            <w:shd w:val="clear" w:color="auto" w:fill="auto"/>
            <w:noWrap/>
            <w:vAlign w:val="center"/>
            <w:hideMark/>
          </w:tcPr>
          <w:p w14:paraId="47D7D1A1"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88" w:type="pct"/>
            <w:shd w:val="clear" w:color="auto" w:fill="auto"/>
            <w:noWrap/>
            <w:vAlign w:val="center"/>
            <w:hideMark/>
          </w:tcPr>
          <w:p w14:paraId="3D91E3F5" w14:textId="77777777" w:rsidR="00CE1BDB" w:rsidRPr="00FA4DC7" w:rsidRDefault="00CE1BDB" w:rsidP="00625CD5">
            <w:pPr>
              <w:jc w:val="right"/>
              <w:rPr>
                <w:rFonts w:cs="Arial"/>
                <w:color w:val="000000"/>
                <w:sz w:val="22"/>
                <w:szCs w:val="22"/>
              </w:rPr>
            </w:pPr>
            <w:r w:rsidRPr="00FA4DC7">
              <w:rPr>
                <w:rFonts w:cs="Arial"/>
                <w:color w:val="000000"/>
                <w:sz w:val="22"/>
                <w:szCs w:val="22"/>
              </w:rPr>
              <w:t>£25,000</w:t>
            </w:r>
          </w:p>
        </w:tc>
        <w:tc>
          <w:tcPr>
            <w:tcW w:w="397" w:type="pct"/>
            <w:shd w:val="clear" w:color="auto" w:fill="auto"/>
            <w:noWrap/>
            <w:vAlign w:val="center"/>
            <w:hideMark/>
          </w:tcPr>
          <w:p w14:paraId="20E2F902" w14:textId="77777777" w:rsidR="00CE1BDB" w:rsidRPr="00FA4DC7" w:rsidRDefault="00CE1BDB" w:rsidP="00625CD5">
            <w:pPr>
              <w:jc w:val="right"/>
              <w:rPr>
                <w:rFonts w:cs="Arial"/>
                <w:color w:val="000000"/>
                <w:sz w:val="22"/>
                <w:szCs w:val="22"/>
              </w:rPr>
            </w:pPr>
            <w:r w:rsidRPr="00FA4DC7">
              <w:rPr>
                <w:rFonts w:cs="Arial"/>
                <w:color w:val="000000"/>
                <w:sz w:val="22"/>
                <w:szCs w:val="22"/>
              </w:rPr>
              <w:t>£28,657</w:t>
            </w:r>
          </w:p>
        </w:tc>
      </w:tr>
    </w:tbl>
    <w:p w14:paraId="0C92471F" w14:textId="77777777" w:rsidR="00CE1BDB" w:rsidRPr="00FA4DC7" w:rsidRDefault="00CE1BDB" w:rsidP="00CE1BDB">
      <w:pPr>
        <w:rPr>
          <w:rFonts w:cs="Arial"/>
          <w:sz w:val="20"/>
          <w:szCs w:val="20"/>
          <w:highlight w:val="yellow"/>
        </w:rPr>
      </w:pPr>
    </w:p>
    <w:p w14:paraId="62BF1AAB" w14:textId="77777777" w:rsidR="00CE1BDB" w:rsidRPr="00FA4DC7" w:rsidRDefault="00CE1BDB" w:rsidP="00CE1BDB">
      <w:pPr>
        <w:rPr>
          <w:rFonts w:cs="Arial"/>
          <w:sz w:val="20"/>
          <w:szCs w:val="20"/>
          <w:highlight w:val="yellow"/>
        </w:rPr>
      </w:pPr>
    </w:p>
    <w:p w14:paraId="586F0AFB" w14:textId="1524F733" w:rsidR="00CE1BDB" w:rsidRPr="00FA4DC7" w:rsidRDefault="00CE1BDB" w:rsidP="00CE1BDB">
      <w:pPr>
        <w:rPr>
          <w:rFonts w:cs="Arial"/>
          <w:sz w:val="20"/>
          <w:szCs w:val="20"/>
          <w:highlight w:val="yellow"/>
        </w:rPr>
      </w:pPr>
    </w:p>
    <w:p w14:paraId="37051880" w14:textId="77777777" w:rsidR="00CE1BDB" w:rsidRPr="00FA4DC7" w:rsidRDefault="00CE1BDB" w:rsidP="00CE1BDB">
      <w:pPr>
        <w:rPr>
          <w:rFonts w:cs="Arial"/>
          <w:highlight w:val="yellow"/>
        </w:rPr>
        <w:sectPr w:rsidR="00CE1BDB" w:rsidRPr="00FA4DC7" w:rsidSect="00EF49A7">
          <w:pgSz w:w="16840" w:h="11907" w:orient="landscape" w:code="9"/>
          <w:pgMar w:top="1304" w:right="1559" w:bottom="1304" w:left="1304" w:header="720" w:footer="567" w:gutter="0"/>
          <w:cols w:space="708"/>
          <w:noEndnote/>
          <w:docGrid w:linePitch="326"/>
        </w:sectPr>
      </w:pPr>
    </w:p>
    <w:p w14:paraId="5989ADC1" w14:textId="77777777" w:rsidR="00CE1BDB" w:rsidRPr="00FA4DC7" w:rsidRDefault="00CE1BDB" w:rsidP="00CE1BDB">
      <w:pPr>
        <w:pStyle w:val="Heading2"/>
        <w:ind w:left="720" w:hanging="11"/>
        <w:rPr>
          <w:rFonts w:cs="Arial"/>
        </w:rPr>
      </w:pPr>
      <w:bookmarkStart w:id="196" w:name="_Toc46497067"/>
      <w:bookmarkStart w:id="197" w:name="_Toc54621861"/>
      <w:bookmarkStart w:id="198" w:name="_Toc83035653"/>
      <w:r w:rsidRPr="00FA4DC7">
        <w:rPr>
          <w:rFonts w:cs="Arial"/>
        </w:rPr>
        <w:lastRenderedPageBreak/>
        <w:t>Summary</w:t>
      </w:r>
      <w:bookmarkEnd w:id="196"/>
      <w:bookmarkEnd w:id="197"/>
      <w:bookmarkEnd w:id="198"/>
    </w:p>
    <w:p w14:paraId="11DBBB5A" w14:textId="77777777" w:rsidR="00CE1BDB" w:rsidRPr="00FA4DC7" w:rsidRDefault="00CE1BDB" w:rsidP="00CE1BDB">
      <w:pPr>
        <w:pStyle w:val="Reporttext"/>
        <w:rPr>
          <w:rFonts w:cs="Arial"/>
        </w:rPr>
      </w:pPr>
      <w:r w:rsidRPr="00FA4DC7">
        <w:rPr>
          <w:rFonts w:cs="Arial"/>
        </w:rPr>
        <w:t xml:space="preserve">Across Medway there are an estimated </w:t>
      </w:r>
      <w:proofErr w:type="gramStart"/>
      <w:r w:rsidRPr="00FA4DC7">
        <w:rPr>
          <w:rFonts w:cs="Arial"/>
        </w:rPr>
        <w:t>115,153  dwellings</w:t>
      </w:r>
      <w:proofErr w:type="gramEnd"/>
      <w:r w:rsidRPr="00FA4DC7">
        <w:rPr>
          <w:rFonts w:cs="Arial"/>
        </w:rPr>
        <w:t xml:space="preserve"> and 112,443  households and 3.1% of dwellings are vacant. </w:t>
      </w:r>
    </w:p>
    <w:p w14:paraId="35AF374D" w14:textId="77777777" w:rsidR="00CE1BDB" w:rsidRPr="00FA4DC7" w:rsidRDefault="00CE1BDB" w:rsidP="00CE1BDB">
      <w:pPr>
        <w:pStyle w:val="Reporttext"/>
        <w:rPr>
          <w:rFonts w:cs="Arial"/>
        </w:rPr>
      </w:pPr>
      <w:r w:rsidRPr="00FA4DC7">
        <w:rPr>
          <w:rFonts w:cs="Arial"/>
        </w:rPr>
        <w:t xml:space="preserve">In terms of occupied dwelling stock: </w:t>
      </w:r>
    </w:p>
    <w:p w14:paraId="1DE94304" w14:textId="77777777" w:rsidR="00CE1BDB" w:rsidRPr="00FA4DC7" w:rsidRDefault="00CE1BDB" w:rsidP="00CE1BDB">
      <w:pPr>
        <w:pStyle w:val="bullet"/>
        <w:rPr>
          <w:rFonts w:cs="Arial"/>
        </w:rPr>
      </w:pPr>
      <w:r w:rsidRPr="00FA4DC7">
        <w:rPr>
          <w:rFonts w:cs="Arial"/>
        </w:rPr>
        <w:t>67.7% of occupied dwellings are owner occupied, 18.1% are private rented and 14.2% are affordable (including social/affordable renting and shared ownership</w:t>
      </w:r>
      <w:proofErr w:type="gramStart"/>
      <w:r w:rsidRPr="00FA4DC7">
        <w:rPr>
          <w:rFonts w:cs="Arial"/>
        </w:rPr>
        <w:t>);</w:t>
      </w:r>
      <w:proofErr w:type="gramEnd"/>
    </w:p>
    <w:p w14:paraId="18BCB338" w14:textId="77777777" w:rsidR="00CE1BDB" w:rsidRPr="00FA4DC7" w:rsidRDefault="00CE1BDB" w:rsidP="00CE1BDB">
      <w:pPr>
        <w:pStyle w:val="bullet"/>
        <w:rPr>
          <w:rFonts w:cs="Arial"/>
        </w:rPr>
      </w:pPr>
      <w:r w:rsidRPr="00FA4DC7">
        <w:rPr>
          <w:rFonts w:cs="Arial"/>
        </w:rPr>
        <w:t xml:space="preserve">75.8% of dwellings are houses (43.5% terraced, 23.1% semi-detached and 9.2% detached), 17.7% are flats and 6.5% are </w:t>
      </w:r>
      <w:proofErr w:type="gramStart"/>
      <w:r w:rsidRPr="00FA4DC7">
        <w:rPr>
          <w:rFonts w:cs="Arial"/>
        </w:rPr>
        <w:t>bungalows;</w:t>
      </w:r>
      <w:proofErr w:type="gramEnd"/>
      <w:r w:rsidRPr="00FA4DC7">
        <w:rPr>
          <w:rFonts w:cs="Arial"/>
        </w:rPr>
        <w:t xml:space="preserve"> </w:t>
      </w:r>
    </w:p>
    <w:p w14:paraId="1A3418C1" w14:textId="77777777" w:rsidR="00CE1BDB" w:rsidRPr="00FA4DC7" w:rsidRDefault="00CE1BDB" w:rsidP="00CE1BDB">
      <w:pPr>
        <w:pStyle w:val="bullet"/>
        <w:rPr>
          <w:rFonts w:cs="Arial"/>
        </w:rPr>
      </w:pPr>
      <w:r w:rsidRPr="00FA4DC7">
        <w:rPr>
          <w:rFonts w:cs="Arial"/>
        </w:rPr>
        <w:t xml:space="preserve">Most dwellings have 2 or 3 bedrooms, 11.2% of dwellings have one bedroom, 25.4% two bedrooms, 52.7% three-bedrooms and 10.7% four or more -bedrooms; and  </w:t>
      </w:r>
    </w:p>
    <w:p w14:paraId="5BA65A6F" w14:textId="77777777" w:rsidR="00CE1BDB" w:rsidRPr="00FA4DC7" w:rsidRDefault="00CE1BDB" w:rsidP="00CE1BDB">
      <w:pPr>
        <w:pStyle w:val="bullet"/>
        <w:rPr>
          <w:rFonts w:cs="Arial"/>
        </w:rPr>
      </w:pPr>
      <w:r w:rsidRPr="00FA4DC7">
        <w:rPr>
          <w:rFonts w:cs="Arial"/>
        </w:rPr>
        <w:t>34.5% of dwellings were built before 1945, 42.1% between 1945 and 1982 and 23.4% since 1983. An estimated 10.6% of all dwelling stock is non-decent.</w:t>
      </w:r>
    </w:p>
    <w:p w14:paraId="17E8489E" w14:textId="1986E84C" w:rsidR="00CE1BDB" w:rsidRPr="00FA4DC7" w:rsidRDefault="00CE1BDB" w:rsidP="00CE1BDB">
      <w:pPr>
        <w:pStyle w:val="Reporttext"/>
        <w:rPr>
          <w:rFonts w:cs="Arial"/>
        </w:rPr>
      </w:pPr>
      <w:r w:rsidRPr="00FA4DC7">
        <w:rPr>
          <w:rFonts w:cs="Arial"/>
        </w:rPr>
        <w:t>Over the 10 years 2010/11 to 2019/20, 6,</w:t>
      </w:r>
      <w:r w:rsidR="00ED41A2">
        <w:rPr>
          <w:rFonts w:cs="Arial"/>
        </w:rPr>
        <w:t>745</w:t>
      </w:r>
      <w:r w:rsidRPr="00FA4DC7">
        <w:rPr>
          <w:rFonts w:cs="Arial"/>
        </w:rPr>
        <w:t xml:space="preserve"> net new dwellings have been built or converted across Medway. In the past 5 years to 2019/</w:t>
      </w:r>
      <w:proofErr w:type="gramStart"/>
      <w:r w:rsidRPr="00FA4DC7">
        <w:rPr>
          <w:rFonts w:cs="Arial"/>
        </w:rPr>
        <w:t>20,  an</w:t>
      </w:r>
      <w:proofErr w:type="gramEnd"/>
      <w:r w:rsidRPr="00FA4DC7">
        <w:rPr>
          <w:rFonts w:cs="Arial"/>
        </w:rPr>
        <w:t xml:space="preserve"> annual net average of 730 dwellings have been built across Medway.</w:t>
      </w:r>
    </w:p>
    <w:p w14:paraId="45368547" w14:textId="77777777" w:rsidR="00CE1BDB" w:rsidRPr="00FA4DC7" w:rsidRDefault="00CE1BDB" w:rsidP="00CE1BDB">
      <w:pPr>
        <w:pStyle w:val="Reporttext"/>
        <w:rPr>
          <w:rFonts w:cs="Arial"/>
        </w:rPr>
      </w:pPr>
      <w:r w:rsidRPr="00FA4DC7">
        <w:rPr>
          <w:rFonts w:cs="Arial"/>
        </w:rPr>
        <w:t xml:space="preserve">The population in 2021 was 280,040 and this is projected to increase by 8,732 to 288,772 by 2037 and 290,734 by 2040, with the largest increases across older age groups. Latest 2018-based ONS household projections suggest a total of 112,740 households in 2021 and this is projected to increase by 7,039 (6.2%) to 119,779 by 2037; and by 8,397 (7.4%) to 121,137 by 2040. Largest increases will be one person and other households with two or more adults, and households with a Household Reference Person aged 65 and over. </w:t>
      </w:r>
    </w:p>
    <w:p w14:paraId="57A3D141" w14:textId="77777777" w:rsidR="00CE1BDB" w:rsidRPr="00FA4DC7" w:rsidRDefault="00CE1BDB" w:rsidP="00CE1BDB">
      <w:pPr>
        <w:pStyle w:val="Reporttext"/>
        <w:rPr>
          <w:rFonts w:cs="Arial"/>
        </w:rPr>
      </w:pPr>
      <w:r w:rsidRPr="00FA4DC7">
        <w:rPr>
          <w:rFonts w:cs="Arial"/>
        </w:rPr>
        <w:t xml:space="preserve">There are several population flows underpinning migration trends. Key ones are sustained inflows </w:t>
      </w:r>
      <w:proofErr w:type="gramStart"/>
      <w:r w:rsidRPr="00FA4DC7">
        <w:rPr>
          <w:rFonts w:cs="Arial"/>
        </w:rPr>
        <w:t>south east</w:t>
      </w:r>
      <w:proofErr w:type="gramEnd"/>
      <w:r w:rsidRPr="00FA4DC7">
        <w:rPr>
          <w:rFonts w:cs="Arial"/>
        </w:rPr>
        <w:t xml:space="preserve"> London, Gravesham and Dartford; and outflows to Swale, Maidstone, Tonbridge and </w:t>
      </w:r>
      <w:proofErr w:type="spellStart"/>
      <w:r w:rsidRPr="00FA4DC7">
        <w:rPr>
          <w:rFonts w:cs="Arial"/>
        </w:rPr>
        <w:t>Malling</w:t>
      </w:r>
      <w:proofErr w:type="spellEnd"/>
      <w:r w:rsidRPr="00FA4DC7">
        <w:rPr>
          <w:rFonts w:cs="Arial"/>
        </w:rPr>
        <w:t xml:space="preserve">, rest of the South East and England. International migration results in an overall net inflow of population but this has reduced since 2016. </w:t>
      </w:r>
    </w:p>
    <w:p w14:paraId="429F89FF" w14:textId="77777777" w:rsidR="00CE1BDB" w:rsidRPr="00FA4DC7" w:rsidRDefault="00CE1BDB" w:rsidP="00CE1BDB">
      <w:pPr>
        <w:pStyle w:val="Reporttext"/>
        <w:tabs>
          <w:tab w:val="clear" w:pos="2128"/>
          <w:tab w:val="left" w:pos="0"/>
          <w:tab w:val="left" w:pos="709"/>
          <w:tab w:val="left" w:pos="1418"/>
        </w:tabs>
        <w:rPr>
          <w:rFonts w:cs="Arial"/>
        </w:rPr>
      </w:pPr>
      <w:r w:rsidRPr="00FA4DC7">
        <w:rPr>
          <w:rFonts w:cs="Arial"/>
        </w:rPr>
        <w:t xml:space="preserve">Medway is a self-contained housing market area in terms of migration but is part of a wider functional economic area extending across neighbouring districts. For pragmatic purposes, Medway is an appropriate market area for the purposes of Local Plan policy making. </w:t>
      </w:r>
    </w:p>
    <w:p w14:paraId="7D7DDE3D" w14:textId="77777777" w:rsidR="00CE1BDB" w:rsidRPr="00FA4DC7" w:rsidRDefault="00CE1BDB" w:rsidP="00CE1BDB">
      <w:pPr>
        <w:rPr>
          <w:rFonts w:cs="Arial"/>
          <w:highlight w:val="yellow"/>
          <w:lang w:eastAsia="en-US"/>
        </w:rPr>
      </w:pPr>
    </w:p>
    <w:p w14:paraId="60C3CBDC" w14:textId="77777777" w:rsidR="00CE1BDB" w:rsidRPr="00FA4DC7" w:rsidRDefault="00CE1BDB" w:rsidP="00CE1BDB">
      <w:pPr>
        <w:rPr>
          <w:rFonts w:cs="Arial"/>
          <w:highlight w:val="yellow"/>
          <w:lang w:eastAsia="en-US"/>
        </w:rPr>
      </w:pPr>
      <w:r w:rsidRPr="00FA4DC7">
        <w:rPr>
          <w:rFonts w:cs="Arial"/>
          <w:highlight w:val="yellow"/>
          <w:lang w:eastAsia="en-US"/>
        </w:rPr>
        <w:br w:type="page"/>
      </w:r>
    </w:p>
    <w:p w14:paraId="5270A0F2" w14:textId="77777777" w:rsidR="00CE1BDB" w:rsidRPr="00FA4DC7" w:rsidRDefault="00CE1BDB" w:rsidP="00CE1BDB">
      <w:pPr>
        <w:pStyle w:val="Heading1"/>
        <w:tabs>
          <w:tab w:val="left" w:pos="0"/>
          <w:tab w:val="left" w:pos="709"/>
          <w:tab w:val="left" w:pos="1418"/>
        </w:tabs>
        <w:rPr>
          <w:rFonts w:cs="Arial"/>
        </w:rPr>
      </w:pPr>
      <w:bookmarkStart w:id="199" w:name="_Toc83035654"/>
      <w:r w:rsidRPr="00FA4DC7">
        <w:rPr>
          <w:rFonts w:cs="Arial"/>
        </w:rPr>
        <w:lastRenderedPageBreak/>
        <w:t xml:space="preserve">Price, </w:t>
      </w:r>
      <w:proofErr w:type="gramStart"/>
      <w:r w:rsidRPr="00FA4DC7">
        <w:rPr>
          <w:rFonts w:cs="Arial"/>
        </w:rPr>
        <w:t>rents</w:t>
      </w:r>
      <w:proofErr w:type="gramEnd"/>
      <w:r w:rsidRPr="00FA4DC7">
        <w:rPr>
          <w:rFonts w:cs="Arial"/>
        </w:rPr>
        <w:t xml:space="preserve"> and affordability</w:t>
      </w:r>
      <w:bookmarkEnd w:id="199"/>
    </w:p>
    <w:p w14:paraId="45DB3E94" w14:textId="77777777" w:rsidR="00CE1BDB" w:rsidRPr="00FA4DC7" w:rsidRDefault="00CE1BDB" w:rsidP="00CE1BDB">
      <w:pPr>
        <w:pStyle w:val="Heading2"/>
        <w:ind w:left="720" w:hanging="11"/>
        <w:rPr>
          <w:rFonts w:cs="Arial"/>
        </w:rPr>
      </w:pPr>
      <w:bookmarkStart w:id="200" w:name="_Toc46497069"/>
      <w:bookmarkStart w:id="201" w:name="_Toc83035655"/>
      <w:r w:rsidRPr="00FA4DC7">
        <w:rPr>
          <w:rFonts w:cs="Arial"/>
        </w:rPr>
        <w:t>Introduction</w:t>
      </w:r>
      <w:bookmarkEnd w:id="200"/>
      <w:bookmarkEnd w:id="201"/>
    </w:p>
    <w:p w14:paraId="06FC855E" w14:textId="0E95B958" w:rsidR="00CE1BDB" w:rsidRPr="00FA4DC7" w:rsidRDefault="00CE1BDB" w:rsidP="00CE1BDB">
      <w:pPr>
        <w:pStyle w:val="Reporttext"/>
        <w:tabs>
          <w:tab w:val="clear" w:pos="2128"/>
          <w:tab w:val="left" w:pos="709"/>
          <w:tab w:val="left" w:pos="1418"/>
          <w:tab w:val="num" w:pos="2129"/>
        </w:tabs>
        <w:rPr>
          <w:rFonts w:cs="Arial"/>
        </w:rPr>
      </w:pPr>
      <w:r w:rsidRPr="00FA4DC7">
        <w:rPr>
          <w:rFonts w:cs="Arial"/>
        </w:rPr>
        <w:t>This chapter sets out the cost of buying and renting properties across the borough. The affordability of tenure options is then considered with reference to local incomes along with the incomes of key workers and households on minimum/living wages.</w:t>
      </w:r>
      <w:r w:rsidR="00C40CA1">
        <w:rPr>
          <w:rFonts w:cs="Arial"/>
        </w:rPr>
        <w:t xml:space="preserve"> Data relates to 2020 and therefore does not </w:t>
      </w:r>
      <w:proofErr w:type="gramStart"/>
      <w:r w:rsidR="00C40CA1">
        <w:rPr>
          <w:rFonts w:cs="Arial"/>
        </w:rPr>
        <w:t>take into account</w:t>
      </w:r>
      <w:proofErr w:type="gramEnd"/>
      <w:r w:rsidR="00C40CA1">
        <w:rPr>
          <w:rFonts w:cs="Arial"/>
        </w:rPr>
        <w:t xml:space="preserve"> any market or income changes relating to the COVID-19 pandemic. </w:t>
      </w:r>
    </w:p>
    <w:p w14:paraId="20951335" w14:textId="77777777" w:rsidR="00CE1BDB" w:rsidRPr="00FA4DC7" w:rsidRDefault="00CE1BDB" w:rsidP="00CE1BDB">
      <w:pPr>
        <w:rPr>
          <w:rFonts w:cs="Arial"/>
          <w:highlight w:val="yellow"/>
        </w:rPr>
      </w:pPr>
    </w:p>
    <w:p w14:paraId="120EAA9A" w14:textId="77777777" w:rsidR="00CE1BDB" w:rsidRPr="00FA4DC7" w:rsidRDefault="00CE1BDB" w:rsidP="00CE1BDB">
      <w:pPr>
        <w:pStyle w:val="Heading2"/>
        <w:tabs>
          <w:tab w:val="left" w:pos="0"/>
          <w:tab w:val="left" w:pos="709"/>
          <w:tab w:val="left" w:pos="1418"/>
        </w:tabs>
        <w:rPr>
          <w:rFonts w:cs="Arial"/>
        </w:rPr>
      </w:pPr>
      <w:bookmarkStart w:id="202" w:name="_Toc83035656"/>
      <w:r w:rsidRPr="00FA4DC7">
        <w:rPr>
          <w:rFonts w:cs="Arial"/>
        </w:rPr>
        <w:t>House price</w:t>
      </w:r>
      <w:bookmarkEnd w:id="139"/>
      <w:bookmarkEnd w:id="140"/>
      <w:bookmarkEnd w:id="141"/>
      <w:r w:rsidRPr="00FA4DC7">
        <w:rPr>
          <w:rFonts w:cs="Arial"/>
        </w:rPr>
        <w:t xml:space="preserve"> trends</w:t>
      </w:r>
      <w:bookmarkEnd w:id="142"/>
      <w:bookmarkEnd w:id="143"/>
      <w:bookmarkEnd w:id="202"/>
    </w:p>
    <w:p w14:paraId="57B3A152"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Figure 3.1 shows how house prices in Medway have changed over the years 2000 to 2020, based on full-year Land Registry price paid data. This is compared with the </w:t>
      </w:r>
      <w:proofErr w:type="gramStart"/>
      <w:r w:rsidRPr="00FA4DC7">
        <w:rPr>
          <w:rFonts w:cs="Arial"/>
        </w:rPr>
        <w:t>South East</w:t>
      </w:r>
      <w:proofErr w:type="gramEnd"/>
      <w:r w:rsidRPr="00FA4DC7">
        <w:rPr>
          <w:rFonts w:cs="Arial"/>
        </w:rPr>
        <w:t xml:space="preserve"> and England. </w:t>
      </w:r>
    </w:p>
    <w:p w14:paraId="2140BCA7" w14:textId="31BA8D76" w:rsidR="00CE1BDB" w:rsidRPr="00FA4DC7" w:rsidRDefault="00CE1BDB" w:rsidP="00CE1BDB">
      <w:pPr>
        <w:pStyle w:val="Reporttext"/>
        <w:tabs>
          <w:tab w:val="left" w:pos="709"/>
          <w:tab w:val="left" w:pos="1418"/>
        </w:tabs>
        <w:rPr>
          <w:rFonts w:cs="Arial"/>
        </w:rPr>
      </w:pPr>
      <w:r w:rsidRPr="00FA4DC7">
        <w:rPr>
          <w:rFonts w:cs="Arial"/>
        </w:rPr>
        <w:t xml:space="preserve">Median house prices across Medway have tended to lag slightly behind regional prices since 2000. The borough’s median prices were lower than the English average until 2016 after which they have been slightly higher. Overall, median prices have increased from £70,000 in 2000 to £250,000 in 2020, an increase of +257%. LQ prices have increased from £54,300 in 2000 to £207,000 in 2020. Tables 3.1 and 3.2 show how price change in Medway compares with its neighbouring areas, the region and England. </w:t>
      </w:r>
      <w:r w:rsidR="007D604B">
        <w:rPr>
          <w:rFonts w:cs="Arial"/>
        </w:rPr>
        <w:t xml:space="preserve">Given the strong out-migration flow from </w:t>
      </w:r>
      <w:proofErr w:type="gramStart"/>
      <w:r w:rsidR="007D604B">
        <w:rPr>
          <w:rFonts w:cs="Arial"/>
        </w:rPr>
        <w:t>South East</w:t>
      </w:r>
      <w:proofErr w:type="gramEnd"/>
      <w:r w:rsidR="007D604B">
        <w:rPr>
          <w:rFonts w:cs="Arial"/>
        </w:rPr>
        <w:t xml:space="preserve"> London Boroughs (Bexley, Bromley, Croydon, Greenwich and Lewisham), the map also shows how prices have increased in these areas from around £145,100 in 2002 to £417,000 in 2020, an increase of 187.4%.</w:t>
      </w:r>
    </w:p>
    <w:p w14:paraId="4B9221CB" w14:textId="77777777" w:rsidR="00CE1BDB" w:rsidRPr="00FA4DC7" w:rsidRDefault="00CE1BDB" w:rsidP="00CE1BDB">
      <w:pPr>
        <w:pStyle w:val="Maintext"/>
        <w:numPr>
          <w:ilvl w:val="0"/>
          <w:numId w:val="0"/>
        </w:numPr>
        <w:tabs>
          <w:tab w:val="left" w:pos="0"/>
          <w:tab w:val="left" w:pos="709"/>
          <w:tab w:val="left" w:pos="1418"/>
        </w:tabs>
        <w:rPr>
          <w:rFonts w:ascii="Arial" w:hAnsi="Arial" w:cs="Arial"/>
          <w:sz w:val="20"/>
          <w:szCs w:val="20"/>
          <w:highlight w:val="yellow"/>
        </w:rPr>
      </w:pPr>
    </w:p>
    <w:p w14:paraId="40273B64" w14:textId="77777777" w:rsidR="00CE1BDB" w:rsidRPr="00FA4DC7" w:rsidRDefault="00CE1BDB" w:rsidP="00CE1BDB">
      <w:pPr>
        <w:tabs>
          <w:tab w:val="left" w:pos="0"/>
          <w:tab w:val="left" w:pos="709"/>
          <w:tab w:val="left" w:pos="1418"/>
        </w:tabs>
        <w:rPr>
          <w:rFonts w:cs="Arial"/>
          <w:highlight w:val="yellow"/>
          <w:lang w:val="x-none"/>
        </w:rPr>
      </w:pPr>
    </w:p>
    <w:p w14:paraId="3C1E5294" w14:textId="77777777" w:rsidR="00CE1BDB" w:rsidRPr="00FA4DC7" w:rsidRDefault="00CE1BDB" w:rsidP="00CE1BDB">
      <w:pPr>
        <w:tabs>
          <w:tab w:val="left" w:pos="0"/>
          <w:tab w:val="left" w:pos="709"/>
          <w:tab w:val="left" w:pos="1418"/>
          <w:tab w:val="center" w:pos="4595"/>
        </w:tabs>
        <w:rPr>
          <w:rFonts w:cs="Arial"/>
          <w:highlight w:val="yellow"/>
          <w:lang w:val="x-none"/>
        </w:rPr>
        <w:sectPr w:rsidR="00CE1BDB" w:rsidRPr="00FA4DC7" w:rsidSect="00EF49A7">
          <w:pgSz w:w="11906" w:h="16838" w:code="9"/>
          <w:pgMar w:top="1440" w:right="1276" w:bottom="1134" w:left="1440" w:header="709" w:footer="567" w:gutter="0"/>
          <w:cols w:space="708"/>
          <w:docGrid w:linePitch="360"/>
        </w:sectPr>
      </w:pPr>
    </w:p>
    <w:p w14:paraId="7252DD24" w14:textId="7DFEEADC" w:rsidR="00CE1BDB" w:rsidRPr="00FA4DC7" w:rsidRDefault="00CE1BDB" w:rsidP="00CE1BDB">
      <w:pPr>
        <w:pStyle w:val="Figureheading0"/>
        <w:tabs>
          <w:tab w:val="left" w:pos="0"/>
          <w:tab w:val="left" w:pos="709"/>
          <w:tab w:val="left" w:pos="1418"/>
        </w:tabs>
        <w:spacing w:after="120"/>
      </w:pPr>
      <w:bookmarkStart w:id="203" w:name="_Toc399871715"/>
      <w:bookmarkStart w:id="204" w:name="_Toc428528359"/>
      <w:bookmarkStart w:id="205" w:name="_Toc430084676"/>
      <w:bookmarkStart w:id="206" w:name="_Toc430782174"/>
      <w:bookmarkStart w:id="207" w:name="_Toc529652150"/>
      <w:bookmarkStart w:id="208" w:name="_Toc7683448"/>
      <w:bookmarkStart w:id="209" w:name="_Toc83036148"/>
      <w:r w:rsidRPr="00FA4DC7">
        <w:rPr>
          <w:shd w:val="clear" w:color="auto" w:fill="FFFFFF"/>
          <w:lang w:eastAsia="en-GB"/>
        </w:rPr>
        <w:lastRenderedPageBreak/>
        <w:t>Figure</w:t>
      </w:r>
      <w:r w:rsidRPr="00FA4DC7">
        <w:t xml:space="preserve"> 3.1</w:t>
      </w:r>
      <w:r w:rsidRPr="00FA4DC7">
        <w:tab/>
        <w:t xml:space="preserve">Median house price trends 2000 to 2020: Medway, </w:t>
      </w:r>
      <w:proofErr w:type="gramStart"/>
      <w:r w:rsidRPr="00FA4DC7">
        <w:t>South East</w:t>
      </w:r>
      <w:proofErr w:type="gramEnd"/>
      <w:r w:rsidR="007D604B">
        <w:t xml:space="preserve">, SE London boroughs </w:t>
      </w:r>
      <w:r w:rsidRPr="00FA4DC7">
        <w:t>and England</w:t>
      </w:r>
      <w:bookmarkEnd w:id="203"/>
      <w:bookmarkEnd w:id="204"/>
      <w:bookmarkEnd w:id="205"/>
      <w:bookmarkEnd w:id="206"/>
      <w:bookmarkEnd w:id="207"/>
      <w:bookmarkEnd w:id="208"/>
      <w:bookmarkEnd w:id="209"/>
    </w:p>
    <w:p w14:paraId="6FFAA510" w14:textId="03E0B0F2" w:rsidR="00CE1BDB" w:rsidRPr="00FA4DC7" w:rsidRDefault="007D604B" w:rsidP="00CE1BDB">
      <w:pPr>
        <w:tabs>
          <w:tab w:val="left" w:pos="0"/>
          <w:tab w:val="left" w:pos="709"/>
          <w:tab w:val="left" w:pos="1418"/>
        </w:tabs>
        <w:rPr>
          <w:rFonts w:cs="Arial"/>
          <w:highlight w:val="yellow"/>
        </w:rPr>
      </w:pPr>
      <w:r>
        <w:rPr>
          <w:noProof/>
        </w:rPr>
        <w:drawing>
          <wp:inline distT="0" distB="0" distL="0" distR="0" wp14:anchorId="5DF0D81A" wp14:editId="2F95FDF5">
            <wp:extent cx="9024457" cy="3672114"/>
            <wp:effectExtent l="0" t="0" r="0" b="0"/>
            <wp:docPr id="7489" name="Picture 7489" descr="Graph showing Median House Price Trends 2000 to 2020 in Medway, South East, SE London Boroughs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 name="Picture 7489" descr="Graph showing Median House Price Trends 2000 to 2020 in Medway, South East, SE London Boroughs and England"/>
                    <pic:cNvPicPr/>
                  </pic:nvPicPr>
                  <pic:blipFill>
                    <a:blip r:embed="rId37"/>
                    <a:stretch>
                      <a:fillRect/>
                    </a:stretch>
                  </pic:blipFill>
                  <pic:spPr>
                    <a:xfrm>
                      <a:off x="0" y="0"/>
                      <a:ext cx="9037199" cy="3677299"/>
                    </a:xfrm>
                    <a:prstGeom prst="rect">
                      <a:avLst/>
                    </a:prstGeom>
                  </pic:spPr>
                </pic:pic>
              </a:graphicData>
            </a:graphic>
          </wp:inline>
        </w:drawing>
      </w:r>
    </w:p>
    <w:p w14:paraId="7D9B41BB" w14:textId="77777777" w:rsidR="00CE1BDB" w:rsidRPr="00FA4DC7" w:rsidRDefault="00CE1BDB" w:rsidP="00CE1BDB">
      <w:pPr>
        <w:pStyle w:val="Maintext"/>
        <w:numPr>
          <w:ilvl w:val="0"/>
          <w:numId w:val="0"/>
        </w:numPr>
        <w:tabs>
          <w:tab w:val="left" w:pos="0"/>
          <w:tab w:val="left" w:pos="709"/>
          <w:tab w:val="left" w:pos="1418"/>
        </w:tabs>
        <w:rPr>
          <w:rFonts w:ascii="Arial" w:hAnsi="Arial" w:cs="Arial"/>
          <w:sz w:val="20"/>
          <w:szCs w:val="20"/>
        </w:rPr>
      </w:pPr>
      <w:r w:rsidRPr="00FA4DC7">
        <w:rPr>
          <w:rFonts w:ascii="Arial" w:hAnsi="Arial" w:cs="Arial"/>
          <w:sz w:val="20"/>
          <w:szCs w:val="20"/>
        </w:rPr>
        <w:t>Source: Data produced by Land Registry © Crown copyright 2021</w:t>
      </w:r>
    </w:p>
    <w:p w14:paraId="4835AAEE" w14:textId="77777777" w:rsidR="00CE1BDB" w:rsidRPr="00FA4DC7" w:rsidRDefault="00CE1BDB" w:rsidP="00CE1BDB">
      <w:pPr>
        <w:rPr>
          <w:rFonts w:cs="Arial"/>
          <w:highlight w:val="yellow"/>
        </w:rPr>
      </w:pPr>
    </w:p>
    <w:p w14:paraId="4DEB3A03" w14:textId="77777777" w:rsidR="00CE1BDB" w:rsidRPr="00FA4DC7" w:rsidRDefault="00CE1BDB" w:rsidP="00CE1BDB">
      <w:pPr>
        <w:rPr>
          <w:rFonts w:cs="Arial"/>
          <w:sz w:val="20"/>
          <w:szCs w:val="20"/>
          <w:highlight w:val="yellow"/>
        </w:rPr>
        <w:sectPr w:rsidR="00CE1BDB" w:rsidRPr="00FA4DC7" w:rsidSect="00EF49A7">
          <w:headerReference w:type="default" r:id="rId38"/>
          <w:footerReference w:type="first" r:id="rId39"/>
          <w:pgSz w:w="16838" w:h="11906" w:orient="landscape" w:code="9"/>
          <w:pgMar w:top="1440" w:right="1276" w:bottom="1134" w:left="1440" w:header="709" w:footer="567" w:gutter="0"/>
          <w:cols w:space="708"/>
          <w:docGrid w:linePitch="360"/>
        </w:sect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52"/>
        <w:gridCol w:w="1937"/>
        <w:gridCol w:w="2332"/>
        <w:gridCol w:w="1559"/>
      </w:tblGrid>
      <w:tr w:rsidR="00CE1BDB" w:rsidRPr="00FA4DC7" w14:paraId="05CCC244" w14:textId="77777777" w:rsidTr="00EF49A7">
        <w:tc>
          <w:tcPr>
            <w:tcW w:w="5000" w:type="pct"/>
            <w:gridSpan w:val="4"/>
            <w:shd w:val="clear" w:color="auto" w:fill="006666"/>
            <w:vAlign w:val="center"/>
            <w:hideMark/>
          </w:tcPr>
          <w:p w14:paraId="541D5EDA" w14:textId="77777777" w:rsidR="00CE1BDB" w:rsidRPr="00FA4DC7" w:rsidRDefault="00CE1BDB" w:rsidP="00EF49A7">
            <w:pPr>
              <w:pStyle w:val="Tableheading1"/>
              <w:rPr>
                <w:rFonts w:cs="Arial"/>
              </w:rPr>
            </w:pPr>
            <w:bookmarkStart w:id="210" w:name="_Toc529652100"/>
            <w:bookmarkStart w:id="211" w:name="_Toc7683375"/>
            <w:bookmarkStart w:id="212" w:name="_Toc83036075"/>
            <w:r w:rsidRPr="00FA4DC7">
              <w:rPr>
                <w:rFonts w:cs="Arial"/>
              </w:rPr>
              <w:lastRenderedPageBreak/>
              <w:t>Table 3.1</w:t>
            </w:r>
            <w:r w:rsidRPr="00FA4DC7">
              <w:rPr>
                <w:rFonts w:cs="Arial"/>
              </w:rPr>
              <w:tab/>
              <w:t xml:space="preserve">Comparative median house price change 2000-2020 with neighbouring districts, </w:t>
            </w:r>
            <w:proofErr w:type="gramStart"/>
            <w:r w:rsidRPr="00FA4DC7">
              <w:rPr>
                <w:rFonts w:cs="Arial"/>
              </w:rPr>
              <w:t>South East</w:t>
            </w:r>
            <w:proofErr w:type="gramEnd"/>
            <w:r w:rsidRPr="00FA4DC7">
              <w:rPr>
                <w:rFonts w:cs="Arial"/>
              </w:rPr>
              <w:t xml:space="preserve"> and England</w:t>
            </w:r>
            <w:bookmarkEnd w:id="210"/>
            <w:bookmarkEnd w:id="211"/>
            <w:bookmarkEnd w:id="212"/>
          </w:p>
        </w:tc>
      </w:tr>
      <w:tr w:rsidR="00CE1BDB" w:rsidRPr="00FA4DC7" w14:paraId="79A15C6E" w14:textId="77777777" w:rsidTr="00EF49A7">
        <w:tc>
          <w:tcPr>
            <w:tcW w:w="1826" w:type="pct"/>
            <w:vMerge w:val="restart"/>
            <w:shd w:val="clear" w:color="auto" w:fill="006666"/>
            <w:vAlign w:val="center"/>
            <w:hideMark/>
          </w:tcPr>
          <w:p w14:paraId="1B4561DA" w14:textId="77777777" w:rsidR="00CE1BDB" w:rsidRPr="00FA4DC7" w:rsidRDefault="00CE1BDB" w:rsidP="00EF49A7">
            <w:pPr>
              <w:tabs>
                <w:tab w:val="left" w:pos="0"/>
                <w:tab w:val="left" w:pos="709"/>
                <w:tab w:val="left" w:pos="1418"/>
              </w:tabs>
              <w:rPr>
                <w:rFonts w:cs="Arial"/>
                <w:b/>
                <w:bCs/>
                <w:color w:val="FFFFFF"/>
                <w:sz w:val="22"/>
                <w:szCs w:val="22"/>
              </w:rPr>
            </w:pPr>
            <w:r w:rsidRPr="00FA4DC7">
              <w:rPr>
                <w:rFonts w:cs="Arial"/>
                <w:b/>
                <w:bCs/>
                <w:color w:val="FFFFFF"/>
                <w:sz w:val="22"/>
                <w:szCs w:val="22"/>
              </w:rPr>
              <w:t>Location</w:t>
            </w:r>
          </w:p>
        </w:tc>
        <w:tc>
          <w:tcPr>
            <w:tcW w:w="2325" w:type="pct"/>
            <w:gridSpan w:val="2"/>
            <w:shd w:val="clear" w:color="auto" w:fill="006666"/>
            <w:vAlign w:val="center"/>
            <w:hideMark/>
          </w:tcPr>
          <w:p w14:paraId="4FC7B60C"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Median price (£)</w:t>
            </w:r>
          </w:p>
        </w:tc>
        <w:tc>
          <w:tcPr>
            <w:tcW w:w="849" w:type="pct"/>
            <w:vMerge w:val="restart"/>
            <w:shd w:val="clear" w:color="auto" w:fill="006666"/>
            <w:vAlign w:val="center"/>
            <w:hideMark/>
          </w:tcPr>
          <w:p w14:paraId="3B9FB9A2"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 Change 2000-2020</w:t>
            </w:r>
          </w:p>
        </w:tc>
      </w:tr>
      <w:tr w:rsidR="00CE1BDB" w:rsidRPr="00FA4DC7" w14:paraId="15E7CB73" w14:textId="77777777" w:rsidTr="00EF49A7">
        <w:tc>
          <w:tcPr>
            <w:tcW w:w="1826" w:type="pct"/>
            <w:vMerge/>
            <w:vAlign w:val="center"/>
          </w:tcPr>
          <w:p w14:paraId="3E63ED55" w14:textId="77777777" w:rsidR="00CE1BDB" w:rsidRPr="00FA4DC7" w:rsidRDefault="00CE1BDB" w:rsidP="00EF49A7">
            <w:pPr>
              <w:tabs>
                <w:tab w:val="left" w:pos="0"/>
                <w:tab w:val="left" w:pos="709"/>
                <w:tab w:val="left" w:pos="1418"/>
              </w:tabs>
              <w:rPr>
                <w:rFonts w:cs="Arial"/>
                <w:b/>
                <w:bCs/>
                <w:color w:val="FFFFFF"/>
                <w:sz w:val="22"/>
                <w:szCs w:val="22"/>
              </w:rPr>
            </w:pPr>
          </w:p>
        </w:tc>
        <w:tc>
          <w:tcPr>
            <w:tcW w:w="1055" w:type="pct"/>
            <w:shd w:val="clear" w:color="auto" w:fill="006666"/>
            <w:vAlign w:val="center"/>
          </w:tcPr>
          <w:p w14:paraId="1A94BC02" w14:textId="77777777" w:rsidR="00CE1BDB" w:rsidRPr="00FA4DC7" w:rsidRDefault="00CE1BDB" w:rsidP="00EF49A7">
            <w:pPr>
              <w:tabs>
                <w:tab w:val="left" w:pos="0"/>
                <w:tab w:val="left" w:pos="709"/>
                <w:tab w:val="left" w:pos="1418"/>
              </w:tabs>
              <w:jc w:val="center"/>
              <w:rPr>
                <w:rFonts w:cs="Arial"/>
                <w:color w:val="FFFFFF"/>
                <w:sz w:val="22"/>
                <w:szCs w:val="22"/>
              </w:rPr>
            </w:pPr>
            <w:r w:rsidRPr="00FA4DC7">
              <w:rPr>
                <w:rFonts w:cs="Arial"/>
                <w:color w:val="FFFFFF"/>
                <w:sz w:val="22"/>
                <w:szCs w:val="22"/>
              </w:rPr>
              <w:t>2000</w:t>
            </w:r>
          </w:p>
        </w:tc>
        <w:tc>
          <w:tcPr>
            <w:tcW w:w="1270" w:type="pct"/>
            <w:shd w:val="clear" w:color="auto" w:fill="006666"/>
            <w:vAlign w:val="center"/>
          </w:tcPr>
          <w:p w14:paraId="56FD624E" w14:textId="77777777" w:rsidR="00CE1BDB" w:rsidRPr="00FA4DC7" w:rsidRDefault="00CE1BDB" w:rsidP="00EF49A7">
            <w:pPr>
              <w:tabs>
                <w:tab w:val="left" w:pos="0"/>
                <w:tab w:val="left" w:pos="709"/>
                <w:tab w:val="left" w:pos="1418"/>
              </w:tabs>
              <w:jc w:val="center"/>
              <w:rPr>
                <w:rFonts w:cs="Arial"/>
                <w:color w:val="FFFFFF"/>
                <w:sz w:val="22"/>
                <w:szCs w:val="22"/>
              </w:rPr>
            </w:pPr>
            <w:r w:rsidRPr="00FA4DC7">
              <w:rPr>
                <w:rFonts w:cs="Arial"/>
                <w:color w:val="FFFFFF"/>
                <w:sz w:val="22"/>
                <w:szCs w:val="22"/>
              </w:rPr>
              <w:t>2020</w:t>
            </w:r>
          </w:p>
        </w:tc>
        <w:tc>
          <w:tcPr>
            <w:tcW w:w="849" w:type="pct"/>
            <w:vMerge/>
            <w:vAlign w:val="center"/>
          </w:tcPr>
          <w:p w14:paraId="51B13269" w14:textId="77777777" w:rsidR="00CE1BDB" w:rsidRPr="00FA4DC7" w:rsidRDefault="00CE1BDB" w:rsidP="00EF49A7">
            <w:pPr>
              <w:tabs>
                <w:tab w:val="left" w:pos="0"/>
                <w:tab w:val="left" w:pos="709"/>
                <w:tab w:val="left" w:pos="1418"/>
              </w:tabs>
              <w:jc w:val="center"/>
              <w:rPr>
                <w:rFonts w:cs="Arial"/>
                <w:b/>
                <w:bCs/>
                <w:color w:val="FFFFFF"/>
                <w:sz w:val="22"/>
                <w:szCs w:val="22"/>
              </w:rPr>
            </w:pPr>
          </w:p>
        </w:tc>
      </w:tr>
      <w:tr w:rsidR="00CE1BDB" w:rsidRPr="00FA4DC7" w14:paraId="70D891C4" w14:textId="77777777" w:rsidTr="00EF49A7">
        <w:tc>
          <w:tcPr>
            <w:tcW w:w="1826" w:type="pct"/>
            <w:shd w:val="clear" w:color="auto" w:fill="D9D9D9" w:themeFill="background1" w:themeFillShade="D9"/>
            <w:noWrap/>
            <w:vAlign w:val="center"/>
          </w:tcPr>
          <w:p w14:paraId="7874C46E"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ENGLAND</w:t>
            </w:r>
          </w:p>
        </w:tc>
        <w:tc>
          <w:tcPr>
            <w:tcW w:w="1055" w:type="pct"/>
            <w:shd w:val="clear" w:color="auto" w:fill="D9D9D9" w:themeFill="background1" w:themeFillShade="D9"/>
            <w:noWrap/>
            <w:vAlign w:val="center"/>
          </w:tcPr>
          <w:p w14:paraId="32A09F01"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£82,000</w:t>
            </w:r>
          </w:p>
        </w:tc>
        <w:tc>
          <w:tcPr>
            <w:tcW w:w="1270" w:type="pct"/>
            <w:shd w:val="clear" w:color="auto" w:fill="D9D9D9" w:themeFill="background1" w:themeFillShade="D9"/>
            <w:noWrap/>
            <w:vAlign w:val="center"/>
          </w:tcPr>
          <w:p w14:paraId="5700CAB2"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£249,000</w:t>
            </w:r>
          </w:p>
        </w:tc>
        <w:tc>
          <w:tcPr>
            <w:tcW w:w="849" w:type="pct"/>
            <w:shd w:val="clear" w:color="auto" w:fill="D9D9D9" w:themeFill="background1" w:themeFillShade="D9"/>
            <w:noWrap/>
            <w:vAlign w:val="center"/>
          </w:tcPr>
          <w:p w14:paraId="546CE6A1" w14:textId="77777777" w:rsidR="00CE1BDB" w:rsidRPr="00FA4DC7" w:rsidRDefault="00CE1BDB" w:rsidP="00EF49A7">
            <w:pPr>
              <w:tabs>
                <w:tab w:val="left" w:pos="0"/>
                <w:tab w:val="left" w:pos="709"/>
                <w:tab w:val="left" w:pos="1418"/>
              </w:tabs>
              <w:jc w:val="right"/>
              <w:rPr>
                <w:rFonts w:cs="Arial"/>
                <w:b/>
                <w:sz w:val="22"/>
                <w:szCs w:val="22"/>
              </w:rPr>
            </w:pPr>
            <w:r w:rsidRPr="00FA4DC7">
              <w:rPr>
                <w:rFonts w:cs="Arial"/>
                <w:color w:val="000000"/>
                <w:sz w:val="22"/>
                <w:szCs w:val="22"/>
              </w:rPr>
              <w:t>203.7%</w:t>
            </w:r>
          </w:p>
        </w:tc>
      </w:tr>
      <w:tr w:rsidR="00CE1BDB" w:rsidRPr="00FA4DC7" w14:paraId="796288B8" w14:textId="77777777" w:rsidTr="00EF49A7">
        <w:tc>
          <w:tcPr>
            <w:tcW w:w="1826" w:type="pct"/>
            <w:shd w:val="clear" w:color="auto" w:fill="auto"/>
            <w:noWrap/>
            <w:vAlign w:val="center"/>
          </w:tcPr>
          <w:p w14:paraId="3F5CFFE5" w14:textId="77777777" w:rsidR="00CE1BDB" w:rsidRPr="00FA4DC7" w:rsidRDefault="00CE1BDB" w:rsidP="00EF49A7">
            <w:pPr>
              <w:tabs>
                <w:tab w:val="left" w:pos="0"/>
                <w:tab w:val="left" w:pos="709"/>
                <w:tab w:val="left" w:pos="1418"/>
              </w:tabs>
              <w:rPr>
                <w:rFonts w:cs="Arial"/>
                <w:color w:val="000000"/>
                <w:sz w:val="22"/>
                <w:szCs w:val="22"/>
              </w:rPr>
            </w:pPr>
            <w:r w:rsidRPr="00FA4DC7">
              <w:rPr>
                <w:rFonts w:cs="Arial"/>
                <w:b/>
                <w:bCs/>
                <w:color w:val="000000"/>
                <w:sz w:val="22"/>
                <w:szCs w:val="22"/>
              </w:rPr>
              <w:t>Medway</w:t>
            </w:r>
          </w:p>
        </w:tc>
        <w:tc>
          <w:tcPr>
            <w:tcW w:w="1055" w:type="pct"/>
            <w:shd w:val="clear" w:color="auto" w:fill="auto"/>
            <w:noWrap/>
            <w:vAlign w:val="center"/>
          </w:tcPr>
          <w:p w14:paraId="6DD1B90C"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b/>
                <w:bCs/>
                <w:color w:val="000000"/>
                <w:sz w:val="22"/>
                <w:szCs w:val="22"/>
              </w:rPr>
              <w:t>£70,000</w:t>
            </w:r>
          </w:p>
        </w:tc>
        <w:tc>
          <w:tcPr>
            <w:tcW w:w="1270" w:type="pct"/>
            <w:shd w:val="clear" w:color="auto" w:fill="auto"/>
            <w:noWrap/>
            <w:vAlign w:val="center"/>
          </w:tcPr>
          <w:p w14:paraId="21B4FECB"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b/>
                <w:bCs/>
                <w:color w:val="000000"/>
                <w:sz w:val="22"/>
                <w:szCs w:val="22"/>
              </w:rPr>
              <w:t>£250,000</w:t>
            </w:r>
          </w:p>
        </w:tc>
        <w:tc>
          <w:tcPr>
            <w:tcW w:w="849" w:type="pct"/>
            <w:shd w:val="clear" w:color="auto" w:fill="auto"/>
            <w:noWrap/>
            <w:vAlign w:val="center"/>
          </w:tcPr>
          <w:p w14:paraId="379F67EC"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b/>
                <w:bCs/>
                <w:color w:val="000000"/>
                <w:sz w:val="22"/>
                <w:szCs w:val="22"/>
              </w:rPr>
              <w:t>257.1%</w:t>
            </w:r>
          </w:p>
        </w:tc>
      </w:tr>
      <w:tr w:rsidR="00CE1BDB" w:rsidRPr="00FA4DC7" w14:paraId="71769093" w14:textId="77777777" w:rsidTr="00EF49A7">
        <w:tc>
          <w:tcPr>
            <w:tcW w:w="1826" w:type="pct"/>
            <w:shd w:val="clear" w:color="auto" w:fill="D9D9D9" w:themeFill="background1" w:themeFillShade="D9"/>
            <w:noWrap/>
            <w:vAlign w:val="center"/>
          </w:tcPr>
          <w:p w14:paraId="5423FFB1" w14:textId="77777777" w:rsidR="00CE1BDB" w:rsidRPr="00FA4DC7" w:rsidRDefault="00CE1BDB" w:rsidP="00EF49A7">
            <w:pPr>
              <w:tabs>
                <w:tab w:val="left" w:pos="0"/>
                <w:tab w:val="left" w:pos="709"/>
                <w:tab w:val="left" w:pos="1418"/>
              </w:tabs>
              <w:rPr>
                <w:rFonts w:cs="Arial"/>
                <w:b/>
                <w:bCs/>
                <w:sz w:val="22"/>
                <w:szCs w:val="22"/>
              </w:rPr>
            </w:pPr>
            <w:proofErr w:type="gramStart"/>
            <w:r w:rsidRPr="00FA4DC7">
              <w:rPr>
                <w:rFonts w:cs="Arial"/>
                <w:color w:val="000000"/>
                <w:sz w:val="22"/>
                <w:szCs w:val="22"/>
              </w:rPr>
              <w:t>South East</w:t>
            </w:r>
            <w:proofErr w:type="gramEnd"/>
          </w:p>
        </w:tc>
        <w:tc>
          <w:tcPr>
            <w:tcW w:w="1055" w:type="pct"/>
            <w:shd w:val="clear" w:color="auto" w:fill="D9D9D9" w:themeFill="background1" w:themeFillShade="D9"/>
            <w:noWrap/>
            <w:vAlign w:val="center"/>
          </w:tcPr>
          <w:p w14:paraId="04150518" w14:textId="77777777" w:rsidR="00CE1BDB" w:rsidRPr="00FA4DC7" w:rsidRDefault="00CE1BDB" w:rsidP="00EF49A7">
            <w:pPr>
              <w:tabs>
                <w:tab w:val="left" w:pos="0"/>
                <w:tab w:val="left" w:pos="709"/>
                <w:tab w:val="left" w:pos="1418"/>
              </w:tabs>
              <w:jc w:val="right"/>
              <w:rPr>
                <w:rFonts w:cs="Arial"/>
                <w:b/>
                <w:bCs/>
                <w:color w:val="000000"/>
                <w:sz w:val="22"/>
                <w:szCs w:val="22"/>
              </w:rPr>
            </w:pPr>
            <w:r w:rsidRPr="00FA4DC7">
              <w:rPr>
                <w:rFonts w:cs="Arial"/>
                <w:color w:val="000000"/>
                <w:sz w:val="22"/>
                <w:szCs w:val="22"/>
              </w:rPr>
              <w:t>£112,000</w:t>
            </w:r>
          </w:p>
        </w:tc>
        <w:tc>
          <w:tcPr>
            <w:tcW w:w="1270" w:type="pct"/>
            <w:shd w:val="clear" w:color="auto" w:fill="D9D9D9" w:themeFill="background1" w:themeFillShade="D9"/>
            <w:noWrap/>
            <w:vAlign w:val="center"/>
          </w:tcPr>
          <w:p w14:paraId="35710A63"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£327,500</w:t>
            </w:r>
          </w:p>
        </w:tc>
        <w:tc>
          <w:tcPr>
            <w:tcW w:w="849" w:type="pct"/>
            <w:shd w:val="clear" w:color="auto" w:fill="D9D9D9" w:themeFill="background1" w:themeFillShade="D9"/>
            <w:noWrap/>
            <w:vAlign w:val="center"/>
          </w:tcPr>
          <w:p w14:paraId="4CA8594C"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192.4%</w:t>
            </w:r>
          </w:p>
        </w:tc>
      </w:tr>
      <w:tr w:rsidR="00CE1BDB" w:rsidRPr="00FA4DC7" w14:paraId="186E2EE8" w14:textId="77777777" w:rsidTr="00EF49A7">
        <w:tc>
          <w:tcPr>
            <w:tcW w:w="1826" w:type="pct"/>
            <w:shd w:val="clear" w:color="auto" w:fill="auto"/>
            <w:noWrap/>
            <w:vAlign w:val="center"/>
          </w:tcPr>
          <w:p w14:paraId="6C953AAE" w14:textId="77777777" w:rsidR="00CE1BDB" w:rsidRPr="00FA4DC7" w:rsidRDefault="00CE1BDB" w:rsidP="00EF49A7">
            <w:pPr>
              <w:tabs>
                <w:tab w:val="left" w:pos="0"/>
                <w:tab w:val="left" w:pos="709"/>
                <w:tab w:val="left" w:pos="1418"/>
              </w:tabs>
              <w:rPr>
                <w:rFonts w:cs="Arial"/>
                <w:sz w:val="22"/>
                <w:szCs w:val="22"/>
              </w:rPr>
            </w:pPr>
            <w:r w:rsidRPr="00FA4DC7">
              <w:rPr>
                <w:rFonts w:cs="Arial"/>
                <w:color w:val="000000"/>
                <w:sz w:val="22"/>
                <w:szCs w:val="22"/>
              </w:rPr>
              <w:t>Dartford</w:t>
            </w:r>
          </w:p>
        </w:tc>
        <w:tc>
          <w:tcPr>
            <w:tcW w:w="1055" w:type="pct"/>
            <w:shd w:val="clear" w:color="auto" w:fill="auto"/>
            <w:noWrap/>
            <w:vAlign w:val="center"/>
          </w:tcPr>
          <w:p w14:paraId="33F918FA"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£89,000</w:t>
            </w:r>
          </w:p>
        </w:tc>
        <w:tc>
          <w:tcPr>
            <w:tcW w:w="1270" w:type="pct"/>
            <w:shd w:val="clear" w:color="auto" w:fill="auto"/>
            <w:noWrap/>
            <w:vAlign w:val="center"/>
          </w:tcPr>
          <w:p w14:paraId="763FFAB8"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£320,000</w:t>
            </w:r>
          </w:p>
        </w:tc>
        <w:tc>
          <w:tcPr>
            <w:tcW w:w="849" w:type="pct"/>
            <w:shd w:val="clear" w:color="auto" w:fill="auto"/>
            <w:noWrap/>
            <w:vAlign w:val="center"/>
          </w:tcPr>
          <w:p w14:paraId="0F826520"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259.6%</w:t>
            </w:r>
          </w:p>
        </w:tc>
      </w:tr>
      <w:tr w:rsidR="00CE1BDB" w:rsidRPr="00FA4DC7" w14:paraId="2BF96693" w14:textId="77777777" w:rsidTr="00EF49A7">
        <w:tc>
          <w:tcPr>
            <w:tcW w:w="1826" w:type="pct"/>
            <w:shd w:val="clear" w:color="auto" w:fill="auto"/>
            <w:noWrap/>
            <w:vAlign w:val="center"/>
          </w:tcPr>
          <w:p w14:paraId="560A292F"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Gravesham</w:t>
            </w:r>
          </w:p>
        </w:tc>
        <w:tc>
          <w:tcPr>
            <w:tcW w:w="1055" w:type="pct"/>
            <w:shd w:val="clear" w:color="auto" w:fill="auto"/>
            <w:noWrap/>
            <w:vAlign w:val="center"/>
          </w:tcPr>
          <w:p w14:paraId="5EDAE509"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£84,500</w:t>
            </w:r>
          </w:p>
        </w:tc>
        <w:tc>
          <w:tcPr>
            <w:tcW w:w="1270" w:type="pct"/>
            <w:shd w:val="clear" w:color="auto" w:fill="auto"/>
            <w:noWrap/>
            <w:vAlign w:val="center"/>
          </w:tcPr>
          <w:p w14:paraId="0E9178DE"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£295,000</w:t>
            </w:r>
          </w:p>
        </w:tc>
        <w:tc>
          <w:tcPr>
            <w:tcW w:w="849" w:type="pct"/>
            <w:shd w:val="clear" w:color="auto" w:fill="auto"/>
            <w:noWrap/>
            <w:vAlign w:val="center"/>
          </w:tcPr>
          <w:p w14:paraId="7DD69404" w14:textId="77777777" w:rsidR="00CE1BDB" w:rsidRPr="00FA4DC7" w:rsidRDefault="00CE1BDB" w:rsidP="00EF49A7">
            <w:pPr>
              <w:tabs>
                <w:tab w:val="left" w:pos="0"/>
                <w:tab w:val="left" w:pos="709"/>
                <w:tab w:val="left" w:pos="1418"/>
              </w:tabs>
              <w:jc w:val="right"/>
              <w:rPr>
                <w:rFonts w:cs="Arial"/>
                <w:b/>
                <w:sz w:val="22"/>
                <w:szCs w:val="22"/>
              </w:rPr>
            </w:pPr>
            <w:r w:rsidRPr="00FA4DC7">
              <w:rPr>
                <w:rFonts w:cs="Arial"/>
                <w:color w:val="000000"/>
                <w:sz w:val="22"/>
                <w:szCs w:val="22"/>
              </w:rPr>
              <w:t>249.1%</w:t>
            </w:r>
          </w:p>
        </w:tc>
      </w:tr>
      <w:tr w:rsidR="00CE1BDB" w:rsidRPr="00FA4DC7" w14:paraId="38F9D224" w14:textId="77777777" w:rsidTr="00EF49A7">
        <w:tc>
          <w:tcPr>
            <w:tcW w:w="1826" w:type="pct"/>
            <w:shd w:val="clear" w:color="auto" w:fill="auto"/>
            <w:noWrap/>
            <w:vAlign w:val="center"/>
          </w:tcPr>
          <w:p w14:paraId="19E0D877"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Maidstone</w:t>
            </w:r>
          </w:p>
        </w:tc>
        <w:tc>
          <w:tcPr>
            <w:tcW w:w="1055" w:type="pct"/>
            <w:shd w:val="clear" w:color="auto" w:fill="auto"/>
            <w:noWrap/>
            <w:vAlign w:val="center"/>
          </w:tcPr>
          <w:p w14:paraId="61DD1682"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£107,000</w:t>
            </w:r>
          </w:p>
        </w:tc>
        <w:tc>
          <w:tcPr>
            <w:tcW w:w="1270" w:type="pct"/>
            <w:shd w:val="clear" w:color="auto" w:fill="auto"/>
            <w:noWrap/>
            <w:vAlign w:val="center"/>
          </w:tcPr>
          <w:p w14:paraId="79B56BCA"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£315,000</w:t>
            </w:r>
          </w:p>
        </w:tc>
        <w:tc>
          <w:tcPr>
            <w:tcW w:w="849" w:type="pct"/>
            <w:shd w:val="clear" w:color="auto" w:fill="auto"/>
            <w:noWrap/>
            <w:vAlign w:val="center"/>
          </w:tcPr>
          <w:p w14:paraId="3FF51A2C" w14:textId="77777777" w:rsidR="00CE1BDB" w:rsidRPr="00FA4DC7" w:rsidRDefault="00CE1BDB" w:rsidP="00EF49A7">
            <w:pPr>
              <w:tabs>
                <w:tab w:val="left" w:pos="0"/>
                <w:tab w:val="left" w:pos="709"/>
                <w:tab w:val="left" w:pos="1418"/>
              </w:tabs>
              <w:jc w:val="right"/>
              <w:rPr>
                <w:rFonts w:cs="Arial"/>
                <w:b/>
                <w:sz w:val="22"/>
                <w:szCs w:val="22"/>
              </w:rPr>
            </w:pPr>
            <w:r w:rsidRPr="00FA4DC7">
              <w:rPr>
                <w:rFonts w:cs="Arial"/>
                <w:color w:val="000000"/>
                <w:sz w:val="22"/>
                <w:szCs w:val="22"/>
              </w:rPr>
              <w:t>194.4%</w:t>
            </w:r>
          </w:p>
        </w:tc>
      </w:tr>
      <w:tr w:rsidR="00CE1BDB" w:rsidRPr="00FA4DC7" w14:paraId="4E27256D" w14:textId="77777777" w:rsidTr="00EF49A7">
        <w:tc>
          <w:tcPr>
            <w:tcW w:w="1826" w:type="pct"/>
            <w:shd w:val="clear" w:color="auto" w:fill="auto"/>
            <w:noWrap/>
            <w:vAlign w:val="center"/>
          </w:tcPr>
          <w:p w14:paraId="62FF85D8"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Swale</w:t>
            </w:r>
          </w:p>
        </w:tc>
        <w:tc>
          <w:tcPr>
            <w:tcW w:w="1055" w:type="pct"/>
            <w:shd w:val="clear" w:color="auto" w:fill="auto"/>
            <w:noWrap/>
            <w:vAlign w:val="center"/>
          </w:tcPr>
          <w:p w14:paraId="7FBE9657"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£76,000</w:t>
            </w:r>
          </w:p>
        </w:tc>
        <w:tc>
          <w:tcPr>
            <w:tcW w:w="1270" w:type="pct"/>
            <w:shd w:val="clear" w:color="auto" w:fill="auto"/>
            <w:noWrap/>
            <w:vAlign w:val="center"/>
          </w:tcPr>
          <w:p w14:paraId="4D9A96DE" w14:textId="77777777" w:rsidR="00CE1BDB" w:rsidRPr="00FA4DC7" w:rsidRDefault="00CE1BDB" w:rsidP="00EF49A7">
            <w:pPr>
              <w:tabs>
                <w:tab w:val="left" w:pos="0"/>
                <w:tab w:val="left" w:pos="709"/>
                <w:tab w:val="left" w:pos="1418"/>
              </w:tabs>
              <w:jc w:val="right"/>
              <w:rPr>
                <w:rFonts w:cs="Arial"/>
                <w:color w:val="000000"/>
                <w:sz w:val="22"/>
                <w:szCs w:val="22"/>
              </w:rPr>
            </w:pPr>
            <w:r w:rsidRPr="00FA4DC7">
              <w:rPr>
                <w:rFonts w:cs="Arial"/>
                <w:color w:val="000000"/>
                <w:sz w:val="22"/>
                <w:szCs w:val="22"/>
              </w:rPr>
              <w:t>£249,999</w:t>
            </w:r>
          </w:p>
        </w:tc>
        <w:tc>
          <w:tcPr>
            <w:tcW w:w="849" w:type="pct"/>
            <w:shd w:val="clear" w:color="auto" w:fill="auto"/>
            <w:noWrap/>
            <w:vAlign w:val="center"/>
          </w:tcPr>
          <w:p w14:paraId="3E9AA7E1" w14:textId="77777777" w:rsidR="00CE1BDB" w:rsidRPr="00FA4DC7" w:rsidRDefault="00CE1BDB" w:rsidP="00EF49A7">
            <w:pPr>
              <w:tabs>
                <w:tab w:val="left" w:pos="0"/>
                <w:tab w:val="left" w:pos="709"/>
                <w:tab w:val="left" w:pos="1418"/>
              </w:tabs>
              <w:jc w:val="right"/>
              <w:rPr>
                <w:rFonts w:cs="Arial"/>
                <w:b/>
                <w:color w:val="000000"/>
                <w:sz w:val="22"/>
                <w:szCs w:val="22"/>
              </w:rPr>
            </w:pPr>
            <w:r w:rsidRPr="00FA4DC7">
              <w:rPr>
                <w:rFonts w:cs="Arial"/>
                <w:color w:val="000000"/>
                <w:sz w:val="22"/>
                <w:szCs w:val="22"/>
              </w:rPr>
              <w:t>228.9%</w:t>
            </w:r>
          </w:p>
        </w:tc>
      </w:tr>
      <w:tr w:rsidR="00C40CA1" w:rsidRPr="00FA4DC7" w14:paraId="4AE2C511" w14:textId="77777777" w:rsidTr="00EF49A7">
        <w:tc>
          <w:tcPr>
            <w:tcW w:w="1826" w:type="pct"/>
            <w:shd w:val="clear" w:color="auto" w:fill="auto"/>
            <w:noWrap/>
            <w:vAlign w:val="center"/>
          </w:tcPr>
          <w:p w14:paraId="5A6729FE" w14:textId="4EF0CD5D" w:rsidR="00C40CA1" w:rsidRPr="00FA4DC7" w:rsidRDefault="00C40CA1" w:rsidP="00EF49A7">
            <w:pPr>
              <w:tabs>
                <w:tab w:val="left" w:pos="0"/>
                <w:tab w:val="left" w:pos="709"/>
                <w:tab w:val="left" w:pos="1418"/>
              </w:tabs>
              <w:rPr>
                <w:rFonts w:cs="Arial"/>
                <w:color w:val="000000"/>
                <w:sz w:val="22"/>
                <w:szCs w:val="22"/>
              </w:rPr>
            </w:pPr>
            <w:r>
              <w:rPr>
                <w:rFonts w:cs="Arial"/>
                <w:color w:val="000000"/>
                <w:sz w:val="22"/>
                <w:szCs w:val="22"/>
              </w:rPr>
              <w:t xml:space="preserve">Tonbridge and </w:t>
            </w:r>
            <w:proofErr w:type="spellStart"/>
            <w:r>
              <w:rPr>
                <w:rFonts w:cs="Arial"/>
                <w:color w:val="000000"/>
                <w:sz w:val="22"/>
                <w:szCs w:val="22"/>
              </w:rPr>
              <w:t>Malling</w:t>
            </w:r>
            <w:proofErr w:type="spellEnd"/>
          </w:p>
        </w:tc>
        <w:tc>
          <w:tcPr>
            <w:tcW w:w="1055" w:type="pct"/>
            <w:shd w:val="clear" w:color="auto" w:fill="auto"/>
            <w:noWrap/>
            <w:vAlign w:val="center"/>
          </w:tcPr>
          <w:p w14:paraId="42C2D734" w14:textId="533F2495" w:rsidR="00C40CA1" w:rsidRPr="00FA4DC7" w:rsidRDefault="00C40CA1" w:rsidP="00EF49A7">
            <w:pPr>
              <w:tabs>
                <w:tab w:val="left" w:pos="0"/>
                <w:tab w:val="left" w:pos="709"/>
                <w:tab w:val="left" w:pos="1418"/>
              </w:tabs>
              <w:jc w:val="right"/>
              <w:rPr>
                <w:rFonts w:cs="Arial"/>
                <w:color w:val="000000"/>
                <w:sz w:val="22"/>
                <w:szCs w:val="22"/>
              </w:rPr>
            </w:pPr>
            <w:r>
              <w:rPr>
                <w:rFonts w:cs="Arial"/>
                <w:color w:val="000000"/>
                <w:sz w:val="22"/>
                <w:szCs w:val="22"/>
              </w:rPr>
              <w:t>£124,998</w:t>
            </w:r>
          </w:p>
        </w:tc>
        <w:tc>
          <w:tcPr>
            <w:tcW w:w="1270" w:type="pct"/>
            <w:shd w:val="clear" w:color="auto" w:fill="auto"/>
            <w:noWrap/>
            <w:vAlign w:val="center"/>
          </w:tcPr>
          <w:p w14:paraId="47C6CF3D" w14:textId="6F896022" w:rsidR="00C40CA1" w:rsidRPr="00FA4DC7" w:rsidRDefault="00C40CA1" w:rsidP="00EF49A7">
            <w:pPr>
              <w:tabs>
                <w:tab w:val="left" w:pos="0"/>
                <w:tab w:val="left" w:pos="709"/>
                <w:tab w:val="left" w:pos="1418"/>
              </w:tabs>
              <w:jc w:val="right"/>
              <w:rPr>
                <w:rFonts w:cs="Arial"/>
                <w:color w:val="000000"/>
                <w:sz w:val="22"/>
                <w:szCs w:val="22"/>
              </w:rPr>
            </w:pPr>
            <w:r>
              <w:rPr>
                <w:rFonts w:cs="Arial"/>
                <w:color w:val="000000"/>
                <w:sz w:val="22"/>
                <w:szCs w:val="22"/>
              </w:rPr>
              <w:t>£350,000</w:t>
            </w:r>
          </w:p>
        </w:tc>
        <w:tc>
          <w:tcPr>
            <w:tcW w:w="849" w:type="pct"/>
            <w:shd w:val="clear" w:color="auto" w:fill="auto"/>
            <w:noWrap/>
            <w:vAlign w:val="center"/>
          </w:tcPr>
          <w:p w14:paraId="31093FD6" w14:textId="1B4D810F" w:rsidR="00C40CA1" w:rsidRPr="00FA4DC7" w:rsidRDefault="00C40CA1" w:rsidP="00EF49A7">
            <w:pPr>
              <w:tabs>
                <w:tab w:val="left" w:pos="0"/>
                <w:tab w:val="left" w:pos="709"/>
                <w:tab w:val="left" w:pos="1418"/>
              </w:tabs>
              <w:jc w:val="right"/>
              <w:rPr>
                <w:rFonts w:cs="Arial"/>
                <w:color w:val="000000"/>
                <w:sz w:val="22"/>
                <w:szCs w:val="22"/>
              </w:rPr>
            </w:pPr>
            <w:r>
              <w:rPr>
                <w:rFonts w:cs="Arial"/>
                <w:color w:val="000000"/>
                <w:sz w:val="22"/>
                <w:szCs w:val="22"/>
              </w:rPr>
              <w:t>180.0%</w:t>
            </w:r>
          </w:p>
        </w:tc>
      </w:tr>
    </w:tbl>
    <w:p w14:paraId="4ED39366" w14:textId="77777777" w:rsidR="00CE1BDB" w:rsidRPr="00FA4DC7" w:rsidRDefault="00CE1BDB" w:rsidP="00CE1BDB">
      <w:pPr>
        <w:pStyle w:val="Reporttext"/>
        <w:numPr>
          <w:ilvl w:val="0"/>
          <w:numId w:val="0"/>
        </w:numPr>
        <w:tabs>
          <w:tab w:val="left" w:pos="0"/>
          <w:tab w:val="left" w:pos="709"/>
          <w:tab w:val="left" w:pos="1418"/>
        </w:tabs>
        <w:rPr>
          <w:rFonts w:cs="Arial"/>
          <w:sz w:val="22"/>
          <w:szCs w:val="28"/>
        </w:rPr>
      </w:pPr>
      <w:r w:rsidRPr="00FA4DC7">
        <w:rPr>
          <w:rFonts w:cs="Arial"/>
          <w:sz w:val="22"/>
          <w:szCs w:val="28"/>
        </w:rPr>
        <w:t>Source: Data produced by Land Registry © Crown copyright 2021</w:t>
      </w:r>
    </w:p>
    <w:p w14:paraId="25CA90DD" w14:textId="77777777" w:rsidR="00CE1BDB" w:rsidRPr="00FA4DC7" w:rsidRDefault="00CE1BDB" w:rsidP="00CE1BDB">
      <w:pPr>
        <w:pStyle w:val="Reporttext"/>
        <w:numPr>
          <w:ilvl w:val="0"/>
          <w:numId w:val="0"/>
        </w:numPr>
        <w:tabs>
          <w:tab w:val="left" w:pos="0"/>
          <w:tab w:val="left" w:pos="709"/>
          <w:tab w:val="left" w:pos="1418"/>
        </w:tabs>
        <w:rPr>
          <w:rFonts w:cs="Arial"/>
          <w:highlight w:val="yellow"/>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43"/>
        <w:gridCol w:w="2172"/>
        <w:gridCol w:w="1957"/>
        <w:gridCol w:w="1808"/>
      </w:tblGrid>
      <w:tr w:rsidR="00CE1BDB" w:rsidRPr="00FA4DC7" w14:paraId="74185A81" w14:textId="77777777" w:rsidTr="00EF49A7">
        <w:tc>
          <w:tcPr>
            <w:tcW w:w="5000" w:type="pct"/>
            <w:gridSpan w:val="4"/>
            <w:shd w:val="clear" w:color="auto" w:fill="006666"/>
            <w:vAlign w:val="center"/>
            <w:hideMark/>
          </w:tcPr>
          <w:p w14:paraId="67243BD5" w14:textId="77777777" w:rsidR="00CE1BDB" w:rsidRPr="00FA4DC7" w:rsidRDefault="00CE1BDB" w:rsidP="00EF49A7">
            <w:pPr>
              <w:pStyle w:val="Tableheading1"/>
              <w:rPr>
                <w:rFonts w:cs="Arial"/>
              </w:rPr>
            </w:pPr>
            <w:bookmarkStart w:id="213" w:name="_Toc7683376"/>
            <w:bookmarkStart w:id="214" w:name="_Toc83036076"/>
            <w:r w:rsidRPr="00FA4DC7">
              <w:rPr>
                <w:rFonts w:cs="Arial"/>
              </w:rPr>
              <w:t>Table 3.2</w:t>
            </w:r>
            <w:r w:rsidRPr="00FA4DC7">
              <w:rPr>
                <w:rFonts w:cs="Arial"/>
              </w:rPr>
              <w:tab/>
              <w:t xml:space="preserve">Comparative lower quartile (LQ) house price change 2000-2020 with neighbouring districts, </w:t>
            </w:r>
            <w:proofErr w:type="gramStart"/>
            <w:r w:rsidRPr="00FA4DC7">
              <w:rPr>
                <w:rFonts w:cs="Arial"/>
              </w:rPr>
              <w:t>South East</w:t>
            </w:r>
            <w:proofErr w:type="gramEnd"/>
            <w:r w:rsidRPr="00FA4DC7">
              <w:rPr>
                <w:rFonts w:cs="Arial"/>
              </w:rPr>
              <w:t xml:space="preserve"> and England</w:t>
            </w:r>
            <w:bookmarkEnd w:id="213"/>
            <w:bookmarkEnd w:id="214"/>
          </w:p>
        </w:tc>
      </w:tr>
      <w:tr w:rsidR="00CE1BDB" w:rsidRPr="00FA4DC7" w14:paraId="316DC7DD" w14:textId="77777777" w:rsidTr="00EF49A7">
        <w:tc>
          <w:tcPr>
            <w:tcW w:w="1766" w:type="pct"/>
            <w:vMerge w:val="restart"/>
            <w:shd w:val="clear" w:color="auto" w:fill="006666"/>
            <w:vAlign w:val="center"/>
            <w:hideMark/>
          </w:tcPr>
          <w:p w14:paraId="6554F7EE" w14:textId="77777777" w:rsidR="00CE1BDB" w:rsidRPr="00FA4DC7" w:rsidRDefault="00CE1BDB" w:rsidP="00EF49A7">
            <w:pPr>
              <w:tabs>
                <w:tab w:val="left" w:pos="0"/>
                <w:tab w:val="left" w:pos="709"/>
                <w:tab w:val="left" w:pos="1418"/>
              </w:tabs>
              <w:rPr>
                <w:rFonts w:cs="Arial"/>
                <w:b/>
                <w:bCs/>
                <w:color w:val="FFFFFF"/>
                <w:sz w:val="22"/>
                <w:szCs w:val="22"/>
              </w:rPr>
            </w:pPr>
            <w:r w:rsidRPr="00FA4DC7">
              <w:rPr>
                <w:rFonts w:cs="Arial"/>
                <w:b/>
                <w:bCs/>
                <w:color w:val="FFFFFF"/>
                <w:sz w:val="22"/>
                <w:szCs w:val="22"/>
              </w:rPr>
              <w:t>Location</w:t>
            </w:r>
          </w:p>
        </w:tc>
        <w:tc>
          <w:tcPr>
            <w:tcW w:w="2249" w:type="pct"/>
            <w:gridSpan w:val="2"/>
            <w:shd w:val="clear" w:color="auto" w:fill="006666"/>
            <w:vAlign w:val="center"/>
            <w:hideMark/>
          </w:tcPr>
          <w:p w14:paraId="07B8430D"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LQ price (£)</w:t>
            </w:r>
          </w:p>
        </w:tc>
        <w:tc>
          <w:tcPr>
            <w:tcW w:w="985" w:type="pct"/>
            <w:vMerge w:val="restart"/>
            <w:shd w:val="clear" w:color="auto" w:fill="006666"/>
            <w:vAlign w:val="center"/>
            <w:hideMark/>
          </w:tcPr>
          <w:p w14:paraId="42F0F82E" w14:textId="77777777" w:rsidR="00CE1BDB" w:rsidRPr="00FA4DC7" w:rsidRDefault="00CE1BDB" w:rsidP="00EF49A7">
            <w:pPr>
              <w:tabs>
                <w:tab w:val="left" w:pos="0"/>
                <w:tab w:val="left" w:pos="709"/>
                <w:tab w:val="left" w:pos="1418"/>
              </w:tabs>
              <w:jc w:val="center"/>
              <w:rPr>
                <w:rFonts w:cs="Arial"/>
                <w:b/>
                <w:bCs/>
                <w:color w:val="FFFFFF"/>
                <w:sz w:val="22"/>
                <w:szCs w:val="22"/>
              </w:rPr>
            </w:pPr>
            <w:r w:rsidRPr="00FA4DC7">
              <w:rPr>
                <w:rFonts w:cs="Arial"/>
                <w:b/>
                <w:bCs/>
                <w:color w:val="FFFFFF"/>
                <w:sz w:val="22"/>
                <w:szCs w:val="22"/>
              </w:rPr>
              <w:t>% Change 2000-2020</w:t>
            </w:r>
          </w:p>
        </w:tc>
      </w:tr>
      <w:tr w:rsidR="00CE1BDB" w:rsidRPr="00FA4DC7" w14:paraId="7C25E7E0" w14:textId="77777777" w:rsidTr="00EF49A7">
        <w:tc>
          <w:tcPr>
            <w:tcW w:w="1766" w:type="pct"/>
            <w:vMerge/>
            <w:shd w:val="clear" w:color="auto" w:fill="006666"/>
            <w:vAlign w:val="center"/>
          </w:tcPr>
          <w:p w14:paraId="5B994A3E" w14:textId="77777777" w:rsidR="00CE1BDB" w:rsidRPr="00FA4DC7" w:rsidRDefault="00CE1BDB" w:rsidP="00EF49A7">
            <w:pPr>
              <w:tabs>
                <w:tab w:val="left" w:pos="0"/>
                <w:tab w:val="left" w:pos="709"/>
                <w:tab w:val="left" w:pos="1418"/>
              </w:tabs>
              <w:rPr>
                <w:rFonts w:cs="Arial"/>
                <w:b/>
                <w:bCs/>
                <w:color w:val="FFFFFF"/>
                <w:sz w:val="22"/>
                <w:szCs w:val="22"/>
              </w:rPr>
            </w:pPr>
          </w:p>
        </w:tc>
        <w:tc>
          <w:tcPr>
            <w:tcW w:w="1183" w:type="pct"/>
            <w:shd w:val="clear" w:color="auto" w:fill="006666"/>
            <w:vAlign w:val="center"/>
          </w:tcPr>
          <w:p w14:paraId="22C20803" w14:textId="77777777" w:rsidR="00CE1BDB" w:rsidRPr="00FA4DC7" w:rsidRDefault="00CE1BDB" w:rsidP="00EF49A7">
            <w:pPr>
              <w:tabs>
                <w:tab w:val="left" w:pos="0"/>
                <w:tab w:val="left" w:pos="709"/>
                <w:tab w:val="left" w:pos="1418"/>
              </w:tabs>
              <w:jc w:val="center"/>
              <w:rPr>
                <w:rFonts w:cs="Arial"/>
                <w:bCs/>
                <w:color w:val="FFFFFF"/>
                <w:sz w:val="22"/>
                <w:szCs w:val="22"/>
              </w:rPr>
            </w:pPr>
            <w:r w:rsidRPr="00FA4DC7">
              <w:rPr>
                <w:rFonts w:cs="Arial"/>
                <w:bCs/>
                <w:color w:val="FFFFFF"/>
                <w:sz w:val="22"/>
                <w:szCs w:val="22"/>
              </w:rPr>
              <w:t>2000</w:t>
            </w:r>
          </w:p>
        </w:tc>
        <w:tc>
          <w:tcPr>
            <w:tcW w:w="1066" w:type="pct"/>
            <w:shd w:val="clear" w:color="auto" w:fill="006666"/>
            <w:vAlign w:val="center"/>
          </w:tcPr>
          <w:p w14:paraId="08BA2C9E" w14:textId="77777777" w:rsidR="00CE1BDB" w:rsidRPr="00FA4DC7" w:rsidRDefault="00CE1BDB" w:rsidP="00EF49A7">
            <w:pPr>
              <w:tabs>
                <w:tab w:val="left" w:pos="0"/>
                <w:tab w:val="left" w:pos="709"/>
                <w:tab w:val="left" w:pos="1418"/>
              </w:tabs>
              <w:jc w:val="center"/>
              <w:rPr>
                <w:rFonts w:cs="Arial"/>
                <w:bCs/>
                <w:color w:val="FFFFFF"/>
                <w:sz w:val="22"/>
                <w:szCs w:val="22"/>
              </w:rPr>
            </w:pPr>
            <w:r w:rsidRPr="00FA4DC7">
              <w:rPr>
                <w:rFonts w:cs="Arial"/>
                <w:bCs/>
                <w:color w:val="FFFFFF"/>
                <w:sz w:val="22"/>
                <w:szCs w:val="22"/>
              </w:rPr>
              <w:t>2020</w:t>
            </w:r>
          </w:p>
        </w:tc>
        <w:tc>
          <w:tcPr>
            <w:tcW w:w="985" w:type="pct"/>
            <w:vMerge/>
            <w:shd w:val="clear" w:color="auto" w:fill="006666"/>
            <w:vAlign w:val="center"/>
          </w:tcPr>
          <w:p w14:paraId="694E4E7C" w14:textId="77777777" w:rsidR="00CE1BDB" w:rsidRPr="00FA4DC7" w:rsidRDefault="00CE1BDB" w:rsidP="00EF49A7">
            <w:pPr>
              <w:tabs>
                <w:tab w:val="left" w:pos="0"/>
                <w:tab w:val="left" w:pos="709"/>
                <w:tab w:val="left" w:pos="1418"/>
              </w:tabs>
              <w:jc w:val="center"/>
              <w:rPr>
                <w:rFonts w:cs="Arial"/>
                <w:b/>
                <w:bCs/>
                <w:color w:val="FFFFFF"/>
                <w:sz w:val="22"/>
                <w:szCs w:val="22"/>
              </w:rPr>
            </w:pPr>
          </w:p>
        </w:tc>
      </w:tr>
      <w:tr w:rsidR="00CE1BDB" w:rsidRPr="00FA4DC7" w14:paraId="140C4CAC" w14:textId="77777777" w:rsidTr="00EF49A7">
        <w:tc>
          <w:tcPr>
            <w:tcW w:w="1766" w:type="pct"/>
            <w:shd w:val="clear" w:color="auto" w:fill="D9D9D9" w:themeFill="background1" w:themeFillShade="D9"/>
            <w:noWrap/>
            <w:vAlign w:val="center"/>
          </w:tcPr>
          <w:p w14:paraId="553D6DBE"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ENGLAND</w:t>
            </w:r>
          </w:p>
        </w:tc>
        <w:tc>
          <w:tcPr>
            <w:tcW w:w="1183" w:type="pct"/>
            <w:shd w:val="clear" w:color="auto" w:fill="D9D9D9" w:themeFill="background1" w:themeFillShade="D9"/>
            <w:noWrap/>
            <w:vAlign w:val="center"/>
          </w:tcPr>
          <w:p w14:paraId="30A7E51F"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£54,000</w:t>
            </w:r>
          </w:p>
        </w:tc>
        <w:tc>
          <w:tcPr>
            <w:tcW w:w="1066" w:type="pct"/>
            <w:shd w:val="clear" w:color="auto" w:fill="D9D9D9" w:themeFill="background1" w:themeFillShade="D9"/>
            <w:noWrap/>
            <w:vAlign w:val="center"/>
          </w:tcPr>
          <w:p w14:paraId="340D9A99"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£164,000</w:t>
            </w:r>
          </w:p>
        </w:tc>
        <w:tc>
          <w:tcPr>
            <w:tcW w:w="985" w:type="pct"/>
            <w:shd w:val="clear" w:color="auto" w:fill="D9D9D9" w:themeFill="background1" w:themeFillShade="D9"/>
            <w:noWrap/>
            <w:vAlign w:val="center"/>
          </w:tcPr>
          <w:p w14:paraId="08F0AC3D"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203.7%</w:t>
            </w:r>
          </w:p>
        </w:tc>
      </w:tr>
      <w:tr w:rsidR="00CE1BDB" w:rsidRPr="00FA4DC7" w14:paraId="68D4C89B" w14:textId="77777777" w:rsidTr="00EF49A7">
        <w:tc>
          <w:tcPr>
            <w:tcW w:w="1766" w:type="pct"/>
            <w:shd w:val="clear" w:color="auto" w:fill="FFFFFF" w:themeFill="background1"/>
            <w:noWrap/>
            <w:vAlign w:val="center"/>
          </w:tcPr>
          <w:p w14:paraId="36E611EA" w14:textId="77777777" w:rsidR="00CE1BDB" w:rsidRPr="00FA4DC7" w:rsidRDefault="00CE1BDB" w:rsidP="00EF49A7">
            <w:pPr>
              <w:tabs>
                <w:tab w:val="left" w:pos="0"/>
                <w:tab w:val="left" w:pos="709"/>
                <w:tab w:val="left" w:pos="1418"/>
              </w:tabs>
              <w:rPr>
                <w:rFonts w:cs="Arial"/>
                <w:sz w:val="22"/>
                <w:szCs w:val="22"/>
              </w:rPr>
            </w:pPr>
            <w:r w:rsidRPr="00FA4DC7">
              <w:rPr>
                <w:rFonts w:cs="Arial"/>
                <w:b/>
                <w:bCs/>
                <w:color w:val="000000"/>
                <w:sz w:val="22"/>
                <w:szCs w:val="22"/>
              </w:rPr>
              <w:t>Medway</w:t>
            </w:r>
          </w:p>
        </w:tc>
        <w:tc>
          <w:tcPr>
            <w:tcW w:w="1183" w:type="pct"/>
            <w:shd w:val="clear" w:color="auto" w:fill="FFFFFF" w:themeFill="background1"/>
            <w:noWrap/>
            <w:vAlign w:val="center"/>
          </w:tcPr>
          <w:p w14:paraId="334A1706"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b/>
                <w:bCs/>
                <w:color w:val="000000"/>
                <w:sz w:val="22"/>
                <w:szCs w:val="22"/>
              </w:rPr>
              <w:t>£54,300</w:t>
            </w:r>
          </w:p>
        </w:tc>
        <w:tc>
          <w:tcPr>
            <w:tcW w:w="1066" w:type="pct"/>
            <w:shd w:val="clear" w:color="auto" w:fill="FFFFFF" w:themeFill="background1"/>
            <w:noWrap/>
            <w:vAlign w:val="center"/>
          </w:tcPr>
          <w:p w14:paraId="3C6212ED"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b/>
                <w:bCs/>
                <w:color w:val="000000"/>
                <w:sz w:val="22"/>
                <w:szCs w:val="22"/>
              </w:rPr>
              <w:t>£207,000</w:t>
            </w:r>
          </w:p>
        </w:tc>
        <w:tc>
          <w:tcPr>
            <w:tcW w:w="985" w:type="pct"/>
            <w:shd w:val="clear" w:color="auto" w:fill="FFFFFF" w:themeFill="background1"/>
            <w:noWrap/>
            <w:vAlign w:val="center"/>
          </w:tcPr>
          <w:p w14:paraId="197CEE75"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b/>
                <w:bCs/>
                <w:color w:val="000000"/>
                <w:sz w:val="22"/>
                <w:szCs w:val="22"/>
              </w:rPr>
              <w:t>281.2%</w:t>
            </w:r>
          </w:p>
        </w:tc>
      </w:tr>
      <w:tr w:rsidR="00CE1BDB" w:rsidRPr="00FA4DC7" w14:paraId="393BBBDD" w14:textId="77777777" w:rsidTr="00EF49A7">
        <w:tc>
          <w:tcPr>
            <w:tcW w:w="1766" w:type="pct"/>
            <w:shd w:val="clear" w:color="auto" w:fill="D9D9D9" w:themeFill="background1" w:themeFillShade="D9"/>
            <w:noWrap/>
            <w:vAlign w:val="center"/>
          </w:tcPr>
          <w:p w14:paraId="4620D4CD" w14:textId="77777777" w:rsidR="00CE1BDB" w:rsidRPr="00FA4DC7" w:rsidRDefault="00CE1BDB" w:rsidP="00EF49A7">
            <w:pPr>
              <w:tabs>
                <w:tab w:val="left" w:pos="0"/>
                <w:tab w:val="left" w:pos="709"/>
                <w:tab w:val="left" w:pos="1418"/>
              </w:tabs>
              <w:rPr>
                <w:rFonts w:cs="Arial"/>
                <w:b/>
                <w:bCs/>
                <w:sz w:val="22"/>
                <w:szCs w:val="22"/>
              </w:rPr>
            </w:pPr>
            <w:proofErr w:type="gramStart"/>
            <w:r w:rsidRPr="00FA4DC7">
              <w:rPr>
                <w:rFonts w:cs="Arial"/>
                <w:color w:val="000000"/>
                <w:sz w:val="22"/>
                <w:szCs w:val="22"/>
              </w:rPr>
              <w:t>South East</w:t>
            </w:r>
            <w:proofErr w:type="gramEnd"/>
          </w:p>
        </w:tc>
        <w:tc>
          <w:tcPr>
            <w:tcW w:w="1183" w:type="pct"/>
            <w:shd w:val="clear" w:color="auto" w:fill="D9D9D9" w:themeFill="background1" w:themeFillShade="D9"/>
            <w:noWrap/>
            <w:vAlign w:val="center"/>
          </w:tcPr>
          <w:p w14:paraId="749084ED"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£77,000</w:t>
            </w:r>
          </w:p>
        </w:tc>
        <w:tc>
          <w:tcPr>
            <w:tcW w:w="1066" w:type="pct"/>
            <w:shd w:val="clear" w:color="auto" w:fill="D9D9D9" w:themeFill="background1" w:themeFillShade="D9"/>
            <w:noWrap/>
            <w:vAlign w:val="center"/>
          </w:tcPr>
          <w:p w14:paraId="67486ABC"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£245,000</w:t>
            </w:r>
          </w:p>
        </w:tc>
        <w:tc>
          <w:tcPr>
            <w:tcW w:w="985" w:type="pct"/>
            <w:shd w:val="clear" w:color="auto" w:fill="D9D9D9" w:themeFill="background1" w:themeFillShade="D9"/>
            <w:noWrap/>
            <w:vAlign w:val="center"/>
          </w:tcPr>
          <w:p w14:paraId="6033AB33"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218.2%</w:t>
            </w:r>
          </w:p>
        </w:tc>
      </w:tr>
      <w:tr w:rsidR="00CE1BDB" w:rsidRPr="00FA4DC7" w14:paraId="0F960BF4" w14:textId="77777777" w:rsidTr="00EF49A7">
        <w:tc>
          <w:tcPr>
            <w:tcW w:w="1766" w:type="pct"/>
            <w:shd w:val="clear" w:color="auto" w:fill="auto"/>
            <w:noWrap/>
            <w:vAlign w:val="center"/>
          </w:tcPr>
          <w:p w14:paraId="43A2DC2F"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Dartford</w:t>
            </w:r>
          </w:p>
        </w:tc>
        <w:tc>
          <w:tcPr>
            <w:tcW w:w="1183" w:type="pct"/>
            <w:shd w:val="clear" w:color="auto" w:fill="auto"/>
            <w:noWrap/>
            <w:vAlign w:val="center"/>
          </w:tcPr>
          <w:p w14:paraId="59E5DB2D"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£65,000</w:t>
            </w:r>
          </w:p>
        </w:tc>
        <w:tc>
          <w:tcPr>
            <w:tcW w:w="1066" w:type="pct"/>
            <w:shd w:val="clear" w:color="auto" w:fill="auto"/>
            <w:noWrap/>
            <w:vAlign w:val="center"/>
          </w:tcPr>
          <w:p w14:paraId="621640F6"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£264,995</w:t>
            </w:r>
          </w:p>
        </w:tc>
        <w:tc>
          <w:tcPr>
            <w:tcW w:w="985" w:type="pct"/>
            <w:shd w:val="clear" w:color="auto" w:fill="auto"/>
            <w:noWrap/>
            <w:vAlign w:val="center"/>
          </w:tcPr>
          <w:p w14:paraId="0AC701A0"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307.7%</w:t>
            </w:r>
          </w:p>
        </w:tc>
      </w:tr>
      <w:tr w:rsidR="00CE1BDB" w:rsidRPr="00FA4DC7" w14:paraId="60E991E4" w14:textId="77777777" w:rsidTr="00EF49A7">
        <w:tc>
          <w:tcPr>
            <w:tcW w:w="1766" w:type="pct"/>
            <w:shd w:val="clear" w:color="auto" w:fill="auto"/>
            <w:noWrap/>
            <w:vAlign w:val="center"/>
          </w:tcPr>
          <w:p w14:paraId="0A55454B" w14:textId="77777777" w:rsidR="00CE1BDB" w:rsidRPr="00FA4DC7" w:rsidRDefault="00CE1BDB" w:rsidP="00EF49A7">
            <w:pPr>
              <w:tabs>
                <w:tab w:val="left" w:pos="0"/>
                <w:tab w:val="left" w:pos="709"/>
                <w:tab w:val="left" w:pos="1418"/>
              </w:tabs>
              <w:rPr>
                <w:rFonts w:cs="Arial"/>
                <w:b/>
                <w:bCs/>
                <w:sz w:val="22"/>
                <w:szCs w:val="22"/>
              </w:rPr>
            </w:pPr>
            <w:r w:rsidRPr="00FA4DC7">
              <w:rPr>
                <w:rFonts w:cs="Arial"/>
                <w:color w:val="000000"/>
                <w:sz w:val="22"/>
                <w:szCs w:val="22"/>
              </w:rPr>
              <w:t>Gravesham</w:t>
            </w:r>
          </w:p>
        </w:tc>
        <w:tc>
          <w:tcPr>
            <w:tcW w:w="1183" w:type="pct"/>
            <w:shd w:val="clear" w:color="auto" w:fill="auto"/>
            <w:noWrap/>
            <w:vAlign w:val="center"/>
          </w:tcPr>
          <w:p w14:paraId="045003D3"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£64,995</w:t>
            </w:r>
          </w:p>
        </w:tc>
        <w:tc>
          <w:tcPr>
            <w:tcW w:w="1066" w:type="pct"/>
            <w:shd w:val="clear" w:color="auto" w:fill="auto"/>
            <w:noWrap/>
            <w:vAlign w:val="center"/>
          </w:tcPr>
          <w:p w14:paraId="0CAF6443"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£244,000</w:t>
            </w:r>
          </w:p>
        </w:tc>
        <w:tc>
          <w:tcPr>
            <w:tcW w:w="985" w:type="pct"/>
            <w:shd w:val="clear" w:color="auto" w:fill="auto"/>
            <w:noWrap/>
            <w:vAlign w:val="center"/>
          </w:tcPr>
          <w:p w14:paraId="3FA61111" w14:textId="77777777" w:rsidR="00CE1BDB" w:rsidRPr="00FA4DC7" w:rsidRDefault="00CE1BDB" w:rsidP="00EF49A7">
            <w:pPr>
              <w:tabs>
                <w:tab w:val="left" w:pos="0"/>
                <w:tab w:val="left" w:pos="709"/>
                <w:tab w:val="left" w:pos="1418"/>
              </w:tabs>
              <w:jc w:val="right"/>
              <w:rPr>
                <w:rFonts w:cs="Arial"/>
                <w:b/>
                <w:bCs/>
                <w:sz w:val="22"/>
                <w:szCs w:val="22"/>
              </w:rPr>
            </w:pPr>
            <w:r w:rsidRPr="00FA4DC7">
              <w:rPr>
                <w:rFonts w:cs="Arial"/>
                <w:color w:val="000000"/>
                <w:sz w:val="22"/>
                <w:szCs w:val="22"/>
              </w:rPr>
              <w:t>275.4%</w:t>
            </w:r>
          </w:p>
        </w:tc>
      </w:tr>
      <w:tr w:rsidR="00CE1BDB" w:rsidRPr="00FA4DC7" w14:paraId="2CD6E7E5" w14:textId="77777777" w:rsidTr="00EF49A7">
        <w:tc>
          <w:tcPr>
            <w:tcW w:w="1766" w:type="pct"/>
            <w:shd w:val="clear" w:color="auto" w:fill="auto"/>
            <w:noWrap/>
            <w:vAlign w:val="center"/>
          </w:tcPr>
          <w:p w14:paraId="7B8EB410"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Maidstone</w:t>
            </w:r>
          </w:p>
        </w:tc>
        <w:tc>
          <w:tcPr>
            <w:tcW w:w="1183" w:type="pct"/>
            <w:shd w:val="clear" w:color="auto" w:fill="auto"/>
            <w:noWrap/>
            <w:vAlign w:val="center"/>
          </w:tcPr>
          <w:p w14:paraId="2C9EBAA8"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£79,000</w:t>
            </w:r>
          </w:p>
        </w:tc>
        <w:tc>
          <w:tcPr>
            <w:tcW w:w="1066" w:type="pct"/>
            <w:shd w:val="clear" w:color="auto" w:fill="auto"/>
            <w:noWrap/>
            <w:vAlign w:val="center"/>
          </w:tcPr>
          <w:p w14:paraId="606B87C9"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£247,500</w:t>
            </w:r>
          </w:p>
        </w:tc>
        <w:tc>
          <w:tcPr>
            <w:tcW w:w="985" w:type="pct"/>
            <w:shd w:val="clear" w:color="auto" w:fill="auto"/>
            <w:noWrap/>
            <w:vAlign w:val="center"/>
          </w:tcPr>
          <w:p w14:paraId="1845122C"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213.3%</w:t>
            </w:r>
          </w:p>
        </w:tc>
      </w:tr>
      <w:tr w:rsidR="00CE1BDB" w:rsidRPr="00FA4DC7" w14:paraId="437A863B" w14:textId="77777777" w:rsidTr="00EF49A7">
        <w:tc>
          <w:tcPr>
            <w:tcW w:w="1766" w:type="pct"/>
            <w:shd w:val="clear" w:color="auto" w:fill="auto"/>
            <w:noWrap/>
            <w:vAlign w:val="center"/>
          </w:tcPr>
          <w:p w14:paraId="4B8B01B9" w14:textId="77777777" w:rsidR="00CE1BDB" w:rsidRPr="00FA4DC7" w:rsidRDefault="00CE1BDB" w:rsidP="00EF49A7">
            <w:pPr>
              <w:tabs>
                <w:tab w:val="left" w:pos="0"/>
                <w:tab w:val="left" w:pos="709"/>
                <w:tab w:val="left" w:pos="1418"/>
              </w:tabs>
              <w:rPr>
                <w:rFonts w:cs="Arial"/>
                <w:b/>
                <w:sz w:val="22"/>
                <w:szCs w:val="22"/>
              </w:rPr>
            </w:pPr>
            <w:r w:rsidRPr="00FA4DC7">
              <w:rPr>
                <w:rFonts w:cs="Arial"/>
                <w:color w:val="000000"/>
                <w:sz w:val="22"/>
                <w:szCs w:val="22"/>
              </w:rPr>
              <w:t>Swale</w:t>
            </w:r>
          </w:p>
        </w:tc>
        <w:tc>
          <w:tcPr>
            <w:tcW w:w="1183" w:type="pct"/>
            <w:shd w:val="clear" w:color="auto" w:fill="auto"/>
            <w:noWrap/>
            <w:vAlign w:val="center"/>
          </w:tcPr>
          <w:p w14:paraId="2ECE05A0"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£56,950</w:t>
            </w:r>
          </w:p>
        </w:tc>
        <w:tc>
          <w:tcPr>
            <w:tcW w:w="1066" w:type="pct"/>
            <w:shd w:val="clear" w:color="auto" w:fill="auto"/>
            <w:noWrap/>
            <w:vAlign w:val="center"/>
          </w:tcPr>
          <w:p w14:paraId="30BAA8C9"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£197,000</w:t>
            </w:r>
          </w:p>
        </w:tc>
        <w:tc>
          <w:tcPr>
            <w:tcW w:w="985" w:type="pct"/>
            <w:shd w:val="clear" w:color="auto" w:fill="auto"/>
            <w:noWrap/>
            <w:vAlign w:val="center"/>
          </w:tcPr>
          <w:p w14:paraId="03EA02D0" w14:textId="77777777" w:rsidR="00CE1BDB" w:rsidRPr="00FA4DC7" w:rsidRDefault="00CE1BDB" w:rsidP="00EF49A7">
            <w:pPr>
              <w:tabs>
                <w:tab w:val="left" w:pos="0"/>
                <w:tab w:val="left" w:pos="709"/>
                <w:tab w:val="left" w:pos="1418"/>
              </w:tabs>
              <w:jc w:val="right"/>
              <w:rPr>
                <w:rFonts w:cs="Arial"/>
                <w:sz w:val="22"/>
                <w:szCs w:val="22"/>
              </w:rPr>
            </w:pPr>
            <w:r w:rsidRPr="00FA4DC7">
              <w:rPr>
                <w:rFonts w:cs="Arial"/>
                <w:color w:val="000000"/>
                <w:sz w:val="22"/>
                <w:szCs w:val="22"/>
              </w:rPr>
              <w:t>245.9%</w:t>
            </w:r>
          </w:p>
        </w:tc>
      </w:tr>
      <w:tr w:rsidR="00C40CA1" w:rsidRPr="00FA4DC7" w14:paraId="132F6764" w14:textId="77777777" w:rsidTr="00EF49A7">
        <w:tc>
          <w:tcPr>
            <w:tcW w:w="1766" w:type="pct"/>
            <w:shd w:val="clear" w:color="auto" w:fill="auto"/>
            <w:noWrap/>
            <w:vAlign w:val="center"/>
          </w:tcPr>
          <w:p w14:paraId="748073A4" w14:textId="77DF2247" w:rsidR="00C40CA1" w:rsidRPr="00FA4DC7" w:rsidRDefault="00C40CA1" w:rsidP="00EF49A7">
            <w:pPr>
              <w:tabs>
                <w:tab w:val="left" w:pos="0"/>
                <w:tab w:val="left" w:pos="709"/>
                <w:tab w:val="left" w:pos="1418"/>
              </w:tabs>
              <w:rPr>
                <w:rFonts w:cs="Arial"/>
                <w:color w:val="000000"/>
                <w:sz w:val="22"/>
                <w:szCs w:val="22"/>
              </w:rPr>
            </w:pPr>
            <w:r>
              <w:rPr>
                <w:rFonts w:cs="Arial"/>
                <w:color w:val="000000"/>
                <w:sz w:val="22"/>
                <w:szCs w:val="22"/>
              </w:rPr>
              <w:t xml:space="preserve">Tonbridge and </w:t>
            </w:r>
            <w:proofErr w:type="spellStart"/>
            <w:r>
              <w:rPr>
                <w:rFonts w:cs="Arial"/>
                <w:color w:val="000000"/>
                <w:sz w:val="22"/>
                <w:szCs w:val="22"/>
              </w:rPr>
              <w:t>Malling</w:t>
            </w:r>
            <w:proofErr w:type="spellEnd"/>
          </w:p>
        </w:tc>
        <w:tc>
          <w:tcPr>
            <w:tcW w:w="1183" w:type="pct"/>
            <w:shd w:val="clear" w:color="auto" w:fill="auto"/>
            <w:noWrap/>
            <w:vAlign w:val="center"/>
          </w:tcPr>
          <w:p w14:paraId="7EE15B9A" w14:textId="58B71794" w:rsidR="00C40CA1" w:rsidRPr="00FA4DC7" w:rsidRDefault="00C40CA1" w:rsidP="00EF49A7">
            <w:pPr>
              <w:tabs>
                <w:tab w:val="left" w:pos="0"/>
                <w:tab w:val="left" w:pos="709"/>
                <w:tab w:val="left" w:pos="1418"/>
              </w:tabs>
              <w:jc w:val="right"/>
              <w:rPr>
                <w:rFonts w:cs="Arial"/>
                <w:color w:val="000000"/>
                <w:sz w:val="22"/>
                <w:szCs w:val="22"/>
              </w:rPr>
            </w:pPr>
            <w:r>
              <w:rPr>
                <w:rFonts w:cs="Arial"/>
                <w:color w:val="000000"/>
                <w:sz w:val="22"/>
                <w:szCs w:val="22"/>
              </w:rPr>
              <w:t>£87,000</w:t>
            </w:r>
          </w:p>
        </w:tc>
        <w:tc>
          <w:tcPr>
            <w:tcW w:w="1066" w:type="pct"/>
            <w:shd w:val="clear" w:color="auto" w:fill="auto"/>
            <w:noWrap/>
            <w:vAlign w:val="center"/>
          </w:tcPr>
          <w:p w14:paraId="26841B0F" w14:textId="03108048" w:rsidR="00C40CA1" w:rsidRPr="00FA4DC7" w:rsidRDefault="00C40CA1" w:rsidP="00EF49A7">
            <w:pPr>
              <w:tabs>
                <w:tab w:val="left" w:pos="0"/>
                <w:tab w:val="left" w:pos="709"/>
                <w:tab w:val="left" w:pos="1418"/>
              </w:tabs>
              <w:jc w:val="right"/>
              <w:rPr>
                <w:rFonts w:cs="Arial"/>
                <w:color w:val="000000"/>
                <w:sz w:val="22"/>
                <w:szCs w:val="22"/>
              </w:rPr>
            </w:pPr>
            <w:r>
              <w:rPr>
                <w:rFonts w:cs="Arial"/>
                <w:color w:val="000000"/>
                <w:sz w:val="22"/>
                <w:szCs w:val="22"/>
              </w:rPr>
              <w:t>£275,000</w:t>
            </w:r>
          </w:p>
        </w:tc>
        <w:tc>
          <w:tcPr>
            <w:tcW w:w="985" w:type="pct"/>
            <w:shd w:val="clear" w:color="auto" w:fill="auto"/>
            <w:noWrap/>
            <w:vAlign w:val="center"/>
          </w:tcPr>
          <w:p w14:paraId="350EC885" w14:textId="6312864D" w:rsidR="00C40CA1" w:rsidRPr="00FA4DC7" w:rsidRDefault="00C40CA1" w:rsidP="00EF49A7">
            <w:pPr>
              <w:tabs>
                <w:tab w:val="left" w:pos="0"/>
                <w:tab w:val="left" w:pos="709"/>
                <w:tab w:val="left" w:pos="1418"/>
              </w:tabs>
              <w:jc w:val="right"/>
              <w:rPr>
                <w:rFonts w:cs="Arial"/>
                <w:color w:val="000000"/>
                <w:sz w:val="22"/>
                <w:szCs w:val="22"/>
              </w:rPr>
            </w:pPr>
            <w:r>
              <w:rPr>
                <w:rFonts w:cs="Arial"/>
                <w:color w:val="000000"/>
                <w:sz w:val="22"/>
                <w:szCs w:val="22"/>
              </w:rPr>
              <w:t>216.1%</w:t>
            </w:r>
          </w:p>
        </w:tc>
      </w:tr>
    </w:tbl>
    <w:p w14:paraId="4E7C66C4" w14:textId="77777777" w:rsidR="00CE1BDB" w:rsidRPr="00FA4DC7" w:rsidRDefault="00CE1BDB" w:rsidP="00CE1BDB">
      <w:pPr>
        <w:pStyle w:val="Reporttext"/>
        <w:numPr>
          <w:ilvl w:val="0"/>
          <w:numId w:val="0"/>
        </w:numPr>
        <w:tabs>
          <w:tab w:val="left" w:pos="0"/>
          <w:tab w:val="left" w:pos="709"/>
          <w:tab w:val="left" w:pos="1418"/>
        </w:tabs>
        <w:rPr>
          <w:rFonts w:cs="Arial"/>
          <w:sz w:val="22"/>
          <w:szCs w:val="28"/>
        </w:rPr>
      </w:pPr>
      <w:r w:rsidRPr="00FA4DC7">
        <w:rPr>
          <w:rFonts w:cs="Arial"/>
          <w:sz w:val="22"/>
          <w:szCs w:val="28"/>
        </w:rPr>
        <w:t>Source: Data produced by Land Registry © Crown copyright 2021</w:t>
      </w:r>
    </w:p>
    <w:p w14:paraId="157F452C" w14:textId="77777777" w:rsidR="00CE1BDB" w:rsidRPr="00FA4DC7" w:rsidRDefault="00CE1BDB" w:rsidP="00CE1BDB">
      <w:pPr>
        <w:pStyle w:val="Reporttext"/>
        <w:numPr>
          <w:ilvl w:val="0"/>
          <w:numId w:val="0"/>
        </w:numPr>
        <w:tabs>
          <w:tab w:val="left" w:pos="0"/>
          <w:tab w:val="left" w:pos="709"/>
          <w:tab w:val="left" w:pos="1418"/>
        </w:tabs>
        <w:rPr>
          <w:rFonts w:cs="Arial"/>
          <w:sz w:val="20"/>
        </w:rPr>
      </w:pPr>
    </w:p>
    <w:p w14:paraId="7945B2A7" w14:textId="77777777" w:rsidR="007D604B" w:rsidRDefault="00CE1BDB" w:rsidP="007D604B">
      <w:pPr>
        <w:pStyle w:val="Reporttext"/>
        <w:tabs>
          <w:tab w:val="left" w:pos="709"/>
          <w:tab w:val="left" w:pos="1418"/>
        </w:tabs>
        <w:rPr>
          <w:rFonts w:cs="Arial"/>
        </w:rPr>
      </w:pPr>
      <w:r w:rsidRPr="00FA4DC7">
        <w:rPr>
          <w:rFonts w:cs="Arial"/>
        </w:rPr>
        <w:t xml:space="preserve">Table 3.3a/b sets out the change in house prices by sub-area over the period 2007 to 2020 (Note: Land Registry ward level analysis is only possible from 2007). During this period, median prices increased by +58.2% overall but varies </w:t>
      </w:r>
      <w:r w:rsidRPr="007D604B">
        <w:rPr>
          <w:rFonts w:cs="Arial"/>
        </w:rPr>
        <w:t xml:space="preserve">considerably at ward/small level. Table 3.3a/b also sets out LQ data for the same period, with an overall increase of +52.7% and considerable variation within </w:t>
      </w:r>
      <w:bookmarkStart w:id="215" w:name="_Toc517356574"/>
      <w:bookmarkStart w:id="216" w:name="_Toc430084699"/>
      <w:bookmarkStart w:id="217" w:name="_Toc304624649"/>
      <w:r w:rsidRPr="007D604B">
        <w:rPr>
          <w:rFonts w:cs="Arial"/>
        </w:rPr>
        <w:t>Medway.</w:t>
      </w:r>
    </w:p>
    <w:p w14:paraId="218B1C3F" w14:textId="386AEE53" w:rsidR="00CE1BDB" w:rsidRPr="007D604B" w:rsidRDefault="00CE1BDB" w:rsidP="007D604B">
      <w:pPr>
        <w:pStyle w:val="Reporttext"/>
        <w:tabs>
          <w:tab w:val="left" w:pos="709"/>
          <w:tab w:val="left" w:pos="1418"/>
        </w:tabs>
        <w:rPr>
          <w:rFonts w:cs="Arial"/>
        </w:rPr>
        <w:sectPr w:rsidR="00CE1BDB" w:rsidRPr="007D604B" w:rsidSect="00EF49A7">
          <w:headerReference w:type="default" r:id="rId40"/>
          <w:pgSz w:w="11906" w:h="16838"/>
          <w:pgMar w:top="1134" w:right="1440" w:bottom="1440" w:left="1276" w:header="708" w:footer="708" w:gutter="0"/>
          <w:cols w:space="708"/>
          <w:docGrid w:linePitch="360"/>
        </w:sectPr>
      </w:pPr>
      <w:r w:rsidRPr="007D604B">
        <w:rPr>
          <w:rFonts w:cs="Arial"/>
        </w:rPr>
        <w:t xml:space="preserve">Maps 3.1 and 3.2 provide an illustration of LQ and median prices using Lower Super Output Area. The maps show a range of market prices, with highest prices in the south-eastern parts of Medway and lowest in areas of the </w:t>
      </w:r>
      <w:proofErr w:type="spellStart"/>
      <w:r w:rsidRPr="007D604B">
        <w:rPr>
          <w:rFonts w:cs="Arial"/>
        </w:rPr>
        <w:t>Hoo</w:t>
      </w:r>
      <w:proofErr w:type="spellEnd"/>
      <w:r w:rsidRPr="007D604B">
        <w:rPr>
          <w:rFonts w:cs="Arial"/>
        </w:rPr>
        <w:t xml:space="preserve"> Peninsula and within Chatham and Rochester.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1168"/>
        <w:gridCol w:w="1168"/>
        <w:gridCol w:w="1026"/>
        <w:gridCol w:w="1155"/>
        <w:gridCol w:w="1083"/>
        <w:gridCol w:w="1013"/>
      </w:tblGrid>
      <w:tr w:rsidR="00625CD5" w:rsidRPr="00FA4DC7" w14:paraId="389825DA" w14:textId="77777777" w:rsidTr="00625CD5">
        <w:trPr>
          <w:trHeight w:val="320"/>
        </w:trPr>
        <w:tc>
          <w:tcPr>
            <w:tcW w:w="5000" w:type="pct"/>
            <w:gridSpan w:val="7"/>
            <w:shd w:val="clear" w:color="auto" w:fill="006666"/>
            <w:noWrap/>
            <w:vAlign w:val="center"/>
          </w:tcPr>
          <w:p w14:paraId="586BBF56" w14:textId="6706C810" w:rsidR="00625CD5" w:rsidRPr="00FA4DC7" w:rsidRDefault="00625CD5" w:rsidP="00625CD5">
            <w:pPr>
              <w:pStyle w:val="Tableheading1"/>
              <w:rPr>
                <w:color w:val="FFFFFF"/>
              </w:rPr>
            </w:pPr>
            <w:bookmarkStart w:id="218" w:name="_Toc83036077"/>
            <w:bookmarkEnd w:id="215"/>
            <w:r w:rsidRPr="00EF49A7">
              <w:lastRenderedPageBreak/>
              <w:t xml:space="preserve">Table 3.3a </w:t>
            </w:r>
            <w:r>
              <w:tab/>
            </w:r>
            <w:r w:rsidRPr="00EF49A7">
              <w:t>Comparative lower quartile and median house price change 2007-2020 for Medway Wards</w:t>
            </w:r>
            <w:bookmarkEnd w:id="218"/>
          </w:p>
        </w:tc>
      </w:tr>
      <w:tr w:rsidR="00CE1BDB" w:rsidRPr="00FA4DC7" w14:paraId="0460E9CE" w14:textId="77777777" w:rsidTr="00625CD5">
        <w:trPr>
          <w:trHeight w:val="320"/>
        </w:trPr>
        <w:tc>
          <w:tcPr>
            <w:tcW w:w="1398" w:type="pct"/>
            <w:vMerge w:val="restart"/>
            <w:shd w:val="clear" w:color="auto" w:fill="006666"/>
            <w:noWrap/>
            <w:vAlign w:val="bottom"/>
            <w:hideMark/>
          </w:tcPr>
          <w:p w14:paraId="3EDA45AD" w14:textId="77777777" w:rsidR="00CE1BDB" w:rsidRPr="00FA4DC7" w:rsidRDefault="00CE1BDB" w:rsidP="00625CD5">
            <w:pPr>
              <w:rPr>
                <w:rFonts w:cs="Arial"/>
                <w:b/>
                <w:bCs/>
                <w:color w:val="FFFFFF"/>
                <w:sz w:val="22"/>
                <w:szCs w:val="22"/>
              </w:rPr>
            </w:pPr>
            <w:r w:rsidRPr="00FA4DC7">
              <w:rPr>
                <w:rFonts w:cs="Arial"/>
                <w:b/>
                <w:bCs/>
                <w:color w:val="FFFFFF"/>
                <w:sz w:val="22"/>
                <w:szCs w:val="22"/>
              </w:rPr>
              <w:t>Ward</w:t>
            </w:r>
          </w:p>
        </w:tc>
        <w:tc>
          <w:tcPr>
            <w:tcW w:w="1831" w:type="pct"/>
            <w:gridSpan w:val="3"/>
            <w:shd w:val="clear" w:color="auto" w:fill="006666"/>
            <w:noWrap/>
            <w:vAlign w:val="bottom"/>
            <w:hideMark/>
          </w:tcPr>
          <w:p w14:paraId="56AFE433" w14:textId="77777777" w:rsidR="00CE1BDB" w:rsidRPr="00FA4DC7" w:rsidRDefault="00CE1BDB" w:rsidP="00625CD5">
            <w:pPr>
              <w:jc w:val="center"/>
              <w:rPr>
                <w:rFonts w:cs="Arial"/>
                <w:b/>
                <w:bCs/>
                <w:color w:val="FFFFFF"/>
                <w:sz w:val="22"/>
                <w:szCs w:val="22"/>
              </w:rPr>
            </w:pPr>
            <w:r w:rsidRPr="00FA4DC7">
              <w:rPr>
                <w:rFonts w:cs="Arial"/>
                <w:b/>
                <w:bCs/>
                <w:color w:val="FFFFFF"/>
                <w:sz w:val="22"/>
                <w:szCs w:val="22"/>
              </w:rPr>
              <w:t>LQ house price</w:t>
            </w:r>
          </w:p>
        </w:tc>
        <w:tc>
          <w:tcPr>
            <w:tcW w:w="1771" w:type="pct"/>
            <w:gridSpan w:val="3"/>
            <w:shd w:val="clear" w:color="auto" w:fill="006666"/>
            <w:noWrap/>
            <w:vAlign w:val="bottom"/>
            <w:hideMark/>
          </w:tcPr>
          <w:p w14:paraId="34D25703" w14:textId="77777777" w:rsidR="00CE1BDB" w:rsidRPr="00FA4DC7" w:rsidRDefault="00CE1BDB" w:rsidP="00625CD5">
            <w:pPr>
              <w:jc w:val="center"/>
              <w:rPr>
                <w:rFonts w:cs="Arial"/>
                <w:b/>
                <w:bCs/>
                <w:color w:val="FFFFFF"/>
                <w:sz w:val="22"/>
                <w:szCs w:val="22"/>
              </w:rPr>
            </w:pPr>
            <w:r w:rsidRPr="00FA4DC7">
              <w:rPr>
                <w:rFonts w:cs="Arial"/>
                <w:b/>
                <w:bCs/>
                <w:color w:val="FFFFFF"/>
                <w:sz w:val="22"/>
                <w:szCs w:val="22"/>
              </w:rPr>
              <w:t>Median house price</w:t>
            </w:r>
          </w:p>
        </w:tc>
      </w:tr>
      <w:tr w:rsidR="00625CD5" w:rsidRPr="00FA4DC7" w14:paraId="477DE20D" w14:textId="77777777" w:rsidTr="00625CD5">
        <w:trPr>
          <w:trHeight w:val="320"/>
        </w:trPr>
        <w:tc>
          <w:tcPr>
            <w:tcW w:w="1398" w:type="pct"/>
            <w:vMerge/>
            <w:shd w:val="clear" w:color="auto" w:fill="006666"/>
            <w:vAlign w:val="bottom"/>
            <w:hideMark/>
          </w:tcPr>
          <w:p w14:paraId="14F643E7" w14:textId="77777777" w:rsidR="00CE1BDB" w:rsidRPr="00FA4DC7" w:rsidRDefault="00CE1BDB" w:rsidP="00625CD5">
            <w:pPr>
              <w:jc w:val="center"/>
              <w:rPr>
                <w:rFonts w:cs="Arial"/>
                <w:b/>
                <w:bCs/>
                <w:color w:val="FFFFFF"/>
                <w:sz w:val="22"/>
                <w:szCs w:val="22"/>
              </w:rPr>
            </w:pPr>
          </w:p>
        </w:tc>
        <w:tc>
          <w:tcPr>
            <w:tcW w:w="636" w:type="pct"/>
            <w:shd w:val="clear" w:color="auto" w:fill="006666"/>
            <w:noWrap/>
            <w:vAlign w:val="bottom"/>
            <w:hideMark/>
          </w:tcPr>
          <w:p w14:paraId="4697B402" w14:textId="77777777" w:rsidR="00CE1BDB" w:rsidRPr="00FA4DC7" w:rsidRDefault="00CE1BDB" w:rsidP="00625CD5">
            <w:pPr>
              <w:jc w:val="center"/>
              <w:rPr>
                <w:rFonts w:cs="Arial"/>
                <w:color w:val="FFFFFF"/>
                <w:sz w:val="22"/>
                <w:szCs w:val="22"/>
              </w:rPr>
            </w:pPr>
            <w:r w:rsidRPr="00FA4DC7">
              <w:rPr>
                <w:rFonts w:cs="Arial"/>
                <w:color w:val="FFFFFF"/>
                <w:sz w:val="22"/>
                <w:szCs w:val="22"/>
              </w:rPr>
              <w:t>2007</w:t>
            </w:r>
          </w:p>
        </w:tc>
        <w:tc>
          <w:tcPr>
            <w:tcW w:w="636" w:type="pct"/>
            <w:shd w:val="clear" w:color="auto" w:fill="006666"/>
            <w:noWrap/>
            <w:vAlign w:val="bottom"/>
            <w:hideMark/>
          </w:tcPr>
          <w:p w14:paraId="44E18851" w14:textId="77777777" w:rsidR="00CE1BDB" w:rsidRPr="00FA4DC7" w:rsidRDefault="00CE1BDB" w:rsidP="00625CD5">
            <w:pPr>
              <w:jc w:val="center"/>
              <w:rPr>
                <w:rFonts w:cs="Arial"/>
                <w:color w:val="FFFFFF"/>
                <w:sz w:val="22"/>
                <w:szCs w:val="22"/>
              </w:rPr>
            </w:pPr>
            <w:r w:rsidRPr="00FA4DC7">
              <w:rPr>
                <w:rFonts w:cs="Arial"/>
                <w:color w:val="FFFFFF"/>
                <w:sz w:val="22"/>
                <w:szCs w:val="22"/>
              </w:rPr>
              <w:t>2020</w:t>
            </w:r>
          </w:p>
        </w:tc>
        <w:tc>
          <w:tcPr>
            <w:tcW w:w="559" w:type="pct"/>
            <w:shd w:val="clear" w:color="auto" w:fill="006666"/>
            <w:noWrap/>
            <w:vAlign w:val="bottom"/>
            <w:hideMark/>
          </w:tcPr>
          <w:p w14:paraId="1B37723B" w14:textId="77777777" w:rsidR="00CE1BDB" w:rsidRPr="00FA4DC7" w:rsidRDefault="00CE1BDB" w:rsidP="00625CD5">
            <w:pPr>
              <w:jc w:val="center"/>
              <w:rPr>
                <w:rFonts w:cs="Arial"/>
                <w:color w:val="FFFFFF"/>
                <w:sz w:val="22"/>
                <w:szCs w:val="22"/>
              </w:rPr>
            </w:pPr>
            <w:r w:rsidRPr="00FA4DC7">
              <w:rPr>
                <w:rFonts w:cs="Arial"/>
                <w:color w:val="FFFFFF"/>
                <w:sz w:val="22"/>
                <w:szCs w:val="22"/>
              </w:rPr>
              <w:t xml:space="preserve">% </w:t>
            </w:r>
            <w:proofErr w:type="gramStart"/>
            <w:r w:rsidRPr="00FA4DC7">
              <w:rPr>
                <w:rFonts w:cs="Arial"/>
                <w:color w:val="FFFFFF"/>
                <w:sz w:val="22"/>
                <w:szCs w:val="22"/>
              </w:rPr>
              <w:t>change</w:t>
            </w:r>
            <w:proofErr w:type="gramEnd"/>
          </w:p>
        </w:tc>
        <w:tc>
          <w:tcPr>
            <w:tcW w:w="629" w:type="pct"/>
            <w:shd w:val="clear" w:color="auto" w:fill="006666"/>
            <w:noWrap/>
            <w:vAlign w:val="bottom"/>
            <w:hideMark/>
          </w:tcPr>
          <w:p w14:paraId="3925FD01" w14:textId="77777777" w:rsidR="00CE1BDB" w:rsidRPr="00FA4DC7" w:rsidRDefault="00CE1BDB" w:rsidP="00625CD5">
            <w:pPr>
              <w:jc w:val="center"/>
              <w:rPr>
                <w:rFonts w:cs="Arial"/>
                <w:color w:val="FFFFFF"/>
                <w:sz w:val="22"/>
                <w:szCs w:val="22"/>
              </w:rPr>
            </w:pPr>
            <w:r w:rsidRPr="00FA4DC7">
              <w:rPr>
                <w:rFonts w:cs="Arial"/>
                <w:color w:val="FFFFFF"/>
                <w:sz w:val="22"/>
                <w:szCs w:val="22"/>
              </w:rPr>
              <w:t>2007</w:t>
            </w:r>
          </w:p>
        </w:tc>
        <w:tc>
          <w:tcPr>
            <w:tcW w:w="590" w:type="pct"/>
            <w:shd w:val="clear" w:color="auto" w:fill="006666"/>
            <w:noWrap/>
            <w:vAlign w:val="bottom"/>
            <w:hideMark/>
          </w:tcPr>
          <w:p w14:paraId="0167D25A" w14:textId="77777777" w:rsidR="00CE1BDB" w:rsidRPr="00FA4DC7" w:rsidRDefault="00CE1BDB" w:rsidP="00625CD5">
            <w:pPr>
              <w:jc w:val="center"/>
              <w:rPr>
                <w:rFonts w:cs="Arial"/>
                <w:color w:val="FFFFFF"/>
                <w:sz w:val="22"/>
                <w:szCs w:val="22"/>
              </w:rPr>
            </w:pPr>
            <w:r w:rsidRPr="00FA4DC7">
              <w:rPr>
                <w:rFonts w:cs="Arial"/>
                <w:color w:val="FFFFFF"/>
                <w:sz w:val="22"/>
                <w:szCs w:val="22"/>
              </w:rPr>
              <w:t>2020</w:t>
            </w:r>
          </w:p>
        </w:tc>
        <w:tc>
          <w:tcPr>
            <w:tcW w:w="552" w:type="pct"/>
            <w:shd w:val="clear" w:color="auto" w:fill="006666"/>
            <w:noWrap/>
            <w:vAlign w:val="bottom"/>
            <w:hideMark/>
          </w:tcPr>
          <w:p w14:paraId="06FD8903" w14:textId="77777777" w:rsidR="00CE1BDB" w:rsidRPr="00FA4DC7" w:rsidRDefault="00CE1BDB" w:rsidP="00625CD5">
            <w:pPr>
              <w:jc w:val="center"/>
              <w:rPr>
                <w:rFonts w:cs="Arial"/>
                <w:color w:val="FFFFFF"/>
                <w:sz w:val="22"/>
                <w:szCs w:val="22"/>
              </w:rPr>
            </w:pPr>
            <w:r w:rsidRPr="00FA4DC7">
              <w:rPr>
                <w:rFonts w:cs="Arial"/>
                <w:color w:val="FFFFFF"/>
                <w:sz w:val="22"/>
                <w:szCs w:val="22"/>
              </w:rPr>
              <w:t xml:space="preserve">% </w:t>
            </w:r>
            <w:proofErr w:type="gramStart"/>
            <w:r w:rsidRPr="00FA4DC7">
              <w:rPr>
                <w:rFonts w:cs="Arial"/>
                <w:color w:val="FFFFFF"/>
                <w:sz w:val="22"/>
                <w:szCs w:val="22"/>
              </w:rPr>
              <w:t>change</w:t>
            </w:r>
            <w:proofErr w:type="gramEnd"/>
          </w:p>
        </w:tc>
      </w:tr>
      <w:tr w:rsidR="00CE1BDB" w:rsidRPr="00FA4DC7" w14:paraId="00C1D212" w14:textId="77777777" w:rsidTr="00625CD5">
        <w:trPr>
          <w:trHeight w:val="340"/>
        </w:trPr>
        <w:tc>
          <w:tcPr>
            <w:tcW w:w="1398" w:type="pct"/>
            <w:shd w:val="clear" w:color="auto" w:fill="auto"/>
            <w:noWrap/>
            <w:vAlign w:val="center"/>
            <w:hideMark/>
          </w:tcPr>
          <w:p w14:paraId="4355E746" w14:textId="77777777" w:rsidR="00CE1BDB" w:rsidRPr="00FA4DC7" w:rsidRDefault="00CE1BDB" w:rsidP="00625CD5">
            <w:pPr>
              <w:rPr>
                <w:rFonts w:cs="Arial"/>
                <w:color w:val="000000"/>
                <w:sz w:val="22"/>
                <w:szCs w:val="22"/>
              </w:rPr>
            </w:pPr>
            <w:r w:rsidRPr="00FA4DC7">
              <w:rPr>
                <w:rFonts w:cs="Arial"/>
                <w:color w:val="000000"/>
                <w:sz w:val="22"/>
                <w:szCs w:val="22"/>
              </w:rPr>
              <w:t>Chatham Central</w:t>
            </w:r>
          </w:p>
        </w:tc>
        <w:tc>
          <w:tcPr>
            <w:tcW w:w="636" w:type="pct"/>
            <w:shd w:val="clear" w:color="auto" w:fill="auto"/>
            <w:noWrap/>
            <w:tcMar>
              <w:left w:w="0" w:type="dxa"/>
            </w:tcMar>
            <w:vAlign w:val="center"/>
            <w:hideMark/>
          </w:tcPr>
          <w:p w14:paraId="519642CB" w14:textId="77777777" w:rsidR="00CE1BDB" w:rsidRPr="00FA4DC7" w:rsidRDefault="00CE1BDB" w:rsidP="00625CD5">
            <w:pPr>
              <w:jc w:val="right"/>
              <w:rPr>
                <w:rFonts w:cs="Arial"/>
                <w:color w:val="000000"/>
                <w:sz w:val="22"/>
                <w:szCs w:val="22"/>
              </w:rPr>
            </w:pPr>
            <w:r w:rsidRPr="00FA4DC7">
              <w:rPr>
                <w:rFonts w:cs="Arial"/>
                <w:color w:val="000000"/>
                <w:sz w:val="22"/>
                <w:szCs w:val="22"/>
              </w:rPr>
              <w:t>£115,000</w:t>
            </w:r>
          </w:p>
        </w:tc>
        <w:tc>
          <w:tcPr>
            <w:tcW w:w="636" w:type="pct"/>
            <w:shd w:val="clear" w:color="auto" w:fill="auto"/>
            <w:noWrap/>
            <w:tcMar>
              <w:left w:w="0" w:type="dxa"/>
            </w:tcMar>
            <w:vAlign w:val="center"/>
            <w:hideMark/>
          </w:tcPr>
          <w:p w14:paraId="0C8D41D6" w14:textId="77777777" w:rsidR="00CE1BDB" w:rsidRPr="00FA4DC7" w:rsidRDefault="00CE1BDB" w:rsidP="00625CD5">
            <w:pPr>
              <w:jc w:val="right"/>
              <w:rPr>
                <w:rFonts w:cs="Arial"/>
                <w:color w:val="000000"/>
                <w:sz w:val="22"/>
                <w:szCs w:val="22"/>
              </w:rPr>
            </w:pPr>
            <w:r w:rsidRPr="00FA4DC7">
              <w:rPr>
                <w:rFonts w:cs="Arial"/>
                <w:color w:val="000000"/>
                <w:sz w:val="22"/>
                <w:szCs w:val="22"/>
              </w:rPr>
              <w:t>£170,000</w:t>
            </w:r>
          </w:p>
        </w:tc>
        <w:tc>
          <w:tcPr>
            <w:tcW w:w="559" w:type="pct"/>
            <w:shd w:val="clear" w:color="auto" w:fill="auto"/>
            <w:noWrap/>
            <w:tcMar>
              <w:left w:w="0" w:type="dxa"/>
            </w:tcMar>
            <w:vAlign w:val="center"/>
            <w:hideMark/>
          </w:tcPr>
          <w:p w14:paraId="22236B49" w14:textId="77777777" w:rsidR="00CE1BDB" w:rsidRPr="00FA4DC7" w:rsidRDefault="00CE1BDB" w:rsidP="00625CD5">
            <w:pPr>
              <w:jc w:val="right"/>
              <w:rPr>
                <w:rFonts w:cs="Arial"/>
                <w:color w:val="000000"/>
                <w:sz w:val="22"/>
                <w:szCs w:val="22"/>
              </w:rPr>
            </w:pPr>
            <w:r w:rsidRPr="00FA4DC7">
              <w:rPr>
                <w:rFonts w:cs="Arial"/>
                <w:color w:val="000000"/>
                <w:sz w:val="22"/>
                <w:szCs w:val="22"/>
              </w:rPr>
              <w:t>47.8%</w:t>
            </w:r>
          </w:p>
        </w:tc>
        <w:tc>
          <w:tcPr>
            <w:tcW w:w="629" w:type="pct"/>
            <w:shd w:val="clear" w:color="auto" w:fill="auto"/>
            <w:noWrap/>
            <w:tcMar>
              <w:left w:w="0" w:type="dxa"/>
            </w:tcMar>
            <w:vAlign w:val="center"/>
            <w:hideMark/>
          </w:tcPr>
          <w:p w14:paraId="43D7A05E" w14:textId="77777777" w:rsidR="00CE1BDB" w:rsidRPr="00FA4DC7" w:rsidRDefault="00CE1BDB" w:rsidP="00625CD5">
            <w:pPr>
              <w:jc w:val="right"/>
              <w:rPr>
                <w:rFonts w:cs="Arial"/>
                <w:color w:val="000000"/>
                <w:sz w:val="22"/>
                <w:szCs w:val="22"/>
              </w:rPr>
            </w:pPr>
            <w:r w:rsidRPr="00FA4DC7">
              <w:rPr>
                <w:rFonts w:cs="Arial"/>
                <w:color w:val="000000"/>
                <w:sz w:val="22"/>
                <w:szCs w:val="22"/>
              </w:rPr>
              <w:t>£125,000</w:t>
            </w:r>
          </w:p>
        </w:tc>
        <w:tc>
          <w:tcPr>
            <w:tcW w:w="590" w:type="pct"/>
            <w:shd w:val="clear" w:color="auto" w:fill="auto"/>
            <w:noWrap/>
            <w:tcMar>
              <w:left w:w="0" w:type="dxa"/>
            </w:tcMar>
            <w:vAlign w:val="center"/>
            <w:hideMark/>
          </w:tcPr>
          <w:p w14:paraId="42300F9D" w14:textId="77777777" w:rsidR="00CE1BDB" w:rsidRPr="00FA4DC7" w:rsidRDefault="00CE1BDB" w:rsidP="00625CD5">
            <w:pPr>
              <w:jc w:val="right"/>
              <w:rPr>
                <w:rFonts w:cs="Arial"/>
                <w:color w:val="000000"/>
                <w:sz w:val="22"/>
                <w:szCs w:val="22"/>
              </w:rPr>
            </w:pPr>
            <w:r w:rsidRPr="00FA4DC7">
              <w:rPr>
                <w:rFonts w:cs="Arial"/>
                <w:color w:val="000000"/>
                <w:sz w:val="22"/>
                <w:szCs w:val="22"/>
              </w:rPr>
              <w:t>£192,250</w:t>
            </w:r>
          </w:p>
        </w:tc>
        <w:tc>
          <w:tcPr>
            <w:tcW w:w="552" w:type="pct"/>
            <w:shd w:val="clear" w:color="auto" w:fill="auto"/>
            <w:noWrap/>
            <w:tcMar>
              <w:left w:w="0" w:type="dxa"/>
            </w:tcMar>
            <w:vAlign w:val="center"/>
            <w:hideMark/>
          </w:tcPr>
          <w:p w14:paraId="48D3CF3A" w14:textId="77777777" w:rsidR="00CE1BDB" w:rsidRPr="00FA4DC7" w:rsidRDefault="00CE1BDB" w:rsidP="00625CD5">
            <w:pPr>
              <w:jc w:val="right"/>
              <w:rPr>
                <w:rFonts w:cs="Arial"/>
                <w:color w:val="000000"/>
                <w:sz w:val="22"/>
                <w:szCs w:val="22"/>
              </w:rPr>
            </w:pPr>
            <w:r w:rsidRPr="00FA4DC7">
              <w:rPr>
                <w:rFonts w:cs="Arial"/>
                <w:color w:val="000000"/>
                <w:sz w:val="22"/>
                <w:szCs w:val="22"/>
              </w:rPr>
              <w:t>53.8%</w:t>
            </w:r>
          </w:p>
        </w:tc>
      </w:tr>
      <w:tr w:rsidR="00CE1BDB" w:rsidRPr="00FA4DC7" w14:paraId="200DF1C8" w14:textId="77777777" w:rsidTr="00625CD5">
        <w:trPr>
          <w:trHeight w:val="333"/>
        </w:trPr>
        <w:tc>
          <w:tcPr>
            <w:tcW w:w="1398" w:type="pct"/>
            <w:shd w:val="clear" w:color="auto" w:fill="auto"/>
            <w:noWrap/>
            <w:vAlign w:val="center"/>
            <w:hideMark/>
          </w:tcPr>
          <w:p w14:paraId="26A4A288" w14:textId="77777777" w:rsidR="00CE1BDB" w:rsidRPr="00FA4DC7" w:rsidRDefault="00CE1BDB" w:rsidP="00625CD5">
            <w:pPr>
              <w:rPr>
                <w:rFonts w:cs="Arial"/>
                <w:color w:val="000000"/>
                <w:sz w:val="22"/>
                <w:szCs w:val="22"/>
              </w:rPr>
            </w:pPr>
            <w:proofErr w:type="spellStart"/>
            <w:r w:rsidRPr="00FA4DC7">
              <w:rPr>
                <w:rFonts w:cs="Arial"/>
                <w:color w:val="000000"/>
                <w:sz w:val="22"/>
                <w:szCs w:val="22"/>
              </w:rPr>
              <w:t>Cuxton</w:t>
            </w:r>
            <w:proofErr w:type="spellEnd"/>
            <w:r w:rsidRPr="00FA4DC7">
              <w:rPr>
                <w:rFonts w:cs="Arial"/>
                <w:color w:val="000000"/>
                <w:sz w:val="22"/>
                <w:szCs w:val="22"/>
              </w:rPr>
              <w:t xml:space="preserve"> and </w:t>
            </w:r>
            <w:proofErr w:type="spellStart"/>
            <w:r w:rsidRPr="00FA4DC7">
              <w:rPr>
                <w:rFonts w:cs="Arial"/>
                <w:color w:val="000000"/>
                <w:sz w:val="22"/>
                <w:szCs w:val="22"/>
              </w:rPr>
              <w:t>Halling</w:t>
            </w:r>
            <w:proofErr w:type="spellEnd"/>
          </w:p>
        </w:tc>
        <w:tc>
          <w:tcPr>
            <w:tcW w:w="636" w:type="pct"/>
            <w:shd w:val="clear" w:color="auto" w:fill="auto"/>
            <w:noWrap/>
            <w:tcMar>
              <w:left w:w="0" w:type="dxa"/>
            </w:tcMar>
            <w:vAlign w:val="center"/>
            <w:hideMark/>
          </w:tcPr>
          <w:p w14:paraId="14FBF268" w14:textId="77777777" w:rsidR="00CE1BDB" w:rsidRPr="00FA4DC7" w:rsidRDefault="00CE1BDB" w:rsidP="00625CD5">
            <w:pPr>
              <w:jc w:val="right"/>
              <w:rPr>
                <w:rFonts w:cs="Arial"/>
                <w:color w:val="000000"/>
                <w:sz w:val="22"/>
                <w:szCs w:val="22"/>
              </w:rPr>
            </w:pPr>
            <w:r w:rsidRPr="00FA4DC7">
              <w:rPr>
                <w:rFonts w:cs="Arial"/>
                <w:color w:val="000000"/>
                <w:sz w:val="22"/>
                <w:szCs w:val="22"/>
              </w:rPr>
              <w:t>£170,000</w:t>
            </w:r>
          </w:p>
        </w:tc>
        <w:tc>
          <w:tcPr>
            <w:tcW w:w="636" w:type="pct"/>
            <w:shd w:val="clear" w:color="auto" w:fill="auto"/>
            <w:noWrap/>
            <w:tcMar>
              <w:left w:w="0" w:type="dxa"/>
            </w:tcMar>
            <w:vAlign w:val="center"/>
            <w:hideMark/>
          </w:tcPr>
          <w:p w14:paraId="208F4B33" w14:textId="77777777" w:rsidR="00CE1BDB" w:rsidRPr="00FA4DC7" w:rsidRDefault="00CE1BDB" w:rsidP="00625CD5">
            <w:pPr>
              <w:jc w:val="right"/>
              <w:rPr>
                <w:rFonts w:cs="Arial"/>
                <w:color w:val="000000"/>
                <w:sz w:val="22"/>
                <w:szCs w:val="22"/>
              </w:rPr>
            </w:pPr>
            <w:r w:rsidRPr="00FA4DC7">
              <w:rPr>
                <w:rFonts w:cs="Arial"/>
                <w:color w:val="000000"/>
                <w:sz w:val="22"/>
                <w:szCs w:val="22"/>
              </w:rPr>
              <w:t>£233,750</w:t>
            </w:r>
          </w:p>
        </w:tc>
        <w:tc>
          <w:tcPr>
            <w:tcW w:w="559" w:type="pct"/>
            <w:shd w:val="clear" w:color="auto" w:fill="auto"/>
            <w:noWrap/>
            <w:tcMar>
              <w:left w:w="0" w:type="dxa"/>
            </w:tcMar>
            <w:vAlign w:val="center"/>
            <w:hideMark/>
          </w:tcPr>
          <w:p w14:paraId="3444A354" w14:textId="77777777" w:rsidR="00CE1BDB" w:rsidRPr="00FA4DC7" w:rsidRDefault="00CE1BDB" w:rsidP="00625CD5">
            <w:pPr>
              <w:jc w:val="right"/>
              <w:rPr>
                <w:rFonts w:cs="Arial"/>
                <w:color w:val="000000"/>
                <w:sz w:val="22"/>
                <w:szCs w:val="22"/>
              </w:rPr>
            </w:pPr>
            <w:r w:rsidRPr="00FA4DC7">
              <w:rPr>
                <w:rFonts w:cs="Arial"/>
                <w:color w:val="000000"/>
                <w:sz w:val="22"/>
                <w:szCs w:val="22"/>
              </w:rPr>
              <w:t>37.5%</w:t>
            </w:r>
          </w:p>
        </w:tc>
        <w:tc>
          <w:tcPr>
            <w:tcW w:w="629" w:type="pct"/>
            <w:shd w:val="clear" w:color="auto" w:fill="auto"/>
            <w:noWrap/>
            <w:tcMar>
              <w:left w:w="0" w:type="dxa"/>
            </w:tcMar>
            <w:vAlign w:val="center"/>
            <w:hideMark/>
          </w:tcPr>
          <w:p w14:paraId="483AADC3" w14:textId="77777777" w:rsidR="00CE1BDB" w:rsidRPr="00FA4DC7" w:rsidRDefault="00CE1BDB" w:rsidP="00625CD5">
            <w:pPr>
              <w:jc w:val="right"/>
              <w:rPr>
                <w:rFonts w:cs="Arial"/>
                <w:color w:val="000000"/>
                <w:sz w:val="22"/>
                <w:szCs w:val="22"/>
              </w:rPr>
            </w:pPr>
            <w:r w:rsidRPr="00FA4DC7">
              <w:rPr>
                <w:rFonts w:cs="Arial"/>
                <w:color w:val="000000"/>
                <w:sz w:val="22"/>
                <w:szCs w:val="22"/>
              </w:rPr>
              <w:t>£200,250</w:t>
            </w:r>
          </w:p>
        </w:tc>
        <w:tc>
          <w:tcPr>
            <w:tcW w:w="590" w:type="pct"/>
            <w:shd w:val="clear" w:color="auto" w:fill="auto"/>
            <w:noWrap/>
            <w:tcMar>
              <w:left w:w="0" w:type="dxa"/>
            </w:tcMar>
            <w:vAlign w:val="center"/>
            <w:hideMark/>
          </w:tcPr>
          <w:p w14:paraId="0E28E4AD" w14:textId="77777777" w:rsidR="00CE1BDB" w:rsidRPr="00FA4DC7" w:rsidRDefault="00CE1BDB" w:rsidP="00625CD5">
            <w:pPr>
              <w:jc w:val="right"/>
              <w:rPr>
                <w:rFonts w:cs="Arial"/>
                <w:color w:val="000000"/>
                <w:sz w:val="22"/>
                <w:szCs w:val="22"/>
              </w:rPr>
            </w:pPr>
            <w:r w:rsidRPr="00FA4DC7">
              <w:rPr>
                <w:rFonts w:cs="Arial"/>
                <w:color w:val="000000"/>
                <w:sz w:val="22"/>
                <w:szCs w:val="22"/>
              </w:rPr>
              <w:t>£295,000</w:t>
            </w:r>
          </w:p>
        </w:tc>
        <w:tc>
          <w:tcPr>
            <w:tcW w:w="552" w:type="pct"/>
            <w:shd w:val="clear" w:color="auto" w:fill="auto"/>
            <w:noWrap/>
            <w:tcMar>
              <w:left w:w="0" w:type="dxa"/>
            </w:tcMar>
            <w:vAlign w:val="center"/>
            <w:hideMark/>
          </w:tcPr>
          <w:p w14:paraId="51D97FF0" w14:textId="77777777" w:rsidR="00CE1BDB" w:rsidRPr="00FA4DC7" w:rsidRDefault="00CE1BDB" w:rsidP="00625CD5">
            <w:pPr>
              <w:jc w:val="right"/>
              <w:rPr>
                <w:rFonts w:cs="Arial"/>
                <w:color w:val="000000"/>
                <w:sz w:val="22"/>
                <w:szCs w:val="22"/>
              </w:rPr>
            </w:pPr>
            <w:r w:rsidRPr="00FA4DC7">
              <w:rPr>
                <w:rFonts w:cs="Arial"/>
                <w:color w:val="000000"/>
                <w:sz w:val="22"/>
                <w:szCs w:val="22"/>
              </w:rPr>
              <w:t>47.3%</w:t>
            </w:r>
          </w:p>
        </w:tc>
      </w:tr>
      <w:tr w:rsidR="00CE1BDB" w:rsidRPr="00FA4DC7" w14:paraId="348F8718" w14:textId="77777777" w:rsidTr="00625CD5">
        <w:trPr>
          <w:trHeight w:val="340"/>
        </w:trPr>
        <w:tc>
          <w:tcPr>
            <w:tcW w:w="1398" w:type="pct"/>
            <w:shd w:val="clear" w:color="auto" w:fill="auto"/>
            <w:noWrap/>
            <w:vAlign w:val="center"/>
            <w:hideMark/>
          </w:tcPr>
          <w:p w14:paraId="52014618" w14:textId="77777777" w:rsidR="00CE1BDB" w:rsidRPr="00FA4DC7" w:rsidRDefault="00CE1BDB" w:rsidP="00625CD5">
            <w:pPr>
              <w:rPr>
                <w:rFonts w:cs="Arial"/>
                <w:color w:val="000000"/>
                <w:sz w:val="22"/>
                <w:szCs w:val="22"/>
              </w:rPr>
            </w:pPr>
            <w:r w:rsidRPr="00FA4DC7">
              <w:rPr>
                <w:rFonts w:cs="Arial"/>
                <w:color w:val="000000"/>
                <w:sz w:val="22"/>
                <w:szCs w:val="22"/>
              </w:rPr>
              <w:t>Gillingham North</w:t>
            </w:r>
          </w:p>
        </w:tc>
        <w:tc>
          <w:tcPr>
            <w:tcW w:w="636" w:type="pct"/>
            <w:shd w:val="clear" w:color="auto" w:fill="auto"/>
            <w:noWrap/>
            <w:tcMar>
              <w:left w:w="0" w:type="dxa"/>
            </w:tcMar>
            <w:vAlign w:val="center"/>
            <w:hideMark/>
          </w:tcPr>
          <w:p w14:paraId="15EAE8A7" w14:textId="77777777" w:rsidR="00CE1BDB" w:rsidRPr="00FA4DC7" w:rsidRDefault="00CE1BDB" w:rsidP="00625CD5">
            <w:pPr>
              <w:jc w:val="right"/>
              <w:rPr>
                <w:rFonts w:cs="Arial"/>
                <w:color w:val="000000"/>
                <w:sz w:val="22"/>
                <w:szCs w:val="22"/>
              </w:rPr>
            </w:pPr>
            <w:r w:rsidRPr="00FA4DC7">
              <w:rPr>
                <w:rFonts w:cs="Arial"/>
                <w:color w:val="000000"/>
                <w:sz w:val="22"/>
                <w:szCs w:val="22"/>
              </w:rPr>
              <w:t>£122,000</w:t>
            </w:r>
          </w:p>
        </w:tc>
        <w:tc>
          <w:tcPr>
            <w:tcW w:w="636" w:type="pct"/>
            <w:shd w:val="clear" w:color="auto" w:fill="auto"/>
            <w:noWrap/>
            <w:tcMar>
              <w:left w:w="0" w:type="dxa"/>
            </w:tcMar>
            <w:vAlign w:val="center"/>
            <w:hideMark/>
          </w:tcPr>
          <w:p w14:paraId="6FEC11A7" w14:textId="77777777" w:rsidR="00CE1BDB" w:rsidRPr="00FA4DC7" w:rsidRDefault="00CE1BDB" w:rsidP="00625CD5">
            <w:pPr>
              <w:jc w:val="right"/>
              <w:rPr>
                <w:rFonts w:cs="Arial"/>
                <w:color w:val="000000"/>
                <w:sz w:val="22"/>
                <w:szCs w:val="22"/>
              </w:rPr>
            </w:pPr>
            <w:r w:rsidRPr="00FA4DC7">
              <w:rPr>
                <w:rFonts w:cs="Arial"/>
                <w:color w:val="000000"/>
                <w:sz w:val="22"/>
                <w:szCs w:val="22"/>
              </w:rPr>
              <w:t>£168,000</w:t>
            </w:r>
          </w:p>
        </w:tc>
        <w:tc>
          <w:tcPr>
            <w:tcW w:w="559" w:type="pct"/>
            <w:shd w:val="clear" w:color="auto" w:fill="auto"/>
            <w:noWrap/>
            <w:tcMar>
              <w:left w:w="0" w:type="dxa"/>
            </w:tcMar>
            <w:vAlign w:val="center"/>
            <w:hideMark/>
          </w:tcPr>
          <w:p w14:paraId="4E6E1C58" w14:textId="77777777" w:rsidR="00CE1BDB" w:rsidRPr="00FA4DC7" w:rsidRDefault="00CE1BDB" w:rsidP="00625CD5">
            <w:pPr>
              <w:jc w:val="right"/>
              <w:rPr>
                <w:rFonts w:cs="Arial"/>
                <w:color w:val="000000"/>
                <w:sz w:val="22"/>
                <w:szCs w:val="22"/>
              </w:rPr>
            </w:pPr>
            <w:r w:rsidRPr="00FA4DC7">
              <w:rPr>
                <w:rFonts w:cs="Arial"/>
                <w:color w:val="000000"/>
                <w:sz w:val="22"/>
                <w:szCs w:val="22"/>
              </w:rPr>
              <w:t>37.7%</w:t>
            </w:r>
          </w:p>
        </w:tc>
        <w:tc>
          <w:tcPr>
            <w:tcW w:w="629" w:type="pct"/>
            <w:shd w:val="clear" w:color="auto" w:fill="auto"/>
            <w:noWrap/>
            <w:tcMar>
              <w:left w:w="0" w:type="dxa"/>
            </w:tcMar>
            <w:vAlign w:val="center"/>
            <w:hideMark/>
          </w:tcPr>
          <w:p w14:paraId="71422C5D" w14:textId="77777777" w:rsidR="00CE1BDB" w:rsidRPr="00FA4DC7" w:rsidRDefault="00CE1BDB" w:rsidP="00625CD5">
            <w:pPr>
              <w:jc w:val="right"/>
              <w:rPr>
                <w:rFonts w:cs="Arial"/>
                <w:color w:val="000000"/>
                <w:sz w:val="22"/>
                <w:szCs w:val="22"/>
              </w:rPr>
            </w:pPr>
            <w:r w:rsidRPr="00FA4DC7">
              <w:rPr>
                <w:rFonts w:cs="Arial"/>
                <w:color w:val="000000"/>
                <w:sz w:val="22"/>
                <w:szCs w:val="22"/>
              </w:rPr>
              <w:t>£135,500</w:t>
            </w:r>
          </w:p>
        </w:tc>
        <w:tc>
          <w:tcPr>
            <w:tcW w:w="590" w:type="pct"/>
            <w:shd w:val="clear" w:color="auto" w:fill="auto"/>
            <w:noWrap/>
            <w:tcMar>
              <w:left w:w="0" w:type="dxa"/>
            </w:tcMar>
            <w:vAlign w:val="center"/>
            <w:hideMark/>
          </w:tcPr>
          <w:p w14:paraId="12ACE82B" w14:textId="77777777" w:rsidR="00CE1BDB" w:rsidRPr="00FA4DC7" w:rsidRDefault="00CE1BDB" w:rsidP="00625CD5">
            <w:pPr>
              <w:jc w:val="right"/>
              <w:rPr>
                <w:rFonts w:cs="Arial"/>
                <w:color w:val="000000"/>
                <w:sz w:val="22"/>
                <w:szCs w:val="22"/>
              </w:rPr>
            </w:pPr>
            <w:r w:rsidRPr="00FA4DC7">
              <w:rPr>
                <w:rFonts w:cs="Arial"/>
                <w:color w:val="000000"/>
                <w:sz w:val="22"/>
                <w:szCs w:val="22"/>
              </w:rPr>
              <w:t>£187,250</w:t>
            </w:r>
          </w:p>
        </w:tc>
        <w:tc>
          <w:tcPr>
            <w:tcW w:w="552" w:type="pct"/>
            <w:shd w:val="clear" w:color="auto" w:fill="auto"/>
            <w:noWrap/>
            <w:tcMar>
              <w:left w:w="0" w:type="dxa"/>
            </w:tcMar>
            <w:vAlign w:val="center"/>
            <w:hideMark/>
          </w:tcPr>
          <w:p w14:paraId="0E53812E" w14:textId="77777777" w:rsidR="00CE1BDB" w:rsidRPr="00FA4DC7" w:rsidRDefault="00CE1BDB" w:rsidP="00625CD5">
            <w:pPr>
              <w:jc w:val="right"/>
              <w:rPr>
                <w:rFonts w:cs="Arial"/>
                <w:color w:val="000000"/>
                <w:sz w:val="22"/>
                <w:szCs w:val="22"/>
              </w:rPr>
            </w:pPr>
            <w:r w:rsidRPr="00FA4DC7">
              <w:rPr>
                <w:rFonts w:cs="Arial"/>
                <w:color w:val="000000"/>
                <w:sz w:val="22"/>
                <w:szCs w:val="22"/>
              </w:rPr>
              <w:t>38.2%</w:t>
            </w:r>
          </w:p>
        </w:tc>
      </w:tr>
      <w:tr w:rsidR="00CE1BDB" w:rsidRPr="00FA4DC7" w14:paraId="49AF38C0" w14:textId="77777777" w:rsidTr="00625CD5">
        <w:trPr>
          <w:trHeight w:val="340"/>
        </w:trPr>
        <w:tc>
          <w:tcPr>
            <w:tcW w:w="1398" w:type="pct"/>
            <w:shd w:val="clear" w:color="auto" w:fill="auto"/>
            <w:noWrap/>
            <w:vAlign w:val="center"/>
            <w:hideMark/>
          </w:tcPr>
          <w:p w14:paraId="013E8534" w14:textId="77777777" w:rsidR="00CE1BDB" w:rsidRPr="00FA4DC7" w:rsidRDefault="00CE1BDB" w:rsidP="00625CD5">
            <w:pPr>
              <w:rPr>
                <w:rFonts w:cs="Arial"/>
                <w:color w:val="000000"/>
                <w:sz w:val="22"/>
                <w:szCs w:val="22"/>
              </w:rPr>
            </w:pPr>
            <w:r w:rsidRPr="00FA4DC7">
              <w:rPr>
                <w:rFonts w:cs="Arial"/>
                <w:color w:val="000000"/>
                <w:sz w:val="22"/>
                <w:szCs w:val="22"/>
              </w:rPr>
              <w:t>Gillingham South</w:t>
            </w:r>
          </w:p>
        </w:tc>
        <w:tc>
          <w:tcPr>
            <w:tcW w:w="636" w:type="pct"/>
            <w:shd w:val="clear" w:color="auto" w:fill="auto"/>
            <w:noWrap/>
            <w:tcMar>
              <w:left w:w="0" w:type="dxa"/>
            </w:tcMar>
            <w:vAlign w:val="center"/>
            <w:hideMark/>
          </w:tcPr>
          <w:p w14:paraId="5688DB6E" w14:textId="77777777" w:rsidR="00CE1BDB" w:rsidRPr="00FA4DC7" w:rsidRDefault="00CE1BDB" w:rsidP="00625CD5">
            <w:pPr>
              <w:jc w:val="right"/>
              <w:rPr>
                <w:rFonts w:cs="Arial"/>
                <w:color w:val="000000"/>
                <w:sz w:val="22"/>
                <w:szCs w:val="22"/>
              </w:rPr>
            </w:pPr>
            <w:r w:rsidRPr="00FA4DC7">
              <w:rPr>
                <w:rFonts w:cs="Arial"/>
                <w:color w:val="000000"/>
                <w:sz w:val="22"/>
                <w:szCs w:val="22"/>
              </w:rPr>
              <w:t>£124,500</w:t>
            </w:r>
          </w:p>
        </w:tc>
        <w:tc>
          <w:tcPr>
            <w:tcW w:w="636" w:type="pct"/>
            <w:shd w:val="clear" w:color="auto" w:fill="auto"/>
            <w:noWrap/>
            <w:tcMar>
              <w:left w:w="0" w:type="dxa"/>
            </w:tcMar>
            <w:vAlign w:val="center"/>
            <w:hideMark/>
          </w:tcPr>
          <w:p w14:paraId="5B56E600" w14:textId="77777777" w:rsidR="00CE1BDB" w:rsidRPr="00FA4DC7" w:rsidRDefault="00CE1BDB" w:rsidP="00625CD5">
            <w:pPr>
              <w:jc w:val="right"/>
              <w:rPr>
                <w:rFonts w:cs="Arial"/>
                <w:color w:val="000000"/>
                <w:sz w:val="22"/>
                <w:szCs w:val="22"/>
              </w:rPr>
            </w:pPr>
            <w:r w:rsidRPr="00FA4DC7">
              <w:rPr>
                <w:rFonts w:cs="Arial"/>
                <w:color w:val="000000"/>
                <w:sz w:val="22"/>
                <w:szCs w:val="22"/>
              </w:rPr>
              <w:t>£180,000</w:t>
            </w:r>
          </w:p>
        </w:tc>
        <w:tc>
          <w:tcPr>
            <w:tcW w:w="559" w:type="pct"/>
            <w:shd w:val="clear" w:color="auto" w:fill="auto"/>
            <w:noWrap/>
            <w:tcMar>
              <w:left w:w="0" w:type="dxa"/>
            </w:tcMar>
            <w:vAlign w:val="center"/>
            <w:hideMark/>
          </w:tcPr>
          <w:p w14:paraId="2FC2678A" w14:textId="77777777" w:rsidR="00CE1BDB" w:rsidRPr="00FA4DC7" w:rsidRDefault="00CE1BDB" w:rsidP="00625CD5">
            <w:pPr>
              <w:jc w:val="right"/>
              <w:rPr>
                <w:rFonts w:cs="Arial"/>
                <w:color w:val="000000"/>
                <w:sz w:val="22"/>
                <w:szCs w:val="22"/>
              </w:rPr>
            </w:pPr>
            <w:r w:rsidRPr="00FA4DC7">
              <w:rPr>
                <w:rFonts w:cs="Arial"/>
                <w:color w:val="000000"/>
                <w:sz w:val="22"/>
                <w:szCs w:val="22"/>
              </w:rPr>
              <w:t>44.6%</w:t>
            </w:r>
          </w:p>
        </w:tc>
        <w:tc>
          <w:tcPr>
            <w:tcW w:w="629" w:type="pct"/>
            <w:shd w:val="clear" w:color="auto" w:fill="auto"/>
            <w:noWrap/>
            <w:tcMar>
              <w:left w:w="0" w:type="dxa"/>
            </w:tcMar>
            <w:vAlign w:val="center"/>
            <w:hideMark/>
          </w:tcPr>
          <w:p w14:paraId="500AF54B" w14:textId="77777777" w:rsidR="00CE1BDB" w:rsidRPr="00FA4DC7" w:rsidRDefault="00CE1BDB" w:rsidP="00625CD5">
            <w:pPr>
              <w:jc w:val="right"/>
              <w:rPr>
                <w:rFonts w:cs="Arial"/>
                <w:color w:val="000000"/>
                <w:sz w:val="22"/>
                <w:szCs w:val="22"/>
              </w:rPr>
            </w:pPr>
            <w:r w:rsidRPr="00FA4DC7">
              <w:rPr>
                <w:rFonts w:cs="Arial"/>
                <w:color w:val="000000"/>
                <w:sz w:val="22"/>
                <w:szCs w:val="22"/>
              </w:rPr>
              <w:t>£135,000</w:t>
            </w:r>
          </w:p>
        </w:tc>
        <w:tc>
          <w:tcPr>
            <w:tcW w:w="590" w:type="pct"/>
            <w:shd w:val="clear" w:color="auto" w:fill="auto"/>
            <w:noWrap/>
            <w:tcMar>
              <w:left w:w="0" w:type="dxa"/>
            </w:tcMar>
            <w:vAlign w:val="center"/>
            <w:hideMark/>
          </w:tcPr>
          <w:p w14:paraId="4F71281F" w14:textId="77777777" w:rsidR="00CE1BDB" w:rsidRPr="00FA4DC7" w:rsidRDefault="00CE1BDB" w:rsidP="00625CD5">
            <w:pPr>
              <w:jc w:val="right"/>
              <w:rPr>
                <w:rFonts w:cs="Arial"/>
                <w:color w:val="000000"/>
                <w:sz w:val="22"/>
                <w:szCs w:val="22"/>
              </w:rPr>
            </w:pPr>
            <w:r w:rsidRPr="00FA4DC7">
              <w:rPr>
                <w:rFonts w:cs="Arial"/>
                <w:color w:val="000000"/>
                <w:sz w:val="22"/>
                <w:szCs w:val="22"/>
              </w:rPr>
              <w:t>£205,000</w:t>
            </w:r>
          </w:p>
        </w:tc>
        <w:tc>
          <w:tcPr>
            <w:tcW w:w="552" w:type="pct"/>
            <w:shd w:val="clear" w:color="auto" w:fill="auto"/>
            <w:noWrap/>
            <w:tcMar>
              <w:left w:w="0" w:type="dxa"/>
            </w:tcMar>
            <w:vAlign w:val="center"/>
            <w:hideMark/>
          </w:tcPr>
          <w:p w14:paraId="431CF9FD" w14:textId="77777777" w:rsidR="00CE1BDB" w:rsidRPr="00FA4DC7" w:rsidRDefault="00CE1BDB" w:rsidP="00625CD5">
            <w:pPr>
              <w:jc w:val="right"/>
              <w:rPr>
                <w:rFonts w:cs="Arial"/>
                <w:color w:val="000000"/>
                <w:sz w:val="22"/>
                <w:szCs w:val="22"/>
              </w:rPr>
            </w:pPr>
            <w:r w:rsidRPr="00FA4DC7">
              <w:rPr>
                <w:rFonts w:cs="Arial"/>
                <w:color w:val="000000"/>
                <w:sz w:val="22"/>
                <w:szCs w:val="22"/>
              </w:rPr>
              <w:t>51.9%</w:t>
            </w:r>
          </w:p>
        </w:tc>
      </w:tr>
      <w:tr w:rsidR="00CE1BDB" w:rsidRPr="00FA4DC7" w14:paraId="1B2BC561" w14:textId="77777777" w:rsidTr="00625CD5">
        <w:trPr>
          <w:trHeight w:val="340"/>
        </w:trPr>
        <w:tc>
          <w:tcPr>
            <w:tcW w:w="1398" w:type="pct"/>
            <w:shd w:val="clear" w:color="auto" w:fill="auto"/>
            <w:noWrap/>
            <w:vAlign w:val="center"/>
            <w:hideMark/>
          </w:tcPr>
          <w:p w14:paraId="6220EF6C" w14:textId="77777777" w:rsidR="00CE1BDB" w:rsidRPr="00FA4DC7" w:rsidRDefault="00CE1BDB" w:rsidP="00625CD5">
            <w:pPr>
              <w:rPr>
                <w:rFonts w:cs="Arial"/>
                <w:color w:val="000000"/>
                <w:sz w:val="22"/>
                <w:szCs w:val="22"/>
              </w:rPr>
            </w:pPr>
            <w:r w:rsidRPr="00FA4DC7">
              <w:rPr>
                <w:rFonts w:cs="Arial"/>
                <w:color w:val="000000"/>
                <w:sz w:val="22"/>
                <w:szCs w:val="22"/>
              </w:rPr>
              <w:t xml:space="preserve">Hempstead and </w:t>
            </w:r>
            <w:proofErr w:type="spellStart"/>
            <w:r w:rsidRPr="00FA4DC7">
              <w:rPr>
                <w:rFonts w:cs="Arial"/>
                <w:color w:val="000000"/>
                <w:sz w:val="22"/>
                <w:szCs w:val="22"/>
              </w:rPr>
              <w:t>Wigmore</w:t>
            </w:r>
            <w:proofErr w:type="spellEnd"/>
          </w:p>
        </w:tc>
        <w:tc>
          <w:tcPr>
            <w:tcW w:w="636" w:type="pct"/>
            <w:shd w:val="clear" w:color="auto" w:fill="auto"/>
            <w:noWrap/>
            <w:tcMar>
              <w:left w:w="0" w:type="dxa"/>
            </w:tcMar>
            <w:vAlign w:val="center"/>
            <w:hideMark/>
          </w:tcPr>
          <w:p w14:paraId="248DDBA0" w14:textId="77777777" w:rsidR="00CE1BDB" w:rsidRPr="00FA4DC7" w:rsidRDefault="00CE1BDB" w:rsidP="00625CD5">
            <w:pPr>
              <w:jc w:val="right"/>
              <w:rPr>
                <w:rFonts w:cs="Arial"/>
                <w:color w:val="000000"/>
                <w:sz w:val="22"/>
                <w:szCs w:val="22"/>
              </w:rPr>
            </w:pPr>
            <w:r w:rsidRPr="00FA4DC7">
              <w:rPr>
                <w:rFonts w:cs="Arial"/>
                <w:color w:val="000000"/>
                <w:sz w:val="22"/>
                <w:szCs w:val="22"/>
              </w:rPr>
              <w:t>£180,000</w:t>
            </w:r>
          </w:p>
        </w:tc>
        <w:tc>
          <w:tcPr>
            <w:tcW w:w="636" w:type="pct"/>
            <w:shd w:val="clear" w:color="auto" w:fill="auto"/>
            <w:noWrap/>
            <w:tcMar>
              <w:left w:w="0" w:type="dxa"/>
            </w:tcMar>
            <w:vAlign w:val="center"/>
            <w:hideMark/>
          </w:tcPr>
          <w:p w14:paraId="712F5759" w14:textId="77777777" w:rsidR="00CE1BDB" w:rsidRPr="00FA4DC7" w:rsidRDefault="00CE1BDB" w:rsidP="00625CD5">
            <w:pPr>
              <w:jc w:val="right"/>
              <w:rPr>
                <w:rFonts w:cs="Arial"/>
                <w:color w:val="000000"/>
                <w:sz w:val="22"/>
                <w:szCs w:val="22"/>
              </w:rPr>
            </w:pPr>
            <w:r w:rsidRPr="00FA4DC7">
              <w:rPr>
                <w:rFonts w:cs="Arial"/>
                <w:color w:val="000000"/>
                <w:sz w:val="22"/>
                <w:szCs w:val="22"/>
              </w:rPr>
              <w:t>£318,500</w:t>
            </w:r>
          </w:p>
        </w:tc>
        <w:tc>
          <w:tcPr>
            <w:tcW w:w="559" w:type="pct"/>
            <w:shd w:val="clear" w:color="auto" w:fill="auto"/>
            <w:noWrap/>
            <w:tcMar>
              <w:left w:w="0" w:type="dxa"/>
            </w:tcMar>
            <w:vAlign w:val="center"/>
            <w:hideMark/>
          </w:tcPr>
          <w:p w14:paraId="4036E373" w14:textId="77777777" w:rsidR="00CE1BDB" w:rsidRPr="00FA4DC7" w:rsidRDefault="00CE1BDB" w:rsidP="00625CD5">
            <w:pPr>
              <w:jc w:val="right"/>
              <w:rPr>
                <w:rFonts w:cs="Arial"/>
                <w:color w:val="000000"/>
                <w:sz w:val="22"/>
                <w:szCs w:val="22"/>
              </w:rPr>
            </w:pPr>
            <w:r w:rsidRPr="00FA4DC7">
              <w:rPr>
                <w:rFonts w:cs="Arial"/>
                <w:color w:val="000000"/>
                <w:sz w:val="22"/>
                <w:szCs w:val="22"/>
              </w:rPr>
              <w:t>76.9%</w:t>
            </w:r>
          </w:p>
        </w:tc>
        <w:tc>
          <w:tcPr>
            <w:tcW w:w="629" w:type="pct"/>
            <w:shd w:val="clear" w:color="auto" w:fill="auto"/>
            <w:noWrap/>
            <w:tcMar>
              <w:left w:w="0" w:type="dxa"/>
            </w:tcMar>
            <w:vAlign w:val="center"/>
            <w:hideMark/>
          </w:tcPr>
          <w:p w14:paraId="14C07ED5" w14:textId="77777777" w:rsidR="00CE1BDB" w:rsidRPr="00FA4DC7" w:rsidRDefault="00CE1BDB" w:rsidP="00625CD5">
            <w:pPr>
              <w:jc w:val="right"/>
              <w:rPr>
                <w:rFonts w:cs="Arial"/>
                <w:color w:val="000000"/>
                <w:sz w:val="22"/>
                <w:szCs w:val="22"/>
              </w:rPr>
            </w:pPr>
            <w:r w:rsidRPr="00FA4DC7">
              <w:rPr>
                <w:rFonts w:cs="Arial"/>
                <w:color w:val="000000"/>
                <w:sz w:val="22"/>
                <w:szCs w:val="22"/>
              </w:rPr>
              <w:t>£228,500</w:t>
            </w:r>
          </w:p>
        </w:tc>
        <w:tc>
          <w:tcPr>
            <w:tcW w:w="590" w:type="pct"/>
            <w:shd w:val="clear" w:color="auto" w:fill="auto"/>
            <w:noWrap/>
            <w:tcMar>
              <w:left w:w="0" w:type="dxa"/>
            </w:tcMar>
            <w:vAlign w:val="center"/>
            <w:hideMark/>
          </w:tcPr>
          <w:p w14:paraId="37CE72DE" w14:textId="77777777" w:rsidR="00CE1BDB" w:rsidRPr="00FA4DC7" w:rsidRDefault="00CE1BDB" w:rsidP="00625CD5">
            <w:pPr>
              <w:jc w:val="right"/>
              <w:rPr>
                <w:rFonts w:cs="Arial"/>
                <w:color w:val="000000"/>
                <w:sz w:val="22"/>
                <w:szCs w:val="22"/>
              </w:rPr>
            </w:pPr>
            <w:r w:rsidRPr="00FA4DC7">
              <w:rPr>
                <w:rFonts w:cs="Arial"/>
                <w:color w:val="000000"/>
                <w:sz w:val="22"/>
                <w:szCs w:val="22"/>
              </w:rPr>
              <w:t>£415,000</w:t>
            </w:r>
          </w:p>
        </w:tc>
        <w:tc>
          <w:tcPr>
            <w:tcW w:w="552" w:type="pct"/>
            <w:shd w:val="clear" w:color="auto" w:fill="auto"/>
            <w:noWrap/>
            <w:tcMar>
              <w:left w:w="0" w:type="dxa"/>
            </w:tcMar>
            <w:vAlign w:val="center"/>
            <w:hideMark/>
          </w:tcPr>
          <w:p w14:paraId="06197F0D" w14:textId="77777777" w:rsidR="00CE1BDB" w:rsidRPr="00FA4DC7" w:rsidRDefault="00CE1BDB" w:rsidP="00625CD5">
            <w:pPr>
              <w:jc w:val="right"/>
              <w:rPr>
                <w:rFonts w:cs="Arial"/>
                <w:color w:val="000000"/>
                <w:sz w:val="22"/>
                <w:szCs w:val="22"/>
              </w:rPr>
            </w:pPr>
            <w:r w:rsidRPr="00FA4DC7">
              <w:rPr>
                <w:rFonts w:cs="Arial"/>
                <w:color w:val="000000"/>
                <w:sz w:val="22"/>
                <w:szCs w:val="22"/>
              </w:rPr>
              <w:t>81.6%</w:t>
            </w:r>
          </w:p>
        </w:tc>
      </w:tr>
      <w:tr w:rsidR="00CE1BDB" w:rsidRPr="00FA4DC7" w14:paraId="4C5D139F" w14:textId="77777777" w:rsidTr="00625CD5">
        <w:trPr>
          <w:trHeight w:val="340"/>
        </w:trPr>
        <w:tc>
          <w:tcPr>
            <w:tcW w:w="1398" w:type="pct"/>
            <w:shd w:val="clear" w:color="auto" w:fill="auto"/>
            <w:noWrap/>
            <w:vAlign w:val="center"/>
            <w:hideMark/>
          </w:tcPr>
          <w:p w14:paraId="793FE1CB" w14:textId="77777777" w:rsidR="00CE1BDB" w:rsidRPr="00FA4DC7" w:rsidRDefault="00CE1BDB" w:rsidP="00625CD5">
            <w:pPr>
              <w:rPr>
                <w:rFonts w:cs="Arial"/>
                <w:color w:val="000000"/>
                <w:sz w:val="22"/>
                <w:szCs w:val="22"/>
              </w:rPr>
            </w:pPr>
            <w:proofErr w:type="spellStart"/>
            <w:r w:rsidRPr="00FA4DC7">
              <w:rPr>
                <w:rFonts w:cs="Arial"/>
                <w:color w:val="000000"/>
                <w:sz w:val="22"/>
                <w:szCs w:val="22"/>
              </w:rPr>
              <w:t>Lordswood</w:t>
            </w:r>
            <w:proofErr w:type="spellEnd"/>
            <w:r w:rsidRPr="00FA4DC7">
              <w:rPr>
                <w:rFonts w:cs="Arial"/>
                <w:color w:val="000000"/>
                <w:sz w:val="22"/>
                <w:szCs w:val="22"/>
              </w:rPr>
              <w:t xml:space="preserve"> and Capstone</w:t>
            </w:r>
          </w:p>
        </w:tc>
        <w:tc>
          <w:tcPr>
            <w:tcW w:w="636" w:type="pct"/>
            <w:shd w:val="clear" w:color="auto" w:fill="auto"/>
            <w:noWrap/>
            <w:tcMar>
              <w:left w:w="0" w:type="dxa"/>
            </w:tcMar>
            <w:vAlign w:val="center"/>
            <w:hideMark/>
          </w:tcPr>
          <w:p w14:paraId="22C6147F" w14:textId="77777777" w:rsidR="00CE1BDB" w:rsidRPr="00FA4DC7" w:rsidRDefault="00CE1BDB" w:rsidP="00625CD5">
            <w:pPr>
              <w:jc w:val="right"/>
              <w:rPr>
                <w:rFonts w:cs="Arial"/>
                <w:color w:val="000000"/>
                <w:sz w:val="22"/>
                <w:szCs w:val="22"/>
              </w:rPr>
            </w:pPr>
            <w:r w:rsidRPr="00FA4DC7">
              <w:rPr>
                <w:rFonts w:cs="Arial"/>
                <w:color w:val="000000"/>
                <w:sz w:val="22"/>
                <w:szCs w:val="22"/>
              </w:rPr>
              <w:t>£142,225</w:t>
            </w:r>
          </w:p>
        </w:tc>
        <w:tc>
          <w:tcPr>
            <w:tcW w:w="636" w:type="pct"/>
            <w:shd w:val="clear" w:color="auto" w:fill="auto"/>
            <w:noWrap/>
            <w:tcMar>
              <w:left w:w="0" w:type="dxa"/>
            </w:tcMar>
            <w:vAlign w:val="center"/>
            <w:hideMark/>
          </w:tcPr>
          <w:p w14:paraId="240D0768" w14:textId="77777777" w:rsidR="00CE1BDB" w:rsidRPr="00FA4DC7" w:rsidRDefault="00CE1BDB" w:rsidP="00625CD5">
            <w:pPr>
              <w:jc w:val="right"/>
              <w:rPr>
                <w:rFonts w:cs="Arial"/>
                <w:color w:val="000000"/>
                <w:sz w:val="22"/>
                <w:szCs w:val="22"/>
              </w:rPr>
            </w:pPr>
            <w:r w:rsidRPr="00FA4DC7">
              <w:rPr>
                <w:rFonts w:cs="Arial"/>
                <w:color w:val="000000"/>
                <w:sz w:val="22"/>
                <w:szCs w:val="22"/>
              </w:rPr>
              <w:t>£220,000</w:t>
            </w:r>
          </w:p>
        </w:tc>
        <w:tc>
          <w:tcPr>
            <w:tcW w:w="559" w:type="pct"/>
            <w:shd w:val="clear" w:color="auto" w:fill="auto"/>
            <w:noWrap/>
            <w:tcMar>
              <w:left w:w="0" w:type="dxa"/>
            </w:tcMar>
            <w:vAlign w:val="center"/>
            <w:hideMark/>
          </w:tcPr>
          <w:p w14:paraId="22E1EE42" w14:textId="77777777" w:rsidR="00CE1BDB" w:rsidRPr="00FA4DC7" w:rsidRDefault="00CE1BDB" w:rsidP="00625CD5">
            <w:pPr>
              <w:jc w:val="right"/>
              <w:rPr>
                <w:rFonts w:cs="Arial"/>
                <w:color w:val="000000"/>
                <w:sz w:val="22"/>
                <w:szCs w:val="22"/>
              </w:rPr>
            </w:pPr>
            <w:r w:rsidRPr="00FA4DC7">
              <w:rPr>
                <w:rFonts w:cs="Arial"/>
                <w:color w:val="000000"/>
                <w:sz w:val="22"/>
                <w:szCs w:val="22"/>
              </w:rPr>
              <w:t>54.7%</w:t>
            </w:r>
          </w:p>
        </w:tc>
        <w:tc>
          <w:tcPr>
            <w:tcW w:w="629" w:type="pct"/>
            <w:shd w:val="clear" w:color="auto" w:fill="auto"/>
            <w:noWrap/>
            <w:tcMar>
              <w:left w:w="0" w:type="dxa"/>
            </w:tcMar>
            <w:vAlign w:val="center"/>
            <w:hideMark/>
          </w:tcPr>
          <w:p w14:paraId="507E2CC6" w14:textId="77777777" w:rsidR="00CE1BDB" w:rsidRPr="00FA4DC7" w:rsidRDefault="00CE1BDB" w:rsidP="00625CD5">
            <w:pPr>
              <w:jc w:val="right"/>
              <w:rPr>
                <w:rFonts w:cs="Arial"/>
                <w:color w:val="000000"/>
                <w:sz w:val="22"/>
                <w:szCs w:val="22"/>
              </w:rPr>
            </w:pPr>
            <w:r w:rsidRPr="00FA4DC7">
              <w:rPr>
                <w:rFonts w:cs="Arial"/>
                <w:color w:val="000000"/>
                <w:sz w:val="22"/>
                <w:szCs w:val="22"/>
              </w:rPr>
              <w:t>£159,500</w:t>
            </w:r>
          </w:p>
        </w:tc>
        <w:tc>
          <w:tcPr>
            <w:tcW w:w="590" w:type="pct"/>
            <w:shd w:val="clear" w:color="auto" w:fill="auto"/>
            <w:noWrap/>
            <w:tcMar>
              <w:left w:w="0" w:type="dxa"/>
            </w:tcMar>
            <w:vAlign w:val="center"/>
            <w:hideMark/>
          </w:tcPr>
          <w:p w14:paraId="138876C2" w14:textId="77777777" w:rsidR="00CE1BDB" w:rsidRPr="00FA4DC7" w:rsidRDefault="00CE1BDB" w:rsidP="00625CD5">
            <w:pPr>
              <w:jc w:val="right"/>
              <w:rPr>
                <w:rFonts w:cs="Arial"/>
                <w:color w:val="000000"/>
                <w:sz w:val="22"/>
                <w:szCs w:val="22"/>
              </w:rPr>
            </w:pPr>
            <w:r w:rsidRPr="00FA4DC7">
              <w:rPr>
                <w:rFonts w:cs="Arial"/>
                <w:color w:val="000000"/>
                <w:sz w:val="22"/>
                <w:szCs w:val="22"/>
              </w:rPr>
              <w:t>£248,000</w:t>
            </w:r>
          </w:p>
        </w:tc>
        <w:tc>
          <w:tcPr>
            <w:tcW w:w="552" w:type="pct"/>
            <w:shd w:val="clear" w:color="auto" w:fill="auto"/>
            <w:noWrap/>
            <w:tcMar>
              <w:left w:w="0" w:type="dxa"/>
            </w:tcMar>
            <w:vAlign w:val="center"/>
            <w:hideMark/>
          </w:tcPr>
          <w:p w14:paraId="7540A73F" w14:textId="77777777" w:rsidR="00CE1BDB" w:rsidRPr="00FA4DC7" w:rsidRDefault="00CE1BDB" w:rsidP="00625CD5">
            <w:pPr>
              <w:jc w:val="right"/>
              <w:rPr>
                <w:rFonts w:cs="Arial"/>
                <w:color w:val="000000"/>
                <w:sz w:val="22"/>
                <w:szCs w:val="22"/>
              </w:rPr>
            </w:pPr>
            <w:r w:rsidRPr="00FA4DC7">
              <w:rPr>
                <w:rFonts w:cs="Arial"/>
                <w:color w:val="000000"/>
                <w:sz w:val="22"/>
                <w:szCs w:val="22"/>
              </w:rPr>
              <w:t>55.5%</w:t>
            </w:r>
          </w:p>
        </w:tc>
      </w:tr>
      <w:tr w:rsidR="00CE1BDB" w:rsidRPr="00FA4DC7" w14:paraId="666F8165" w14:textId="77777777" w:rsidTr="00625CD5">
        <w:trPr>
          <w:trHeight w:val="340"/>
        </w:trPr>
        <w:tc>
          <w:tcPr>
            <w:tcW w:w="1398" w:type="pct"/>
            <w:shd w:val="clear" w:color="auto" w:fill="auto"/>
            <w:noWrap/>
            <w:vAlign w:val="center"/>
            <w:hideMark/>
          </w:tcPr>
          <w:p w14:paraId="29C69ECB" w14:textId="77777777" w:rsidR="00CE1BDB" w:rsidRPr="00FA4DC7" w:rsidRDefault="00CE1BDB" w:rsidP="00625CD5">
            <w:pPr>
              <w:rPr>
                <w:rFonts w:cs="Arial"/>
                <w:color w:val="000000"/>
                <w:sz w:val="22"/>
                <w:szCs w:val="22"/>
              </w:rPr>
            </w:pPr>
            <w:r w:rsidRPr="00FA4DC7">
              <w:rPr>
                <w:rFonts w:cs="Arial"/>
                <w:color w:val="000000"/>
                <w:sz w:val="22"/>
                <w:szCs w:val="22"/>
              </w:rPr>
              <w:t xml:space="preserve">Luton and </w:t>
            </w:r>
            <w:proofErr w:type="spellStart"/>
            <w:r w:rsidRPr="00FA4DC7">
              <w:rPr>
                <w:rFonts w:cs="Arial"/>
                <w:color w:val="000000"/>
                <w:sz w:val="22"/>
                <w:szCs w:val="22"/>
              </w:rPr>
              <w:t>Wayfield</w:t>
            </w:r>
            <w:proofErr w:type="spellEnd"/>
          </w:p>
        </w:tc>
        <w:tc>
          <w:tcPr>
            <w:tcW w:w="636" w:type="pct"/>
            <w:shd w:val="clear" w:color="auto" w:fill="auto"/>
            <w:noWrap/>
            <w:tcMar>
              <w:left w:w="0" w:type="dxa"/>
            </w:tcMar>
            <w:vAlign w:val="center"/>
            <w:hideMark/>
          </w:tcPr>
          <w:p w14:paraId="43C69807" w14:textId="77777777" w:rsidR="00CE1BDB" w:rsidRPr="00FA4DC7" w:rsidRDefault="00CE1BDB" w:rsidP="00625CD5">
            <w:pPr>
              <w:jc w:val="right"/>
              <w:rPr>
                <w:rFonts w:cs="Arial"/>
                <w:color w:val="000000"/>
                <w:sz w:val="22"/>
                <w:szCs w:val="22"/>
              </w:rPr>
            </w:pPr>
            <w:r w:rsidRPr="00FA4DC7">
              <w:rPr>
                <w:rFonts w:cs="Arial"/>
                <w:color w:val="000000"/>
                <w:sz w:val="22"/>
                <w:szCs w:val="22"/>
              </w:rPr>
              <w:t>£115,000</w:t>
            </w:r>
          </w:p>
        </w:tc>
        <w:tc>
          <w:tcPr>
            <w:tcW w:w="636" w:type="pct"/>
            <w:shd w:val="clear" w:color="auto" w:fill="auto"/>
            <w:noWrap/>
            <w:tcMar>
              <w:left w:w="0" w:type="dxa"/>
            </w:tcMar>
            <w:vAlign w:val="center"/>
            <w:hideMark/>
          </w:tcPr>
          <w:p w14:paraId="34C32CEB" w14:textId="77777777" w:rsidR="00CE1BDB" w:rsidRPr="00FA4DC7" w:rsidRDefault="00CE1BDB" w:rsidP="00625CD5">
            <w:pPr>
              <w:jc w:val="right"/>
              <w:rPr>
                <w:rFonts w:cs="Arial"/>
                <w:color w:val="000000"/>
                <w:sz w:val="22"/>
                <w:szCs w:val="22"/>
              </w:rPr>
            </w:pPr>
            <w:r w:rsidRPr="00FA4DC7">
              <w:rPr>
                <w:rFonts w:cs="Arial"/>
                <w:color w:val="000000"/>
                <w:sz w:val="22"/>
                <w:szCs w:val="22"/>
              </w:rPr>
              <w:t>£160,000</w:t>
            </w:r>
          </w:p>
        </w:tc>
        <w:tc>
          <w:tcPr>
            <w:tcW w:w="559" w:type="pct"/>
            <w:shd w:val="clear" w:color="auto" w:fill="auto"/>
            <w:noWrap/>
            <w:tcMar>
              <w:left w:w="0" w:type="dxa"/>
            </w:tcMar>
            <w:vAlign w:val="center"/>
            <w:hideMark/>
          </w:tcPr>
          <w:p w14:paraId="3E9F0E2F" w14:textId="77777777" w:rsidR="00CE1BDB" w:rsidRPr="00FA4DC7" w:rsidRDefault="00CE1BDB" w:rsidP="00625CD5">
            <w:pPr>
              <w:jc w:val="right"/>
              <w:rPr>
                <w:rFonts w:cs="Arial"/>
                <w:color w:val="000000"/>
                <w:sz w:val="22"/>
                <w:szCs w:val="22"/>
              </w:rPr>
            </w:pPr>
            <w:r w:rsidRPr="00FA4DC7">
              <w:rPr>
                <w:rFonts w:cs="Arial"/>
                <w:color w:val="000000"/>
                <w:sz w:val="22"/>
                <w:szCs w:val="22"/>
              </w:rPr>
              <w:t>39.1%</w:t>
            </w:r>
          </w:p>
        </w:tc>
        <w:tc>
          <w:tcPr>
            <w:tcW w:w="629" w:type="pct"/>
            <w:shd w:val="clear" w:color="auto" w:fill="auto"/>
            <w:noWrap/>
            <w:tcMar>
              <w:left w:w="0" w:type="dxa"/>
            </w:tcMar>
            <w:vAlign w:val="center"/>
            <w:hideMark/>
          </w:tcPr>
          <w:p w14:paraId="76F0009B" w14:textId="77777777" w:rsidR="00CE1BDB" w:rsidRPr="00FA4DC7" w:rsidRDefault="00CE1BDB" w:rsidP="00625CD5">
            <w:pPr>
              <w:jc w:val="right"/>
              <w:rPr>
                <w:rFonts w:cs="Arial"/>
                <w:color w:val="000000"/>
                <w:sz w:val="22"/>
                <w:szCs w:val="22"/>
              </w:rPr>
            </w:pPr>
            <w:r w:rsidRPr="00FA4DC7">
              <w:rPr>
                <w:rFonts w:cs="Arial"/>
                <w:color w:val="000000"/>
                <w:sz w:val="22"/>
                <w:szCs w:val="22"/>
              </w:rPr>
              <w:t>£125,000</w:t>
            </w:r>
          </w:p>
        </w:tc>
        <w:tc>
          <w:tcPr>
            <w:tcW w:w="590" w:type="pct"/>
            <w:shd w:val="clear" w:color="auto" w:fill="auto"/>
            <w:noWrap/>
            <w:tcMar>
              <w:left w:w="0" w:type="dxa"/>
            </w:tcMar>
            <w:vAlign w:val="center"/>
            <w:hideMark/>
          </w:tcPr>
          <w:p w14:paraId="70542AD9" w14:textId="77777777" w:rsidR="00CE1BDB" w:rsidRPr="00FA4DC7" w:rsidRDefault="00CE1BDB" w:rsidP="00625CD5">
            <w:pPr>
              <w:jc w:val="right"/>
              <w:rPr>
                <w:rFonts w:cs="Arial"/>
                <w:color w:val="000000"/>
                <w:sz w:val="22"/>
                <w:szCs w:val="22"/>
              </w:rPr>
            </w:pPr>
            <w:r w:rsidRPr="00FA4DC7">
              <w:rPr>
                <w:rFonts w:cs="Arial"/>
                <w:color w:val="000000"/>
                <w:sz w:val="22"/>
                <w:szCs w:val="22"/>
              </w:rPr>
              <w:t>£185,000</w:t>
            </w:r>
          </w:p>
        </w:tc>
        <w:tc>
          <w:tcPr>
            <w:tcW w:w="552" w:type="pct"/>
            <w:shd w:val="clear" w:color="auto" w:fill="auto"/>
            <w:noWrap/>
            <w:tcMar>
              <w:left w:w="0" w:type="dxa"/>
            </w:tcMar>
            <w:vAlign w:val="center"/>
            <w:hideMark/>
          </w:tcPr>
          <w:p w14:paraId="67FCC070" w14:textId="77777777" w:rsidR="00CE1BDB" w:rsidRPr="00FA4DC7" w:rsidRDefault="00CE1BDB" w:rsidP="00625CD5">
            <w:pPr>
              <w:jc w:val="right"/>
              <w:rPr>
                <w:rFonts w:cs="Arial"/>
                <w:color w:val="000000"/>
                <w:sz w:val="22"/>
                <w:szCs w:val="22"/>
              </w:rPr>
            </w:pPr>
            <w:r w:rsidRPr="00FA4DC7">
              <w:rPr>
                <w:rFonts w:cs="Arial"/>
                <w:color w:val="000000"/>
                <w:sz w:val="22"/>
                <w:szCs w:val="22"/>
              </w:rPr>
              <w:t>48.0%</w:t>
            </w:r>
          </w:p>
        </w:tc>
      </w:tr>
      <w:tr w:rsidR="00CE1BDB" w:rsidRPr="00FA4DC7" w14:paraId="01374BD1" w14:textId="77777777" w:rsidTr="00625CD5">
        <w:trPr>
          <w:trHeight w:val="340"/>
        </w:trPr>
        <w:tc>
          <w:tcPr>
            <w:tcW w:w="1398" w:type="pct"/>
            <w:shd w:val="clear" w:color="auto" w:fill="auto"/>
            <w:noWrap/>
            <w:vAlign w:val="center"/>
            <w:hideMark/>
          </w:tcPr>
          <w:p w14:paraId="5EC3F16E" w14:textId="77777777" w:rsidR="00CE1BDB" w:rsidRPr="00FA4DC7" w:rsidRDefault="00CE1BDB" w:rsidP="00625CD5">
            <w:pPr>
              <w:rPr>
                <w:rFonts w:cs="Arial"/>
                <w:color w:val="000000"/>
                <w:sz w:val="22"/>
                <w:szCs w:val="22"/>
              </w:rPr>
            </w:pPr>
            <w:r w:rsidRPr="00FA4DC7">
              <w:rPr>
                <w:rFonts w:cs="Arial"/>
                <w:color w:val="000000"/>
                <w:sz w:val="22"/>
                <w:szCs w:val="22"/>
              </w:rPr>
              <w:t>Peninsula</w:t>
            </w:r>
          </w:p>
        </w:tc>
        <w:tc>
          <w:tcPr>
            <w:tcW w:w="636" w:type="pct"/>
            <w:shd w:val="clear" w:color="auto" w:fill="auto"/>
            <w:noWrap/>
            <w:tcMar>
              <w:left w:w="0" w:type="dxa"/>
            </w:tcMar>
            <w:vAlign w:val="center"/>
            <w:hideMark/>
          </w:tcPr>
          <w:p w14:paraId="1E11FED3" w14:textId="77777777" w:rsidR="00CE1BDB" w:rsidRPr="00FA4DC7" w:rsidRDefault="00CE1BDB" w:rsidP="00625CD5">
            <w:pPr>
              <w:jc w:val="right"/>
              <w:rPr>
                <w:rFonts w:cs="Arial"/>
                <w:color w:val="000000"/>
                <w:sz w:val="22"/>
                <w:szCs w:val="22"/>
              </w:rPr>
            </w:pPr>
            <w:r w:rsidRPr="00FA4DC7">
              <w:rPr>
                <w:rFonts w:cs="Arial"/>
                <w:color w:val="000000"/>
                <w:sz w:val="22"/>
                <w:szCs w:val="22"/>
              </w:rPr>
              <w:t>£149,750</w:t>
            </w:r>
          </w:p>
        </w:tc>
        <w:tc>
          <w:tcPr>
            <w:tcW w:w="636" w:type="pct"/>
            <w:shd w:val="clear" w:color="auto" w:fill="auto"/>
            <w:noWrap/>
            <w:tcMar>
              <w:left w:w="0" w:type="dxa"/>
            </w:tcMar>
            <w:vAlign w:val="center"/>
            <w:hideMark/>
          </w:tcPr>
          <w:p w14:paraId="3369B3C7" w14:textId="77777777" w:rsidR="00CE1BDB" w:rsidRPr="00FA4DC7" w:rsidRDefault="00CE1BDB" w:rsidP="00625CD5">
            <w:pPr>
              <w:jc w:val="right"/>
              <w:rPr>
                <w:rFonts w:cs="Arial"/>
                <w:color w:val="000000"/>
                <w:sz w:val="22"/>
                <w:szCs w:val="22"/>
              </w:rPr>
            </w:pPr>
            <w:r w:rsidRPr="00FA4DC7">
              <w:rPr>
                <w:rFonts w:cs="Arial"/>
                <w:color w:val="000000"/>
                <w:sz w:val="22"/>
                <w:szCs w:val="22"/>
              </w:rPr>
              <w:t>£247,750</w:t>
            </w:r>
          </w:p>
        </w:tc>
        <w:tc>
          <w:tcPr>
            <w:tcW w:w="559" w:type="pct"/>
            <w:shd w:val="clear" w:color="auto" w:fill="auto"/>
            <w:noWrap/>
            <w:tcMar>
              <w:left w:w="0" w:type="dxa"/>
            </w:tcMar>
            <w:vAlign w:val="center"/>
            <w:hideMark/>
          </w:tcPr>
          <w:p w14:paraId="7922ABF0" w14:textId="77777777" w:rsidR="00CE1BDB" w:rsidRPr="00FA4DC7" w:rsidRDefault="00CE1BDB" w:rsidP="00625CD5">
            <w:pPr>
              <w:jc w:val="right"/>
              <w:rPr>
                <w:rFonts w:cs="Arial"/>
                <w:color w:val="000000"/>
                <w:sz w:val="22"/>
                <w:szCs w:val="22"/>
              </w:rPr>
            </w:pPr>
            <w:r w:rsidRPr="00FA4DC7">
              <w:rPr>
                <w:rFonts w:cs="Arial"/>
                <w:color w:val="000000"/>
                <w:sz w:val="22"/>
                <w:szCs w:val="22"/>
              </w:rPr>
              <w:t>65.4%</w:t>
            </w:r>
          </w:p>
        </w:tc>
        <w:tc>
          <w:tcPr>
            <w:tcW w:w="629" w:type="pct"/>
            <w:shd w:val="clear" w:color="auto" w:fill="auto"/>
            <w:noWrap/>
            <w:tcMar>
              <w:left w:w="0" w:type="dxa"/>
            </w:tcMar>
            <w:vAlign w:val="center"/>
            <w:hideMark/>
          </w:tcPr>
          <w:p w14:paraId="422AFD70" w14:textId="77777777" w:rsidR="00CE1BDB" w:rsidRPr="00FA4DC7" w:rsidRDefault="00CE1BDB" w:rsidP="00625CD5">
            <w:pPr>
              <w:jc w:val="right"/>
              <w:rPr>
                <w:rFonts w:cs="Arial"/>
                <w:color w:val="000000"/>
                <w:sz w:val="22"/>
                <w:szCs w:val="22"/>
              </w:rPr>
            </w:pPr>
            <w:r w:rsidRPr="00FA4DC7">
              <w:rPr>
                <w:rFonts w:cs="Arial"/>
                <w:color w:val="000000"/>
                <w:sz w:val="22"/>
                <w:szCs w:val="22"/>
              </w:rPr>
              <w:t>£184,998</w:t>
            </w:r>
          </w:p>
        </w:tc>
        <w:tc>
          <w:tcPr>
            <w:tcW w:w="590" w:type="pct"/>
            <w:shd w:val="clear" w:color="auto" w:fill="auto"/>
            <w:noWrap/>
            <w:tcMar>
              <w:left w:w="0" w:type="dxa"/>
            </w:tcMar>
            <w:vAlign w:val="center"/>
            <w:hideMark/>
          </w:tcPr>
          <w:p w14:paraId="06499738" w14:textId="77777777" w:rsidR="00CE1BDB" w:rsidRPr="00FA4DC7" w:rsidRDefault="00CE1BDB" w:rsidP="00625CD5">
            <w:pPr>
              <w:jc w:val="right"/>
              <w:rPr>
                <w:rFonts w:cs="Arial"/>
                <w:color w:val="000000"/>
                <w:sz w:val="22"/>
                <w:szCs w:val="22"/>
              </w:rPr>
            </w:pPr>
            <w:r w:rsidRPr="00FA4DC7">
              <w:rPr>
                <w:rFonts w:cs="Arial"/>
                <w:color w:val="000000"/>
                <w:sz w:val="22"/>
                <w:szCs w:val="22"/>
              </w:rPr>
              <w:t>£290,500</w:t>
            </w:r>
          </w:p>
        </w:tc>
        <w:tc>
          <w:tcPr>
            <w:tcW w:w="552" w:type="pct"/>
            <w:shd w:val="clear" w:color="auto" w:fill="auto"/>
            <w:noWrap/>
            <w:tcMar>
              <w:left w:w="0" w:type="dxa"/>
            </w:tcMar>
            <w:vAlign w:val="center"/>
            <w:hideMark/>
          </w:tcPr>
          <w:p w14:paraId="503AF78A" w14:textId="77777777" w:rsidR="00CE1BDB" w:rsidRPr="00FA4DC7" w:rsidRDefault="00CE1BDB" w:rsidP="00625CD5">
            <w:pPr>
              <w:jc w:val="right"/>
              <w:rPr>
                <w:rFonts w:cs="Arial"/>
                <w:color w:val="000000"/>
                <w:sz w:val="22"/>
                <w:szCs w:val="22"/>
              </w:rPr>
            </w:pPr>
            <w:r w:rsidRPr="00FA4DC7">
              <w:rPr>
                <w:rFonts w:cs="Arial"/>
                <w:color w:val="000000"/>
                <w:sz w:val="22"/>
                <w:szCs w:val="22"/>
              </w:rPr>
              <w:t>57.0%</w:t>
            </w:r>
          </w:p>
        </w:tc>
      </w:tr>
      <w:tr w:rsidR="00CE1BDB" w:rsidRPr="00FA4DC7" w14:paraId="48678442" w14:textId="77777777" w:rsidTr="00625CD5">
        <w:trPr>
          <w:trHeight w:val="340"/>
        </w:trPr>
        <w:tc>
          <w:tcPr>
            <w:tcW w:w="1398" w:type="pct"/>
            <w:shd w:val="clear" w:color="auto" w:fill="auto"/>
            <w:noWrap/>
            <w:vAlign w:val="center"/>
            <w:hideMark/>
          </w:tcPr>
          <w:p w14:paraId="41644CDE" w14:textId="77777777" w:rsidR="00CE1BDB" w:rsidRPr="00FA4DC7" w:rsidRDefault="00CE1BDB" w:rsidP="00625CD5">
            <w:pPr>
              <w:rPr>
                <w:rFonts w:cs="Arial"/>
                <w:color w:val="000000"/>
                <w:sz w:val="22"/>
                <w:szCs w:val="22"/>
              </w:rPr>
            </w:pPr>
            <w:r w:rsidRPr="00FA4DC7">
              <w:rPr>
                <w:rFonts w:cs="Arial"/>
                <w:color w:val="000000"/>
                <w:sz w:val="22"/>
                <w:szCs w:val="22"/>
              </w:rPr>
              <w:t>Princes Park</w:t>
            </w:r>
          </w:p>
        </w:tc>
        <w:tc>
          <w:tcPr>
            <w:tcW w:w="636" w:type="pct"/>
            <w:shd w:val="clear" w:color="auto" w:fill="auto"/>
            <w:noWrap/>
            <w:tcMar>
              <w:left w:w="0" w:type="dxa"/>
            </w:tcMar>
            <w:vAlign w:val="center"/>
            <w:hideMark/>
          </w:tcPr>
          <w:p w14:paraId="3FE5C67A" w14:textId="77777777" w:rsidR="00CE1BDB" w:rsidRPr="00FA4DC7" w:rsidRDefault="00CE1BDB" w:rsidP="00625CD5">
            <w:pPr>
              <w:jc w:val="right"/>
              <w:rPr>
                <w:rFonts w:cs="Arial"/>
                <w:color w:val="000000"/>
                <w:sz w:val="22"/>
                <w:szCs w:val="22"/>
              </w:rPr>
            </w:pPr>
            <w:r w:rsidRPr="00FA4DC7">
              <w:rPr>
                <w:rFonts w:cs="Arial"/>
                <w:color w:val="000000"/>
                <w:sz w:val="22"/>
                <w:szCs w:val="22"/>
              </w:rPr>
              <w:t>£134,000</w:t>
            </w:r>
          </w:p>
        </w:tc>
        <w:tc>
          <w:tcPr>
            <w:tcW w:w="636" w:type="pct"/>
            <w:shd w:val="clear" w:color="auto" w:fill="auto"/>
            <w:noWrap/>
            <w:tcMar>
              <w:left w:w="0" w:type="dxa"/>
            </w:tcMar>
            <w:vAlign w:val="center"/>
            <w:hideMark/>
          </w:tcPr>
          <w:p w14:paraId="6CFC15DA" w14:textId="77777777" w:rsidR="00CE1BDB" w:rsidRPr="00FA4DC7" w:rsidRDefault="00CE1BDB" w:rsidP="00625CD5">
            <w:pPr>
              <w:jc w:val="right"/>
              <w:rPr>
                <w:rFonts w:cs="Arial"/>
                <w:color w:val="000000"/>
                <w:sz w:val="22"/>
                <w:szCs w:val="22"/>
              </w:rPr>
            </w:pPr>
            <w:r w:rsidRPr="00FA4DC7">
              <w:rPr>
                <w:rFonts w:cs="Arial"/>
                <w:color w:val="000000"/>
                <w:sz w:val="22"/>
                <w:szCs w:val="22"/>
              </w:rPr>
              <w:t>£210,000</w:t>
            </w:r>
          </w:p>
        </w:tc>
        <w:tc>
          <w:tcPr>
            <w:tcW w:w="559" w:type="pct"/>
            <w:shd w:val="clear" w:color="auto" w:fill="auto"/>
            <w:noWrap/>
            <w:tcMar>
              <w:left w:w="0" w:type="dxa"/>
            </w:tcMar>
            <w:vAlign w:val="center"/>
            <w:hideMark/>
          </w:tcPr>
          <w:p w14:paraId="1DDF3CBD" w14:textId="77777777" w:rsidR="00CE1BDB" w:rsidRPr="00FA4DC7" w:rsidRDefault="00CE1BDB" w:rsidP="00625CD5">
            <w:pPr>
              <w:jc w:val="right"/>
              <w:rPr>
                <w:rFonts w:cs="Arial"/>
                <w:color w:val="000000"/>
                <w:sz w:val="22"/>
                <w:szCs w:val="22"/>
              </w:rPr>
            </w:pPr>
            <w:r w:rsidRPr="00FA4DC7">
              <w:rPr>
                <w:rFonts w:cs="Arial"/>
                <w:color w:val="000000"/>
                <w:sz w:val="22"/>
                <w:szCs w:val="22"/>
              </w:rPr>
              <w:t>56.7%</w:t>
            </w:r>
          </w:p>
        </w:tc>
        <w:tc>
          <w:tcPr>
            <w:tcW w:w="629" w:type="pct"/>
            <w:shd w:val="clear" w:color="auto" w:fill="auto"/>
            <w:noWrap/>
            <w:tcMar>
              <w:left w:w="0" w:type="dxa"/>
            </w:tcMar>
            <w:vAlign w:val="center"/>
            <w:hideMark/>
          </w:tcPr>
          <w:p w14:paraId="1829F1E9" w14:textId="77777777" w:rsidR="00CE1BDB" w:rsidRPr="00FA4DC7" w:rsidRDefault="00CE1BDB" w:rsidP="00625CD5">
            <w:pPr>
              <w:jc w:val="right"/>
              <w:rPr>
                <w:rFonts w:cs="Arial"/>
                <w:color w:val="000000"/>
                <w:sz w:val="22"/>
                <w:szCs w:val="22"/>
              </w:rPr>
            </w:pPr>
            <w:r w:rsidRPr="00FA4DC7">
              <w:rPr>
                <w:rFonts w:cs="Arial"/>
                <w:color w:val="000000"/>
                <w:sz w:val="22"/>
                <w:szCs w:val="22"/>
              </w:rPr>
              <w:t>£149,995</w:t>
            </w:r>
          </w:p>
        </w:tc>
        <w:tc>
          <w:tcPr>
            <w:tcW w:w="590" w:type="pct"/>
            <w:shd w:val="clear" w:color="auto" w:fill="auto"/>
            <w:noWrap/>
            <w:tcMar>
              <w:left w:w="0" w:type="dxa"/>
            </w:tcMar>
            <w:vAlign w:val="center"/>
            <w:hideMark/>
          </w:tcPr>
          <w:p w14:paraId="1C32238E" w14:textId="77777777" w:rsidR="00CE1BDB" w:rsidRPr="00FA4DC7" w:rsidRDefault="00CE1BDB" w:rsidP="00625CD5">
            <w:pPr>
              <w:jc w:val="right"/>
              <w:rPr>
                <w:rFonts w:cs="Arial"/>
                <w:color w:val="000000"/>
                <w:sz w:val="22"/>
                <w:szCs w:val="22"/>
              </w:rPr>
            </w:pPr>
            <w:r w:rsidRPr="00FA4DC7">
              <w:rPr>
                <w:rFonts w:cs="Arial"/>
                <w:color w:val="000000"/>
                <w:sz w:val="22"/>
                <w:szCs w:val="22"/>
              </w:rPr>
              <w:t>£238,000</w:t>
            </w:r>
          </w:p>
        </w:tc>
        <w:tc>
          <w:tcPr>
            <w:tcW w:w="552" w:type="pct"/>
            <w:shd w:val="clear" w:color="auto" w:fill="auto"/>
            <w:noWrap/>
            <w:tcMar>
              <w:left w:w="0" w:type="dxa"/>
            </w:tcMar>
            <w:vAlign w:val="center"/>
            <w:hideMark/>
          </w:tcPr>
          <w:p w14:paraId="4A8AC2FF" w14:textId="77777777" w:rsidR="00CE1BDB" w:rsidRPr="00FA4DC7" w:rsidRDefault="00CE1BDB" w:rsidP="00625CD5">
            <w:pPr>
              <w:jc w:val="right"/>
              <w:rPr>
                <w:rFonts w:cs="Arial"/>
                <w:color w:val="000000"/>
                <w:sz w:val="22"/>
                <w:szCs w:val="22"/>
              </w:rPr>
            </w:pPr>
            <w:r w:rsidRPr="00FA4DC7">
              <w:rPr>
                <w:rFonts w:cs="Arial"/>
                <w:color w:val="000000"/>
                <w:sz w:val="22"/>
                <w:szCs w:val="22"/>
              </w:rPr>
              <w:t>58.7%</w:t>
            </w:r>
          </w:p>
        </w:tc>
      </w:tr>
      <w:tr w:rsidR="00CE1BDB" w:rsidRPr="00FA4DC7" w14:paraId="584B49EE" w14:textId="77777777" w:rsidTr="00625CD5">
        <w:trPr>
          <w:trHeight w:val="340"/>
        </w:trPr>
        <w:tc>
          <w:tcPr>
            <w:tcW w:w="1398" w:type="pct"/>
            <w:shd w:val="clear" w:color="auto" w:fill="auto"/>
            <w:noWrap/>
            <w:vAlign w:val="center"/>
            <w:hideMark/>
          </w:tcPr>
          <w:p w14:paraId="4649A6BA" w14:textId="77777777" w:rsidR="00CE1BDB" w:rsidRPr="00FA4DC7" w:rsidRDefault="00CE1BDB" w:rsidP="00625CD5">
            <w:pPr>
              <w:rPr>
                <w:rFonts w:cs="Arial"/>
                <w:color w:val="000000"/>
                <w:sz w:val="22"/>
                <w:szCs w:val="22"/>
              </w:rPr>
            </w:pPr>
            <w:r w:rsidRPr="00FA4DC7">
              <w:rPr>
                <w:rFonts w:cs="Arial"/>
                <w:color w:val="000000"/>
                <w:sz w:val="22"/>
                <w:szCs w:val="22"/>
              </w:rPr>
              <w:t>Rainham Central</w:t>
            </w:r>
          </w:p>
        </w:tc>
        <w:tc>
          <w:tcPr>
            <w:tcW w:w="636" w:type="pct"/>
            <w:shd w:val="clear" w:color="auto" w:fill="auto"/>
            <w:noWrap/>
            <w:tcMar>
              <w:left w:w="0" w:type="dxa"/>
            </w:tcMar>
            <w:vAlign w:val="center"/>
            <w:hideMark/>
          </w:tcPr>
          <w:p w14:paraId="128E03BE" w14:textId="77777777" w:rsidR="00CE1BDB" w:rsidRPr="00FA4DC7" w:rsidRDefault="00CE1BDB" w:rsidP="00625CD5">
            <w:pPr>
              <w:jc w:val="right"/>
              <w:rPr>
                <w:rFonts w:cs="Arial"/>
                <w:color w:val="000000"/>
                <w:sz w:val="22"/>
                <w:szCs w:val="22"/>
              </w:rPr>
            </w:pPr>
            <w:r w:rsidRPr="00FA4DC7">
              <w:rPr>
                <w:rFonts w:cs="Arial"/>
                <w:color w:val="000000"/>
                <w:sz w:val="22"/>
                <w:szCs w:val="22"/>
              </w:rPr>
              <w:t>£162,000</w:t>
            </w:r>
          </w:p>
        </w:tc>
        <w:tc>
          <w:tcPr>
            <w:tcW w:w="636" w:type="pct"/>
            <w:shd w:val="clear" w:color="auto" w:fill="auto"/>
            <w:noWrap/>
            <w:tcMar>
              <w:left w:w="0" w:type="dxa"/>
            </w:tcMar>
            <w:vAlign w:val="center"/>
            <w:hideMark/>
          </w:tcPr>
          <w:p w14:paraId="6D323F27" w14:textId="77777777" w:rsidR="00CE1BDB" w:rsidRPr="00FA4DC7" w:rsidRDefault="00CE1BDB" w:rsidP="00625CD5">
            <w:pPr>
              <w:jc w:val="right"/>
              <w:rPr>
                <w:rFonts w:cs="Arial"/>
                <w:color w:val="000000"/>
                <w:sz w:val="22"/>
                <w:szCs w:val="22"/>
              </w:rPr>
            </w:pPr>
            <w:r w:rsidRPr="00FA4DC7">
              <w:rPr>
                <w:rFonts w:cs="Arial"/>
                <w:color w:val="000000"/>
                <w:sz w:val="22"/>
                <w:szCs w:val="22"/>
              </w:rPr>
              <w:t>£285,000</w:t>
            </w:r>
          </w:p>
        </w:tc>
        <w:tc>
          <w:tcPr>
            <w:tcW w:w="559" w:type="pct"/>
            <w:shd w:val="clear" w:color="auto" w:fill="auto"/>
            <w:noWrap/>
            <w:tcMar>
              <w:left w:w="0" w:type="dxa"/>
            </w:tcMar>
            <w:vAlign w:val="center"/>
            <w:hideMark/>
          </w:tcPr>
          <w:p w14:paraId="3BAD9EAC" w14:textId="77777777" w:rsidR="00CE1BDB" w:rsidRPr="00FA4DC7" w:rsidRDefault="00CE1BDB" w:rsidP="00625CD5">
            <w:pPr>
              <w:jc w:val="right"/>
              <w:rPr>
                <w:rFonts w:cs="Arial"/>
                <w:color w:val="000000"/>
                <w:sz w:val="22"/>
                <w:szCs w:val="22"/>
              </w:rPr>
            </w:pPr>
            <w:r w:rsidRPr="00FA4DC7">
              <w:rPr>
                <w:rFonts w:cs="Arial"/>
                <w:color w:val="000000"/>
                <w:sz w:val="22"/>
                <w:szCs w:val="22"/>
              </w:rPr>
              <w:t>75.9%</w:t>
            </w:r>
          </w:p>
        </w:tc>
        <w:tc>
          <w:tcPr>
            <w:tcW w:w="629" w:type="pct"/>
            <w:shd w:val="clear" w:color="auto" w:fill="auto"/>
            <w:noWrap/>
            <w:tcMar>
              <w:left w:w="0" w:type="dxa"/>
            </w:tcMar>
            <w:vAlign w:val="center"/>
            <w:hideMark/>
          </w:tcPr>
          <w:p w14:paraId="0EAD0EB8" w14:textId="77777777" w:rsidR="00CE1BDB" w:rsidRPr="00FA4DC7" w:rsidRDefault="00CE1BDB" w:rsidP="00625CD5">
            <w:pPr>
              <w:jc w:val="right"/>
              <w:rPr>
                <w:rFonts w:cs="Arial"/>
                <w:color w:val="000000"/>
                <w:sz w:val="22"/>
                <w:szCs w:val="22"/>
              </w:rPr>
            </w:pPr>
            <w:r w:rsidRPr="00FA4DC7">
              <w:rPr>
                <w:rFonts w:cs="Arial"/>
                <w:color w:val="000000"/>
                <w:sz w:val="22"/>
                <w:szCs w:val="22"/>
              </w:rPr>
              <w:t>£203,000</w:t>
            </w:r>
          </w:p>
        </w:tc>
        <w:tc>
          <w:tcPr>
            <w:tcW w:w="590" w:type="pct"/>
            <w:shd w:val="clear" w:color="auto" w:fill="auto"/>
            <w:noWrap/>
            <w:tcMar>
              <w:left w:w="0" w:type="dxa"/>
            </w:tcMar>
            <w:vAlign w:val="center"/>
            <w:hideMark/>
          </w:tcPr>
          <w:p w14:paraId="201A6158" w14:textId="77777777" w:rsidR="00CE1BDB" w:rsidRPr="00FA4DC7" w:rsidRDefault="00CE1BDB" w:rsidP="00625CD5">
            <w:pPr>
              <w:jc w:val="right"/>
              <w:rPr>
                <w:rFonts w:cs="Arial"/>
                <w:color w:val="000000"/>
                <w:sz w:val="22"/>
                <w:szCs w:val="22"/>
              </w:rPr>
            </w:pPr>
            <w:r w:rsidRPr="00FA4DC7">
              <w:rPr>
                <w:rFonts w:cs="Arial"/>
                <w:color w:val="000000"/>
                <w:sz w:val="22"/>
                <w:szCs w:val="22"/>
              </w:rPr>
              <w:t>£340,000</w:t>
            </w:r>
          </w:p>
        </w:tc>
        <w:tc>
          <w:tcPr>
            <w:tcW w:w="552" w:type="pct"/>
            <w:shd w:val="clear" w:color="auto" w:fill="auto"/>
            <w:noWrap/>
            <w:tcMar>
              <w:left w:w="0" w:type="dxa"/>
            </w:tcMar>
            <w:vAlign w:val="center"/>
            <w:hideMark/>
          </w:tcPr>
          <w:p w14:paraId="2F151ECC" w14:textId="77777777" w:rsidR="00CE1BDB" w:rsidRPr="00FA4DC7" w:rsidRDefault="00CE1BDB" w:rsidP="00625CD5">
            <w:pPr>
              <w:jc w:val="right"/>
              <w:rPr>
                <w:rFonts w:cs="Arial"/>
                <w:color w:val="000000"/>
                <w:sz w:val="22"/>
                <w:szCs w:val="22"/>
              </w:rPr>
            </w:pPr>
            <w:r w:rsidRPr="00FA4DC7">
              <w:rPr>
                <w:rFonts w:cs="Arial"/>
                <w:color w:val="000000"/>
                <w:sz w:val="22"/>
                <w:szCs w:val="22"/>
              </w:rPr>
              <w:t>67.5%</w:t>
            </w:r>
          </w:p>
        </w:tc>
      </w:tr>
      <w:tr w:rsidR="00CE1BDB" w:rsidRPr="00FA4DC7" w14:paraId="3E3549E2" w14:textId="77777777" w:rsidTr="00625CD5">
        <w:trPr>
          <w:trHeight w:val="340"/>
        </w:trPr>
        <w:tc>
          <w:tcPr>
            <w:tcW w:w="1398" w:type="pct"/>
            <w:shd w:val="clear" w:color="auto" w:fill="auto"/>
            <w:noWrap/>
            <w:vAlign w:val="center"/>
            <w:hideMark/>
          </w:tcPr>
          <w:p w14:paraId="5B6016C9" w14:textId="77777777" w:rsidR="00CE1BDB" w:rsidRPr="00FA4DC7" w:rsidRDefault="00CE1BDB" w:rsidP="00625CD5">
            <w:pPr>
              <w:rPr>
                <w:rFonts w:cs="Arial"/>
                <w:color w:val="000000"/>
                <w:sz w:val="22"/>
                <w:szCs w:val="22"/>
              </w:rPr>
            </w:pPr>
            <w:r w:rsidRPr="00FA4DC7">
              <w:rPr>
                <w:rFonts w:cs="Arial"/>
                <w:color w:val="000000"/>
                <w:sz w:val="22"/>
                <w:szCs w:val="22"/>
              </w:rPr>
              <w:t>Rainham North</w:t>
            </w:r>
          </w:p>
        </w:tc>
        <w:tc>
          <w:tcPr>
            <w:tcW w:w="636" w:type="pct"/>
            <w:shd w:val="clear" w:color="auto" w:fill="auto"/>
            <w:noWrap/>
            <w:tcMar>
              <w:left w:w="0" w:type="dxa"/>
            </w:tcMar>
            <w:vAlign w:val="center"/>
            <w:hideMark/>
          </w:tcPr>
          <w:p w14:paraId="1057095E" w14:textId="77777777" w:rsidR="00CE1BDB" w:rsidRPr="00FA4DC7" w:rsidRDefault="00CE1BDB" w:rsidP="00625CD5">
            <w:pPr>
              <w:jc w:val="right"/>
              <w:rPr>
                <w:rFonts w:cs="Arial"/>
                <w:color w:val="000000"/>
                <w:sz w:val="22"/>
                <w:szCs w:val="22"/>
              </w:rPr>
            </w:pPr>
            <w:r w:rsidRPr="00FA4DC7">
              <w:rPr>
                <w:rFonts w:cs="Arial"/>
                <w:color w:val="000000"/>
                <w:sz w:val="22"/>
                <w:szCs w:val="22"/>
              </w:rPr>
              <w:t>£151,000</w:t>
            </w:r>
          </w:p>
        </w:tc>
        <w:tc>
          <w:tcPr>
            <w:tcW w:w="636" w:type="pct"/>
            <w:shd w:val="clear" w:color="auto" w:fill="auto"/>
            <w:noWrap/>
            <w:tcMar>
              <w:left w:w="0" w:type="dxa"/>
            </w:tcMar>
            <w:vAlign w:val="center"/>
            <w:hideMark/>
          </w:tcPr>
          <w:p w14:paraId="760F27A6" w14:textId="77777777" w:rsidR="00CE1BDB" w:rsidRPr="00FA4DC7" w:rsidRDefault="00CE1BDB" w:rsidP="00625CD5">
            <w:pPr>
              <w:jc w:val="right"/>
              <w:rPr>
                <w:rFonts w:cs="Arial"/>
                <w:color w:val="000000"/>
                <w:sz w:val="22"/>
                <w:szCs w:val="22"/>
              </w:rPr>
            </w:pPr>
            <w:r w:rsidRPr="00FA4DC7">
              <w:rPr>
                <w:rFonts w:cs="Arial"/>
                <w:color w:val="000000"/>
                <w:sz w:val="22"/>
                <w:szCs w:val="22"/>
              </w:rPr>
              <w:t>£219,625</w:t>
            </w:r>
          </w:p>
        </w:tc>
        <w:tc>
          <w:tcPr>
            <w:tcW w:w="559" w:type="pct"/>
            <w:shd w:val="clear" w:color="auto" w:fill="auto"/>
            <w:noWrap/>
            <w:tcMar>
              <w:left w:w="0" w:type="dxa"/>
            </w:tcMar>
            <w:vAlign w:val="center"/>
            <w:hideMark/>
          </w:tcPr>
          <w:p w14:paraId="3E70F69A" w14:textId="77777777" w:rsidR="00CE1BDB" w:rsidRPr="00FA4DC7" w:rsidRDefault="00CE1BDB" w:rsidP="00625CD5">
            <w:pPr>
              <w:jc w:val="right"/>
              <w:rPr>
                <w:rFonts w:cs="Arial"/>
                <w:color w:val="000000"/>
                <w:sz w:val="22"/>
                <w:szCs w:val="22"/>
              </w:rPr>
            </w:pPr>
            <w:r w:rsidRPr="00FA4DC7">
              <w:rPr>
                <w:rFonts w:cs="Arial"/>
                <w:color w:val="000000"/>
                <w:sz w:val="22"/>
                <w:szCs w:val="22"/>
              </w:rPr>
              <w:t>45.4%</w:t>
            </w:r>
          </w:p>
        </w:tc>
        <w:tc>
          <w:tcPr>
            <w:tcW w:w="629" w:type="pct"/>
            <w:shd w:val="clear" w:color="auto" w:fill="auto"/>
            <w:noWrap/>
            <w:tcMar>
              <w:left w:w="0" w:type="dxa"/>
            </w:tcMar>
            <w:vAlign w:val="center"/>
            <w:hideMark/>
          </w:tcPr>
          <w:p w14:paraId="0EB14FFC" w14:textId="77777777" w:rsidR="00CE1BDB" w:rsidRPr="00FA4DC7" w:rsidRDefault="00CE1BDB" w:rsidP="00625CD5">
            <w:pPr>
              <w:jc w:val="right"/>
              <w:rPr>
                <w:rFonts w:cs="Arial"/>
                <w:color w:val="000000"/>
                <w:sz w:val="22"/>
                <w:szCs w:val="22"/>
              </w:rPr>
            </w:pPr>
            <w:r w:rsidRPr="00FA4DC7">
              <w:rPr>
                <w:rFonts w:cs="Arial"/>
                <w:color w:val="000000"/>
                <w:sz w:val="22"/>
                <w:szCs w:val="22"/>
              </w:rPr>
              <w:t>£175,000</w:t>
            </w:r>
          </w:p>
        </w:tc>
        <w:tc>
          <w:tcPr>
            <w:tcW w:w="590" w:type="pct"/>
            <w:shd w:val="clear" w:color="auto" w:fill="auto"/>
            <w:noWrap/>
            <w:tcMar>
              <w:left w:w="0" w:type="dxa"/>
            </w:tcMar>
            <w:vAlign w:val="center"/>
            <w:hideMark/>
          </w:tcPr>
          <w:p w14:paraId="43562873" w14:textId="77777777" w:rsidR="00CE1BDB" w:rsidRPr="00FA4DC7" w:rsidRDefault="00CE1BDB" w:rsidP="00625CD5">
            <w:pPr>
              <w:jc w:val="right"/>
              <w:rPr>
                <w:rFonts w:cs="Arial"/>
                <w:color w:val="000000"/>
                <w:sz w:val="22"/>
                <w:szCs w:val="22"/>
              </w:rPr>
            </w:pPr>
            <w:r w:rsidRPr="00FA4DC7">
              <w:rPr>
                <w:rFonts w:cs="Arial"/>
                <w:color w:val="000000"/>
                <w:sz w:val="22"/>
                <w:szCs w:val="22"/>
              </w:rPr>
              <w:t>£270,000</w:t>
            </w:r>
          </w:p>
        </w:tc>
        <w:tc>
          <w:tcPr>
            <w:tcW w:w="552" w:type="pct"/>
            <w:shd w:val="clear" w:color="auto" w:fill="auto"/>
            <w:noWrap/>
            <w:tcMar>
              <w:left w:w="0" w:type="dxa"/>
            </w:tcMar>
            <w:vAlign w:val="center"/>
            <w:hideMark/>
          </w:tcPr>
          <w:p w14:paraId="5B5A9C91" w14:textId="77777777" w:rsidR="00CE1BDB" w:rsidRPr="00FA4DC7" w:rsidRDefault="00CE1BDB" w:rsidP="00625CD5">
            <w:pPr>
              <w:jc w:val="right"/>
              <w:rPr>
                <w:rFonts w:cs="Arial"/>
                <w:color w:val="000000"/>
                <w:sz w:val="22"/>
                <w:szCs w:val="22"/>
              </w:rPr>
            </w:pPr>
            <w:r w:rsidRPr="00FA4DC7">
              <w:rPr>
                <w:rFonts w:cs="Arial"/>
                <w:color w:val="000000"/>
                <w:sz w:val="22"/>
                <w:szCs w:val="22"/>
              </w:rPr>
              <w:t>54.3%</w:t>
            </w:r>
          </w:p>
        </w:tc>
      </w:tr>
      <w:tr w:rsidR="00CE1BDB" w:rsidRPr="00FA4DC7" w14:paraId="4B37EC2B" w14:textId="77777777" w:rsidTr="00625CD5">
        <w:trPr>
          <w:trHeight w:val="340"/>
        </w:trPr>
        <w:tc>
          <w:tcPr>
            <w:tcW w:w="1398" w:type="pct"/>
            <w:shd w:val="clear" w:color="auto" w:fill="auto"/>
            <w:noWrap/>
            <w:vAlign w:val="center"/>
            <w:hideMark/>
          </w:tcPr>
          <w:p w14:paraId="1D602976" w14:textId="77777777" w:rsidR="00CE1BDB" w:rsidRPr="00FA4DC7" w:rsidRDefault="00CE1BDB" w:rsidP="00625CD5">
            <w:pPr>
              <w:rPr>
                <w:rFonts w:cs="Arial"/>
                <w:color w:val="000000"/>
                <w:sz w:val="22"/>
                <w:szCs w:val="22"/>
              </w:rPr>
            </w:pPr>
            <w:r w:rsidRPr="00FA4DC7">
              <w:rPr>
                <w:rFonts w:cs="Arial"/>
                <w:color w:val="000000"/>
                <w:sz w:val="22"/>
                <w:szCs w:val="22"/>
              </w:rPr>
              <w:t>Rainham South</w:t>
            </w:r>
          </w:p>
        </w:tc>
        <w:tc>
          <w:tcPr>
            <w:tcW w:w="636" w:type="pct"/>
            <w:shd w:val="clear" w:color="auto" w:fill="auto"/>
            <w:noWrap/>
            <w:tcMar>
              <w:left w:w="0" w:type="dxa"/>
            </w:tcMar>
            <w:vAlign w:val="center"/>
            <w:hideMark/>
          </w:tcPr>
          <w:p w14:paraId="0D235CDA" w14:textId="77777777" w:rsidR="00CE1BDB" w:rsidRPr="00FA4DC7" w:rsidRDefault="00CE1BDB" w:rsidP="00625CD5">
            <w:pPr>
              <w:jc w:val="right"/>
              <w:rPr>
                <w:rFonts w:cs="Arial"/>
                <w:color w:val="000000"/>
                <w:sz w:val="22"/>
                <w:szCs w:val="22"/>
              </w:rPr>
            </w:pPr>
            <w:r w:rsidRPr="00FA4DC7">
              <w:rPr>
                <w:rFonts w:cs="Arial"/>
                <w:color w:val="000000"/>
                <w:sz w:val="22"/>
                <w:szCs w:val="22"/>
              </w:rPr>
              <w:t>£150,000</w:t>
            </w:r>
          </w:p>
        </w:tc>
        <w:tc>
          <w:tcPr>
            <w:tcW w:w="636" w:type="pct"/>
            <w:shd w:val="clear" w:color="auto" w:fill="auto"/>
            <w:noWrap/>
            <w:tcMar>
              <w:left w:w="0" w:type="dxa"/>
            </w:tcMar>
            <w:vAlign w:val="center"/>
            <w:hideMark/>
          </w:tcPr>
          <w:p w14:paraId="20ADC787" w14:textId="77777777" w:rsidR="00CE1BDB" w:rsidRPr="00FA4DC7" w:rsidRDefault="00CE1BDB" w:rsidP="00625CD5">
            <w:pPr>
              <w:jc w:val="right"/>
              <w:rPr>
                <w:rFonts w:cs="Arial"/>
                <w:color w:val="000000"/>
                <w:sz w:val="22"/>
                <w:szCs w:val="22"/>
              </w:rPr>
            </w:pPr>
            <w:r w:rsidRPr="00FA4DC7">
              <w:rPr>
                <w:rFonts w:cs="Arial"/>
                <w:color w:val="000000"/>
                <w:sz w:val="22"/>
                <w:szCs w:val="22"/>
              </w:rPr>
              <w:t>£222,500</w:t>
            </w:r>
          </w:p>
        </w:tc>
        <w:tc>
          <w:tcPr>
            <w:tcW w:w="559" w:type="pct"/>
            <w:shd w:val="clear" w:color="auto" w:fill="auto"/>
            <w:noWrap/>
            <w:tcMar>
              <w:left w:w="0" w:type="dxa"/>
            </w:tcMar>
            <w:vAlign w:val="center"/>
            <w:hideMark/>
          </w:tcPr>
          <w:p w14:paraId="45CC3F96" w14:textId="77777777" w:rsidR="00CE1BDB" w:rsidRPr="00FA4DC7" w:rsidRDefault="00CE1BDB" w:rsidP="00625CD5">
            <w:pPr>
              <w:jc w:val="right"/>
              <w:rPr>
                <w:rFonts w:cs="Arial"/>
                <w:color w:val="000000"/>
                <w:sz w:val="22"/>
                <w:szCs w:val="22"/>
              </w:rPr>
            </w:pPr>
            <w:r w:rsidRPr="00FA4DC7">
              <w:rPr>
                <w:rFonts w:cs="Arial"/>
                <w:color w:val="000000"/>
                <w:sz w:val="22"/>
                <w:szCs w:val="22"/>
              </w:rPr>
              <w:t>48.3%</w:t>
            </w:r>
          </w:p>
        </w:tc>
        <w:tc>
          <w:tcPr>
            <w:tcW w:w="629" w:type="pct"/>
            <w:shd w:val="clear" w:color="auto" w:fill="auto"/>
            <w:noWrap/>
            <w:tcMar>
              <w:left w:w="0" w:type="dxa"/>
            </w:tcMar>
            <w:vAlign w:val="center"/>
            <w:hideMark/>
          </w:tcPr>
          <w:p w14:paraId="47B04A83" w14:textId="77777777" w:rsidR="00CE1BDB" w:rsidRPr="00FA4DC7" w:rsidRDefault="00CE1BDB" w:rsidP="00625CD5">
            <w:pPr>
              <w:jc w:val="right"/>
              <w:rPr>
                <w:rFonts w:cs="Arial"/>
                <w:color w:val="000000"/>
                <w:sz w:val="22"/>
                <w:szCs w:val="22"/>
              </w:rPr>
            </w:pPr>
            <w:r w:rsidRPr="00FA4DC7">
              <w:rPr>
                <w:rFonts w:cs="Arial"/>
                <w:color w:val="000000"/>
                <w:sz w:val="22"/>
                <w:szCs w:val="22"/>
              </w:rPr>
              <w:t>£165,000</w:t>
            </w:r>
          </w:p>
        </w:tc>
        <w:tc>
          <w:tcPr>
            <w:tcW w:w="590" w:type="pct"/>
            <w:shd w:val="clear" w:color="auto" w:fill="auto"/>
            <w:noWrap/>
            <w:tcMar>
              <w:left w:w="0" w:type="dxa"/>
            </w:tcMar>
            <w:vAlign w:val="center"/>
            <w:hideMark/>
          </w:tcPr>
          <w:p w14:paraId="51276871" w14:textId="77777777" w:rsidR="00CE1BDB" w:rsidRPr="00FA4DC7" w:rsidRDefault="00CE1BDB" w:rsidP="00625CD5">
            <w:pPr>
              <w:jc w:val="right"/>
              <w:rPr>
                <w:rFonts w:cs="Arial"/>
                <w:color w:val="000000"/>
                <w:sz w:val="22"/>
                <w:szCs w:val="22"/>
              </w:rPr>
            </w:pPr>
            <w:r w:rsidRPr="00FA4DC7">
              <w:rPr>
                <w:rFonts w:cs="Arial"/>
                <w:color w:val="000000"/>
                <w:sz w:val="22"/>
                <w:szCs w:val="22"/>
              </w:rPr>
              <w:t>£260,000</w:t>
            </w:r>
          </w:p>
        </w:tc>
        <w:tc>
          <w:tcPr>
            <w:tcW w:w="552" w:type="pct"/>
            <w:shd w:val="clear" w:color="auto" w:fill="auto"/>
            <w:noWrap/>
            <w:tcMar>
              <w:left w:w="0" w:type="dxa"/>
            </w:tcMar>
            <w:vAlign w:val="center"/>
            <w:hideMark/>
          </w:tcPr>
          <w:p w14:paraId="6FDEA39F" w14:textId="77777777" w:rsidR="00CE1BDB" w:rsidRPr="00FA4DC7" w:rsidRDefault="00CE1BDB" w:rsidP="00625CD5">
            <w:pPr>
              <w:jc w:val="right"/>
              <w:rPr>
                <w:rFonts w:cs="Arial"/>
                <w:color w:val="000000"/>
                <w:sz w:val="22"/>
                <w:szCs w:val="22"/>
              </w:rPr>
            </w:pPr>
            <w:r w:rsidRPr="00FA4DC7">
              <w:rPr>
                <w:rFonts w:cs="Arial"/>
                <w:color w:val="000000"/>
                <w:sz w:val="22"/>
                <w:szCs w:val="22"/>
              </w:rPr>
              <w:t>57.6%</w:t>
            </w:r>
          </w:p>
        </w:tc>
      </w:tr>
      <w:tr w:rsidR="00CE1BDB" w:rsidRPr="00FA4DC7" w14:paraId="0F8A8CE6" w14:textId="77777777" w:rsidTr="00625CD5">
        <w:trPr>
          <w:trHeight w:val="340"/>
        </w:trPr>
        <w:tc>
          <w:tcPr>
            <w:tcW w:w="1398" w:type="pct"/>
            <w:shd w:val="clear" w:color="auto" w:fill="auto"/>
            <w:noWrap/>
            <w:vAlign w:val="center"/>
            <w:hideMark/>
          </w:tcPr>
          <w:p w14:paraId="3B6C0C8E" w14:textId="77777777" w:rsidR="00CE1BDB" w:rsidRPr="00FA4DC7" w:rsidRDefault="00CE1BDB" w:rsidP="00625CD5">
            <w:pPr>
              <w:rPr>
                <w:rFonts w:cs="Arial"/>
                <w:color w:val="000000"/>
                <w:sz w:val="22"/>
                <w:szCs w:val="22"/>
              </w:rPr>
            </w:pPr>
            <w:r w:rsidRPr="00FA4DC7">
              <w:rPr>
                <w:rFonts w:cs="Arial"/>
                <w:color w:val="000000"/>
                <w:sz w:val="22"/>
                <w:szCs w:val="22"/>
              </w:rPr>
              <w:t>River</w:t>
            </w:r>
          </w:p>
        </w:tc>
        <w:tc>
          <w:tcPr>
            <w:tcW w:w="636" w:type="pct"/>
            <w:shd w:val="clear" w:color="auto" w:fill="auto"/>
            <w:noWrap/>
            <w:tcMar>
              <w:left w:w="0" w:type="dxa"/>
            </w:tcMar>
            <w:vAlign w:val="center"/>
            <w:hideMark/>
          </w:tcPr>
          <w:p w14:paraId="3B2A82BF" w14:textId="77777777" w:rsidR="00CE1BDB" w:rsidRPr="00FA4DC7" w:rsidRDefault="00CE1BDB" w:rsidP="00625CD5">
            <w:pPr>
              <w:jc w:val="right"/>
              <w:rPr>
                <w:rFonts w:cs="Arial"/>
                <w:color w:val="000000"/>
                <w:sz w:val="22"/>
                <w:szCs w:val="22"/>
              </w:rPr>
            </w:pPr>
            <w:r w:rsidRPr="00FA4DC7">
              <w:rPr>
                <w:rFonts w:cs="Arial"/>
                <w:color w:val="000000"/>
                <w:sz w:val="22"/>
                <w:szCs w:val="22"/>
              </w:rPr>
              <w:t>£135,000</w:t>
            </w:r>
          </w:p>
        </w:tc>
        <w:tc>
          <w:tcPr>
            <w:tcW w:w="636" w:type="pct"/>
            <w:shd w:val="clear" w:color="auto" w:fill="auto"/>
            <w:noWrap/>
            <w:tcMar>
              <w:left w:w="0" w:type="dxa"/>
            </w:tcMar>
            <w:vAlign w:val="center"/>
            <w:hideMark/>
          </w:tcPr>
          <w:p w14:paraId="68E6A716" w14:textId="77777777" w:rsidR="00CE1BDB" w:rsidRPr="00FA4DC7" w:rsidRDefault="00CE1BDB" w:rsidP="00625CD5">
            <w:pPr>
              <w:jc w:val="right"/>
              <w:rPr>
                <w:rFonts w:cs="Arial"/>
                <w:color w:val="000000"/>
                <w:sz w:val="22"/>
                <w:szCs w:val="22"/>
              </w:rPr>
            </w:pPr>
            <w:r w:rsidRPr="00FA4DC7">
              <w:rPr>
                <w:rFonts w:cs="Arial"/>
                <w:color w:val="000000"/>
                <w:sz w:val="22"/>
                <w:szCs w:val="22"/>
              </w:rPr>
              <w:t>£183,000</w:t>
            </w:r>
          </w:p>
        </w:tc>
        <w:tc>
          <w:tcPr>
            <w:tcW w:w="559" w:type="pct"/>
            <w:shd w:val="clear" w:color="auto" w:fill="auto"/>
            <w:noWrap/>
            <w:tcMar>
              <w:left w:w="0" w:type="dxa"/>
            </w:tcMar>
            <w:vAlign w:val="center"/>
            <w:hideMark/>
          </w:tcPr>
          <w:p w14:paraId="73A4DEB1" w14:textId="77777777" w:rsidR="00CE1BDB" w:rsidRPr="00FA4DC7" w:rsidRDefault="00CE1BDB" w:rsidP="00625CD5">
            <w:pPr>
              <w:jc w:val="right"/>
              <w:rPr>
                <w:rFonts w:cs="Arial"/>
                <w:color w:val="000000"/>
                <w:sz w:val="22"/>
                <w:szCs w:val="22"/>
              </w:rPr>
            </w:pPr>
            <w:r w:rsidRPr="00FA4DC7">
              <w:rPr>
                <w:rFonts w:cs="Arial"/>
                <w:color w:val="000000"/>
                <w:sz w:val="22"/>
                <w:szCs w:val="22"/>
              </w:rPr>
              <w:t>35.6%</w:t>
            </w:r>
          </w:p>
        </w:tc>
        <w:tc>
          <w:tcPr>
            <w:tcW w:w="629" w:type="pct"/>
            <w:shd w:val="clear" w:color="auto" w:fill="auto"/>
            <w:noWrap/>
            <w:tcMar>
              <w:left w:w="0" w:type="dxa"/>
            </w:tcMar>
            <w:vAlign w:val="center"/>
            <w:hideMark/>
          </w:tcPr>
          <w:p w14:paraId="17001521" w14:textId="77777777" w:rsidR="00CE1BDB" w:rsidRPr="00FA4DC7" w:rsidRDefault="00CE1BDB" w:rsidP="00625CD5">
            <w:pPr>
              <w:jc w:val="right"/>
              <w:rPr>
                <w:rFonts w:cs="Arial"/>
                <w:color w:val="000000"/>
                <w:sz w:val="22"/>
                <w:szCs w:val="22"/>
              </w:rPr>
            </w:pPr>
            <w:r w:rsidRPr="00FA4DC7">
              <w:rPr>
                <w:rFonts w:cs="Arial"/>
                <w:color w:val="000000"/>
                <w:sz w:val="22"/>
                <w:szCs w:val="22"/>
              </w:rPr>
              <w:t>£200,000</w:t>
            </w:r>
          </w:p>
        </w:tc>
        <w:tc>
          <w:tcPr>
            <w:tcW w:w="590" w:type="pct"/>
            <w:shd w:val="clear" w:color="auto" w:fill="auto"/>
            <w:noWrap/>
            <w:tcMar>
              <w:left w:w="0" w:type="dxa"/>
            </w:tcMar>
            <w:vAlign w:val="center"/>
            <w:hideMark/>
          </w:tcPr>
          <w:p w14:paraId="79374AF5" w14:textId="77777777" w:rsidR="00CE1BDB" w:rsidRPr="00FA4DC7" w:rsidRDefault="00CE1BDB" w:rsidP="00625CD5">
            <w:pPr>
              <w:jc w:val="right"/>
              <w:rPr>
                <w:rFonts w:cs="Arial"/>
                <w:color w:val="000000"/>
                <w:sz w:val="22"/>
                <w:szCs w:val="22"/>
              </w:rPr>
            </w:pPr>
            <w:r w:rsidRPr="00FA4DC7">
              <w:rPr>
                <w:rFonts w:cs="Arial"/>
                <w:color w:val="000000"/>
                <w:sz w:val="22"/>
                <w:szCs w:val="22"/>
              </w:rPr>
              <w:t>£275,000</w:t>
            </w:r>
          </w:p>
        </w:tc>
        <w:tc>
          <w:tcPr>
            <w:tcW w:w="552" w:type="pct"/>
            <w:shd w:val="clear" w:color="auto" w:fill="auto"/>
            <w:noWrap/>
            <w:tcMar>
              <w:left w:w="0" w:type="dxa"/>
            </w:tcMar>
            <w:vAlign w:val="center"/>
            <w:hideMark/>
          </w:tcPr>
          <w:p w14:paraId="59438D24" w14:textId="77777777" w:rsidR="00CE1BDB" w:rsidRPr="00FA4DC7" w:rsidRDefault="00CE1BDB" w:rsidP="00625CD5">
            <w:pPr>
              <w:jc w:val="right"/>
              <w:rPr>
                <w:rFonts w:cs="Arial"/>
                <w:color w:val="000000"/>
                <w:sz w:val="22"/>
                <w:szCs w:val="22"/>
              </w:rPr>
            </w:pPr>
            <w:r w:rsidRPr="00FA4DC7">
              <w:rPr>
                <w:rFonts w:cs="Arial"/>
                <w:color w:val="000000"/>
                <w:sz w:val="22"/>
                <w:szCs w:val="22"/>
              </w:rPr>
              <w:t>37.5%</w:t>
            </w:r>
          </w:p>
        </w:tc>
      </w:tr>
      <w:tr w:rsidR="00CE1BDB" w:rsidRPr="00FA4DC7" w14:paraId="549CCE9C" w14:textId="77777777" w:rsidTr="00625CD5">
        <w:trPr>
          <w:trHeight w:val="340"/>
        </w:trPr>
        <w:tc>
          <w:tcPr>
            <w:tcW w:w="1398" w:type="pct"/>
            <w:shd w:val="clear" w:color="auto" w:fill="auto"/>
            <w:noWrap/>
            <w:vAlign w:val="center"/>
            <w:hideMark/>
          </w:tcPr>
          <w:p w14:paraId="514C1FD5" w14:textId="77777777" w:rsidR="00CE1BDB" w:rsidRPr="00FA4DC7" w:rsidRDefault="00CE1BDB" w:rsidP="00625CD5">
            <w:pPr>
              <w:rPr>
                <w:rFonts w:cs="Arial"/>
                <w:color w:val="000000"/>
                <w:sz w:val="22"/>
                <w:szCs w:val="22"/>
              </w:rPr>
            </w:pPr>
            <w:r w:rsidRPr="00FA4DC7">
              <w:rPr>
                <w:rFonts w:cs="Arial"/>
                <w:color w:val="000000"/>
                <w:sz w:val="22"/>
                <w:szCs w:val="22"/>
              </w:rPr>
              <w:t>Rochester East</w:t>
            </w:r>
          </w:p>
        </w:tc>
        <w:tc>
          <w:tcPr>
            <w:tcW w:w="636" w:type="pct"/>
            <w:shd w:val="clear" w:color="auto" w:fill="auto"/>
            <w:noWrap/>
            <w:tcMar>
              <w:left w:w="0" w:type="dxa"/>
            </w:tcMar>
            <w:vAlign w:val="center"/>
            <w:hideMark/>
          </w:tcPr>
          <w:p w14:paraId="706E04C5" w14:textId="77777777" w:rsidR="00CE1BDB" w:rsidRPr="00FA4DC7" w:rsidRDefault="00CE1BDB" w:rsidP="00625CD5">
            <w:pPr>
              <w:jc w:val="right"/>
              <w:rPr>
                <w:rFonts w:cs="Arial"/>
                <w:color w:val="000000"/>
                <w:sz w:val="22"/>
                <w:szCs w:val="22"/>
              </w:rPr>
            </w:pPr>
            <w:r w:rsidRPr="00FA4DC7">
              <w:rPr>
                <w:rFonts w:cs="Arial"/>
                <w:color w:val="000000"/>
                <w:sz w:val="22"/>
                <w:szCs w:val="22"/>
              </w:rPr>
              <w:t>£135,000</w:t>
            </w:r>
          </w:p>
        </w:tc>
        <w:tc>
          <w:tcPr>
            <w:tcW w:w="636" w:type="pct"/>
            <w:shd w:val="clear" w:color="auto" w:fill="auto"/>
            <w:noWrap/>
            <w:tcMar>
              <w:left w:w="0" w:type="dxa"/>
            </w:tcMar>
            <w:vAlign w:val="center"/>
            <w:hideMark/>
          </w:tcPr>
          <w:p w14:paraId="47B9E3F7" w14:textId="77777777" w:rsidR="00CE1BDB" w:rsidRPr="00FA4DC7" w:rsidRDefault="00CE1BDB" w:rsidP="00625CD5">
            <w:pPr>
              <w:jc w:val="right"/>
              <w:rPr>
                <w:rFonts w:cs="Arial"/>
                <w:color w:val="000000"/>
                <w:sz w:val="22"/>
                <w:szCs w:val="22"/>
              </w:rPr>
            </w:pPr>
            <w:r w:rsidRPr="00FA4DC7">
              <w:rPr>
                <w:rFonts w:cs="Arial"/>
                <w:color w:val="000000"/>
                <w:sz w:val="22"/>
                <w:szCs w:val="22"/>
              </w:rPr>
              <w:t>£205,000</w:t>
            </w:r>
          </w:p>
        </w:tc>
        <w:tc>
          <w:tcPr>
            <w:tcW w:w="559" w:type="pct"/>
            <w:shd w:val="clear" w:color="auto" w:fill="auto"/>
            <w:noWrap/>
            <w:tcMar>
              <w:left w:w="0" w:type="dxa"/>
            </w:tcMar>
            <w:vAlign w:val="center"/>
            <w:hideMark/>
          </w:tcPr>
          <w:p w14:paraId="416B51DF" w14:textId="77777777" w:rsidR="00CE1BDB" w:rsidRPr="00FA4DC7" w:rsidRDefault="00CE1BDB" w:rsidP="00625CD5">
            <w:pPr>
              <w:jc w:val="right"/>
              <w:rPr>
                <w:rFonts w:cs="Arial"/>
                <w:color w:val="000000"/>
                <w:sz w:val="22"/>
                <w:szCs w:val="22"/>
              </w:rPr>
            </w:pPr>
            <w:r w:rsidRPr="00FA4DC7">
              <w:rPr>
                <w:rFonts w:cs="Arial"/>
                <w:color w:val="000000"/>
                <w:sz w:val="22"/>
                <w:szCs w:val="22"/>
              </w:rPr>
              <w:t>51.9%</w:t>
            </w:r>
          </w:p>
        </w:tc>
        <w:tc>
          <w:tcPr>
            <w:tcW w:w="629" w:type="pct"/>
            <w:shd w:val="clear" w:color="auto" w:fill="auto"/>
            <w:noWrap/>
            <w:tcMar>
              <w:left w:w="0" w:type="dxa"/>
            </w:tcMar>
            <w:vAlign w:val="center"/>
            <w:hideMark/>
          </w:tcPr>
          <w:p w14:paraId="4D30BB5E" w14:textId="77777777" w:rsidR="00CE1BDB" w:rsidRPr="00FA4DC7" w:rsidRDefault="00CE1BDB" w:rsidP="00625CD5">
            <w:pPr>
              <w:jc w:val="right"/>
              <w:rPr>
                <w:rFonts w:cs="Arial"/>
                <w:color w:val="000000"/>
                <w:sz w:val="22"/>
                <w:szCs w:val="22"/>
              </w:rPr>
            </w:pPr>
            <w:r w:rsidRPr="00FA4DC7">
              <w:rPr>
                <w:rFonts w:cs="Arial"/>
                <w:color w:val="000000"/>
                <w:sz w:val="22"/>
                <w:szCs w:val="22"/>
              </w:rPr>
              <w:t>£147,500</w:t>
            </w:r>
          </w:p>
        </w:tc>
        <w:tc>
          <w:tcPr>
            <w:tcW w:w="590" w:type="pct"/>
            <w:shd w:val="clear" w:color="auto" w:fill="auto"/>
            <w:noWrap/>
            <w:tcMar>
              <w:left w:w="0" w:type="dxa"/>
            </w:tcMar>
            <w:vAlign w:val="center"/>
            <w:hideMark/>
          </w:tcPr>
          <w:p w14:paraId="6190D971" w14:textId="77777777" w:rsidR="00CE1BDB" w:rsidRPr="00FA4DC7" w:rsidRDefault="00CE1BDB" w:rsidP="00625CD5">
            <w:pPr>
              <w:jc w:val="right"/>
              <w:rPr>
                <w:rFonts w:cs="Arial"/>
                <w:color w:val="000000"/>
                <w:sz w:val="22"/>
                <w:szCs w:val="22"/>
              </w:rPr>
            </w:pPr>
            <w:r w:rsidRPr="00FA4DC7">
              <w:rPr>
                <w:rFonts w:cs="Arial"/>
                <w:color w:val="000000"/>
                <w:sz w:val="22"/>
                <w:szCs w:val="22"/>
              </w:rPr>
              <w:t>£240,000</w:t>
            </w:r>
          </w:p>
        </w:tc>
        <w:tc>
          <w:tcPr>
            <w:tcW w:w="552" w:type="pct"/>
            <w:shd w:val="clear" w:color="auto" w:fill="auto"/>
            <w:noWrap/>
            <w:tcMar>
              <w:left w:w="0" w:type="dxa"/>
            </w:tcMar>
            <w:vAlign w:val="center"/>
            <w:hideMark/>
          </w:tcPr>
          <w:p w14:paraId="0CF2AB28" w14:textId="77777777" w:rsidR="00CE1BDB" w:rsidRPr="00FA4DC7" w:rsidRDefault="00CE1BDB" w:rsidP="00625CD5">
            <w:pPr>
              <w:jc w:val="right"/>
              <w:rPr>
                <w:rFonts w:cs="Arial"/>
                <w:color w:val="000000"/>
                <w:sz w:val="22"/>
                <w:szCs w:val="22"/>
              </w:rPr>
            </w:pPr>
            <w:r w:rsidRPr="00FA4DC7">
              <w:rPr>
                <w:rFonts w:cs="Arial"/>
                <w:color w:val="000000"/>
                <w:sz w:val="22"/>
                <w:szCs w:val="22"/>
              </w:rPr>
              <w:t>62.7%</w:t>
            </w:r>
          </w:p>
        </w:tc>
      </w:tr>
      <w:tr w:rsidR="00CE1BDB" w:rsidRPr="00FA4DC7" w14:paraId="54657D5A" w14:textId="77777777" w:rsidTr="00625CD5">
        <w:trPr>
          <w:trHeight w:val="660"/>
        </w:trPr>
        <w:tc>
          <w:tcPr>
            <w:tcW w:w="1398" w:type="pct"/>
            <w:shd w:val="clear" w:color="auto" w:fill="auto"/>
            <w:noWrap/>
            <w:vAlign w:val="center"/>
            <w:hideMark/>
          </w:tcPr>
          <w:p w14:paraId="1EAF0F8A" w14:textId="77777777" w:rsidR="00CE1BDB" w:rsidRPr="00FA4DC7" w:rsidRDefault="00CE1BDB" w:rsidP="00625CD5">
            <w:pPr>
              <w:rPr>
                <w:rFonts w:cs="Arial"/>
                <w:color w:val="000000"/>
                <w:sz w:val="22"/>
                <w:szCs w:val="22"/>
              </w:rPr>
            </w:pPr>
            <w:r w:rsidRPr="00FA4DC7">
              <w:rPr>
                <w:rFonts w:cs="Arial"/>
                <w:color w:val="000000"/>
                <w:sz w:val="22"/>
                <w:szCs w:val="22"/>
              </w:rPr>
              <w:t xml:space="preserve">Rochester South and </w:t>
            </w:r>
            <w:proofErr w:type="spellStart"/>
            <w:r w:rsidRPr="00FA4DC7">
              <w:rPr>
                <w:rFonts w:cs="Arial"/>
                <w:color w:val="000000"/>
                <w:sz w:val="22"/>
                <w:szCs w:val="22"/>
              </w:rPr>
              <w:t>Horsted</w:t>
            </w:r>
            <w:proofErr w:type="spellEnd"/>
          </w:p>
        </w:tc>
        <w:tc>
          <w:tcPr>
            <w:tcW w:w="636" w:type="pct"/>
            <w:shd w:val="clear" w:color="auto" w:fill="auto"/>
            <w:noWrap/>
            <w:tcMar>
              <w:left w:w="0" w:type="dxa"/>
            </w:tcMar>
            <w:vAlign w:val="center"/>
            <w:hideMark/>
          </w:tcPr>
          <w:p w14:paraId="3CF3E4F2" w14:textId="77777777" w:rsidR="00CE1BDB" w:rsidRPr="00FA4DC7" w:rsidRDefault="00CE1BDB" w:rsidP="00625CD5">
            <w:pPr>
              <w:jc w:val="right"/>
              <w:rPr>
                <w:rFonts w:cs="Arial"/>
                <w:color w:val="000000"/>
                <w:sz w:val="22"/>
                <w:szCs w:val="22"/>
              </w:rPr>
            </w:pPr>
            <w:r w:rsidRPr="00FA4DC7">
              <w:rPr>
                <w:rFonts w:cs="Arial"/>
                <w:color w:val="000000"/>
                <w:sz w:val="22"/>
                <w:szCs w:val="22"/>
              </w:rPr>
              <w:t>£151,625</w:t>
            </w:r>
          </w:p>
        </w:tc>
        <w:tc>
          <w:tcPr>
            <w:tcW w:w="636" w:type="pct"/>
            <w:shd w:val="clear" w:color="auto" w:fill="auto"/>
            <w:noWrap/>
            <w:tcMar>
              <w:left w:w="0" w:type="dxa"/>
            </w:tcMar>
            <w:vAlign w:val="center"/>
            <w:hideMark/>
          </w:tcPr>
          <w:p w14:paraId="73A2DA26" w14:textId="77777777" w:rsidR="00CE1BDB" w:rsidRPr="00FA4DC7" w:rsidRDefault="00CE1BDB" w:rsidP="00625CD5">
            <w:pPr>
              <w:jc w:val="right"/>
              <w:rPr>
                <w:rFonts w:cs="Arial"/>
                <w:color w:val="000000"/>
                <w:sz w:val="22"/>
                <w:szCs w:val="22"/>
              </w:rPr>
            </w:pPr>
            <w:r w:rsidRPr="00FA4DC7">
              <w:rPr>
                <w:rFonts w:cs="Arial"/>
                <w:color w:val="000000"/>
                <w:sz w:val="22"/>
                <w:szCs w:val="22"/>
              </w:rPr>
              <w:t>£225,000</w:t>
            </w:r>
          </w:p>
        </w:tc>
        <w:tc>
          <w:tcPr>
            <w:tcW w:w="559" w:type="pct"/>
            <w:shd w:val="clear" w:color="auto" w:fill="auto"/>
            <w:noWrap/>
            <w:tcMar>
              <w:left w:w="0" w:type="dxa"/>
            </w:tcMar>
            <w:vAlign w:val="center"/>
            <w:hideMark/>
          </w:tcPr>
          <w:p w14:paraId="4997D386" w14:textId="77777777" w:rsidR="00CE1BDB" w:rsidRPr="00FA4DC7" w:rsidRDefault="00CE1BDB" w:rsidP="00625CD5">
            <w:pPr>
              <w:jc w:val="right"/>
              <w:rPr>
                <w:rFonts w:cs="Arial"/>
                <w:color w:val="000000"/>
                <w:sz w:val="22"/>
                <w:szCs w:val="22"/>
              </w:rPr>
            </w:pPr>
            <w:r w:rsidRPr="00FA4DC7">
              <w:rPr>
                <w:rFonts w:cs="Arial"/>
                <w:color w:val="000000"/>
                <w:sz w:val="22"/>
                <w:szCs w:val="22"/>
              </w:rPr>
              <w:t>48.4%</w:t>
            </w:r>
          </w:p>
        </w:tc>
        <w:tc>
          <w:tcPr>
            <w:tcW w:w="629" w:type="pct"/>
            <w:shd w:val="clear" w:color="auto" w:fill="auto"/>
            <w:noWrap/>
            <w:tcMar>
              <w:left w:w="0" w:type="dxa"/>
            </w:tcMar>
            <w:vAlign w:val="center"/>
            <w:hideMark/>
          </w:tcPr>
          <w:p w14:paraId="609A8EEC" w14:textId="77777777" w:rsidR="00CE1BDB" w:rsidRPr="00FA4DC7" w:rsidRDefault="00CE1BDB" w:rsidP="00625CD5">
            <w:pPr>
              <w:jc w:val="right"/>
              <w:rPr>
                <w:rFonts w:cs="Arial"/>
                <w:color w:val="000000"/>
                <w:sz w:val="22"/>
                <w:szCs w:val="22"/>
              </w:rPr>
            </w:pPr>
            <w:r w:rsidRPr="00FA4DC7">
              <w:rPr>
                <w:rFonts w:cs="Arial"/>
                <w:color w:val="000000"/>
                <w:sz w:val="22"/>
                <w:szCs w:val="22"/>
              </w:rPr>
              <w:t>£178,000</w:t>
            </w:r>
          </w:p>
        </w:tc>
        <w:tc>
          <w:tcPr>
            <w:tcW w:w="590" w:type="pct"/>
            <w:shd w:val="clear" w:color="auto" w:fill="auto"/>
            <w:noWrap/>
            <w:tcMar>
              <w:left w:w="0" w:type="dxa"/>
            </w:tcMar>
            <w:vAlign w:val="center"/>
            <w:hideMark/>
          </w:tcPr>
          <w:p w14:paraId="2469EC5F" w14:textId="77777777" w:rsidR="00CE1BDB" w:rsidRPr="00FA4DC7" w:rsidRDefault="00CE1BDB" w:rsidP="00625CD5">
            <w:pPr>
              <w:jc w:val="right"/>
              <w:rPr>
                <w:rFonts w:cs="Arial"/>
                <w:color w:val="000000"/>
                <w:sz w:val="22"/>
                <w:szCs w:val="22"/>
              </w:rPr>
            </w:pPr>
            <w:r w:rsidRPr="00FA4DC7">
              <w:rPr>
                <w:rFonts w:cs="Arial"/>
                <w:color w:val="000000"/>
                <w:sz w:val="22"/>
                <w:szCs w:val="22"/>
              </w:rPr>
              <w:t>£255,000</w:t>
            </w:r>
          </w:p>
        </w:tc>
        <w:tc>
          <w:tcPr>
            <w:tcW w:w="552" w:type="pct"/>
            <w:shd w:val="clear" w:color="auto" w:fill="auto"/>
            <w:noWrap/>
            <w:tcMar>
              <w:left w:w="0" w:type="dxa"/>
            </w:tcMar>
            <w:vAlign w:val="center"/>
            <w:hideMark/>
          </w:tcPr>
          <w:p w14:paraId="0E9DBCED" w14:textId="77777777" w:rsidR="00CE1BDB" w:rsidRPr="00FA4DC7" w:rsidRDefault="00CE1BDB" w:rsidP="00625CD5">
            <w:pPr>
              <w:jc w:val="right"/>
              <w:rPr>
                <w:rFonts w:cs="Arial"/>
                <w:color w:val="000000"/>
                <w:sz w:val="22"/>
                <w:szCs w:val="22"/>
              </w:rPr>
            </w:pPr>
            <w:r w:rsidRPr="00FA4DC7">
              <w:rPr>
                <w:rFonts w:cs="Arial"/>
                <w:color w:val="000000"/>
                <w:sz w:val="22"/>
                <w:szCs w:val="22"/>
              </w:rPr>
              <w:t>43.3%</w:t>
            </w:r>
          </w:p>
        </w:tc>
      </w:tr>
      <w:tr w:rsidR="00CE1BDB" w:rsidRPr="00FA4DC7" w14:paraId="4DE30ABA" w14:textId="77777777" w:rsidTr="00625CD5">
        <w:trPr>
          <w:trHeight w:val="340"/>
        </w:trPr>
        <w:tc>
          <w:tcPr>
            <w:tcW w:w="1398" w:type="pct"/>
            <w:shd w:val="clear" w:color="auto" w:fill="auto"/>
            <w:noWrap/>
            <w:vAlign w:val="center"/>
            <w:hideMark/>
          </w:tcPr>
          <w:p w14:paraId="5486DACF" w14:textId="77777777" w:rsidR="00CE1BDB" w:rsidRPr="00FA4DC7" w:rsidRDefault="00CE1BDB" w:rsidP="00625CD5">
            <w:pPr>
              <w:rPr>
                <w:rFonts w:cs="Arial"/>
                <w:color w:val="000000"/>
                <w:sz w:val="22"/>
                <w:szCs w:val="22"/>
              </w:rPr>
            </w:pPr>
            <w:r w:rsidRPr="00FA4DC7">
              <w:rPr>
                <w:rFonts w:cs="Arial"/>
                <w:color w:val="000000"/>
                <w:sz w:val="22"/>
                <w:szCs w:val="22"/>
              </w:rPr>
              <w:t>Rochester West</w:t>
            </w:r>
          </w:p>
        </w:tc>
        <w:tc>
          <w:tcPr>
            <w:tcW w:w="636" w:type="pct"/>
            <w:shd w:val="clear" w:color="auto" w:fill="auto"/>
            <w:noWrap/>
            <w:tcMar>
              <w:left w:w="0" w:type="dxa"/>
            </w:tcMar>
            <w:vAlign w:val="center"/>
            <w:hideMark/>
          </w:tcPr>
          <w:p w14:paraId="54850D5E" w14:textId="77777777" w:rsidR="00CE1BDB" w:rsidRPr="00FA4DC7" w:rsidRDefault="00CE1BDB" w:rsidP="00625CD5">
            <w:pPr>
              <w:jc w:val="right"/>
              <w:rPr>
                <w:rFonts w:cs="Arial"/>
                <w:color w:val="000000"/>
                <w:sz w:val="22"/>
                <w:szCs w:val="22"/>
              </w:rPr>
            </w:pPr>
            <w:r w:rsidRPr="00FA4DC7">
              <w:rPr>
                <w:rFonts w:cs="Arial"/>
                <w:color w:val="000000"/>
                <w:sz w:val="22"/>
                <w:szCs w:val="22"/>
              </w:rPr>
              <w:t>£142,875</w:t>
            </w:r>
          </w:p>
        </w:tc>
        <w:tc>
          <w:tcPr>
            <w:tcW w:w="636" w:type="pct"/>
            <w:shd w:val="clear" w:color="auto" w:fill="auto"/>
            <w:noWrap/>
            <w:tcMar>
              <w:left w:w="0" w:type="dxa"/>
            </w:tcMar>
            <w:vAlign w:val="center"/>
            <w:hideMark/>
          </w:tcPr>
          <w:p w14:paraId="0F5EA4A5" w14:textId="77777777" w:rsidR="00CE1BDB" w:rsidRPr="00FA4DC7" w:rsidRDefault="00CE1BDB" w:rsidP="00625CD5">
            <w:pPr>
              <w:jc w:val="right"/>
              <w:rPr>
                <w:rFonts w:cs="Arial"/>
                <w:color w:val="000000"/>
                <w:sz w:val="22"/>
                <w:szCs w:val="22"/>
              </w:rPr>
            </w:pPr>
            <w:r w:rsidRPr="00FA4DC7">
              <w:rPr>
                <w:rFonts w:cs="Arial"/>
                <w:color w:val="000000"/>
                <w:sz w:val="22"/>
                <w:szCs w:val="22"/>
              </w:rPr>
              <w:t>£207,000</w:t>
            </w:r>
          </w:p>
        </w:tc>
        <w:tc>
          <w:tcPr>
            <w:tcW w:w="559" w:type="pct"/>
            <w:shd w:val="clear" w:color="auto" w:fill="auto"/>
            <w:noWrap/>
            <w:tcMar>
              <w:left w:w="0" w:type="dxa"/>
            </w:tcMar>
            <w:vAlign w:val="center"/>
            <w:hideMark/>
          </w:tcPr>
          <w:p w14:paraId="3CDF0B15" w14:textId="77777777" w:rsidR="00CE1BDB" w:rsidRPr="00FA4DC7" w:rsidRDefault="00CE1BDB" w:rsidP="00625CD5">
            <w:pPr>
              <w:jc w:val="right"/>
              <w:rPr>
                <w:rFonts w:cs="Arial"/>
                <w:color w:val="000000"/>
                <w:sz w:val="22"/>
                <w:szCs w:val="22"/>
              </w:rPr>
            </w:pPr>
            <w:r w:rsidRPr="00FA4DC7">
              <w:rPr>
                <w:rFonts w:cs="Arial"/>
                <w:color w:val="000000"/>
                <w:sz w:val="22"/>
                <w:szCs w:val="22"/>
              </w:rPr>
              <w:t>44.9%</w:t>
            </w:r>
          </w:p>
        </w:tc>
        <w:tc>
          <w:tcPr>
            <w:tcW w:w="629" w:type="pct"/>
            <w:shd w:val="clear" w:color="auto" w:fill="auto"/>
            <w:noWrap/>
            <w:tcMar>
              <w:left w:w="0" w:type="dxa"/>
            </w:tcMar>
            <w:vAlign w:val="center"/>
            <w:hideMark/>
          </w:tcPr>
          <w:p w14:paraId="53B906DC" w14:textId="77777777" w:rsidR="00CE1BDB" w:rsidRPr="00FA4DC7" w:rsidRDefault="00CE1BDB" w:rsidP="00625CD5">
            <w:pPr>
              <w:jc w:val="right"/>
              <w:rPr>
                <w:rFonts w:cs="Arial"/>
                <w:color w:val="000000"/>
                <w:sz w:val="22"/>
                <w:szCs w:val="22"/>
              </w:rPr>
            </w:pPr>
            <w:r w:rsidRPr="00FA4DC7">
              <w:rPr>
                <w:rFonts w:cs="Arial"/>
                <w:color w:val="000000"/>
                <w:sz w:val="22"/>
                <w:szCs w:val="22"/>
              </w:rPr>
              <w:t>£171,250</w:t>
            </w:r>
          </w:p>
        </w:tc>
        <w:tc>
          <w:tcPr>
            <w:tcW w:w="590" w:type="pct"/>
            <w:shd w:val="clear" w:color="auto" w:fill="auto"/>
            <w:noWrap/>
            <w:tcMar>
              <w:left w:w="0" w:type="dxa"/>
            </w:tcMar>
            <w:vAlign w:val="center"/>
            <w:hideMark/>
          </w:tcPr>
          <w:p w14:paraId="7C4904C7" w14:textId="77777777" w:rsidR="00CE1BDB" w:rsidRPr="00FA4DC7" w:rsidRDefault="00CE1BDB" w:rsidP="00625CD5">
            <w:pPr>
              <w:jc w:val="right"/>
              <w:rPr>
                <w:rFonts w:cs="Arial"/>
                <w:color w:val="000000"/>
                <w:sz w:val="22"/>
                <w:szCs w:val="22"/>
              </w:rPr>
            </w:pPr>
            <w:r w:rsidRPr="00FA4DC7">
              <w:rPr>
                <w:rFonts w:cs="Arial"/>
                <w:color w:val="000000"/>
                <w:sz w:val="22"/>
                <w:szCs w:val="22"/>
              </w:rPr>
              <w:t>£273,000</w:t>
            </w:r>
          </w:p>
        </w:tc>
        <w:tc>
          <w:tcPr>
            <w:tcW w:w="552" w:type="pct"/>
            <w:shd w:val="clear" w:color="auto" w:fill="auto"/>
            <w:noWrap/>
            <w:tcMar>
              <w:left w:w="0" w:type="dxa"/>
            </w:tcMar>
            <w:vAlign w:val="center"/>
            <w:hideMark/>
          </w:tcPr>
          <w:p w14:paraId="184944D9" w14:textId="77777777" w:rsidR="00CE1BDB" w:rsidRPr="00FA4DC7" w:rsidRDefault="00CE1BDB" w:rsidP="00625CD5">
            <w:pPr>
              <w:jc w:val="right"/>
              <w:rPr>
                <w:rFonts w:cs="Arial"/>
                <w:color w:val="000000"/>
                <w:sz w:val="22"/>
                <w:szCs w:val="22"/>
              </w:rPr>
            </w:pPr>
            <w:r w:rsidRPr="00FA4DC7">
              <w:rPr>
                <w:rFonts w:cs="Arial"/>
                <w:color w:val="000000"/>
                <w:sz w:val="22"/>
                <w:szCs w:val="22"/>
              </w:rPr>
              <w:t>59.4%</w:t>
            </w:r>
          </w:p>
        </w:tc>
      </w:tr>
      <w:tr w:rsidR="00CE1BDB" w:rsidRPr="00FA4DC7" w14:paraId="3CEF7C07" w14:textId="77777777" w:rsidTr="00625CD5">
        <w:trPr>
          <w:trHeight w:val="340"/>
        </w:trPr>
        <w:tc>
          <w:tcPr>
            <w:tcW w:w="1398" w:type="pct"/>
            <w:shd w:val="clear" w:color="auto" w:fill="auto"/>
            <w:noWrap/>
            <w:vAlign w:val="center"/>
            <w:hideMark/>
          </w:tcPr>
          <w:p w14:paraId="1A1F6FDE" w14:textId="77777777" w:rsidR="00CE1BDB" w:rsidRPr="00FA4DC7" w:rsidRDefault="00CE1BDB" w:rsidP="00625CD5">
            <w:pPr>
              <w:rPr>
                <w:rFonts w:cs="Arial"/>
                <w:color w:val="000000"/>
                <w:sz w:val="22"/>
                <w:szCs w:val="22"/>
              </w:rPr>
            </w:pPr>
            <w:r w:rsidRPr="00FA4DC7">
              <w:rPr>
                <w:rFonts w:cs="Arial"/>
                <w:color w:val="000000"/>
                <w:sz w:val="22"/>
                <w:szCs w:val="22"/>
              </w:rPr>
              <w:t>Strood North</w:t>
            </w:r>
          </w:p>
        </w:tc>
        <w:tc>
          <w:tcPr>
            <w:tcW w:w="636" w:type="pct"/>
            <w:shd w:val="clear" w:color="auto" w:fill="auto"/>
            <w:noWrap/>
            <w:tcMar>
              <w:left w:w="0" w:type="dxa"/>
            </w:tcMar>
            <w:vAlign w:val="center"/>
            <w:hideMark/>
          </w:tcPr>
          <w:p w14:paraId="43135983" w14:textId="77777777" w:rsidR="00CE1BDB" w:rsidRPr="00FA4DC7" w:rsidRDefault="00CE1BDB" w:rsidP="00625CD5">
            <w:pPr>
              <w:jc w:val="right"/>
              <w:rPr>
                <w:rFonts w:cs="Arial"/>
                <w:color w:val="000000"/>
                <w:sz w:val="22"/>
                <w:szCs w:val="22"/>
              </w:rPr>
            </w:pPr>
            <w:r w:rsidRPr="00FA4DC7">
              <w:rPr>
                <w:rFonts w:cs="Arial"/>
                <w:color w:val="000000"/>
                <w:sz w:val="22"/>
                <w:szCs w:val="22"/>
              </w:rPr>
              <w:t>£132,998</w:t>
            </w:r>
          </w:p>
        </w:tc>
        <w:tc>
          <w:tcPr>
            <w:tcW w:w="636" w:type="pct"/>
            <w:shd w:val="clear" w:color="auto" w:fill="auto"/>
            <w:noWrap/>
            <w:tcMar>
              <w:left w:w="0" w:type="dxa"/>
            </w:tcMar>
            <w:vAlign w:val="center"/>
            <w:hideMark/>
          </w:tcPr>
          <w:p w14:paraId="585DC377" w14:textId="77777777" w:rsidR="00CE1BDB" w:rsidRPr="00FA4DC7" w:rsidRDefault="00CE1BDB" w:rsidP="00625CD5">
            <w:pPr>
              <w:jc w:val="right"/>
              <w:rPr>
                <w:rFonts w:cs="Arial"/>
                <w:color w:val="000000"/>
                <w:sz w:val="22"/>
                <w:szCs w:val="22"/>
              </w:rPr>
            </w:pPr>
            <w:r w:rsidRPr="00FA4DC7">
              <w:rPr>
                <w:rFonts w:cs="Arial"/>
                <w:color w:val="000000"/>
                <w:sz w:val="22"/>
                <w:szCs w:val="22"/>
              </w:rPr>
              <w:t>£211,500</w:t>
            </w:r>
          </w:p>
        </w:tc>
        <w:tc>
          <w:tcPr>
            <w:tcW w:w="559" w:type="pct"/>
            <w:shd w:val="clear" w:color="auto" w:fill="auto"/>
            <w:noWrap/>
            <w:tcMar>
              <w:left w:w="0" w:type="dxa"/>
            </w:tcMar>
            <w:vAlign w:val="center"/>
            <w:hideMark/>
          </w:tcPr>
          <w:p w14:paraId="20209402" w14:textId="77777777" w:rsidR="00CE1BDB" w:rsidRPr="00FA4DC7" w:rsidRDefault="00CE1BDB" w:rsidP="00625CD5">
            <w:pPr>
              <w:jc w:val="right"/>
              <w:rPr>
                <w:rFonts w:cs="Arial"/>
                <w:color w:val="000000"/>
                <w:sz w:val="22"/>
                <w:szCs w:val="22"/>
              </w:rPr>
            </w:pPr>
            <w:r w:rsidRPr="00FA4DC7">
              <w:rPr>
                <w:rFonts w:cs="Arial"/>
                <w:color w:val="000000"/>
                <w:sz w:val="22"/>
                <w:szCs w:val="22"/>
              </w:rPr>
              <w:t>59.0%</w:t>
            </w:r>
          </w:p>
        </w:tc>
        <w:tc>
          <w:tcPr>
            <w:tcW w:w="629" w:type="pct"/>
            <w:shd w:val="clear" w:color="auto" w:fill="auto"/>
            <w:noWrap/>
            <w:tcMar>
              <w:left w:w="0" w:type="dxa"/>
            </w:tcMar>
            <w:vAlign w:val="center"/>
            <w:hideMark/>
          </w:tcPr>
          <w:p w14:paraId="1CDADA29" w14:textId="77777777" w:rsidR="00CE1BDB" w:rsidRPr="00FA4DC7" w:rsidRDefault="00CE1BDB" w:rsidP="00625CD5">
            <w:pPr>
              <w:jc w:val="right"/>
              <w:rPr>
                <w:rFonts w:cs="Arial"/>
                <w:color w:val="000000"/>
                <w:sz w:val="22"/>
                <w:szCs w:val="22"/>
              </w:rPr>
            </w:pPr>
            <w:r w:rsidRPr="00FA4DC7">
              <w:rPr>
                <w:rFonts w:cs="Arial"/>
                <w:color w:val="000000"/>
                <w:sz w:val="22"/>
                <w:szCs w:val="22"/>
              </w:rPr>
              <w:t>£159,995</w:t>
            </w:r>
          </w:p>
        </w:tc>
        <w:tc>
          <w:tcPr>
            <w:tcW w:w="590" w:type="pct"/>
            <w:shd w:val="clear" w:color="auto" w:fill="auto"/>
            <w:noWrap/>
            <w:tcMar>
              <w:left w:w="0" w:type="dxa"/>
            </w:tcMar>
            <w:vAlign w:val="center"/>
            <w:hideMark/>
          </w:tcPr>
          <w:p w14:paraId="12F00AAC" w14:textId="77777777" w:rsidR="00CE1BDB" w:rsidRPr="00FA4DC7" w:rsidRDefault="00CE1BDB" w:rsidP="00625CD5">
            <w:pPr>
              <w:jc w:val="right"/>
              <w:rPr>
                <w:rFonts w:cs="Arial"/>
                <w:color w:val="000000"/>
                <w:sz w:val="22"/>
                <w:szCs w:val="22"/>
              </w:rPr>
            </w:pPr>
            <w:r w:rsidRPr="00FA4DC7">
              <w:rPr>
                <w:rFonts w:cs="Arial"/>
                <w:color w:val="000000"/>
                <w:sz w:val="22"/>
                <w:szCs w:val="22"/>
              </w:rPr>
              <w:t>£260,000</w:t>
            </w:r>
          </w:p>
        </w:tc>
        <w:tc>
          <w:tcPr>
            <w:tcW w:w="552" w:type="pct"/>
            <w:shd w:val="clear" w:color="auto" w:fill="auto"/>
            <w:noWrap/>
            <w:tcMar>
              <w:left w:w="0" w:type="dxa"/>
            </w:tcMar>
            <w:vAlign w:val="center"/>
            <w:hideMark/>
          </w:tcPr>
          <w:p w14:paraId="1DD62FAB" w14:textId="77777777" w:rsidR="00CE1BDB" w:rsidRPr="00FA4DC7" w:rsidRDefault="00CE1BDB" w:rsidP="00625CD5">
            <w:pPr>
              <w:jc w:val="right"/>
              <w:rPr>
                <w:rFonts w:cs="Arial"/>
                <w:color w:val="000000"/>
                <w:sz w:val="22"/>
                <w:szCs w:val="22"/>
              </w:rPr>
            </w:pPr>
            <w:r w:rsidRPr="00FA4DC7">
              <w:rPr>
                <w:rFonts w:cs="Arial"/>
                <w:color w:val="000000"/>
                <w:sz w:val="22"/>
                <w:szCs w:val="22"/>
              </w:rPr>
              <w:t>62.5%</w:t>
            </w:r>
          </w:p>
        </w:tc>
      </w:tr>
      <w:tr w:rsidR="00CE1BDB" w:rsidRPr="00FA4DC7" w14:paraId="2C716D08" w14:textId="77777777" w:rsidTr="00625CD5">
        <w:trPr>
          <w:trHeight w:val="340"/>
        </w:trPr>
        <w:tc>
          <w:tcPr>
            <w:tcW w:w="1398" w:type="pct"/>
            <w:shd w:val="clear" w:color="auto" w:fill="auto"/>
            <w:noWrap/>
            <w:vAlign w:val="center"/>
            <w:hideMark/>
          </w:tcPr>
          <w:p w14:paraId="4A75E844" w14:textId="77777777" w:rsidR="00CE1BDB" w:rsidRPr="00FA4DC7" w:rsidRDefault="00CE1BDB" w:rsidP="00625CD5">
            <w:pPr>
              <w:rPr>
                <w:rFonts w:cs="Arial"/>
                <w:color w:val="000000"/>
                <w:sz w:val="22"/>
                <w:szCs w:val="22"/>
              </w:rPr>
            </w:pPr>
            <w:r w:rsidRPr="00FA4DC7">
              <w:rPr>
                <w:rFonts w:cs="Arial"/>
                <w:color w:val="000000"/>
                <w:sz w:val="22"/>
                <w:szCs w:val="22"/>
              </w:rPr>
              <w:t>Strood Rural</w:t>
            </w:r>
          </w:p>
        </w:tc>
        <w:tc>
          <w:tcPr>
            <w:tcW w:w="636" w:type="pct"/>
            <w:shd w:val="clear" w:color="auto" w:fill="auto"/>
            <w:noWrap/>
            <w:tcMar>
              <w:left w:w="0" w:type="dxa"/>
            </w:tcMar>
            <w:vAlign w:val="center"/>
            <w:hideMark/>
          </w:tcPr>
          <w:p w14:paraId="285C5CBC" w14:textId="77777777" w:rsidR="00CE1BDB" w:rsidRPr="00FA4DC7" w:rsidRDefault="00CE1BDB" w:rsidP="00625CD5">
            <w:pPr>
              <w:jc w:val="right"/>
              <w:rPr>
                <w:rFonts w:cs="Arial"/>
                <w:color w:val="000000"/>
                <w:sz w:val="22"/>
                <w:szCs w:val="22"/>
              </w:rPr>
            </w:pPr>
            <w:r w:rsidRPr="00FA4DC7">
              <w:rPr>
                <w:rFonts w:cs="Arial"/>
                <w:color w:val="000000"/>
                <w:sz w:val="22"/>
                <w:szCs w:val="22"/>
              </w:rPr>
              <w:t>£170,000</w:t>
            </w:r>
          </w:p>
        </w:tc>
        <w:tc>
          <w:tcPr>
            <w:tcW w:w="636" w:type="pct"/>
            <w:shd w:val="clear" w:color="auto" w:fill="auto"/>
            <w:noWrap/>
            <w:tcMar>
              <w:left w:w="0" w:type="dxa"/>
            </w:tcMar>
            <w:vAlign w:val="center"/>
            <w:hideMark/>
          </w:tcPr>
          <w:p w14:paraId="7A5E5E94" w14:textId="77777777" w:rsidR="00CE1BDB" w:rsidRPr="00FA4DC7" w:rsidRDefault="00CE1BDB" w:rsidP="00625CD5">
            <w:pPr>
              <w:jc w:val="right"/>
              <w:rPr>
                <w:rFonts w:cs="Arial"/>
                <w:color w:val="000000"/>
                <w:sz w:val="22"/>
                <w:szCs w:val="22"/>
              </w:rPr>
            </w:pPr>
            <w:r w:rsidRPr="00FA4DC7">
              <w:rPr>
                <w:rFonts w:cs="Arial"/>
                <w:color w:val="000000"/>
                <w:sz w:val="22"/>
                <w:szCs w:val="22"/>
              </w:rPr>
              <w:t>£237,500</w:t>
            </w:r>
          </w:p>
        </w:tc>
        <w:tc>
          <w:tcPr>
            <w:tcW w:w="559" w:type="pct"/>
            <w:shd w:val="clear" w:color="auto" w:fill="auto"/>
            <w:noWrap/>
            <w:tcMar>
              <w:left w:w="0" w:type="dxa"/>
            </w:tcMar>
            <w:vAlign w:val="center"/>
            <w:hideMark/>
          </w:tcPr>
          <w:p w14:paraId="115F3C25" w14:textId="77777777" w:rsidR="00CE1BDB" w:rsidRPr="00FA4DC7" w:rsidRDefault="00CE1BDB" w:rsidP="00625CD5">
            <w:pPr>
              <w:jc w:val="right"/>
              <w:rPr>
                <w:rFonts w:cs="Arial"/>
                <w:color w:val="000000"/>
                <w:sz w:val="22"/>
                <w:szCs w:val="22"/>
              </w:rPr>
            </w:pPr>
            <w:r w:rsidRPr="00FA4DC7">
              <w:rPr>
                <w:rFonts w:cs="Arial"/>
                <w:color w:val="000000"/>
                <w:sz w:val="22"/>
                <w:szCs w:val="22"/>
              </w:rPr>
              <w:t>39.7%</w:t>
            </w:r>
          </w:p>
        </w:tc>
        <w:tc>
          <w:tcPr>
            <w:tcW w:w="629" w:type="pct"/>
            <w:shd w:val="clear" w:color="auto" w:fill="auto"/>
            <w:noWrap/>
            <w:tcMar>
              <w:left w:w="0" w:type="dxa"/>
            </w:tcMar>
            <w:vAlign w:val="center"/>
            <w:hideMark/>
          </w:tcPr>
          <w:p w14:paraId="0D930BF8" w14:textId="77777777" w:rsidR="00CE1BDB" w:rsidRPr="00FA4DC7" w:rsidRDefault="00CE1BDB" w:rsidP="00625CD5">
            <w:pPr>
              <w:jc w:val="right"/>
              <w:rPr>
                <w:rFonts w:cs="Arial"/>
                <w:color w:val="000000"/>
                <w:sz w:val="22"/>
                <w:szCs w:val="22"/>
              </w:rPr>
            </w:pPr>
            <w:r w:rsidRPr="00FA4DC7">
              <w:rPr>
                <w:rFonts w:cs="Arial"/>
                <w:color w:val="000000"/>
                <w:sz w:val="22"/>
                <w:szCs w:val="22"/>
              </w:rPr>
              <w:t>£205,000</w:t>
            </w:r>
          </w:p>
        </w:tc>
        <w:tc>
          <w:tcPr>
            <w:tcW w:w="590" w:type="pct"/>
            <w:shd w:val="clear" w:color="auto" w:fill="auto"/>
            <w:noWrap/>
            <w:tcMar>
              <w:left w:w="0" w:type="dxa"/>
            </w:tcMar>
            <w:vAlign w:val="center"/>
            <w:hideMark/>
          </w:tcPr>
          <w:p w14:paraId="5D3EE93B" w14:textId="77777777" w:rsidR="00CE1BDB" w:rsidRPr="00FA4DC7" w:rsidRDefault="00CE1BDB" w:rsidP="00625CD5">
            <w:pPr>
              <w:jc w:val="right"/>
              <w:rPr>
                <w:rFonts w:cs="Arial"/>
                <w:color w:val="000000"/>
                <w:sz w:val="22"/>
                <w:szCs w:val="22"/>
              </w:rPr>
            </w:pPr>
            <w:r w:rsidRPr="00FA4DC7">
              <w:rPr>
                <w:rFonts w:cs="Arial"/>
                <w:color w:val="000000"/>
                <w:sz w:val="22"/>
                <w:szCs w:val="22"/>
              </w:rPr>
              <w:t>£305,000</w:t>
            </w:r>
          </w:p>
        </w:tc>
        <w:tc>
          <w:tcPr>
            <w:tcW w:w="552" w:type="pct"/>
            <w:shd w:val="clear" w:color="auto" w:fill="auto"/>
            <w:noWrap/>
            <w:tcMar>
              <w:left w:w="0" w:type="dxa"/>
            </w:tcMar>
            <w:vAlign w:val="center"/>
            <w:hideMark/>
          </w:tcPr>
          <w:p w14:paraId="518668DB" w14:textId="77777777" w:rsidR="00CE1BDB" w:rsidRPr="00FA4DC7" w:rsidRDefault="00CE1BDB" w:rsidP="00625CD5">
            <w:pPr>
              <w:jc w:val="right"/>
              <w:rPr>
                <w:rFonts w:cs="Arial"/>
                <w:color w:val="000000"/>
                <w:sz w:val="22"/>
                <w:szCs w:val="22"/>
              </w:rPr>
            </w:pPr>
            <w:r w:rsidRPr="00FA4DC7">
              <w:rPr>
                <w:rFonts w:cs="Arial"/>
                <w:color w:val="000000"/>
                <w:sz w:val="22"/>
                <w:szCs w:val="22"/>
              </w:rPr>
              <w:t>48.8%</w:t>
            </w:r>
          </w:p>
        </w:tc>
      </w:tr>
      <w:tr w:rsidR="00CE1BDB" w:rsidRPr="00FA4DC7" w14:paraId="0300F221" w14:textId="77777777" w:rsidTr="00625CD5">
        <w:trPr>
          <w:trHeight w:val="340"/>
        </w:trPr>
        <w:tc>
          <w:tcPr>
            <w:tcW w:w="1398" w:type="pct"/>
            <w:shd w:val="clear" w:color="auto" w:fill="auto"/>
            <w:noWrap/>
            <w:vAlign w:val="center"/>
            <w:hideMark/>
          </w:tcPr>
          <w:p w14:paraId="16708CB9" w14:textId="77777777" w:rsidR="00CE1BDB" w:rsidRPr="00FA4DC7" w:rsidRDefault="00CE1BDB" w:rsidP="00625CD5">
            <w:pPr>
              <w:rPr>
                <w:rFonts w:cs="Arial"/>
                <w:color w:val="000000"/>
                <w:sz w:val="22"/>
                <w:szCs w:val="22"/>
              </w:rPr>
            </w:pPr>
            <w:r w:rsidRPr="00FA4DC7">
              <w:rPr>
                <w:rFonts w:cs="Arial"/>
                <w:color w:val="000000"/>
                <w:sz w:val="22"/>
                <w:szCs w:val="22"/>
              </w:rPr>
              <w:t>Strood South</w:t>
            </w:r>
          </w:p>
        </w:tc>
        <w:tc>
          <w:tcPr>
            <w:tcW w:w="636" w:type="pct"/>
            <w:shd w:val="clear" w:color="auto" w:fill="auto"/>
            <w:noWrap/>
            <w:tcMar>
              <w:left w:w="0" w:type="dxa"/>
            </w:tcMar>
            <w:vAlign w:val="center"/>
            <w:hideMark/>
          </w:tcPr>
          <w:p w14:paraId="76D34D40" w14:textId="77777777" w:rsidR="00CE1BDB" w:rsidRPr="00FA4DC7" w:rsidRDefault="00CE1BDB" w:rsidP="00625CD5">
            <w:pPr>
              <w:jc w:val="right"/>
              <w:rPr>
                <w:rFonts w:cs="Arial"/>
                <w:color w:val="000000"/>
                <w:sz w:val="22"/>
                <w:szCs w:val="22"/>
              </w:rPr>
            </w:pPr>
            <w:r w:rsidRPr="00FA4DC7">
              <w:rPr>
                <w:rFonts w:cs="Arial"/>
                <w:color w:val="000000"/>
                <w:sz w:val="22"/>
                <w:szCs w:val="22"/>
              </w:rPr>
              <w:t>£132,000</w:t>
            </w:r>
          </w:p>
        </w:tc>
        <w:tc>
          <w:tcPr>
            <w:tcW w:w="636" w:type="pct"/>
            <w:shd w:val="clear" w:color="auto" w:fill="auto"/>
            <w:noWrap/>
            <w:tcMar>
              <w:left w:w="0" w:type="dxa"/>
            </w:tcMar>
            <w:vAlign w:val="center"/>
            <w:hideMark/>
          </w:tcPr>
          <w:p w14:paraId="23478B5C" w14:textId="77777777" w:rsidR="00CE1BDB" w:rsidRPr="00FA4DC7" w:rsidRDefault="00CE1BDB" w:rsidP="00625CD5">
            <w:pPr>
              <w:jc w:val="right"/>
              <w:rPr>
                <w:rFonts w:cs="Arial"/>
                <w:color w:val="000000"/>
                <w:sz w:val="22"/>
                <w:szCs w:val="22"/>
              </w:rPr>
            </w:pPr>
            <w:r w:rsidRPr="00FA4DC7">
              <w:rPr>
                <w:rFonts w:cs="Arial"/>
                <w:color w:val="000000"/>
                <w:sz w:val="22"/>
                <w:szCs w:val="22"/>
              </w:rPr>
              <w:t>£215,000</w:t>
            </w:r>
          </w:p>
        </w:tc>
        <w:tc>
          <w:tcPr>
            <w:tcW w:w="559" w:type="pct"/>
            <w:shd w:val="clear" w:color="auto" w:fill="auto"/>
            <w:noWrap/>
            <w:tcMar>
              <w:left w:w="0" w:type="dxa"/>
            </w:tcMar>
            <w:vAlign w:val="center"/>
            <w:hideMark/>
          </w:tcPr>
          <w:p w14:paraId="0ABA0CAF" w14:textId="77777777" w:rsidR="00CE1BDB" w:rsidRPr="00FA4DC7" w:rsidRDefault="00CE1BDB" w:rsidP="00625CD5">
            <w:pPr>
              <w:jc w:val="right"/>
              <w:rPr>
                <w:rFonts w:cs="Arial"/>
                <w:color w:val="000000"/>
                <w:sz w:val="22"/>
                <w:szCs w:val="22"/>
              </w:rPr>
            </w:pPr>
            <w:r w:rsidRPr="00FA4DC7">
              <w:rPr>
                <w:rFonts w:cs="Arial"/>
                <w:color w:val="000000"/>
                <w:sz w:val="22"/>
                <w:szCs w:val="22"/>
              </w:rPr>
              <w:t>62.9%</w:t>
            </w:r>
          </w:p>
        </w:tc>
        <w:tc>
          <w:tcPr>
            <w:tcW w:w="629" w:type="pct"/>
            <w:shd w:val="clear" w:color="auto" w:fill="auto"/>
            <w:noWrap/>
            <w:tcMar>
              <w:left w:w="0" w:type="dxa"/>
            </w:tcMar>
            <w:vAlign w:val="center"/>
            <w:hideMark/>
          </w:tcPr>
          <w:p w14:paraId="1E855B43" w14:textId="77777777" w:rsidR="00CE1BDB" w:rsidRPr="00FA4DC7" w:rsidRDefault="00CE1BDB" w:rsidP="00625CD5">
            <w:pPr>
              <w:jc w:val="right"/>
              <w:rPr>
                <w:rFonts w:cs="Arial"/>
                <w:color w:val="000000"/>
                <w:sz w:val="22"/>
                <w:szCs w:val="22"/>
              </w:rPr>
            </w:pPr>
            <w:r w:rsidRPr="00FA4DC7">
              <w:rPr>
                <w:rFonts w:cs="Arial"/>
                <w:color w:val="000000"/>
                <w:sz w:val="22"/>
                <w:szCs w:val="22"/>
              </w:rPr>
              <w:t>£153,000</w:t>
            </w:r>
          </w:p>
        </w:tc>
        <w:tc>
          <w:tcPr>
            <w:tcW w:w="590" w:type="pct"/>
            <w:shd w:val="clear" w:color="auto" w:fill="auto"/>
            <w:noWrap/>
            <w:tcMar>
              <w:left w:w="0" w:type="dxa"/>
            </w:tcMar>
            <w:vAlign w:val="center"/>
            <w:hideMark/>
          </w:tcPr>
          <w:p w14:paraId="7D0AC9F7" w14:textId="77777777" w:rsidR="00CE1BDB" w:rsidRPr="00FA4DC7" w:rsidRDefault="00CE1BDB" w:rsidP="00625CD5">
            <w:pPr>
              <w:jc w:val="right"/>
              <w:rPr>
                <w:rFonts w:cs="Arial"/>
                <w:color w:val="000000"/>
                <w:sz w:val="22"/>
                <w:szCs w:val="22"/>
              </w:rPr>
            </w:pPr>
            <w:r w:rsidRPr="00FA4DC7">
              <w:rPr>
                <w:rFonts w:cs="Arial"/>
                <w:color w:val="000000"/>
                <w:sz w:val="22"/>
                <w:szCs w:val="22"/>
              </w:rPr>
              <w:t>£240,000</w:t>
            </w:r>
          </w:p>
        </w:tc>
        <w:tc>
          <w:tcPr>
            <w:tcW w:w="552" w:type="pct"/>
            <w:shd w:val="clear" w:color="auto" w:fill="auto"/>
            <w:noWrap/>
            <w:tcMar>
              <w:left w:w="0" w:type="dxa"/>
            </w:tcMar>
            <w:vAlign w:val="center"/>
            <w:hideMark/>
          </w:tcPr>
          <w:p w14:paraId="21F30484" w14:textId="77777777" w:rsidR="00CE1BDB" w:rsidRPr="00FA4DC7" w:rsidRDefault="00CE1BDB" w:rsidP="00625CD5">
            <w:pPr>
              <w:jc w:val="right"/>
              <w:rPr>
                <w:rFonts w:cs="Arial"/>
                <w:color w:val="000000"/>
                <w:sz w:val="22"/>
                <w:szCs w:val="22"/>
              </w:rPr>
            </w:pPr>
            <w:r w:rsidRPr="00FA4DC7">
              <w:rPr>
                <w:rFonts w:cs="Arial"/>
                <w:color w:val="000000"/>
                <w:sz w:val="22"/>
                <w:szCs w:val="22"/>
              </w:rPr>
              <w:t>56.9%</w:t>
            </w:r>
          </w:p>
        </w:tc>
      </w:tr>
      <w:tr w:rsidR="00CE1BDB" w:rsidRPr="00FA4DC7" w14:paraId="6A96B59A" w14:textId="77777777" w:rsidTr="00625CD5">
        <w:trPr>
          <w:trHeight w:val="340"/>
        </w:trPr>
        <w:tc>
          <w:tcPr>
            <w:tcW w:w="1398" w:type="pct"/>
            <w:shd w:val="clear" w:color="auto" w:fill="auto"/>
            <w:noWrap/>
            <w:vAlign w:val="center"/>
            <w:hideMark/>
          </w:tcPr>
          <w:p w14:paraId="56559BFA" w14:textId="77777777" w:rsidR="00CE1BDB" w:rsidRPr="00FA4DC7" w:rsidRDefault="00CE1BDB" w:rsidP="00625CD5">
            <w:pPr>
              <w:rPr>
                <w:rFonts w:cs="Arial"/>
                <w:color w:val="000000"/>
                <w:sz w:val="22"/>
                <w:szCs w:val="22"/>
              </w:rPr>
            </w:pPr>
            <w:proofErr w:type="spellStart"/>
            <w:r w:rsidRPr="00FA4DC7">
              <w:rPr>
                <w:rFonts w:cs="Arial"/>
                <w:color w:val="000000"/>
                <w:sz w:val="22"/>
                <w:szCs w:val="22"/>
              </w:rPr>
              <w:t>Twydall</w:t>
            </w:r>
            <w:proofErr w:type="spellEnd"/>
          </w:p>
        </w:tc>
        <w:tc>
          <w:tcPr>
            <w:tcW w:w="636" w:type="pct"/>
            <w:shd w:val="clear" w:color="auto" w:fill="auto"/>
            <w:noWrap/>
            <w:tcMar>
              <w:left w:w="0" w:type="dxa"/>
            </w:tcMar>
            <w:vAlign w:val="center"/>
            <w:hideMark/>
          </w:tcPr>
          <w:p w14:paraId="2D4DA44F" w14:textId="77777777" w:rsidR="00CE1BDB" w:rsidRPr="00FA4DC7" w:rsidRDefault="00CE1BDB" w:rsidP="00625CD5">
            <w:pPr>
              <w:jc w:val="right"/>
              <w:rPr>
                <w:rFonts w:cs="Arial"/>
                <w:color w:val="000000"/>
                <w:sz w:val="22"/>
                <w:szCs w:val="22"/>
              </w:rPr>
            </w:pPr>
            <w:r w:rsidRPr="00FA4DC7">
              <w:rPr>
                <w:rFonts w:cs="Arial"/>
                <w:color w:val="000000"/>
                <w:sz w:val="22"/>
                <w:szCs w:val="22"/>
              </w:rPr>
              <w:t>£140,000</w:t>
            </w:r>
          </w:p>
        </w:tc>
        <w:tc>
          <w:tcPr>
            <w:tcW w:w="636" w:type="pct"/>
            <w:shd w:val="clear" w:color="auto" w:fill="auto"/>
            <w:noWrap/>
            <w:tcMar>
              <w:left w:w="0" w:type="dxa"/>
            </w:tcMar>
            <w:vAlign w:val="center"/>
            <w:hideMark/>
          </w:tcPr>
          <w:p w14:paraId="16A5370E" w14:textId="77777777" w:rsidR="00CE1BDB" w:rsidRPr="00FA4DC7" w:rsidRDefault="00CE1BDB" w:rsidP="00625CD5">
            <w:pPr>
              <w:jc w:val="right"/>
              <w:rPr>
                <w:rFonts w:cs="Arial"/>
                <w:color w:val="000000"/>
                <w:sz w:val="22"/>
                <w:szCs w:val="22"/>
              </w:rPr>
            </w:pPr>
            <w:r w:rsidRPr="00FA4DC7">
              <w:rPr>
                <w:rFonts w:cs="Arial"/>
                <w:color w:val="000000"/>
                <w:sz w:val="22"/>
                <w:szCs w:val="22"/>
              </w:rPr>
              <w:t>£220,000</w:t>
            </w:r>
          </w:p>
        </w:tc>
        <w:tc>
          <w:tcPr>
            <w:tcW w:w="559" w:type="pct"/>
            <w:shd w:val="clear" w:color="auto" w:fill="auto"/>
            <w:noWrap/>
            <w:tcMar>
              <w:left w:w="0" w:type="dxa"/>
            </w:tcMar>
            <w:vAlign w:val="center"/>
            <w:hideMark/>
          </w:tcPr>
          <w:p w14:paraId="5B3DCB15" w14:textId="77777777" w:rsidR="00CE1BDB" w:rsidRPr="00FA4DC7" w:rsidRDefault="00CE1BDB" w:rsidP="00625CD5">
            <w:pPr>
              <w:jc w:val="right"/>
              <w:rPr>
                <w:rFonts w:cs="Arial"/>
                <w:color w:val="000000"/>
                <w:sz w:val="22"/>
                <w:szCs w:val="22"/>
              </w:rPr>
            </w:pPr>
            <w:r w:rsidRPr="00FA4DC7">
              <w:rPr>
                <w:rFonts w:cs="Arial"/>
                <w:color w:val="000000"/>
                <w:sz w:val="22"/>
                <w:szCs w:val="22"/>
              </w:rPr>
              <w:t>57.1%</w:t>
            </w:r>
          </w:p>
        </w:tc>
        <w:tc>
          <w:tcPr>
            <w:tcW w:w="629" w:type="pct"/>
            <w:shd w:val="clear" w:color="auto" w:fill="auto"/>
            <w:noWrap/>
            <w:tcMar>
              <w:left w:w="0" w:type="dxa"/>
            </w:tcMar>
            <w:vAlign w:val="center"/>
            <w:hideMark/>
          </w:tcPr>
          <w:p w14:paraId="6CA4CAE7" w14:textId="77777777" w:rsidR="00CE1BDB" w:rsidRPr="00FA4DC7" w:rsidRDefault="00CE1BDB" w:rsidP="00625CD5">
            <w:pPr>
              <w:jc w:val="right"/>
              <w:rPr>
                <w:rFonts w:cs="Arial"/>
                <w:color w:val="000000"/>
                <w:sz w:val="22"/>
                <w:szCs w:val="22"/>
              </w:rPr>
            </w:pPr>
            <w:r w:rsidRPr="00FA4DC7">
              <w:rPr>
                <w:rFonts w:cs="Arial"/>
                <w:color w:val="000000"/>
                <w:sz w:val="22"/>
                <w:szCs w:val="22"/>
              </w:rPr>
              <w:t>£157,125</w:t>
            </w:r>
          </w:p>
        </w:tc>
        <w:tc>
          <w:tcPr>
            <w:tcW w:w="590" w:type="pct"/>
            <w:shd w:val="clear" w:color="auto" w:fill="auto"/>
            <w:noWrap/>
            <w:tcMar>
              <w:left w:w="0" w:type="dxa"/>
            </w:tcMar>
            <w:vAlign w:val="center"/>
            <w:hideMark/>
          </w:tcPr>
          <w:p w14:paraId="0908FDCD" w14:textId="77777777" w:rsidR="00CE1BDB" w:rsidRPr="00FA4DC7" w:rsidRDefault="00CE1BDB" w:rsidP="00625CD5">
            <w:pPr>
              <w:jc w:val="right"/>
              <w:rPr>
                <w:rFonts w:cs="Arial"/>
                <w:color w:val="000000"/>
                <w:sz w:val="22"/>
                <w:szCs w:val="22"/>
              </w:rPr>
            </w:pPr>
            <w:r w:rsidRPr="00FA4DC7">
              <w:rPr>
                <w:rFonts w:cs="Arial"/>
                <w:color w:val="000000"/>
                <w:sz w:val="22"/>
                <w:szCs w:val="22"/>
              </w:rPr>
              <w:t>£242,500</w:t>
            </w:r>
          </w:p>
        </w:tc>
        <w:tc>
          <w:tcPr>
            <w:tcW w:w="552" w:type="pct"/>
            <w:shd w:val="clear" w:color="auto" w:fill="auto"/>
            <w:noWrap/>
            <w:tcMar>
              <w:left w:w="0" w:type="dxa"/>
            </w:tcMar>
            <w:vAlign w:val="center"/>
            <w:hideMark/>
          </w:tcPr>
          <w:p w14:paraId="38FD5AF2" w14:textId="77777777" w:rsidR="00CE1BDB" w:rsidRPr="00FA4DC7" w:rsidRDefault="00CE1BDB" w:rsidP="00625CD5">
            <w:pPr>
              <w:jc w:val="right"/>
              <w:rPr>
                <w:rFonts w:cs="Arial"/>
                <w:color w:val="000000"/>
                <w:sz w:val="22"/>
                <w:szCs w:val="22"/>
              </w:rPr>
            </w:pPr>
            <w:r w:rsidRPr="00FA4DC7">
              <w:rPr>
                <w:rFonts w:cs="Arial"/>
                <w:color w:val="000000"/>
                <w:sz w:val="22"/>
                <w:szCs w:val="22"/>
              </w:rPr>
              <w:t>54.3%</w:t>
            </w:r>
          </w:p>
        </w:tc>
      </w:tr>
      <w:tr w:rsidR="00CE1BDB" w:rsidRPr="00FA4DC7" w14:paraId="18A1FD5D" w14:textId="77777777" w:rsidTr="00625CD5">
        <w:trPr>
          <w:trHeight w:val="340"/>
        </w:trPr>
        <w:tc>
          <w:tcPr>
            <w:tcW w:w="1398" w:type="pct"/>
            <w:shd w:val="clear" w:color="auto" w:fill="auto"/>
            <w:noWrap/>
            <w:vAlign w:val="center"/>
            <w:hideMark/>
          </w:tcPr>
          <w:p w14:paraId="32C1BDEC" w14:textId="77777777" w:rsidR="00CE1BDB" w:rsidRPr="00FA4DC7" w:rsidRDefault="00CE1BDB" w:rsidP="00625CD5">
            <w:pPr>
              <w:rPr>
                <w:rFonts w:cs="Arial"/>
                <w:color w:val="000000"/>
                <w:sz w:val="22"/>
                <w:szCs w:val="22"/>
              </w:rPr>
            </w:pPr>
            <w:r w:rsidRPr="00FA4DC7">
              <w:rPr>
                <w:rFonts w:cs="Arial"/>
                <w:color w:val="000000"/>
                <w:sz w:val="22"/>
                <w:szCs w:val="22"/>
              </w:rPr>
              <w:t>Walderslade</w:t>
            </w:r>
          </w:p>
        </w:tc>
        <w:tc>
          <w:tcPr>
            <w:tcW w:w="636" w:type="pct"/>
            <w:shd w:val="clear" w:color="auto" w:fill="auto"/>
            <w:noWrap/>
            <w:tcMar>
              <w:left w:w="0" w:type="dxa"/>
            </w:tcMar>
            <w:vAlign w:val="center"/>
            <w:hideMark/>
          </w:tcPr>
          <w:p w14:paraId="4D9FCC91" w14:textId="77777777" w:rsidR="00CE1BDB" w:rsidRPr="00FA4DC7" w:rsidRDefault="00CE1BDB" w:rsidP="00625CD5">
            <w:pPr>
              <w:jc w:val="right"/>
              <w:rPr>
                <w:rFonts w:cs="Arial"/>
                <w:color w:val="000000"/>
                <w:sz w:val="22"/>
                <w:szCs w:val="22"/>
              </w:rPr>
            </w:pPr>
            <w:r w:rsidRPr="00FA4DC7">
              <w:rPr>
                <w:rFonts w:cs="Arial"/>
                <w:color w:val="000000"/>
                <w:sz w:val="22"/>
                <w:szCs w:val="22"/>
              </w:rPr>
              <w:t>£136,000</w:t>
            </w:r>
          </w:p>
        </w:tc>
        <w:tc>
          <w:tcPr>
            <w:tcW w:w="636" w:type="pct"/>
            <w:shd w:val="clear" w:color="auto" w:fill="auto"/>
            <w:noWrap/>
            <w:tcMar>
              <w:left w:w="0" w:type="dxa"/>
            </w:tcMar>
            <w:vAlign w:val="center"/>
            <w:hideMark/>
          </w:tcPr>
          <w:p w14:paraId="0677BB9C" w14:textId="77777777" w:rsidR="00CE1BDB" w:rsidRPr="00FA4DC7" w:rsidRDefault="00CE1BDB" w:rsidP="00625CD5">
            <w:pPr>
              <w:jc w:val="right"/>
              <w:rPr>
                <w:rFonts w:cs="Arial"/>
                <w:color w:val="000000"/>
                <w:sz w:val="22"/>
                <w:szCs w:val="22"/>
              </w:rPr>
            </w:pPr>
            <w:r w:rsidRPr="00FA4DC7">
              <w:rPr>
                <w:rFonts w:cs="Arial"/>
                <w:color w:val="000000"/>
                <w:sz w:val="22"/>
                <w:szCs w:val="22"/>
              </w:rPr>
              <w:t>£209,000</w:t>
            </w:r>
          </w:p>
        </w:tc>
        <w:tc>
          <w:tcPr>
            <w:tcW w:w="559" w:type="pct"/>
            <w:shd w:val="clear" w:color="auto" w:fill="auto"/>
            <w:noWrap/>
            <w:tcMar>
              <w:left w:w="0" w:type="dxa"/>
            </w:tcMar>
            <w:vAlign w:val="center"/>
            <w:hideMark/>
          </w:tcPr>
          <w:p w14:paraId="3A64F67C" w14:textId="77777777" w:rsidR="00CE1BDB" w:rsidRPr="00FA4DC7" w:rsidRDefault="00CE1BDB" w:rsidP="00625CD5">
            <w:pPr>
              <w:jc w:val="right"/>
              <w:rPr>
                <w:rFonts w:cs="Arial"/>
                <w:color w:val="000000"/>
                <w:sz w:val="22"/>
                <w:szCs w:val="22"/>
              </w:rPr>
            </w:pPr>
            <w:r w:rsidRPr="00FA4DC7">
              <w:rPr>
                <w:rFonts w:cs="Arial"/>
                <w:color w:val="000000"/>
                <w:sz w:val="22"/>
                <w:szCs w:val="22"/>
              </w:rPr>
              <w:t>53.7%</w:t>
            </w:r>
          </w:p>
        </w:tc>
        <w:tc>
          <w:tcPr>
            <w:tcW w:w="629" w:type="pct"/>
            <w:shd w:val="clear" w:color="auto" w:fill="auto"/>
            <w:noWrap/>
            <w:tcMar>
              <w:left w:w="0" w:type="dxa"/>
            </w:tcMar>
            <w:vAlign w:val="center"/>
            <w:hideMark/>
          </w:tcPr>
          <w:p w14:paraId="4E50D055" w14:textId="77777777" w:rsidR="00CE1BDB" w:rsidRPr="00FA4DC7" w:rsidRDefault="00CE1BDB" w:rsidP="00625CD5">
            <w:pPr>
              <w:jc w:val="right"/>
              <w:rPr>
                <w:rFonts w:cs="Arial"/>
                <w:color w:val="000000"/>
                <w:sz w:val="22"/>
                <w:szCs w:val="22"/>
              </w:rPr>
            </w:pPr>
            <w:r w:rsidRPr="00FA4DC7">
              <w:rPr>
                <w:rFonts w:cs="Arial"/>
                <w:color w:val="000000"/>
                <w:sz w:val="22"/>
                <w:szCs w:val="22"/>
              </w:rPr>
              <w:t>£168,000</w:t>
            </w:r>
          </w:p>
        </w:tc>
        <w:tc>
          <w:tcPr>
            <w:tcW w:w="590" w:type="pct"/>
            <w:shd w:val="clear" w:color="auto" w:fill="auto"/>
            <w:noWrap/>
            <w:tcMar>
              <w:left w:w="0" w:type="dxa"/>
            </w:tcMar>
            <w:vAlign w:val="center"/>
            <w:hideMark/>
          </w:tcPr>
          <w:p w14:paraId="0D552C31" w14:textId="77777777" w:rsidR="00CE1BDB" w:rsidRPr="00FA4DC7" w:rsidRDefault="00CE1BDB" w:rsidP="00625CD5">
            <w:pPr>
              <w:jc w:val="right"/>
              <w:rPr>
                <w:rFonts w:cs="Arial"/>
                <w:color w:val="000000"/>
                <w:sz w:val="22"/>
                <w:szCs w:val="22"/>
              </w:rPr>
            </w:pPr>
            <w:r w:rsidRPr="00FA4DC7">
              <w:rPr>
                <w:rFonts w:cs="Arial"/>
                <w:color w:val="000000"/>
                <w:sz w:val="22"/>
                <w:szCs w:val="22"/>
              </w:rPr>
              <w:t>£280,000</w:t>
            </w:r>
          </w:p>
        </w:tc>
        <w:tc>
          <w:tcPr>
            <w:tcW w:w="552" w:type="pct"/>
            <w:shd w:val="clear" w:color="auto" w:fill="auto"/>
            <w:noWrap/>
            <w:tcMar>
              <w:left w:w="0" w:type="dxa"/>
            </w:tcMar>
            <w:vAlign w:val="center"/>
            <w:hideMark/>
          </w:tcPr>
          <w:p w14:paraId="178D0914" w14:textId="77777777" w:rsidR="00CE1BDB" w:rsidRPr="00FA4DC7" w:rsidRDefault="00CE1BDB" w:rsidP="00625CD5">
            <w:pPr>
              <w:jc w:val="right"/>
              <w:rPr>
                <w:rFonts w:cs="Arial"/>
                <w:color w:val="000000"/>
                <w:sz w:val="22"/>
                <w:szCs w:val="22"/>
              </w:rPr>
            </w:pPr>
            <w:r w:rsidRPr="00FA4DC7">
              <w:rPr>
                <w:rFonts w:cs="Arial"/>
                <w:color w:val="000000"/>
                <w:sz w:val="22"/>
                <w:szCs w:val="22"/>
              </w:rPr>
              <w:t>66.7%</w:t>
            </w:r>
          </w:p>
        </w:tc>
      </w:tr>
      <w:tr w:rsidR="00CE1BDB" w:rsidRPr="00FA4DC7" w14:paraId="50171FEB" w14:textId="77777777" w:rsidTr="00625CD5">
        <w:trPr>
          <w:trHeight w:val="340"/>
        </w:trPr>
        <w:tc>
          <w:tcPr>
            <w:tcW w:w="1398" w:type="pct"/>
            <w:shd w:val="clear" w:color="auto" w:fill="auto"/>
            <w:noWrap/>
            <w:vAlign w:val="center"/>
            <w:hideMark/>
          </w:tcPr>
          <w:p w14:paraId="19819C00" w14:textId="77777777" w:rsidR="00CE1BDB" w:rsidRPr="00FA4DC7" w:rsidRDefault="00CE1BDB" w:rsidP="00625CD5">
            <w:pPr>
              <w:rPr>
                <w:rFonts w:cs="Arial"/>
                <w:color w:val="000000"/>
                <w:sz w:val="22"/>
                <w:szCs w:val="22"/>
              </w:rPr>
            </w:pPr>
            <w:r w:rsidRPr="00FA4DC7">
              <w:rPr>
                <w:rFonts w:cs="Arial"/>
                <w:color w:val="000000"/>
                <w:sz w:val="22"/>
                <w:szCs w:val="22"/>
              </w:rPr>
              <w:t>Watling</w:t>
            </w:r>
          </w:p>
        </w:tc>
        <w:tc>
          <w:tcPr>
            <w:tcW w:w="636" w:type="pct"/>
            <w:shd w:val="clear" w:color="auto" w:fill="auto"/>
            <w:noWrap/>
            <w:tcMar>
              <w:left w:w="0" w:type="dxa"/>
            </w:tcMar>
            <w:vAlign w:val="center"/>
            <w:hideMark/>
          </w:tcPr>
          <w:p w14:paraId="1C4A5CDB" w14:textId="77777777" w:rsidR="00CE1BDB" w:rsidRPr="00FA4DC7" w:rsidRDefault="00CE1BDB" w:rsidP="00625CD5">
            <w:pPr>
              <w:jc w:val="right"/>
              <w:rPr>
                <w:rFonts w:cs="Arial"/>
                <w:color w:val="000000"/>
                <w:sz w:val="22"/>
                <w:szCs w:val="22"/>
              </w:rPr>
            </w:pPr>
            <w:r w:rsidRPr="00FA4DC7">
              <w:rPr>
                <w:rFonts w:cs="Arial"/>
                <w:color w:val="000000"/>
                <w:sz w:val="22"/>
                <w:szCs w:val="22"/>
              </w:rPr>
              <w:t>£144,000</w:t>
            </w:r>
          </w:p>
        </w:tc>
        <w:tc>
          <w:tcPr>
            <w:tcW w:w="636" w:type="pct"/>
            <w:shd w:val="clear" w:color="auto" w:fill="auto"/>
            <w:noWrap/>
            <w:tcMar>
              <w:left w:w="0" w:type="dxa"/>
            </w:tcMar>
            <w:vAlign w:val="center"/>
            <w:hideMark/>
          </w:tcPr>
          <w:p w14:paraId="6BD90184" w14:textId="77777777" w:rsidR="00CE1BDB" w:rsidRPr="00FA4DC7" w:rsidRDefault="00CE1BDB" w:rsidP="00625CD5">
            <w:pPr>
              <w:jc w:val="right"/>
              <w:rPr>
                <w:rFonts w:cs="Arial"/>
                <w:color w:val="000000"/>
                <w:sz w:val="22"/>
                <w:szCs w:val="22"/>
              </w:rPr>
            </w:pPr>
            <w:r w:rsidRPr="00FA4DC7">
              <w:rPr>
                <w:rFonts w:cs="Arial"/>
                <w:color w:val="000000"/>
                <w:sz w:val="22"/>
                <w:szCs w:val="22"/>
              </w:rPr>
              <w:t>£210,750</w:t>
            </w:r>
          </w:p>
        </w:tc>
        <w:tc>
          <w:tcPr>
            <w:tcW w:w="559" w:type="pct"/>
            <w:shd w:val="clear" w:color="auto" w:fill="auto"/>
            <w:noWrap/>
            <w:tcMar>
              <w:left w:w="0" w:type="dxa"/>
            </w:tcMar>
            <w:vAlign w:val="center"/>
            <w:hideMark/>
          </w:tcPr>
          <w:p w14:paraId="7F1C1B7C" w14:textId="77777777" w:rsidR="00CE1BDB" w:rsidRPr="00FA4DC7" w:rsidRDefault="00CE1BDB" w:rsidP="00625CD5">
            <w:pPr>
              <w:jc w:val="right"/>
              <w:rPr>
                <w:rFonts w:cs="Arial"/>
                <w:color w:val="000000"/>
                <w:sz w:val="22"/>
                <w:szCs w:val="22"/>
              </w:rPr>
            </w:pPr>
            <w:r w:rsidRPr="00FA4DC7">
              <w:rPr>
                <w:rFonts w:cs="Arial"/>
                <w:color w:val="000000"/>
                <w:sz w:val="22"/>
                <w:szCs w:val="22"/>
              </w:rPr>
              <w:t>46.4%</w:t>
            </w:r>
          </w:p>
        </w:tc>
        <w:tc>
          <w:tcPr>
            <w:tcW w:w="629" w:type="pct"/>
            <w:shd w:val="clear" w:color="auto" w:fill="auto"/>
            <w:noWrap/>
            <w:tcMar>
              <w:left w:w="0" w:type="dxa"/>
            </w:tcMar>
            <w:vAlign w:val="center"/>
            <w:hideMark/>
          </w:tcPr>
          <w:p w14:paraId="74577208" w14:textId="77777777" w:rsidR="00CE1BDB" w:rsidRPr="00FA4DC7" w:rsidRDefault="00CE1BDB" w:rsidP="00625CD5">
            <w:pPr>
              <w:jc w:val="right"/>
              <w:rPr>
                <w:rFonts w:cs="Arial"/>
                <w:color w:val="000000"/>
                <w:sz w:val="22"/>
                <w:szCs w:val="22"/>
              </w:rPr>
            </w:pPr>
            <w:r w:rsidRPr="00FA4DC7">
              <w:rPr>
                <w:rFonts w:cs="Arial"/>
                <w:color w:val="000000"/>
                <w:sz w:val="22"/>
                <w:szCs w:val="22"/>
              </w:rPr>
              <w:t>£186,500</w:t>
            </w:r>
          </w:p>
        </w:tc>
        <w:tc>
          <w:tcPr>
            <w:tcW w:w="590" w:type="pct"/>
            <w:shd w:val="clear" w:color="auto" w:fill="auto"/>
            <w:noWrap/>
            <w:tcMar>
              <w:left w:w="0" w:type="dxa"/>
            </w:tcMar>
            <w:vAlign w:val="center"/>
            <w:hideMark/>
          </w:tcPr>
          <w:p w14:paraId="59BEA533" w14:textId="77777777" w:rsidR="00CE1BDB" w:rsidRPr="00FA4DC7" w:rsidRDefault="00CE1BDB" w:rsidP="00625CD5">
            <w:pPr>
              <w:jc w:val="right"/>
              <w:rPr>
                <w:rFonts w:cs="Arial"/>
                <w:color w:val="000000"/>
                <w:sz w:val="22"/>
                <w:szCs w:val="22"/>
              </w:rPr>
            </w:pPr>
            <w:r w:rsidRPr="00FA4DC7">
              <w:rPr>
                <w:rFonts w:cs="Arial"/>
                <w:color w:val="000000"/>
                <w:sz w:val="22"/>
                <w:szCs w:val="22"/>
              </w:rPr>
              <w:t>£280,000</w:t>
            </w:r>
          </w:p>
        </w:tc>
        <w:tc>
          <w:tcPr>
            <w:tcW w:w="552" w:type="pct"/>
            <w:shd w:val="clear" w:color="auto" w:fill="auto"/>
            <w:noWrap/>
            <w:tcMar>
              <w:left w:w="0" w:type="dxa"/>
            </w:tcMar>
            <w:vAlign w:val="center"/>
            <w:hideMark/>
          </w:tcPr>
          <w:p w14:paraId="01D47EF5" w14:textId="77777777" w:rsidR="00CE1BDB" w:rsidRPr="00FA4DC7" w:rsidRDefault="00CE1BDB" w:rsidP="00625CD5">
            <w:pPr>
              <w:jc w:val="right"/>
              <w:rPr>
                <w:rFonts w:cs="Arial"/>
                <w:color w:val="000000"/>
                <w:sz w:val="22"/>
                <w:szCs w:val="22"/>
              </w:rPr>
            </w:pPr>
            <w:r w:rsidRPr="00FA4DC7">
              <w:rPr>
                <w:rFonts w:cs="Arial"/>
                <w:color w:val="000000"/>
                <w:sz w:val="22"/>
                <w:szCs w:val="22"/>
              </w:rPr>
              <w:t>50.1%</w:t>
            </w:r>
          </w:p>
        </w:tc>
      </w:tr>
      <w:tr w:rsidR="00CE1BDB" w:rsidRPr="00FA4DC7" w14:paraId="2EFB17E1" w14:textId="77777777" w:rsidTr="00625CD5">
        <w:trPr>
          <w:trHeight w:val="340"/>
        </w:trPr>
        <w:tc>
          <w:tcPr>
            <w:tcW w:w="1398" w:type="pct"/>
            <w:shd w:val="clear" w:color="auto" w:fill="auto"/>
            <w:noWrap/>
            <w:vAlign w:val="center"/>
            <w:hideMark/>
          </w:tcPr>
          <w:p w14:paraId="22306CF1" w14:textId="77777777" w:rsidR="00CE1BDB" w:rsidRPr="00FA4DC7" w:rsidRDefault="00CE1BDB" w:rsidP="00625CD5">
            <w:pPr>
              <w:rPr>
                <w:rFonts w:cs="Arial"/>
                <w:b/>
                <w:bCs/>
                <w:color w:val="000000"/>
                <w:sz w:val="22"/>
                <w:szCs w:val="22"/>
              </w:rPr>
            </w:pPr>
            <w:r w:rsidRPr="00FA4DC7">
              <w:rPr>
                <w:rFonts w:cs="Arial"/>
                <w:b/>
                <w:bCs/>
                <w:color w:val="000000"/>
                <w:sz w:val="22"/>
                <w:szCs w:val="22"/>
              </w:rPr>
              <w:t>Medway</w:t>
            </w:r>
          </w:p>
        </w:tc>
        <w:tc>
          <w:tcPr>
            <w:tcW w:w="636" w:type="pct"/>
            <w:shd w:val="clear" w:color="auto" w:fill="auto"/>
            <w:noWrap/>
            <w:tcMar>
              <w:left w:w="0" w:type="dxa"/>
            </w:tcMar>
            <w:vAlign w:val="center"/>
            <w:hideMark/>
          </w:tcPr>
          <w:p w14:paraId="36D0199E" w14:textId="77777777" w:rsidR="00CE1BDB" w:rsidRPr="00FA4DC7" w:rsidRDefault="00CE1BDB" w:rsidP="00625CD5">
            <w:pPr>
              <w:jc w:val="right"/>
              <w:rPr>
                <w:rFonts w:cs="Arial"/>
                <w:b/>
                <w:bCs/>
                <w:color w:val="000000"/>
                <w:sz w:val="22"/>
                <w:szCs w:val="22"/>
              </w:rPr>
            </w:pPr>
            <w:r w:rsidRPr="00FA4DC7">
              <w:rPr>
                <w:rFonts w:cs="Arial"/>
                <w:b/>
                <w:bCs/>
                <w:color w:val="000000"/>
                <w:sz w:val="22"/>
                <w:szCs w:val="22"/>
              </w:rPr>
              <w:t>£131,000</w:t>
            </w:r>
          </w:p>
        </w:tc>
        <w:tc>
          <w:tcPr>
            <w:tcW w:w="636" w:type="pct"/>
            <w:shd w:val="clear" w:color="auto" w:fill="auto"/>
            <w:noWrap/>
            <w:tcMar>
              <w:left w:w="0" w:type="dxa"/>
            </w:tcMar>
            <w:vAlign w:val="center"/>
            <w:hideMark/>
          </w:tcPr>
          <w:p w14:paraId="6873817C" w14:textId="77777777" w:rsidR="00CE1BDB" w:rsidRPr="00FA4DC7" w:rsidRDefault="00CE1BDB" w:rsidP="00625CD5">
            <w:pPr>
              <w:jc w:val="right"/>
              <w:rPr>
                <w:rFonts w:cs="Arial"/>
                <w:b/>
                <w:bCs/>
                <w:color w:val="000000"/>
                <w:sz w:val="22"/>
                <w:szCs w:val="22"/>
              </w:rPr>
            </w:pPr>
            <w:r w:rsidRPr="00FA4DC7">
              <w:rPr>
                <w:rFonts w:cs="Arial"/>
                <w:b/>
                <w:bCs/>
                <w:color w:val="000000"/>
                <w:sz w:val="22"/>
                <w:szCs w:val="22"/>
              </w:rPr>
              <w:t>£200,000</w:t>
            </w:r>
          </w:p>
        </w:tc>
        <w:tc>
          <w:tcPr>
            <w:tcW w:w="559" w:type="pct"/>
            <w:shd w:val="clear" w:color="auto" w:fill="auto"/>
            <w:noWrap/>
            <w:tcMar>
              <w:left w:w="0" w:type="dxa"/>
            </w:tcMar>
            <w:vAlign w:val="center"/>
            <w:hideMark/>
          </w:tcPr>
          <w:p w14:paraId="323B7001" w14:textId="77777777" w:rsidR="00CE1BDB" w:rsidRPr="00FA4DC7" w:rsidRDefault="00CE1BDB" w:rsidP="00625CD5">
            <w:pPr>
              <w:jc w:val="right"/>
              <w:rPr>
                <w:rFonts w:cs="Arial"/>
                <w:b/>
                <w:bCs/>
                <w:color w:val="000000"/>
                <w:sz w:val="22"/>
                <w:szCs w:val="22"/>
              </w:rPr>
            </w:pPr>
            <w:r w:rsidRPr="00FA4DC7">
              <w:rPr>
                <w:rFonts w:cs="Arial"/>
                <w:b/>
                <w:bCs/>
                <w:color w:val="000000"/>
                <w:sz w:val="22"/>
                <w:szCs w:val="22"/>
              </w:rPr>
              <w:t>52.7%</w:t>
            </w:r>
          </w:p>
        </w:tc>
        <w:tc>
          <w:tcPr>
            <w:tcW w:w="629" w:type="pct"/>
            <w:shd w:val="clear" w:color="auto" w:fill="auto"/>
            <w:noWrap/>
            <w:tcMar>
              <w:left w:w="0" w:type="dxa"/>
            </w:tcMar>
            <w:vAlign w:val="center"/>
            <w:hideMark/>
          </w:tcPr>
          <w:p w14:paraId="2D4496CE" w14:textId="77777777" w:rsidR="00CE1BDB" w:rsidRPr="00FA4DC7" w:rsidRDefault="00CE1BDB" w:rsidP="00625CD5">
            <w:pPr>
              <w:jc w:val="right"/>
              <w:rPr>
                <w:rFonts w:cs="Arial"/>
                <w:b/>
                <w:bCs/>
                <w:color w:val="000000"/>
                <w:sz w:val="22"/>
                <w:szCs w:val="22"/>
              </w:rPr>
            </w:pPr>
            <w:r w:rsidRPr="00FA4DC7">
              <w:rPr>
                <w:rFonts w:cs="Arial"/>
                <w:b/>
                <w:bCs/>
                <w:color w:val="000000"/>
                <w:sz w:val="22"/>
                <w:szCs w:val="22"/>
              </w:rPr>
              <w:t>£158,000</w:t>
            </w:r>
          </w:p>
        </w:tc>
        <w:tc>
          <w:tcPr>
            <w:tcW w:w="590" w:type="pct"/>
            <w:shd w:val="clear" w:color="auto" w:fill="auto"/>
            <w:noWrap/>
            <w:tcMar>
              <w:left w:w="0" w:type="dxa"/>
            </w:tcMar>
            <w:vAlign w:val="center"/>
            <w:hideMark/>
          </w:tcPr>
          <w:p w14:paraId="3B5A1868" w14:textId="77777777" w:rsidR="00CE1BDB" w:rsidRPr="00FA4DC7" w:rsidRDefault="00CE1BDB" w:rsidP="00625CD5">
            <w:pPr>
              <w:jc w:val="right"/>
              <w:rPr>
                <w:rFonts w:cs="Arial"/>
                <w:b/>
                <w:bCs/>
                <w:color w:val="000000"/>
                <w:sz w:val="22"/>
                <w:szCs w:val="22"/>
              </w:rPr>
            </w:pPr>
            <w:r w:rsidRPr="00FA4DC7">
              <w:rPr>
                <w:rFonts w:cs="Arial"/>
                <w:b/>
                <w:bCs/>
                <w:color w:val="000000"/>
                <w:sz w:val="22"/>
                <w:szCs w:val="22"/>
              </w:rPr>
              <w:t>£250,000</w:t>
            </w:r>
          </w:p>
        </w:tc>
        <w:tc>
          <w:tcPr>
            <w:tcW w:w="552" w:type="pct"/>
            <w:shd w:val="clear" w:color="auto" w:fill="auto"/>
            <w:noWrap/>
            <w:tcMar>
              <w:left w:w="0" w:type="dxa"/>
            </w:tcMar>
            <w:vAlign w:val="center"/>
            <w:hideMark/>
          </w:tcPr>
          <w:p w14:paraId="0A6710C5" w14:textId="77777777" w:rsidR="00CE1BDB" w:rsidRPr="00FA4DC7" w:rsidRDefault="00CE1BDB" w:rsidP="00625CD5">
            <w:pPr>
              <w:jc w:val="right"/>
              <w:rPr>
                <w:rFonts w:cs="Arial"/>
                <w:b/>
                <w:bCs/>
                <w:color w:val="000000"/>
                <w:sz w:val="22"/>
                <w:szCs w:val="22"/>
              </w:rPr>
            </w:pPr>
            <w:r w:rsidRPr="00FA4DC7">
              <w:rPr>
                <w:rFonts w:cs="Arial"/>
                <w:b/>
                <w:bCs/>
                <w:color w:val="000000"/>
                <w:sz w:val="22"/>
                <w:szCs w:val="22"/>
              </w:rPr>
              <w:t>58.2%</w:t>
            </w:r>
          </w:p>
        </w:tc>
      </w:tr>
    </w:tbl>
    <w:p w14:paraId="71CFE30F" w14:textId="77777777" w:rsidR="00CE1BDB" w:rsidRPr="00FA4DC7" w:rsidRDefault="00CE1BDB" w:rsidP="00CE1BDB">
      <w:pPr>
        <w:pStyle w:val="Reporttext"/>
        <w:numPr>
          <w:ilvl w:val="0"/>
          <w:numId w:val="0"/>
        </w:numPr>
        <w:tabs>
          <w:tab w:val="left" w:pos="0"/>
          <w:tab w:val="left" w:pos="709"/>
          <w:tab w:val="left" w:pos="1418"/>
        </w:tabs>
        <w:rPr>
          <w:rFonts w:cs="Arial"/>
          <w:b/>
          <w:bCs/>
          <w:color w:val="000000" w:themeColor="text1"/>
          <w:sz w:val="22"/>
          <w:szCs w:val="22"/>
        </w:rPr>
      </w:pPr>
      <w:r w:rsidRPr="00FA4DC7">
        <w:rPr>
          <w:rFonts w:cs="Arial"/>
          <w:sz w:val="22"/>
          <w:szCs w:val="28"/>
        </w:rPr>
        <w:t>Source: Data produced by Land Registry © Crown copyright 2021</w:t>
      </w:r>
    </w:p>
    <w:p w14:paraId="4F46ABDC" w14:textId="12BB80CF" w:rsidR="00625CD5" w:rsidRDefault="00625CD5">
      <w:pPr>
        <w:rPr>
          <w:rFonts w:cs="Arial"/>
          <w:b/>
          <w:bCs/>
          <w:color w:val="000000" w:themeColor="text1"/>
          <w:sz w:val="22"/>
          <w:szCs w:val="22"/>
        </w:rPr>
      </w:pPr>
      <w:r>
        <w:rPr>
          <w:rFonts w:cs="Arial"/>
          <w:b/>
          <w:bCs/>
          <w:color w:val="000000" w:themeColor="text1"/>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133"/>
        <w:gridCol w:w="1135"/>
        <w:gridCol w:w="850"/>
        <w:gridCol w:w="1135"/>
        <w:gridCol w:w="1140"/>
        <w:gridCol w:w="958"/>
      </w:tblGrid>
      <w:tr w:rsidR="00625CD5" w:rsidRPr="00625CD5" w14:paraId="115AF9E2" w14:textId="77777777" w:rsidTr="00625CD5">
        <w:trPr>
          <w:trHeight w:val="320"/>
        </w:trPr>
        <w:tc>
          <w:tcPr>
            <w:tcW w:w="5000" w:type="pct"/>
            <w:gridSpan w:val="7"/>
            <w:shd w:val="clear" w:color="auto" w:fill="006666"/>
            <w:noWrap/>
            <w:vAlign w:val="center"/>
          </w:tcPr>
          <w:p w14:paraId="004FD2EA" w14:textId="1DFED317" w:rsidR="00625CD5" w:rsidRPr="00625CD5" w:rsidRDefault="00625CD5" w:rsidP="00625CD5">
            <w:pPr>
              <w:pStyle w:val="Tableheading1"/>
              <w:rPr>
                <w:color w:val="FFFFFF"/>
                <w:szCs w:val="22"/>
              </w:rPr>
            </w:pPr>
            <w:bookmarkStart w:id="219" w:name="_Toc83036078"/>
            <w:r w:rsidRPr="00625CD5">
              <w:rPr>
                <w:szCs w:val="22"/>
              </w:rPr>
              <w:lastRenderedPageBreak/>
              <w:t xml:space="preserve">Table 3.3b </w:t>
            </w:r>
            <w:r w:rsidRPr="00625CD5">
              <w:rPr>
                <w:szCs w:val="22"/>
              </w:rPr>
              <w:tab/>
              <w:t>Comparative lower quartile and median house price change 2007-2020 for Medway Key Development Locations and Neighbourhood Planning Areas</w:t>
            </w:r>
            <w:bookmarkEnd w:id="219"/>
          </w:p>
        </w:tc>
      </w:tr>
      <w:tr w:rsidR="00CE1BDB" w:rsidRPr="00625CD5" w14:paraId="44C28198" w14:textId="77777777" w:rsidTr="00625CD5">
        <w:trPr>
          <w:trHeight w:val="320"/>
        </w:trPr>
        <w:tc>
          <w:tcPr>
            <w:tcW w:w="1541" w:type="pct"/>
            <w:vMerge w:val="restart"/>
            <w:shd w:val="clear" w:color="auto" w:fill="006666"/>
            <w:noWrap/>
            <w:vAlign w:val="bottom"/>
            <w:hideMark/>
          </w:tcPr>
          <w:p w14:paraId="389D0364" w14:textId="77777777" w:rsidR="00CE1BDB" w:rsidRPr="00625CD5" w:rsidRDefault="00CE1BDB" w:rsidP="00625CD5">
            <w:pPr>
              <w:rPr>
                <w:rFonts w:cs="Arial"/>
                <w:b/>
                <w:bCs/>
                <w:color w:val="FFFFFF"/>
                <w:sz w:val="22"/>
                <w:szCs w:val="22"/>
              </w:rPr>
            </w:pPr>
            <w:r w:rsidRPr="00625CD5">
              <w:rPr>
                <w:rFonts w:cs="Arial"/>
                <w:b/>
                <w:bCs/>
                <w:color w:val="FFFFFF"/>
                <w:sz w:val="22"/>
                <w:szCs w:val="22"/>
              </w:rPr>
              <w:t>Key Development Location</w:t>
            </w:r>
          </w:p>
        </w:tc>
        <w:tc>
          <w:tcPr>
            <w:tcW w:w="1698" w:type="pct"/>
            <w:gridSpan w:val="3"/>
            <w:shd w:val="clear" w:color="auto" w:fill="006666"/>
            <w:noWrap/>
            <w:vAlign w:val="bottom"/>
            <w:hideMark/>
          </w:tcPr>
          <w:p w14:paraId="7A97DEDA"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LQ house price</w:t>
            </w:r>
          </w:p>
        </w:tc>
        <w:tc>
          <w:tcPr>
            <w:tcW w:w="1760" w:type="pct"/>
            <w:gridSpan w:val="3"/>
            <w:shd w:val="clear" w:color="auto" w:fill="006666"/>
            <w:noWrap/>
            <w:vAlign w:val="bottom"/>
            <w:hideMark/>
          </w:tcPr>
          <w:p w14:paraId="2F4D54FF"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Median house price</w:t>
            </w:r>
          </w:p>
        </w:tc>
      </w:tr>
      <w:tr w:rsidR="00625CD5" w:rsidRPr="00625CD5" w14:paraId="0B14E2C0" w14:textId="77777777" w:rsidTr="00625CD5">
        <w:trPr>
          <w:trHeight w:val="320"/>
        </w:trPr>
        <w:tc>
          <w:tcPr>
            <w:tcW w:w="1541" w:type="pct"/>
            <w:vMerge/>
            <w:shd w:val="clear" w:color="auto" w:fill="006666"/>
            <w:vAlign w:val="bottom"/>
            <w:hideMark/>
          </w:tcPr>
          <w:p w14:paraId="74F27E94" w14:textId="77777777" w:rsidR="00CE1BDB" w:rsidRPr="00625CD5" w:rsidRDefault="00CE1BDB" w:rsidP="00625CD5">
            <w:pPr>
              <w:jc w:val="center"/>
              <w:rPr>
                <w:rFonts w:cs="Arial"/>
                <w:b/>
                <w:bCs/>
                <w:color w:val="FFFFFF"/>
                <w:sz w:val="22"/>
                <w:szCs w:val="22"/>
              </w:rPr>
            </w:pPr>
          </w:p>
        </w:tc>
        <w:tc>
          <w:tcPr>
            <w:tcW w:w="617" w:type="pct"/>
            <w:shd w:val="clear" w:color="auto" w:fill="006666"/>
            <w:noWrap/>
            <w:vAlign w:val="bottom"/>
            <w:hideMark/>
          </w:tcPr>
          <w:p w14:paraId="15EEF638" w14:textId="77777777" w:rsidR="00CE1BDB" w:rsidRPr="00625CD5" w:rsidRDefault="00CE1BDB" w:rsidP="00625CD5">
            <w:pPr>
              <w:jc w:val="center"/>
              <w:rPr>
                <w:rFonts w:cs="Arial"/>
                <w:color w:val="FFFFFF"/>
                <w:sz w:val="22"/>
                <w:szCs w:val="22"/>
              </w:rPr>
            </w:pPr>
            <w:r w:rsidRPr="00625CD5">
              <w:rPr>
                <w:rFonts w:cs="Arial"/>
                <w:color w:val="FFFFFF"/>
                <w:sz w:val="22"/>
                <w:szCs w:val="22"/>
              </w:rPr>
              <w:t>2007</w:t>
            </w:r>
          </w:p>
        </w:tc>
        <w:tc>
          <w:tcPr>
            <w:tcW w:w="618" w:type="pct"/>
            <w:shd w:val="clear" w:color="auto" w:fill="006666"/>
            <w:noWrap/>
            <w:vAlign w:val="bottom"/>
            <w:hideMark/>
          </w:tcPr>
          <w:p w14:paraId="0B687EF7" w14:textId="77777777" w:rsidR="00CE1BDB" w:rsidRPr="00625CD5" w:rsidRDefault="00CE1BDB" w:rsidP="00625CD5">
            <w:pPr>
              <w:jc w:val="center"/>
              <w:rPr>
                <w:rFonts w:cs="Arial"/>
                <w:color w:val="FFFFFF"/>
                <w:sz w:val="22"/>
                <w:szCs w:val="22"/>
              </w:rPr>
            </w:pPr>
            <w:r w:rsidRPr="00625CD5">
              <w:rPr>
                <w:rFonts w:cs="Arial"/>
                <w:color w:val="FFFFFF"/>
                <w:sz w:val="22"/>
                <w:szCs w:val="22"/>
              </w:rPr>
              <w:t>2020</w:t>
            </w:r>
          </w:p>
        </w:tc>
        <w:tc>
          <w:tcPr>
            <w:tcW w:w="463" w:type="pct"/>
            <w:shd w:val="clear" w:color="auto" w:fill="006666"/>
            <w:noWrap/>
            <w:vAlign w:val="bottom"/>
            <w:hideMark/>
          </w:tcPr>
          <w:p w14:paraId="42DB7B2F" w14:textId="77777777" w:rsidR="00CE1BDB" w:rsidRPr="00625CD5" w:rsidRDefault="00CE1BDB" w:rsidP="00625CD5">
            <w:pPr>
              <w:jc w:val="center"/>
              <w:rPr>
                <w:rFonts w:cs="Arial"/>
                <w:color w:val="FFFFFF"/>
                <w:sz w:val="22"/>
                <w:szCs w:val="22"/>
              </w:rPr>
            </w:pPr>
            <w:r w:rsidRPr="00625CD5">
              <w:rPr>
                <w:rFonts w:cs="Arial"/>
                <w:color w:val="FFFFFF"/>
                <w:sz w:val="22"/>
                <w:szCs w:val="22"/>
              </w:rPr>
              <w:t xml:space="preserve">% </w:t>
            </w:r>
            <w:proofErr w:type="gramStart"/>
            <w:r w:rsidRPr="00625CD5">
              <w:rPr>
                <w:rFonts w:cs="Arial"/>
                <w:color w:val="FFFFFF"/>
                <w:sz w:val="22"/>
                <w:szCs w:val="22"/>
              </w:rPr>
              <w:t>change</w:t>
            </w:r>
            <w:proofErr w:type="gramEnd"/>
          </w:p>
        </w:tc>
        <w:tc>
          <w:tcPr>
            <w:tcW w:w="618" w:type="pct"/>
            <w:shd w:val="clear" w:color="auto" w:fill="006666"/>
            <w:noWrap/>
            <w:vAlign w:val="bottom"/>
            <w:hideMark/>
          </w:tcPr>
          <w:p w14:paraId="79118F6A" w14:textId="77777777" w:rsidR="00CE1BDB" w:rsidRPr="00625CD5" w:rsidRDefault="00CE1BDB" w:rsidP="00625CD5">
            <w:pPr>
              <w:jc w:val="center"/>
              <w:rPr>
                <w:rFonts w:cs="Arial"/>
                <w:color w:val="FFFFFF"/>
                <w:sz w:val="22"/>
                <w:szCs w:val="22"/>
              </w:rPr>
            </w:pPr>
            <w:r w:rsidRPr="00625CD5">
              <w:rPr>
                <w:rFonts w:cs="Arial"/>
                <w:color w:val="FFFFFF"/>
                <w:sz w:val="22"/>
                <w:szCs w:val="22"/>
              </w:rPr>
              <w:t>2007</w:t>
            </w:r>
          </w:p>
        </w:tc>
        <w:tc>
          <w:tcPr>
            <w:tcW w:w="621" w:type="pct"/>
            <w:shd w:val="clear" w:color="auto" w:fill="006666"/>
            <w:noWrap/>
            <w:vAlign w:val="bottom"/>
            <w:hideMark/>
          </w:tcPr>
          <w:p w14:paraId="31B7D171" w14:textId="77777777" w:rsidR="00CE1BDB" w:rsidRPr="00625CD5" w:rsidRDefault="00CE1BDB" w:rsidP="00625CD5">
            <w:pPr>
              <w:jc w:val="center"/>
              <w:rPr>
                <w:rFonts w:cs="Arial"/>
                <w:color w:val="FFFFFF"/>
                <w:sz w:val="22"/>
                <w:szCs w:val="22"/>
              </w:rPr>
            </w:pPr>
            <w:r w:rsidRPr="00625CD5">
              <w:rPr>
                <w:rFonts w:cs="Arial"/>
                <w:color w:val="FFFFFF"/>
                <w:sz w:val="22"/>
                <w:szCs w:val="22"/>
              </w:rPr>
              <w:t>2020</w:t>
            </w:r>
          </w:p>
        </w:tc>
        <w:tc>
          <w:tcPr>
            <w:tcW w:w="521" w:type="pct"/>
            <w:shd w:val="clear" w:color="auto" w:fill="006666"/>
            <w:noWrap/>
            <w:vAlign w:val="bottom"/>
            <w:hideMark/>
          </w:tcPr>
          <w:p w14:paraId="73EAA04F" w14:textId="77777777" w:rsidR="00CE1BDB" w:rsidRPr="00625CD5" w:rsidRDefault="00CE1BDB" w:rsidP="00625CD5">
            <w:pPr>
              <w:jc w:val="center"/>
              <w:rPr>
                <w:rFonts w:cs="Arial"/>
                <w:color w:val="FFFFFF"/>
                <w:sz w:val="22"/>
                <w:szCs w:val="22"/>
              </w:rPr>
            </w:pPr>
            <w:r w:rsidRPr="00625CD5">
              <w:rPr>
                <w:rFonts w:cs="Arial"/>
                <w:color w:val="FFFFFF"/>
                <w:sz w:val="22"/>
                <w:szCs w:val="22"/>
              </w:rPr>
              <w:t xml:space="preserve">% </w:t>
            </w:r>
            <w:proofErr w:type="gramStart"/>
            <w:r w:rsidRPr="00625CD5">
              <w:rPr>
                <w:rFonts w:cs="Arial"/>
                <w:color w:val="FFFFFF"/>
                <w:sz w:val="22"/>
                <w:szCs w:val="22"/>
              </w:rPr>
              <w:t>change</w:t>
            </w:r>
            <w:proofErr w:type="gramEnd"/>
          </w:p>
        </w:tc>
      </w:tr>
      <w:tr w:rsidR="00625CD5" w:rsidRPr="00625CD5" w14:paraId="626395AC" w14:textId="77777777" w:rsidTr="00625CD5">
        <w:trPr>
          <w:trHeight w:val="340"/>
        </w:trPr>
        <w:tc>
          <w:tcPr>
            <w:tcW w:w="1541" w:type="pct"/>
            <w:shd w:val="clear" w:color="auto" w:fill="auto"/>
            <w:noWrap/>
            <w:vAlign w:val="center"/>
            <w:hideMark/>
          </w:tcPr>
          <w:p w14:paraId="3B4B9087" w14:textId="77777777" w:rsidR="00CE1BDB" w:rsidRPr="00625CD5" w:rsidRDefault="00CE1BDB" w:rsidP="00EF49A7">
            <w:pPr>
              <w:jc w:val="both"/>
              <w:rPr>
                <w:rFonts w:cs="Arial"/>
                <w:color w:val="000000"/>
                <w:sz w:val="22"/>
                <w:szCs w:val="22"/>
              </w:rPr>
            </w:pPr>
            <w:r w:rsidRPr="00625CD5">
              <w:rPr>
                <w:rFonts w:cs="Arial"/>
                <w:color w:val="000000"/>
                <w:sz w:val="22"/>
                <w:szCs w:val="22"/>
              </w:rPr>
              <w:t>Chatham</w:t>
            </w:r>
          </w:p>
        </w:tc>
        <w:tc>
          <w:tcPr>
            <w:tcW w:w="617" w:type="pct"/>
            <w:shd w:val="clear" w:color="auto" w:fill="auto"/>
            <w:noWrap/>
            <w:tcMar>
              <w:left w:w="0" w:type="dxa"/>
            </w:tcMar>
            <w:vAlign w:val="center"/>
            <w:hideMark/>
          </w:tcPr>
          <w:p w14:paraId="5CF46E65" w14:textId="77777777" w:rsidR="00CE1BDB" w:rsidRPr="00625CD5" w:rsidRDefault="00CE1BDB" w:rsidP="00625CD5">
            <w:pPr>
              <w:jc w:val="right"/>
              <w:rPr>
                <w:rFonts w:cs="Arial"/>
                <w:color w:val="000000"/>
                <w:sz w:val="22"/>
                <w:szCs w:val="22"/>
              </w:rPr>
            </w:pPr>
            <w:r w:rsidRPr="00625CD5">
              <w:rPr>
                <w:rFonts w:cs="Arial"/>
                <w:color w:val="000000"/>
                <w:sz w:val="22"/>
                <w:szCs w:val="22"/>
              </w:rPr>
              <w:t>£114,000</w:t>
            </w:r>
          </w:p>
        </w:tc>
        <w:tc>
          <w:tcPr>
            <w:tcW w:w="618" w:type="pct"/>
            <w:shd w:val="clear" w:color="auto" w:fill="auto"/>
            <w:noWrap/>
            <w:tcMar>
              <w:left w:w="0" w:type="dxa"/>
            </w:tcMar>
            <w:vAlign w:val="center"/>
            <w:hideMark/>
          </w:tcPr>
          <w:p w14:paraId="283C135A" w14:textId="77777777" w:rsidR="00CE1BDB" w:rsidRPr="00625CD5" w:rsidRDefault="00CE1BDB" w:rsidP="00625CD5">
            <w:pPr>
              <w:jc w:val="right"/>
              <w:rPr>
                <w:rFonts w:cs="Arial"/>
                <w:color w:val="000000"/>
                <w:sz w:val="22"/>
                <w:szCs w:val="22"/>
              </w:rPr>
            </w:pPr>
            <w:r w:rsidRPr="00625CD5">
              <w:rPr>
                <w:rFonts w:cs="Arial"/>
                <w:color w:val="000000"/>
                <w:sz w:val="22"/>
                <w:szCs w:val="22"/>
              </w:rPr>
              <w:t>£170,000</w:t>
            </w:r>
          </w:p>
        </w:tc>
        <w:tc>
          <w:tcPr>
            <w:tcW w:w="463" w:type="pct"/>
            <w:shd w:val="clear" w:color="auto" w:fill="auto"/>
            <w:noWrap/>
            <w:tcMar>
              <w:left w:w="0" w:type="dxa"/>
            </w:tcMar>
            <w:vAlign w:val="center"/>
            <w:hideMark/>
          </w:tcPr>
          <w:p w14:paraId="23BF246F" w14:textId="77777777" w:rsidR="00CE1BDB" w:rsidRPr="00625CD5" w:rsidRDefault="00CE1BDB" w:rsidP="00625CD5">
            <w:pPr>
              <w:jc w:val="right"/>
              <w:rPr>
                <w:rFonts w:cs="Arial"/>
                <w:color w:val="000000"/>
                <w:sz w:val="22"/>
                <w:szCs w:val="22"/>
              </w:rPr>
            </w:pPr>
            <w:r w:rsidRPr="00625CD5">
              <w:rPr>
                <w:rFonts w:cs="Arial"/>
                <w:color w:val="000000"/>
                <w:sz w:val="22"/>
                <w:szCs w:val="22"/>
              </w:rPr>
              <w:t>49.1%</w:t>
            </w:r>
          </w:p>
        </w:tc>
        <w:tc>
          <w:tcPr>
            <w:tcW w:w="618" w:type="pct"/>
            <w:shd w:val="clear" w:color="auto" w:fill="auto"/>
            <w:noWrap/>
            <w:tcMar>
              <w:left w:w="0" w:type="dxa"/>
            </w:tcMar>
            <w:vAlign w:val="center"/>
            <w:hideMark/>
          </w:tcPr>
          <w:p w14:paraId="76E58DC3" w14:textId="77777777" w:rsidR="00CE1BDB" w:rsidRPr="00625CD5" w:rsidRDefault="00CE1BDB" w:rsidP="00625CD5">
            <w:pPr>
              <w:jc w:val="right"/>
              <w:rPr>
                <w:rFonts w:cs="Arial"/>
                <w:color w:val="000000"/>
                <w:sz w:val="22"/>
                <w:szCs w:val="22"/>
              </w:rPr>
            </w:pPr>
            <w:r w:rsidRPr="00625CD5">
              <w:rPr>
                <w:rFonts w:cs="Arial"/>
                <w:color w:val="000000"/>
                <w:sz w:val="22"/>
                <w:szCs w:val="22"/>
              </w:rPr>
              <w:t>£125,000</w:t>
            </w:r>
          </w:p>
        </w:tc>
        <w:tc>
          <w:tcPr>
            <w:tcW w:w="621" w:type="pct"/>
            <w:shd w:val="clear" w:color="auto" w:fill="auto"/>
            <w:noWrap/>
            <w:tcMar>
              <w:left w:w="0" w:type="dxa"/>
            </w:tcMar>
            <w:vAlign w:val="center"/>
            <w:hideMark/>
          </w:tcPr>
          <w:p w14:paraId="5F7C7111" w14:textId="77777777" w:rsidR="00CE1BDB" w:rsidRPr="00625CD5" w:rsidRDefault="00CE1BDB" w:rsidP="00625CD5">
            <w:pPr>
              <w:jc w:val="right"/>
              <w:rPr>
                <w:rFonts w:cs="Arial"/>
                <w:color w:val="000000"/>
                <w:sz w:val="22"/>
                <w:szCs w:val="22"/>
              </w:rPr>
            </w:pPr>
            <w:r w:rsidRPr="00625CD5">
              <w:rPr>
                <w:rFonts w:cs="Arial"/>
                <w:color w:val="000000"/>
                <w:sz w:val="22"/>
                <w:szCs w:val="22"/>
              </w:rPr>
              <w:t>£197,000</w:t>
            </w:r>
          </w:p>
        </w:tc>
        <w:tc>
          <w:tcPr>
            <w:tcW w:w="521" w:type="pct"/>
            <w:shd w:val="clear" w:color="auto" w:fill="auto"/>
            <w:noWrap/>
            <w:tcMar>
              <w:left w:w="0" w:type="dxa"/>
            </w:tcMar>
            <w:vAlign w:val="center"/>
            <w:hideMark/>
          </w:tcPr>
          <w:p w14:paraId="440A8380" w14:textId="77777777" w:rsidR="00CE1BDB" w:rsidRPr="00625CD5" w:rsidRDefault="00CE1BDB" w:rsidP="00625CD5">
            <w:pPr>
              <w:jc w:val="right"/>
              <w:rPr>
                <w:rFonts w:cs="Arial"/>
                <w:color w:val="000000"/>
                <w:sz w:val="22"/>
                <w:szCs w:val="22"/>
              </w:rPr>
            </w:pPr>
            <w:r w:rsidRPr="00625CD5">
              <w:rPr>
                <w:rFonts w:cs="Arial"/>
                <w:color w:val="000000"/>
                <w:sz w:val="22"/>
                <w:szCs w:val="22"/>
              </w:rPr>
              <w:t>57.6%</w:t>
            </w:r>
          </w:p>
        </w:tc>
      </w:tr>
      <w:tr w:rsidR="00625CD5" w:rsidRPr="00625CD5" w14:paraId="72D9001B" w14:textId="77777777" w:rsidTr="00625CD5">
        <w:trPr>
          <w:trHeight w:val="660"/>
        </w:trPr>
        <w:tc>
          <w:tcPr>
            <w:tcW w:w="1541" w:type="pct"/>
            <w:shd w:val="clear" w:color="auto" w:fill="auto"/>
            <w:noWrap/>
            <w:vAlign w:val="center"/>
            <w:hideMark/>
          </w:tcPr>
          <w:p w14:paraId="2171CEF6" w14:textId="77777777" w:rsidR="00CE1BDB" w:rsidRPr="00625CD5" w:rsidRDefault="00CE1BDB" w:rsidP="00625CD5">
            <w:pPr>
              <w:rPr>
                <w:rFonts w:cs="Arial"/>
                <w:color w:val="000000"/>
                <w:sz w:val="22"/>
                <w:szCs w:val="22"/>
              </w:rPr>
            </w:pPr>
            <w:r w:rsidRPr="00625CD5">
              <w:rPr>
                <w:rFonts w:cs="Arial"/>
                <w:color w:val="000000"/>
                <w:sz w:val="22"/>
                <w:szCs w:val="22"/>
              </w:rPr>
              <w:t>Chatham Maritime and Gillingham (</w:t>
            </w:r>
            <w:proofErr w:type="spellStart"/>
            <w:r w:rsidRPr="00625CD5">
              <w:rPr>
                <w:rFonts w:cs="Arial"/>
                <w:color w:val="000000"/>
                <w:sz w:val="22"/>
                <w:szCs w:val="22"/>
              </w:rPr>
              <w:t>inc</w:t>
            </w:r>
            <w:proofErr w:type="spellEnd"/>
            <w:r w:rsidRPr="00625CD5">
              <w:rPr>
                <w:rFonts w:cs="Arial"/>
                <w:color w:val="000000"/>
                <w:sz w:val="22"/>
                <w:szCs w:val="22"/>
              </w:rPr>
              <w:t xml:space="preserve"> St Mary’s Island &amp; Brompton) </w:t>
            </w:r>
          </w:p>
        </w:tc>
        <w:tc>
          <w:tcPr>
            <w:tcW w:w="617" w:type="pct"/>
            <w:shd w:val="clear" w:color="auto" w:fill="auto"/>
            <w:noWrap/>
            <w:tcMar>
              <w:left w:w="0" w:type="dxa"/>
            </w:tcMar>
            <w:vAlign w:val="center"/>
            <w:hideMark/>
          </w:tcPr>
          <w:p w14:paraId="261D874A" w14:textId="77777777" w:rsidR="00CE1BDB" w:rsidRPr="00625CD5" w:rsidRDefault="00CE1BDB" w:rsidP="00625CD5">
            <w:pPr>
              <w:jc w:val="right"/>
              <w:rPr>
                <w:rFonts w:cs="Arial"/>
                <w:color w:val="000000"/>
                <w:sz w:val="22"/>
                <w:szCs w:val="22"/>
              </w:rPr>
            </w:pPr>
            <w:r w:rsidRPr="00625CD5">
              <w:rPr>
                <w:rFonts w:cs="Arial"/>
                <w:color w:val="000000"/>
                <w:sz w:val="22"/>
                <w:szCs w:val="22"/>
              </w:rPr>
              <w:t>£125,000</w:t>
            </w:r>
          </w:p>
        </w:tc>
        <w:tc>
          <w:tcPr>
            <w:tcW w:w="618" w:type="pct"/>
            <w:shd w:val="clear" w:color="auto" w:fill="auto"/>
            <w:noWrap/>
            <w:tcMar>
              <w:left w:w="0" w:type="dxa"/>
            </w:tcMar>
            <w:vAlign w:val="center"/>
            <w:hideMark/>
          </w:tcPr>
          <w:p w14:paraId="55DBE624" w14:textId="77777777" w:rsidR="00CE1BDB" w:rsidRPr="00625CD5" w:rsidRDefault="00CE1BDB" w:rsidP="00625CD5">
            <w:pPr>
              <w:jc w:val="right"/>
              <w:rPr>
                <w:rFonts w:cs="Arial"/>
                <w:color w:val="000000"/>
                <w:sz w:val="22"/>
                <w:szCs w:val="22"/>
              </w:rPr>
            </w:pPr>
            <w:r w:rsidRPr="00625CD5">
              <w:rPr>
                <w:rFonts w:cs="Arial"/>
                <w:color w:val="000000"/>
                <w:sz w:val="22"/>
                <w:szCs w:val="22"/>
              </w:rPr>
              <w:t>£177,525</w:t>
            </w:r>
          </w:p>
        </w:tc>
        <w:tc>
          <w:tcPr>
            <w:tcW w:w="463" w:type="pct"/>
            <w:shd w:val="clear" w:color="auto" w:fill="auto"/>
            <w:noWrap/>
            <w:tcMar>
              <w:left w:w="0" w:type="dxa"/>
            </w:tcMar>
            <w:vAlign w:val="center"/>
            <w:hideMark/>
          </w:tcPr>
          <w:p w14:paraId="7018DF1F" w14:textId="77777777" w:rsidR="00CE1BDB" w:rsidRPr="00625CD5" w:rsidRDefault="00CE1BDB" w:rsidP="00625CD5">
            <w:pPr>
              <w:jc w:val="right"/>
              <w:rPr>
                <w:rFonts w:cs="Arial"/>
                <w:color w:val="000000"/>
                <w:sz w:val="22"/>
                <w:szCs w:val="22"/>
              </w:rPr>
            </w:pPr>
            <w:r w:rsidRPr="00625CD5">
              <w:rPr>
                <w:rFonts w:cs="Arial"/>
                <w:color w:val="000000"/>
                <w:sz w:val="22"/>
                <w:szCs w:val="22"/>
              </w:rPr>
              <w:t>42.0%</w:t>
            </w:r>
          </w:p>
        </w:tc>
        <w:tc>
          <w:tcPr>
            <w:tcW w:w="618" w:type="pct"/>
            <w:shd w:val="clear" w:color="auto" w:fill="auto"/>
            <w:noWrap/>
            <w:tcMar>
              <w:left w:w="0" w:type="dxa"/>
            </w:tcMar>
            <w:vAlign w:val="center"/>
            <w:hideMark/>
          </w:tcPr>
          <w:p w14:paraId="0534A59F" w14:textId="77777777" w:rsidR="00CE1BDB" w:rsidRPr="00625CD5" w:rsidRDefault="00CE1BDB" w:rsidP="00625CD5">
            <w:pPr>
              <w:jc w:val="right"/>
              <w:rPr>
                <w:rFonts w:cs="Arial"/>
                <w:color w:val="000000"/>
                <w:sz w:val="22"/>
                <w:szCs w:val="22"/>
              </w:rPr>
            </w:pPr>
            <w:r w:rsidRPr="00625CD5">
              <w:rPr>
                <w:rFonts w:cs="Arial"/>
                <w:color w:val="000000"/>
                <w:sz w:val="22"/>
                <w:szCs w:val="22"/>
              </w:rPr>
              <w:t>£140,000</w:t>
            </w:r>
          </w:p>
        </w:tc>
        <w:tc>
          <w:tcPr>
            <w:tcW w:w="621" w:type="pct"/>
            <w:shd w:val="clear" w:color="auto" w:fill="auto"/>
            <w:noWrap/>
            <w:tcMar>
              <w:left w:w="0" w:type="dxa"/>
            </w:tcMar>
            <w:vAlign w:val="center"/>
            <w:hideMark/>
          </w:tcPr>
          <w:p w14:paraId="4FC273E4" w14:textId="77777777" w:rsidR="00CE1BDB" w:rsidRPr="00625CD5" w:rsidRDefault="00CE1BDB" w:rsidP="00625CD5">
            <w:pPr>
              <w:jc w:val="right"/>
              <w:rPr>
                <w:rFonts w:cs="Arial"/>
                <w:color w:val="000000"/>
                <w:sz w:val="22"/>
                <w:szCs w:val="22"/>
              </w:rPr>
            </w:pPr>
            <w:r w:rsidRPr="00625CD5">
              <w:rPr>
                <w:rFonts w:cs="Arial"/>
                <w:color w:val="000000"/>
                <w:sz w:val="22"/>
                <w:szCs w:val="22"/>
              </w:rPr>
              <w:t>£210,000</w:t>
            </w:r>
          </w:p>
        </w:tc>
        <w:tc>
          <w:tcPr>
            <w:tcW w:w="521" w:type="pct"/>
            <w:shd w:val="clear" w:color="auto" w:fill="auto"/>
            <w:noWrap/>
            <w:tcMar>
              <w:left w:w="0" w:type="dxa"/>
            </w:tcMar>
            <w:vAlign w:val="center"/>
            <w:hideMark/>
          </w:tcPr>
          <w:p w14:paraId="71E4D555" w14:textId="77777777" w:rsidR="00CE1BDB" w:rsidRPr="00625CD5" w:rsidRDefault="00CE1BDB" w:rsidP="00625CD5">
            <w:pPr>
              <w:jc w:val="right"/>
              <w:rPr>
                <w:rFonts w:cs="Arial"/>
                <w:color w:val="000000"/>
                <w:sz w:val="22"/>
                <w:szCs w:val="22"/>
              </w:rPr>
            </w:pPr>
            <w:r w:rsidRPr="00625CD5">
              <w:rPr>
                <w:rFonts w:cs="Arial"/>
                <w:color w:val="000000"/>
                <w:sz w:val="22"/>
                <w:szCs w:val="22"/>
              </w:rPr>
              <w:t>50.0%</w:t>
            </w:r>
          </w:p>
        </w:tc>
      </w:tr>
      <w:tr w:rsidR="00625CD5" w:rsidRPr="00625CD5" w14:paraId="0F42C595" w14:textId="77777777" w:rsidTr="00625CD5">
        <w:trPr>
          <w:trHeight w:val="340"/>
        </w:trPr>
        <w:tc>
          <w:tcPr>
            <w:tcW w:w="1541" w:type="pct"/>
            <w:shd w:val="clear" w:color="auto" w:fill="auto"/>
            <w:noWrap/>
            <w:vAlign w:val="center"/>
            <w:hideMark/>
          </w:tcPr>
          <w:p w14:paraId="09E6111C" w14:textId="77777777" w:rsidR="00CE1BDB" w:rsidRPr="00625CD5" w:rsidRDefault="00CE1BDB" w:rsidP="00EF49A7">
            <w:pPr>
              <w:jc w:val="both"/>
              <w:rPr>
                <w:rFonts w:cs="Arial"/>
                <w:color w:val="000000"/>
                <w:sz w:val="22"/>
                <w:szCs w:val="22"/>
              </w:rPr>
            </w:pPr>
            <w:r w:rsidRPr="00625CD5">
              <w:rPr>
                <w:rFonts w:cs="Arial"/>
                <w:color w:val="000000"/>
                <w:sz w:val="22"/>
                <w:szCs w:val="22"/>
              </w:rPr>
              <w:t>Rainham</w:t>
            </w:r>
          </w:p>
        </w:tc>
        <w:tc>
          <w:tcPr>
            <w:tcW w:w="617" w:type="pct"/>
            <w:shd w:val="clear" w:color="auto" w:fill="auto"/>
            <w:noWrap/>
            <w:tcMar>
              <w:left w:w="0" w:type="dxa"/>
            </w:tcMar>
            <w:vAlign w:val="center"/>
            <w:hideMark/>
          </w:tcPr>
          <w:p w14:paraId="5A2B180B" w14:textId="77777777" w:rsidR="00CE1BDB" w:rsidRPr="00625CD5" w:rsidRDefault="00CE1BDB" w:rsidP="00625CD5">
            <w:pPr>
              <w:jc w:val="right"/>
              <w:rPr>
                <w:rFonts w:cs="Arial"/>
                <w:color w:val="000000"/>
                <w:sz w:val="22"/>
                <w:szCs w:val="22"/>
              </w:rPr>
            </w:pPr>
            <w:r w:rsidRPr="00625CD5">
              <w:rPr>
                <w:rFonts w:cs="Arial"/>
                <w:color w:val="000000"/>
                <w:sz w:val="22"/>
                <w:szCs w:val="22"/>
              </w:rPr>
              <w:t>£149,000</w:t>
            </w:r>
          </w:p>
        </w:tc>
        <w:tc>
          <w:tcPr>
            <w:tcW w:w="618" w:type="pct"/>
            <w:shd w:val="clear" w:color="auto" w:fill="auto"/>
            <w:noWrap/>
            <w:tcMar>
              <w:left w:w="0" w:type="dxa"/>
            </w:tcMar>
            <w:vAlign w:val="center"/>
            <w:hideMark/>
          </w:tcPr>
          <w:p w14:paraId="424632AA" w14:textId="77777777" w:rsidR="00CE1BDB" w:rsidRPr="00625CD5" w:rsidRDefault="00CE1BDB" w:rsidP="00625CD5">
            <w:pPr>
              <w:jc w:val="right"/>
              <w:rPr>
                <w:rFonts w:cs="Arial"/>
                <w:color w:val="000000"/>
                <w:sz w:val="22"/>
                <w:szCs w:val="22"/>
              </w:rPr>
            </w:pPr>
            <w:r w:rsidRPr="00625CD5">
              <w:rPr>
                <w:rFonts w:cs="Arial"/>
                <w:color w:val="000000"/>
                <w:sz w:val="22"/>
                <w:szCs w:val="22"/>
              </w:rPr>
              <w:t>£230,000</w:t>
            </w:r>
          </w:p>
        </w:tc>
        <w:tc>
          <w:tcPr>
            <w:tcW w:w="463" w:type="pct"/>
            <w:shd w:val="clear" w:color="auto" w:fill="auto"/>
            <w:noWrap/>
            <w:tcMar>
              <w:left w:w="0" w:type="dxa"/>
            </w:tcMar>
            <w:vAlign w:val="center"/>
            <w:hideMark/>
          </w:tcPr>
          <w:p w14:paraId="1A128757" w14:textId="77777777" w:rsidR="00CE1BDB" w:rsidRPr="00625CD5" w:rsidRDefault="00CE1BDB" w:rsidP="00625CD5">
            <w:pPr>
              <w:jc w:val="right"/>
              <w:rPr>
                <w:rFonts w:cs="Arial"/>
                <w:color w:val="000000"/>
                <w:sz w:val="22"/>
                <w:szCs w:val="22"/>
              </w:rPr>
            </w:pPr>
            <w:r w:rsidRPr="00625CD5">
              <w:rPr>
                <w:rFonts w:cs="Arial"/>
                <w:color w:val="000000"/>
                <w:sz w:val="22"/>
                <w:szCs w:val="22"/>
              </w:rPr>
              <w:t>54.4%</w:t>
            </w:r>
          </w:p>
        </w:tc>
        <w:tc>
          <w:tcPr>
            <w:tcW w:w="618" w:type="pct"/>
            <w:shd w:val="clear" w:color="auto" w:fill="auto"/>
            <w:noWrap/>
            <w:tcMar>
              <w:left w:w="0" w:type="dxa"/>
            </w:tcMar>
            <w:vAlign w:val="center"/>
            <w:hideMark/>
          </w:tcPr>
          <w:p w14:paraId="53DED771" w14:textId="77777777" w:rsidR="00CE1BDB" w:rsidRPr="00625CD5" w:rsidRDefault="00CE1BDB" w:rsidP="00625CD5">
            <w:pPr>
              <w:jc w:val="right"/>
              <w:rPr>
                <w:rFonts w:cs="Arial"/>
                <w:color w:val="000000"/>
                <w:sz w:val="22"/>
                <w:szCs w:val="22"/>
              </w:rPr>
            </w:pPr>
            <w:r w:rsidRPr="00625CD5">
              <w:rPr>
                <w:rFonts w:cs="Arial"/>
                <w:color w:val="000000"/>
                <w:sz w:val="22"/>
                <w:szCs w:val="22"/>
              </w:rPr>
              <w:t>£170,000</w:t>
            </w:r>
          </w:p>
        </w:tc>
        <w:tc>
          <w:tcPr>
            <w:tcW w:w="621" w:type="pct"/>
            <w:shd w:val="clear" w:color="auto" w:fill="auto"/>
            <w:noWrap/>
            <w:tcMar>
              <w:left w:w="0" w:type="dxa"/>
            </w:tcMar>
            <w:vAlign w:val="center"/>
            <w:hideMark/>
          </w:tcPr>
          <w:p w14:paraId="26FBE4CA" w14:textId="77777777" w:rsidR="00CE1BDB" w:rsidRPr="00625CD5" w:rsidRDefault="00CE1BDB" w:rsidP="00625CD5">
            <w:pPr>
              <w:jc w:val="right"/>
              <w:rPr>
                <w:rFonts w:cs="Arial"/>
                <w:color w:val="000000"/>
                <w:sz w:val="22"/>
                <w:szCs w:val="22"/>
              </w:rPr>
            </w:pPr>
            <w:r w:rsidRPr="00625CD5">
              <w:rPr>
                <w:rFonts w:cs="Arial"/>
                <w:color w:val="000000"/>
                <w:sz w:val="22"/>
                <w:szCs w:val="22"/>
              </w:rPr>
              <w:t>£275,000</w:t>
            </w:r>
          </w:p>
        </w:tc>
        <w:tc>
          <w:tcPr>
            <w:tcW w:w="521" w:type="pct"/>
            <w:shd w:val="clear" w:color="auto" w:fill="auto"/>
            <w:noWrap/>
            <w:tcMar>
              <w:left w:w="0" w:type="dxa"/>
            </w:tcMar>
            <w:vAlign w:val="center"/>
            <w:hideMark/>
          </w:tcPr>
          <w:p w14:paraId="2884F1F3" w14:textId="77777777" w:rsidR="00CE1BDB" w:rsidRPr="00625CD5" w:rsidRDefault="00CE1BDB" w:rsidP="00625CD5">
            <w:pPr>
              <w:jc w:val="right"/>
              <w:rPr>
                <w:rFonts w:cs="Arial"/>
                <w:color w:val="000000"/>
                <w:sz w:val="22"/>
                <w:szCs w:val="22"/>
              </w:rPr>
            </w:pPr>
            <w:r w:rsidRPr="00625CD5">
              <w:rPr>
                <w:rFonts w:cs="Arial"/>
                <w:color w:val="000000"/>
                <w:sz w:val="22"/>
                <w:szCs w:val="22"/>
              </w:rPr>
              <w:t>61.8%</w:t>
            </w:r>
          </w:p>
        </w:tc>
      </w:tr>
      <w:tr w:rsidR="00625CD5" w:rsidRPr="00625CD5" w14:paraId="150D5B94" w14:textId="77777777" w:rsidTr="00625CD5">
        <w:trPr>
          <w:trHeight w:val="340"/>
        </w:trPr>
        <w:tc>
          <w:tcPr>
            <w:tcW w:w="1541" w:type="pct"/>
            <w:shd w:val="clear" w:color="auto" w:fill="auto"/>
            <w:noWrap/>
            <w:vAlign w:val="center"/>
            <w:hideMark/>
          </w:tcPr>
          <w:p w14:paraId="0FA2917D" w14:textId="77777777" w:rsidR="00CE1BDB" w:rsidRPr="00625CD5" w:rsidRDefault="00CE1BDB" w:rsidP="00EF49A7">
            <w:pPr>
              <w:jc w:val="both"/>
              <w:rPr>
                <w:rFonts w:cs="Arial"/>
                <w:color w:val="000000"/>
                <w:sz w:val="22"/>
                <w:szCs w:val="22"/>
              </w:rPr>
            </w:pPr>
            <w:r w:rsidRPr="00625CD5">
              <w:rPr>
                <w:rFonts w:cs="Arial"/>
                <w:color w:val="000000"/>
                <w:sz w:val="22"/>
                <w:szCs w:val="22"/>
              </w:rPr>
              <w:t>Rochester</w:t>
            </w:r>
          </w:p>
        </w:tc>
        <w:tc>
          <w:tcPr>
            <w:tcW w:w="617" w:type="pct"/>
            <w:shd w:val="clear" w:color="auto" w:fill="auto"/>
            <w:noWrap/>
            <w:tcMar>
              <w:left w:w="0" w:type="dxa"/>
            </w:tcMar>
            <w:vAlign w:val="center"/>
            <w:hideMark/>
          </w:tcPr>
          <w:p w14:paraId="6AB43044" w14:textId="77777777" w:rsidR="00CE1BDB" w:rsidRPr="00625CD5" w:rsidRDefault="00CE1BDB" w:rsidP="00625CD5">
            <w:pPr>
              <w:jc w:val="right"/>
              <w:rPr>
                <w:rFonts w:cs="Arial"/>
                <w:color w:val="000000"/>
                <w:sz w:val="22"/>
                <w:szCs w:val="22"/>
              </w:rPr>
            </w:pPr>
            <w:r w:rsidRPr="00625CD5">
              <w:rPr>
                <w:rFonts w:cs="Arial"/>
                <w:color w:val="000000"/>
                <w:sz w:val="22"/>
                <w:szCs w:val="22"/>
              </w:rPr>
              <w:t>£140,125</w:t>
            </w:r>
          </w:p>
        </w:tc>
        <w:tc>
          <w:tcPr>
            <w:tcW w:w="618" w:type="pct"/>
            <w:shd w:val="clear" w:color="auto" w:fill="auto"/>
            <w:noWrap/>
            <w:tcMar>
              <w:left w:w="0" w:type="dxa"/>
            </w:tcMar>
            <w:vAlign w:val="center"/>
            <w:hideMark/>
          </w:tcPr>
          <w:p w14:paraId="1DAC81F6" w14:textId="77777777" w:rsidR="00CE1BDB" w:rsidRPr="00625CD5" w:rsidRDefault="00CE1BDB" w:rsidP="00625CD5">
            <w:pPr>
              <w:jc w:val="right"/>
              <w:rPr>
                <w:rFonts w:cs="Arial"/>
                <w:color w:val="000000"/>
                <w:sz w:val="22"/>
                <w:szCs w:val="22"/>
              </w:rPr>
            </w:pPr>
            <w:r w:rsidRPr="00625CD5">
              <w:rPr>
                <w:rFonts w:cs="Arial"/>
                <w:color w:val="000000"/>
                <w:sz w:val="22"/>
                <w:szCs w:val="22"/>
              </w:rPr>
              <w:t>£215,000</w:t>
            </w:r>
          </w:p>
        </w:tc>
        <w:tc>
          <w:tcPr>
            <w:tcW w:w="463" w:type="pct"/>
            <w:shd w:val="clear" w:color="auto" w:fill="auto"/>
            <w:noWrap/>
            <w:tcMar>
              <w:left w:w="0" w:type="dxa"/>
            </w:tcMar>
            <w:vAlign w:val="center"/>
            <w:hideMark/>
          </w:tcPr>
          <w:p w14:paraId="7E028B5C" w14:textId="77777777" w:rsidR="00CE1BDB" w:rsidRPr="00625CD5" w:rsidRDefault="00CE1BDB" w:rsidP="00625CD5">
            <w:pPr>
              <w:jc w:val="right"/>
              <w:rPr>
                <w:rFonts w:cs="Arial"/>
                <w:color w:val="000000"/>
                <w:sz w:val="22"/>
                <w:szCs w:val="22"/>
              </w:rPr>
            </w:pPr>
            <w:r w:rsidRPr="00625CD5">
              <w:rPr>
                <w:rFonts w:cs="Arial"/>
                <w:color w:val="000000"/>
                <w:sz w:val="22"/>
                <w:szCs w:val="22"/>
              </w:rPr>
              <w:t>53.4%</w:t>
            </w:r>
          </w:p>
        </w:tc>
        <w:tc>
          <w:tcPr>
            <w:tcW w:w="618" w:type="pct"/>
            <w:shd w:val="clear" w:color="auto" w:fill="auto"/>
            <w:noWrap/>
            <w:tcMar>
              <w:left w:w="0" w:type="dxa"/>
            </w:tcMar>
            <w:vAlign w:val="center"/>
            <w:hideMark/>
          </w:tcPr>
          <w:p w14:paraId="42A95630" w14:textId="77777777" w:rsidR="00CE1BDB" w:rsidRPr="00625CD5" w:rsidRDefault="00CE1BDB" w:rsidP="00625CD5">
            <w:pPr>
              <w:jc w:val="right"/>
              <w:rPr>
                <w:rFonts w:cs="Arial"/>
                <w:color w:val="000000"/>
                <w:sz w:val="22"/>
                <w:szCs w:val="22"/>
              </w:rPr>
            </w:pPr>
            <w:r w:rsidRPr="00625CD5">
              <w:rPr>
                <w:rFonts w:cs="Arial"/>
                <w:color w:val="000000"/>
                <w:sz w:val="22"/>
                <w:szCs w:val="22"/>
              </w:rPr>
              <w:t>£162,500</w:t>
            </w:r>
          </w:p>
        </w:tc>
        <w:tc>
          <w:tcPr>
            <w:tcW w:w="621" w:type="pct"/>
            <w:shd w:val="clear" w:color="auto" w:fill="auto"/>
            <w:noWrap/>
            <w:tcMar>
              <w:left w:w="0" w:type="dxa"/>
            </w:tcMar>
            <w:vAlign w:val="center"/>
            <w:hideMark/>
          </w:tcPr>
          <w:p w14:paraId="755C3C63" w14:textId="77777777" w:rsidR="00CE1BDB" w:rsidRPr="00625CD5" w:rsidRDefault="00CE1BDB" w:rsidP="00625CD5">
            <w:pPr>
              <w:jc w:val="right"/>
              <w:rPr>
                <w:rFonts w:cs="Arial"/>
                <w:color w:val="000000"/>
                <w:sz w:val="22"/>
                <w:szCs w:val="22"/>
              </w:rPr>
            </w:pPr>
            <w:r w:rsidRPr="00625CD5">
              <w:rPr>
                <w:rFonts w:cs="Arial"/>
                <w:color w:val="000000"/>
                <w:sz w:val="22"/>
                <w:szCs w:val="22"/>
              </w:rPr>
              <w:t>£250,000</w:t>
            </w:r>
          </w:p>
        </w:tc>
        <w:tc>
          <w:tcPr>
            <w:tcW w:w="521" w:type="pct"/>
            <w:shd w:val="clear" w:color="auto" w:fill="auto"/>
            <w:noWrap/>
            <w:tcMar>
              <w:left w:w="0" w:type="dxa"/>
            </w:tcMar>
            <w:vAlign w:val="center"/>
            <w:hideMark/>
          </w:tcPr>
          <w:p w14:paraId="6E8590B5" w14:textId="77777777" w:rsidR="00CE1BDB" w:rsidRPr="00625CD5" w:rsidRDefault="00CE1BDB" w:rsidP="00625CD5">
            <w:pPr>
              <w:jc w:val="right"/>
              <w:rPr>
                <w:rFonts w:cs="Arial"/>
                <w:color w:val="000000"/>
                <w:sz w:val="22"/>
                <w:szCs w:val="22"/>
              </w:rPr>
            </w:pPr>
            <w:r w:rsidRPr="00625CD5">
              <w:rPr>
                <w:rFonts w:cs="Arial"/>
                <w:color w:val="000000"/>
                <w:sz w:val="22"/>
                <w:szCs w:val="22"/>
              </w:rPr>
              <w:t>53.8%</w:t>
            </w:r>
          </w:p>
        </w:tc>
      </w:tr>
      <w:tr w:rsidR="00625CD5" w:rsidRPr="00625CD5" w14:paraId="0B6A9112" w14:textId="77777777" w:rsidTr="00625CD5">
        <w:trPr>
          <w:trHeight w:val="340"/>
        </w:trPr>
        <w:tc>
          <w:tcPr>
            <w:tcW w:w="1541" w:type="pct"/>
            <w:shd w:val="clear" w:color="auto" w:fill="auto"/>
            <w:noWrap/>
            <w:vAlign w:val="center"/>
            <w:hideMark/>
          </w:tcPr>
          <w:p w14:paraId="3C7EFEEE" w14:textId="77777777" w:rsidR="00CE1BDB" w:rsidRPr="00625CD5" w:rsidRDefault="00CE1BDB" w:rsidP="00EF49A7">
            <w:pPr>
              <w:jc w:val="both"/>
              <w:rPr>
                <w:rFonts w:cs="Arial"/>
                <w:color w:val="000000"/>
                <w:sz w:val="22"/>
                <w:szCs w:val="22"/>
              </w:rPr>
            </w:pPr>
            <w:r w:rsidRPr="00625CD5">
              <w:rPr>
                <w:rFonts w:cs="Arial"/>
                <w:color w:val="000000"/>
                <w:sz w:val="22"/>
                <w:szCs w:val="22"/>
              </w:rPr>
              <w:t>Strood</w:t>
            </w:r>
          </w:p>
        </w:tc>
        <w:tc>
          <w:tcPr>
            <w:tcW w:w="617" w:type="pct"/>
            <w:shd w:val="clear" w:color="auto" w:fill="auto"/>
            <w:noWrap/>
            <w:tcMar>
              <w:left w:w="0" w:type="dxa"/>
            </w:tcMar>
            <w:vAlign w:val="center"/>
            <w:hideMark/>
          </w:tcPr>
          <w:p w14:paraId="6F06B2D8" w14:textId="77777777" w:rsidR="00CE1BDB" w:rsidRPr="00625CD5" w:rsidRDefault="00CE1BDB" w:rsidP="00625CD5">
            <w:pPr>
              <w:jc w:val="right"/>
              <w:rPr>
                <w:rFonts w:cs="Arial"/>
                <w:color w:val="000000"/>
                <w:sz w:val="22"/>
                <w:szCs w:val="22"/>
              </w:rPr>
            </w:pPr>
            <w:r w:rsidRPr="00625CD5">
              <w:rPr>
                <w:rFonts w:cs="Arial"/>
                <w:color w:val="000000"/>
                <w:sz w:val="22"/>
                <w:szCs w:val="22"/>
              </w:rPr>
              <w:t>£132,438</w:t>
            </w:r>
          </w:p>
        </w:tc>
        <w:tc>
          <w:tcPr>
            <w:tcW w:w="618" w:type="pct"/>
            <w:shd w:val="clear" w:color="auto" w:fill="auto"/>
            <w:noWrap/>
            <w:tcMar>
              <w:left w:w="0" w:type="dxa"/>
            </w:tcMar>
            <w:vAlign w:val="center"/>
            <w:hideMark/>
          </w:tcPr>
          <w:p w14:paraId="6F08061F" w14:textId="77777777" w:rsidR="00CE1BDB" w:rsidRPr="00625CD5" w:rsidRDefault="00CE1BDB" w:rsidP="00625CD5">
            <w:pPr>
              <w:jc w:val="right"/>
              <w:rPr>
                <w:rFonts w:cs="Arial"/>
                <w:color w:val="000000"/>
                <w:sz w:val="22"/>
                <w:szCs w:val="22"/>
              </w:rPr>
            </w:pPr>
            <w:r w:rsidRPr="00625CD5">
              <w:rPr>
                <w:rFonts w:cs="Arial"/>
                <w:color w:val="000000"/>
                <w:sz w:val="22"/>
                <w:szCs w:val="22"/>
              </w:rPr>
              <w:t>£214,250</w:t>
            </w:r>
          </w:p>
        </w:tc>
        <w:tc>
          <w:tcPr>
            <w:tcW w:w="463" w:type="pct"/>
            <w:shd w:val="clear" w:color="auto" w:fill="auto"/>
            <w:noWrap/>
            <w:tcMar>
              <w:left w:w="0" w:type="dxa"/>
            </w:tcMar>
            <w:vAlign w:val="center"/>
            <w:hideMark/>
          </w:tcPr>
          <w:p w14:paraId="21DFC4A1" w14:textId="77777777" w:rsidR="00CE1BDB" w:rsidRPr="00625CD5" w:rsidRDefault="00CE1BDB" w:rsidP="00625CD5">
            <w:pPr>
              <w:jc w:val="right"/>
              <w:rPr>
                <w:rFonts w:cs="Arial"/>
                <w:color w:val="000000"/>
                <w:sz w:val="22"/>
                <w:szCs w:val="22"/>
              </w:rPr>
            </w:pPr>
            <w:r w:rsidRPr="00625CD5">
              <w:rPr>
                <w:rFonts w:cs="Arial"/>
                <w:color w:val="000000"/>
                <w:sz w:val="22"/>
                <w:szCs w:val="22"/>
              </w:rPr>
              <w:t>61.8%</w:t>
            </w:r>
          </w:p>
        </w:tc>
        <w:tc>
          <w:tcPr>
            <w:tcW w:w="618" w:type="pct"/>
            <w:shd w:val="clear" w:color="auto" w:fill="auto"/>
            <w:noWrap/>
            <w:tcMar>
              <w:left w:w="0" w:type="dxa"/>
            </w:tcMar>
            <w:vAlign w:val="center"/>
            <w:hideMark/>
          </w:tcPr>
          <w:p w14:paraId="20872796" w14:textId="77777777" w:rsidR="00CE1BDB" w:rsidRPr="00625CD5" w:rsidRDefault="00CE1BDB" w:rsidP="00625CD5">
            <w:pPr>
              <w:jc w:val="right"/>
              <w:rPr>
                <w:rFonts w:cs="Arial"/>
                <w:color w:val="000000"/>
                <w:sz w:val="22"/>
                <w:szCs w:val="22"/>
              </w:rPr>
            </w:pPr>
            <w:r w:rsidRPr="00625CD5">
              <w:rPr>
                <w:rFonts w:cs="Arial"/>
                <w:color w:val="000000"/>
                <w:sz w:val="22"/>
                <w:szCs w:val="22"/>
              </w:rPr>
              <w:t>£155,000</w:t>
            </w:r>
          </w:p>
        </w:tc>
        <w:tc>
          <w:tcPr>
            <w:tcW w:w="621" w:type="pct"/>
            <w:shd w:val="clear" w:color="auto" w:fill="auto"/>
            <w:noWrap/>
            <w:tcMar>
              <w:left w:w="0" w:type="dxa"/>
            </w:tcMar>
            <w:vAlign w:val="center"/>
            <w:hideMark/>
          </w:tcPr>
          <w:p w14:paraId="7C0669D3" w14:textId="77777777" w:rsidR="00CE1BDB" w:rsidRPr="00625CD5" w:rsidRDefault="00CE1BDB" w:rsidP="00625CD5">
            <w:pPr>
              <w:jc w:val="right"/>
              <w:rPr>
                <w:rFonts w:cs="Arial"/>
                <w:color w:val="000000"/>
                <w:sz w:val="22"/>
                <w:szCs w:val="22"/>
              </w:rPr>
            </w:pPr>
            <w:r w:rsidRPr="00625CD5">
              <w:rPr>
                <w:rFonts w:cs="Arial"/>
                <w:color w:val="000000"/>
                <w:sz w:val="22"/>
                <w:szCs w:val="22"/>
              </w:rPr>
              <w:t>£250,000</w:t>
            </w:r>
          </w:p>
        </w:tc>
        <w:tc>
          <w:tcPr>
            <w:tcW w:w="521" w:type="pct"/>
            <w:shd w:val="clear" w:color="auto" w:fill="auto"/>
            <w:noWrap/>
            <w:tcMar>
              <w:left w:w="0" w:type="dxa"/>
            </w:tcMar>
            <w:vAlign w:val="center"/>
            <w:hideMark/>
          </w:tcPr>
          <w:p w14:paraId="1D16B6AB" w14:textId="77777777" w:rsidR="00CE1BDB" w:rsidRPr="00625CD5" w:rsidRDefault="00CE1BDB" w:rsidP="00625CD5">
            <w:pPr>
              <w:jc w:val="right"/>
              <w:rPr>
                <w:rFonts w:cs="Arial"/>
                <w:color w:val="000000"/>
                <w:sz w:val="22"/>
                <w:szCs w:val="22"/>
              </w:rPr>
            </w:pPr>
            <w:r w:rsidRPr="00625CD5">
              <w:rPr>
                <w:rFonts w:cs="Arial"/>
                <w:color w:val="000000"/>
                <w:sz w:val="22"/>
                <w:szCs w:val="22"/>
              </w:rPr>
              <w:t>61.3%</w:t>
            </w:r>
          </w:p>
        </w:tc>
      </w:tr>
      <w:tr w:rsidR="00CE1BDB" w:rsidRPr="00625CD5" w14:paraId="7D70F295" w14:textId="77777777" w:rsidTr="00625CD5">
        <w:trPr>
          <w:trHeight w:val="340"/>
        </w:trPr>
        <w:tc>
          <w:tcPr>
            <w:tcW w:w="1541" w:type="pct"/>
            <w:vMerge w:val="restart"/>
            <w:shd w:val="clear" w:color="auto" w:fill="006666"/>
            <w:noWrap/>
            <w:vAlign w:val="bottom"/>
            <w:hideMark/>
          </w:tcPr>
          <w:p w14:paraId="124C15F1" w14:textId="77777777" w:rsidR="00CE1BDB" w:rsidRPr="00625CD5" w:rsidRDefault="00CE1BDB" w:rsidP="00625CD5">
            <w:pPr>
              <w:rPr>
                <w:rFonts w:cs="Arial"/>
                <w:b/>
                <w:bCs/>
                <w:color w:val="FFFFFF"/>
                <w:sz w:val="22"/>
                <w:szCs w:val="22"/>
              </w:rPr>
            </w:pPr>
            <w:r w:rsidRPr="00625CD5">
              <w:rPr>
                <w:rFonts w:cs="Arial"/>
                <w:b/>
                <w:bCs/>
                <w:color w:val="FFFFFF"/>
                <w:sz w:val="22"/>
                <w:szCs w:val="22"/>
              </w:rPr>
              <w:t>Neighbourhood Planning Area</w:t>
            </w:r>
          </w:p>
        </w:tc>
        <w:tc>
          <w:tcPr>
            <w:tcW w:w="1698" w:type="pct"/>
            <w:gridSpan w:val="3"/>
            <w:shd w:val="clear" w:color="auto" w:fill="006666"/>
            <w:noWrap/>
            <w:vAlign w:val="bottom"/>
            <w:hideMark/>
          </w:tcPr>
          <w:p w14:paraId="0BF26D16"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LQ house price</w:t>
            </w:r>
          </w:p>
        </w:tc>
        <w:tc>
          <w:tcPr>
            <w:tcW w:w="1760" w:type="pct"/>
            <w:gridSpan w:val="3"/>
            <w:shd w:val="clear" w:color="auto" w:fill="006666"/>
            <w:noWrap/>
            <w:vAlign w:val="bottom"/>
            <w:hideMark/>
          </w:tcPr>
          <w:p w14:paraId="6E4F90BF" w14:textId="77777777" w:rsidR="00CE1BDB" w:rsidRPr="00625CD5" w:rsidRDefault="00CE1BDB" w:rsidP="00625CD5">
            <w:pPr>
              <w:jc w:val="center"/>
              <w:rPr>
                <w:rFonts w:cs="Arial"/>
                <w:b/>
                <w:bCs/>
                <w:color w:val="FFFFFF"/>
                <w:sz w:val="22"/>
                <w:szCs w:val="22"/>
              </w:rPr>
            </w:pPr>
            <w:r w:rsidRPr="00625CD5">
              <w:rPr>
                <w:rFonts w:cs="Arial"/>
                <w:b/>
                <w:bCs/>
                <w:color w:val="FFFFFF"/>
                <w:sz w:val="22"/>
                <w:szCs w:val="22"/>
              </w:rPr>
              <w:t>Median house price</w:t>
            </w:r>
          </w:p>
        </w:tc>
      </w:tr>
      <w:tr w:rsidR="00625CD5" w:rsidRPr="00625CD5" w14:paraId="0DC6724A" w14:textId="77777777" w:rsidTr="00625CD5">
        <w:trPr>
          <w:trHeight w:val="340"/>
        </w:trPr>
        <w:tc>
          <w:tcPr>
            <w:tcW w:w="1541" w:type="pct"/>
            <w:vMerge/>
            <w:shd w:val="clear" w:color="auto" w:fill="006666"/>
            <w:vAlign w:val="bottom"/>
            <w:hideMark/>
          </w:tcPr>
          <w:p w14:paraId="7117406D" w14:textId="77777777" w:rsidR="00CE1BDB" w:rsidRPr="00625CD5" w:rsidRDefault="00CE1BDB" w:rsidP="00625CD5">
            <w:pPr>
              <w:jc w:val="center"/>
              <w:rPr>
                <w:rFonts w:cs="Arial"/>
                <w:b/>
                <w:bCs/>
                <w:color w:val="FFFFFF"/>
                <w:sz w:val="22"/>
                <w:szCs w:val="22"/>
              </w:rPr>
            </w:pPr>
          </w:p>
        </w:tc>
        <w:tc>
          <w:tcPr>
            <w:tcW w:w="617" w:type="pct"/>
            <w:shd w:val="clear" w:color="auto" w:fill="006666"/>
            <w:noWrap/>
            <w:vAlign w:val="bottom"/>
            <w:hideMark/>
          </w:tcPr>
          <w:p w14:paraId="240F9102" w14:textId="77777777" w:rsidR="00CE1BDB" w:rsidRPr="00625CD5" w:rsidRDefault="00CE1BDB" w:rsidP="00625CD5">
            <w:pPr>
              <w:jc w:val="center"/>
              <w:rPr>
                <w:rFonts w:cs="Arial"/>
                <w:color w:val="FFFFFF"/>
                <w:sz w:val="22"/>
                <w:szCs w:val="22"/>
              </w:rPr>
            </w:pPr>
            <w:r w:rsidRPr="00625CD5">
              <w:rPr>
                <w:rFonts w:cs="Arial"/>
                <w:color w:val="FFFFFF"/>
                <w:sz w:val="22"/>
                <w:szCs w:val="22"/>
              </w:rPr>
              <w:t>2007</w:t>
            </w:r>
          </w:p>
        </w:tc>
        <w:tc>
          <w:tcPr>
            <w:tcW w:w="618" w:type="pct"/>
            <w:shd w:val="clear" w:color="auto" w:fill="006666"/>
            <w:noWrap/>
            <w:vAlign w:val="bottom"/>
            <w:hideMark/>
          </w:tcPr>
          <w:p w14:paraId="043AB380" w14:textId="77777777" w:rsidR="00CE1BDB" w:rsidRPr="00625CD5" w:rsidRDefault="00CE1BDB" w:rsidP="00625CD5">
            <w:pPr>
              <w:jc w:val="center"/>
              <w:rPr>
                <w:rFonts w:cs="Arial"/>
                <w:color w:val="FFFFFF"/>
                <w:sz w:val="22"/>
                <w:szCs w:val="22"/>
              </w:rPr>
            </w:pPr>
            <w:r w:rsidRPr="00625CD5">
              <w:rPr>
                <w:rFonts w:cs="Arial"/>
                <w:color w:val="FFFFFF"/>
                <w:sz w:val="22"/>
                <w:szCs w:val="22"/>
              </w:rPr>
              <w:t>2020</w:t>
            </w:r>
          </w:p>
        </w:tc>
        <w:tc>
          <w:tcPr>
            <w:tcW w:w="463" w:type="pct"/>
            <w:shd w:val="clear" w:color="auto" w:fill="006666"/>
            <w:noWrap/>
            <w:vAlign w:val="bottom"/>
            <w:hideMark/>
          </w:tcPr>
          <w:p w14:paraId="5B04EAB3" w14:textId="77777777" w:rsidR="00CE1BDB" w:rsidRPr="00625CD5" w:rsidRDefault="00CE1BDB" w:rsidP="00625CD5">
            <w:pPr>
              <w:jc w:val="center"/>
              <w:rPr>
                <w:rFonts w:cs="Arial"/>
                <w:color w:val="FFFFFF"/>
                <w:sz w:val="22"/>
                <w:szCs w:val="22"/>
              </w:rPr>
            </w:pPr>
            <w:r w:rsidRPr="00625CD5">
              <w:rPr>
                <w:rFonts w:cs="Arial"/>
                <w:color w:val="FFFFFF"/>
                <w:sz w:val="22"/>
                <w:szCs w:val="22"/>
              </w:rPr>
              <w:t xml:space="preserve">% </w:t>
            </w:r>
            <w:proofErr w:type="gramStart"/>
            <w:r w:rsidRPr="00625CD5">
              <w:rPr>
                <w:rFonts w:cs="Arial"/>
                <w:color w:val="FFFFFF"/>
                <w:sz w:val="22"/>
                <w:szCs w:val="22"/>
              </w:rPr>
              <w:t>change</w:t>
            </w:r>
            <w:proofErr w:type="gramEnd"/>
          </w:p>
        </w:tc>
        <w:tc>
          <w:tcPr>
            <w:tcW w:w="618" w:type="pct"/>
            <w:shd w:val="clear" w:color="auto" w:fill="006666"/>
            <w:noWrap/>
            <w:vAlign w:val="bottom"/>
            <w:hideMark/>
          </w:tcPr>
          <w:p w14:paraId="66ACAD84" w14:textId="77777777" w:rsidR="00CE1BDB" w:rsidRPr="00625CD5" w:rsidRDefault="00CE1BDB" w:rsidP="00625CD5">
            <w:pPr>
              <w:jc w:val="center"/>
              <w:rPr>
                <w:rFonts w:cs="Arial"/>
                <w:color w:val="FFFFFF"/>
                <w:sz w:val="22"/>
                <w:szCs w:val="22"/>
              </w:rPr>
            </w:pPr>
            <w:r w:rsidRPr="00625CD5">
              <w:rPr>
                <w:rFonts w:cs="Arial"/>
                <w:color w:val="FFFFFF"/>
                <w:sz w:val="22"/>
                <w:szCs w:val="22"/>
              </w:rPr>
              <w:t>2007</w:t>
            </w:r>
          </w:p>
        </w:tc>
        <w:tc>
          <w:tcPr>
            <w:tcW w:w="621" w:type="pct"/>
            <w:shd w:val="clear" w:color="auto" w:fill="006666"/>
            <w:noWrap/>
            <w:vAlign w:val="bottom"/>
            <w:hideMark/>
          </w:tcPr>
          <w:p w14:paraId="09898EA7" w14:textId="77777777" w:rsidR="00CE1BDB" w:rsidRPr="00625CD5" w:rsidRDefault="00CE1BDB" w:rsidP="00625CD5">
            <w:pPr>
              <w:jc w:val="center"/>
              <w:rPr>
                <w:rFonts w:cs="Arial"/>
                <w:color w:val="FFFFFF"/>
                <w:sz w:val="22"/>
                <w:szCs w:val="22"/>
              </w:rPr>
            </w:pPr>
            <w:r w:rsidRPr="00625CD5">
              <w:rPr>
                <w:rFonts w:cs="Arial"/>
                <w:color w:val="FFFFFF"/>
                <w:sz w:val="22"/>
                <w:szCs w:val="22"/>
              </w:rPr>
              <w:t>2020</w:t>
            </w:r>
          </w:p>
        </w:tc>
        <w:tc>
          <w:tcPr>
            <w:tcW w:w="521" w:type="pct"/>
            <w:shd w:val="clear" w:color="auto" w:fill="006666"/>
            <w:noWrap/>
            <w:vAlign w:val="bottom"/>
            <w:hideMark/>
          </w:tcPr>
          <w:p w14:paraId="7D324D25" w14:textId="77777777" w:rsidR="00CE1BDB" w:rsidRPr="00625CD5" w:rsidRDefault="00CE1BDB" w:rsidP="00625CD5">
            <w:pPr>
              <w:jc w:val="center"/>
              <w:rPr>
                <w:rFonts w:cs="Arial"/>
                <w:color w:val="FFFFFF"/>
                <w:sz w:val="22"/>
                <w:szCs w:val="22"/>
              </w:rPr>
            </w:pPr>
            <w:r w:rsidRPr="00625CD5">
              <w:rPr>
                <w:rFonts w:cs="Arial"/>
                <w:color w:val="FFFFFF"/>
                <w:sz w:val="22"/>
                <w:szCs w:val="22"/>
              </w:rPr>
              <w:t xml:space="preserve">% </w:t>
            </w:r>
            <w:proofErr w:type="gramStart"/>
            <w:r w:rsidRPr="00625CD5">
              <w:rPr>
                <w:rFonts w:cs="Arial"/>
                <w:color w:val="FFFFFF"/>
                <w:sz w:val="22"/>
                <w:szCs w:val="22"/>
              </w:rPr>
              <w:t>change</w:t>
            </w:r>
            <w:proofErr w:type="gramEnd"/>
          </w:p>
        </w:tc>
      </w:tr>
      <w:tr w:rsidR="00625CD5" w:rsidRPr="00625CD5" w14:paraId="7563D5A5" w14:textId="77777777" w:rsidTr="00625CD5">
        <w:trPr>
          <w:trHeight w:val="340"/>
        </w:trPr>
        <w:tc>
          <w:tcPr>
            <w:tcW w:w="1541" w:type="pct"/>
            <w:shd w:val="clear" w:color="auto" w:fill="auto"/>
            <w:noWrap/>
            <w:vAlign w:val="center"/>
            <w:hideMark/>
          </w:tcPr>
          <w:p w14:paraId="111B3F73" w14:textId="77777777" w:rsidR="00CE1BDB" w:rsidRPr="00625CD5" w:rsidRDefault="00CE1BDB" w:rsidP="00EF49A7">
            <w:pPr>
              <w:rPr>
                <w:rFonts w:cs="Arial"/>
                <w:color w:val="000000"/>
                <w:sz w:val="22"/>
                <w:szCs w:val="22"/>
              </w:rPr>
            </w:pPr>
            <w:r w:rsidRPr="00625CD5">
              <w:rPr>
                <w:rFonts w:cs="Arial"/>
                <w:color w:val="000000" w:themeColor="text1"/>
                <w:sz w:val="22"/>
                <w:szCs w:val="22"/>
              </w:rPr>
              <w:t>Cliffe and Cliffe Woods</w:t>
            </w:r>
          </w:p>
        </w:tc>
        <w:tc>
          <w:tcPr>
            <w:tcW w:w="617" w:type="pct"/>
            <w:shd w:val="clear" w:color="auto" w:fill="auto"/>
            <w:noWrap/>
            <w:tcMar>
              <w:left w:w="0" w:type="dxa"/>
            </w:tcMar>
            <w:vAlign w:val="center"/>
            <w:hideMark/>
          </w:tcPr>
          <w:p w14:paraId="5D5DEBF4" w14:textId="77777777" w:rsidR="00CE1BDB" w:rsidRPr="00625CD5" w:rsidRDefault="00CE1BDB" w:rsidP="00625CD5">
            <w:pPr>
              <w:jc w:val="right"/>
              <w:rPr>
                <w:rFonts w:cs="Arial"/>
                <w:color w:val="000000"/>
                <w:sz w:val="22"/>
                <w:szCs w:val="22"/>
              </w:rPr>
            </w:pPr>
            <w:r w:rsidRPr="00625CD5">
              <w:rPr>
                <w:rFonts w:cs="Arial"/>
                <w:color w:val="000000"/>
                <w:sz w:val="22"/>
                <w:szCs w:val="22"/>
              </w:rPr>
              <w:t>£171,500</w:t>
            </w:r>
          </w:p>
        </w:tc>
        <w:tc>
          <w:tcPr>
            <w:tcW w:w="618" w:type="pct"/>
            <w:shd w:val="clear" w:color="auto" w:fill="auto"/>
            <w:noWrap/>
            <w:tcMar>
              <w:left w:w="0" w:type="dxa"/>
            </w:tcMar>
            <w:vAlign w:val="center"/>
            <w:hideMark/>
          </w:tcPr>
          <w:p w14:paraId="7731CCEC" w14:textId="77777777" w:rsidR="00CE1BDB" w:rsidRPr="00625CD5" w:rsidRDefault="00CE1BDB" w:rsidP="00625CD5">
            <w:pPr>
              <w:jc w:val="right"/>
              <w:rPr>
                <w:rFonts w:cs="Arial"/>
                <w:color w:val="000000"/>
                <w:sz w:val="22"/>
                <w:szCs w:val="22"/>
              </w:rPr>
            </w:pPr>
            <w:r w:rsidRPr="00625CD5">
              <w:rPr>
                <w:rFonts w:cs="Arial"/>
                <w:color w:val="000000"/>
                <w:sz w:val="22"/>
                <w:szCs w:val="22"/>
              </w:rPr>
              <w:t>£262,000</w:t>
            </w:r>
          </w:p>
        </w:tc>
        <w:tc>
          <w:tcPr>
            <w:tcW w:w="463" w:type="pct"/>
            <w:shd w:val="clear" w:color="auto" w:fill="auto"/>
            <w:noWrap/>
            <w:tcMar>
              <w:left w:w="0" w:type="dxa"/>
            </w:tcMar>
            <w:vAlign w:val="center"/>
            <w:hideMark/>
          </w:tcPr>
          <w:p w14:paraId="4C8F7F68" w14:textId="77777777" w:rsidR="00CE1BDB" w:rsidRPr="00625CD5" w:rsidRDefault="00CE1BDB" w:rsidP="00625CD5">
            <w:pPr>
              <w:jc w:val="right"/>
              <w:rPr>
                <w:rFonts w:cs="Arial"/>
                <w:color w:val="000000"/>
                <w:sz w:val="22"/>
                <w:szCs w:val="22"/>
              </w:rPr>
            </w:pPr>
            <w:r w:rsidRPr="00625CD5">
              <w:rPr>
                <w:rFonts w:cs="Arial"/>
                <w:color w:val="000000"/>
                <w:sz w:val="22"/>
                <w:szCs w:val="22"/>
              </w:rPr>
              <w:t>52.8%</w:t>
            </w:r>
          </w:p>
        </w:tc>
        <w:tc>
          <w:tcPr>
            <w:tcW w:w="618" w:type="pct"/>
            <w:shd w:val="clear" w:color="auto" w:fill="auto"/>
            <w:noWrap/>
            <w:tcMar>
              <w:left w:w="0" w:type="dxa"/>
            </w:tcMar>
            <w:vAlign w:val="center"/>
            <w:hideMark/>
          </w:tcPr>
          <w:p w14:paraId="3817946B" w14:textId="77777777" w:rsidR="00CE1BDB" w:rsidRPr="00625CD5" w:rsidRDefault="00CE1BDB" w:rsidP="00625CD5">
            <w:pPr>
              <w:jc w:val="right"/>
              <w:rPr>
                <w:rFonts w:cs="Arial"/>
                <w:color w:val="000000"/>
                <w:sz w:val="22"/>
                <w:szCs w:val="22"/>
              </w:rPr>
            </w:pPr>
            <w:r w:rsidRPr="00625CD5">
              <w:rPr>
                <w:rFonts w:cs="Arial"/>
                <w:color w:val="000000"/>
                <w:sz w:val="22"/>
                <w:szCs w:val="22"/>
              </w:rPr>
              <w:t>£205,000</w:t>
            </w:r>
          </w:p>
        </w:tc>
        <w:tc>
          <w:tcPr>
            <w:tcW w:w="621" w:type="pct"/>
            <w:shd w:val="clear" w:color="auto" w:fill="auto"/>
            <w:noWrap/>
            <w:tcMar>
              <w:left w:w="0" w:type="dxa"/>
            </w:tcMar>
            <w:vAlign w:val="center"/>
            <w:hideMark/>
          </w:tcPr>
          <w:p w14:paraId="7BA5AC54" w14:textId="77777777" w:rsidR="00CE1BDB" w:rsidRPr="00625CD5" w:rsidRDefault="00CE1BDB" w:rsidP="00625CD5">
            <w:pPr>
              <w:jc w:val="right"/>
              <w:rPr>
                <w:rFonts w:cs="Arial"/>
                <w:color w:val="000000"/>
                <w:sz w:val="22"/>
                <w:szCs w:val="22"/>
              </w:rPr>
            </w:pPr>
            <w:r w:rsidRPr="00625CD5">
              <w:rPr>
                <w:rFonts w:cs="Arial"/>
                <w:color w:val="000000"/>
                <w:sz w:val="22"/>
                <w:szCs w:val="22"/>
              </w:rPr>
              <w:t>£306,500</w:t>
            </w:r>
          </w:p>
        </w:tc>
        <w:tc>
          <w:tcPr>
            <w:tcW w:w="521" w:type="pct"/>
            <w:shd w:val="clear" w:color="auto" w:fill="auto"/>
            <w:noWrap/>
            <w:tcMar>
              <w:left w:w="0" w:type="dxa"/>
            </w:tcMar>
            <w:vAlign w:val="center"/>
            <w:hideMark/>
          </w:tcPr>
          <w:p w14:paraId="1DD0FC18" w14:textId="77777777" w:rsidR="00CE1BDB" w:rsidRPr="00625CD5" w:rsidRDefault="00CE1BDB" w:rsidP="00625CD5">
            <w:pPr>
              <w:jc w:val="right"/>
              <w:rPr>
                <w:rFonts w:cs="Arial"/>
                <w:color w:val="000000"/>
                <w:sz w:val="22"/>
                <w:szCs w:val="22"/>
              </w:rPr>
            </w:pPr>
            <w:r w:rsidRPr="00625CD5">
              <w:rPr>
                <w:rFonts w:cs="Arial"/>
                <w:color w:val="000000"/>
                <w:sz w:val="22"/>
                <w:szCs w:val="22"/>
              </w:rPr>
              <w:t>49.5%</w:t>
            </w:r>
          </w:p>
        </w:tc>
      </w:tr>
      <w:tr w:rsidR="00625CD5" w:rsidRPr="00625CD5" w14:paraId="7B4B66BD" w14:textId="77777777" w:rsidTr="00625CD5">
        <w:trPr>
          <w:trHeight w:val="340"/>
        </w:trPr>
        <w:tc>
          <w:tcPr>
            <w:tcW w:w="1541" w:type="pct"/>
            <w:shd w:val="clear" w:color="auto" w:fill="auto"/>
            <w:noWrap/>
            <w:vAlign w:val="center"/>
            <w:hideMark/>
          </w:tcPr>
          <w:p w14:paraId="12080C3C" w14:textId="77777777" w:rsidR="00CE1BDB" w:rsidRPr="00625CD5" w:rsidRDefault="00CE1BDB" w:rsidP="00EF49A7">
            <w:pPr>
              <w:rPr>
                <w:rFonts w:cs="Arial"/>
                <w:color w:val="000000"/>
                <w:sz w:val="22"/>
                <w:szCs w:val="22"/>
              </w:rPr>
            </w:pPr>
            <w:proofErr w:type="spellStart"/>
            <w:r w:rsidRPr="00625CD5">
              <w:rPr>
                <w:rFonts w:cs="Arial"/>
                <w:color w:val="000000"/>
                <w:sz w:val="22"/>
                <w:szCs w:val="22"/>
              </w:rPr>
              <w:t>Frindsbury</w:t>
            </w:r>
            <w:proofErr w:type="spellEnd"/>
            <w:r w:rsidRPr="00625CD5">
              <w:rPr>
                <w:rFonts w:cs="Arial"/>
                <w:color w:val="000000"/>
                <w:sz w:val="22"/>
                <w:szCs w:val="22"/>
              </w:rPr>
              <w:t xml:space="preserve"> Extra</w:t>
            </w:r>
          </w:p>
        </w:tc>
        <w:tc>
          <w:tcPr>
            <w:tcW w:w="617" w:type="pct"/>
            <w:shd w:val="clear" w:color="auto" w:fill="auto"/>
            <w:noWrap/>
            <w:tcMar>
              <w:left w:w="0" w:type="dxa"/>
            </w:tcMar>
            <w:vAlign w:val="center"/>
            <w:hideMark/>
          </w:tcPr>
          <w:p w14:paraId="59CA25D9" w14:textId="77777777" w:rsidR="00CE1BDB" w:rsidRPr="00625CD5" w:rsidRDefault="00CE1BDB" w:rsidP="00625CD5">
            <w:pPr>
              <w:jc w:val="right"/>
              <w:rPr>
                <w:rFonts w:cs="Arial"/>
                <w:color w:val="000000"/>
                <w:sz w:val="22"/>
                <w:szCs w:val="22"/>
              </w:rPr>
            </w:pPr>
            <w:r w:rsidRPr="00625CD5">
              <w:rPr>
                <w:rFonts w:cs="Arial"/>
                <w:color w:val="000000"/>
                <w:sz w:val="22"/>
                <w:szCs w:val="22"/>
              </w:rPr>
              <w:t>£171,500</w:t>
            </w:r>
          </w:p>
        </w:tc>
        <w:tc>
          <w:tcPr>
            <w:tcW w:w="618" w:type="pct"/>
            <w:shd w:val="clear" w:color="auto" w:fill="auto"/>
            <w:noWrap/>
            <w:tcMar>
              <w:left w:w="0" w:type="dxa"/>
            </w:tcMar>
            <w:vAlign w:val="center"/>
            <w:hideMark/>
          </w:tcPr>
          <w:p w14:paraId="3B1ADDAF" w14:textId="77777777" w:rsidR="00CE1BDB" w:rsidRPr="00625CD5" w:rsidRDefault="00CE1BDB" w:rsidP="00625CD5">
            <w:pPr>
              <w:jc w:val="right"/>
              <w:rPr>
                <w:rFonts w:cs="Arial"/>
                <w:color w:val="000000"/>
                <w:sz w:val="22"/>
                <w:szCs w:val="22"/>
              </w:rPr>
            </w:pPr>
            <w:r w:rsidRPr="00625CD5">
              <w:rPr>
                <w:rFonts w:cs="Arial"/>
                <w:color w:val="000000"/>
                <w:sz w:val="22"/>
                <w:szCs w:val="22"/>
              </w:rPr>
              <w:t>£235,500</w:t>
            </w:r>
          </w:p>
        </w:tc>
        <w:tc>
          <w:tcPr>
            <w:tcW w:w="463" w:type="pct"/>
            <w:shd w:val="clear" w:color="auto" w:fill="auto"/>
            <w:noWrap/>
            <w:tcMar>
              <w:left w:w="0" w:type="dxa"/>
            </w:tcMar>
            <w:vAlign w:val="center"/>
            <w:hideMark/>
          </w:tcPr>
          <w:p w14:paraId="10B752FA" w14:textId="77777777" w:rsidR="00CE1BDB" w:rsidRPr="00625CD5" w:rsidRDefault="00CE1BDB" w:rsidP="00625CD5">
            <w:pPr>
              <w:jc w:val="right"/>
              <w:rPr>
                <w:rFonts w:cs="Arial"/>
                <w:color w:val="000000"/>
                <w:sz w:val="22"/>
                <w:szCs w:val="22"/>
              </w:rPr>
            </w:pPr>
            <w:r w:rsidRPr="00625CD5">
              <w:rPr>
                <w:rFonts w:cs="Arial"/>
                <w:color w:val="000000"/>
                <w:sz w:val="22"/>
                <w:szCs w:val="22"/>
              </w:rPr>
              <w:t>37.3%</w:t>
            </w:r>
          </w:p>
        </w:tc>
        <w:tc>
          <w:tcPr>
            <w:tcW w:w="618" w:type="pct"/>
            <w:shd w:val="clear" w:color="auto" w:fill="auto"/>
            <w:noWrap/>
            <w:tcMar>
              <w:left w:w="0" w:type="dxa"/>
            </w:tcMar>
            <w:vAlign w:val="center"/>
            <w:hideMark/>
          </w:tcPr>
          <w:p w14:paraId="63F6F079" w14:textId="77777777" w:rsidR="00CE1BDB" w:rsidRPr="00625CD5" w:rsidRDefault="00CE1BDB" w:rsidP="00625CD5">
            <w:pPr>
              <w:jc w:val="right"/>
              <w:rPr>
                <w:rFonts w:cs="Arial"/>
                <w:color w:val="000000"/>
                <w:sz w:val="22"/>
                <w:szCs w:val="22"/>
              </w:rPr>
            </w:pPr>
            <w:r w:rsidRPr="00625CD5">
              <w:rPr>
                <w:rFonts w:cs="Arial"/>
                <w:color w:val="000000"/>
                <w:sz w:val="22"/>
                <w:szCs w:val="22"/>
              </w:rPr>
              <w:t>£196,000</w:t>
            </w:r>
          </w:p>
        </w:tc>
        <w:tc>
          <w:tcPr>
            <w:tcW w:w="621" w:type="pct"/>
            <w:shd w:val="clear" w:color="auto" w:fill="auto"/>
            <w:noWrap/>
            <w:tcMar>
              <w:left w:w="0" w:type="dxa"/>
            </w:tcMar>
            <w:vAlign w:val="center"/>
            <w:hideMark/>
          </w:tcPr>
          <w:p w14:paraId="13743FE1" w14:textId="77777777" w:rsidR="00CE1BDB" w:rsidRPr="00625CD5" w:rsidRDefault="00CE1BDB" w:rsidP="00625CD5">
            <w:pPr>
              <w:jc w:val="right"/>
              <w:rPr>
                <w:rFonts w:cs="Arial"/>
                <w:color w:val="000000"/>
                <w:sz w:val="22"/>
                <w:szCs w:val="22"/>
              </w:rPr>
            </w:pPr>
            <w:r w:rsidRPr="00625CD5">
              <w:rPr>
                <w:rFonts w:cs="Arial"/>
                <w:color w:val="000000"/>
                <w:sz w:val="22"/>
                <w:szCs w:val="22"/>
              </w:rPr>
              <w:t>£290,000</w:t>
            </w:r>
          </w:p>
        </w:tc>
        <w:tc>
          <w:tcPr>
            <w:tcW w:w="521" w:type="pct"/>
            <w:shd w:val="clear" w:color="auto" w:fill="auto"/>
            <w:noWrap/>
            <w:tcMar>
              <w:left w:w="0" w:type="dxa"/>
            </w:tcMar>
            <w:vAlign w:val="center"/>
            <w:hideMark/>
          </w:tcPr>
          <w:p w14:paraId="6DC3601F" w14:textId="77777777" w:rsidR="00CE1BDB" w:rsidRPr="00625CD5" w:rsidRDefault="00CE1BDB" w:rsidP="00625CD5">
            <w:pPr>
              <w:jc w:val="right"/>
              <w:rPr>
                <w:rFonts w:cs="Arial"/>
                <w:color w:val="000000"/>
                <w:sz w:val="22"/>
                <w:szCs w:val="22"/>
              </w:rPr>
            </w:pPr>
            <w:r w:rsidRPr="00625CD5">
              <w:rPr>
                <w:rFonts w:cs="Arial"/>
                <w:color w:val="000000"/>
                <w:sz w:val="22"/>
                <w:szCs w:val="22"/>
              </w:rPr>
              <w:t>48.0%</w:t>
            </w:r>
          </w:p>
        </w:tc>
      </w:tr>
      <w:tr w:rsidR="00625CD5" w:rsidRPr="00625CD5" w14:paraId="45339040" w14:textId="77777777" w:rsidTr="00625CD5">
        <w:trPr>
          <w:trHeight w:val="340"/>
        </w:trPr>
        <w:tc>
          <w:tcPr>
            <w:tcW w:w="1541" w:type="pct"/>
            <w:shd w:val="clear" w:color="auto" w:fill="auto"/>
            <w:noWrap/>
            <w:vAlign w:val="center"/>
            <w:hideMark/>
          </w:tcPr>
          <w:p w14:paraId="16B16D01" w14:textId="77777777" w:rsidR="00CE1BDB" w:rsidRPr="00625CD5" w:rsidRDefault="00CE1BDB" w:rsidP="00EF49A7">
            <w:pPr>
              <w:rPr>
                <w:rFonts w:cs="Arial"/>
                <w:color w:val="000000"/>
                <w:sz w:val="22"/>
                <w:szCs w:val="22"/>
              </w:rPr>
            </w:pPr>
            <w:r w:rsidRPr="00625CD5">
              <w:rPr>
                <w:rFonts w:cs="Arial"/>
                <w:color w:val="000000"/>
                <w:sz w:val="22"/>
                <w:szCs w:val="22"/>
              </w:rPr>
              <w:t xml:space="preserve">High </w:t>
            </w:r>
            <w:proofErr w:type="spellStart"/>
            <w:r w:rsidRPr="00625CD5">
              <w:rPr>
                <w:rFonts w:cs="Arial"/>
                <w:color w:val="000000"/>
                <w:sz w:val="22"/>
                <w:szCs w:val="22"/>
              </w:rPr>
              <w:t>Halstow</w:t>
            </w:r>
            <w:proofErr w:type="spellEnd"/>
          </w:p>
        </w:tc>
        <w:tc>
          <w:tcPr>
            <w:tcW w:w="617" w:type="pct"/>
            <w:shd w:val="clear" w:color="auto" w:fill="auto"/>
            <w:noWrap/>
            <w:tcMar>
              <w:left w:w="0" w:type="dxa"/>
            </w:tcMar>
            <w:vAlign w:val="center"/>
            <w:hideMark/>
          </w:tcPr>
          <w:p w14:paraId="2FAF7B15" w14:textId="77777777" w:rsidR="00CE1BDB" w:rsidRPr="00625CD5" w:rsidRDefault="00CE1BDB" w:rsidP="00625CD5">
            <w:pPr>
              <w:jc w:val="right"/>
              <w:rPr>
                <w:rFonts w:cs="Arial"/>
                <w:color w:val="000000"/>
                <w:sz w:val="22"/>
                <w:szCs w:val="22"/>
              </w:rPr>
            </w:pPr>
            <w:r w:rsidRPr="00625CD5">
              <w:rPr>
                <w:rFonts w:cs="Arial"/>
                <w:color w:val="000000"/>
                <w:sz w:val="22"/>
                <w:szCs w:val="22"/>
              </w:rPr>
              <w:t>£180,000</w:t>
            </w:r>
          </w:p>
        </w:tc>
        <w:tc>
          <w:tcPr>
            <w:tcW w:w="618" w:type="pct"/>
            <w:shd w:val="clear" w:color="auto" w:fill="auto"/>
            <w:noWrap/>
            <w:tcMar>
              <w:left w:w="0" w:type="dxa"/>
            </w:tcMar>
            <w:vAlign w:val="center"/>
            <w:hideMark/>
          </w:tcPr>
          <w:p w14:paraId="7A11A58C" w14:textId="77777777" w:rsidR="00CE1BDB" w:rsidRPr="00625CD5" w:rsidRDefault="00CE1BDB" w:rsidP="00625CD5">
            <w:pPr>
              <w:jc w:val="right"/>
              <w:rPr>
                <w:rFonts w:cs="Arial"/>
                <w:color w:val="000000"/>
                <w:sz w:val="22"/>
                <w:szCs w:val="22"/>
              </w:rPr>
            </w:pPr>
            <w:r w:rsidRPr="00625CD5">
              <w:rPr>
                <w:rFonts w:cs="Arial"/>
                <w:color w:val="000000"/>
                <w:sz w:val="22"/>
                <w:szCs w:val="22"/>
              </w:rPr>
              <w:t>£300,000</w:t>
            </w:r>
          </w:p>
        </w:tc>
        <w:tc>
          <w:tcPr>
            <w:tcW w:w="463" w:type="pct"/>
            <w:shd w:val="clear" w:color="auto" w:fill="auto"/>
            <w:noWrap/>
            <w:tcMar>
              <w:left w:w="0" w:type="dxa"/>
            </w:tcMar>
            <w:vAlign w:val="center"/>
            <w:hideMark/>
          </w:tcPr>
          <w:p w14:paraId="1208F2A9" w14:textId="77777777" w:rsidR="00CE1BDB" w:rsidRPr="00625CD5" w:rsidRDefault="00CE1BDB" w:rsidP="00625CD5">
            <w:pPr>
              <w:jc w:val="right"/>
              <w:rPr>
                <w:rFonts w:cs="Arial"/>
                <w:color w:val="000000"/>
                <w:sz w:val="22"/>
                <w:szCs w:val="22"/>
              </w:rPr>
            </w:pPr>
            <w:r w:rsidRPr="00625CD5">
              <w:rPr>
                <w:rFonts w:cs="Arial"/>
                <w:color w:val="000000"/>
                <w:sz w:val="22"/>
                <w:szCs w:val="22"/>
              </w:rPr>
              <w:t>66.7%</w:t>
            </w:r>
          </w:p>
        </w:tc>
        <w:tc>
          <w:tcPr>
            <w:tcW w:w="618" w:type="pct"/>
            <w:shd w:val="clear" w:color="auto" w:fill="auto"/>
            <w:noWrap/>
            <w:tcMar>
              <w:left w:w="0" w:type="dxa"/>
            </w:tcMar>
            <w:vAlign w:val="center"/>
            <w:hideMark/>
          </w:tcPr>
          <w:p w14:paraId="7C51E82D" w14:textId="77777777" w:rsidR="00CE1BDB" w:rsidRPr="00625CD5" w:rsidRDefault="00CE1BDB" w:rsidP="00625CD5">
            <w:pPr>
              <w:jc w:val="right"/>
              <w:rPr>
                <w:rFonts w:cs="Arial"/>
                <w:color w:val="000000"/>
                <w:sz w:val="22"/>
                <w:szCs w:val="22"/>
              </w:rPr>
            </w:pPr>
            <w:r w:rsidRPr="00625CD5">
              <w:rPr>
                <w:rFonts w:cs="Arial"/>
                <w:color w:val="000000"/>
                <w:sz w:val="22"/>
                <w:szCs w:val="22"/>
              </w:rPr>
              <w:t>£275,000</w:t>
            </w:r>
          </w:p>
        </w:tc>
        <w:tc>
          <w:tcPr>
            <w:tcW w:w="621" w:type="pct"/>
            <w:shd w:val="clear" w:color="auto" w:fill="auto"/>
            <w:noWrap/>
            <w:tcMar>
              <w:left w:w="0" w:type="dxa"/>
            </w:tcMar>
            <w:vAlign w:val="center"/>
            <w:hideMark/>
          </w:tcPr>
          <w:p w14:paraId="6D44FBAF" w14:textId="77777777" w:rsidR="00CE1BDB" w:rsidRPr="00625CD5" w:rsidRDefault="00CE1BDB" w:rsidP="00625CD5">
            <w:pPr>
              <w:jc w:val="right"/>
              <w:rPr>
                <w:rFonts w:cs="Arial"/>
                <w:color w:val="000000"/>
                <w:sz w:val="22"/>
                <w:szCs w:val="22"/>
              </w:rPr>
            </w:pPr>
            <w:r w:rsidRPr="00625CD5">
              <w:rPr>
                <w:rFonts w:cs="Arial"/>
                <w:color w:val="000000"/>
                <w:sz w:val="22"/>
                <w:szCs w:val="22"/>
              </w:rPr>
              <w:t>£433,000</w:t>
            </w:r>
          </w:p>
        </w:tc>
        <w:tc>
          <w:tcPr>
            <w:tcW w:w="521" w:type="pct"/>
            <w:shd w:val="clear" w:color="auto" w:fill="auto"/>
            <w:noWrap/>
            <w:tcMar>
              <w:left w:w="0" w:type="dxa"/>
            </w:tcMar>
            <w:vAlign w:val="center"/>
            <w:hideMark/>
          </w:tcPr>
          <w:p w14:paraId="0A7853CD" w14:textId="77777777" w:rsidR="00CE1BDB" w:rsidRPr="00625CD5" w:rsidRDefault="00CE1BDB" w:rsidP="00625CD5">
            <w:pPr>
              <w:jc w:val="right"/>
              <w:rPr>
                <w:rFonts w:cs="Arial"/>
                <w:color w:val="000000"/>
                <w:sz w:val="22"/>
                <w:szCs w:val="22"/>
              </w:rPr>
            </w:pPr>
            <w:r w:rsidRPr="00625CD5">
              <w:rPr>
                <w:rFonts w:cs="Arial"/>
                <w:color w:val="000000"/>
                <w:sz w:val="22"/>
                <w:szCs w:val="22"/>
              </w:rPr>
              <w:t>57.5%</w:t>
            </w:r>
          </w:p>
        </w:tc>
      </w:tr>
      <w:tr w:rsidR="00625CD5" w:rsidRPr="00625CD5" w14:paraId="0DE1E688" w14:textId="77777777" w:rsidTr="00625CD5">
        <w:trPr>
          <w:trHeight w:val="340"/>
        </w:trPr>
        <w:tc>
          <w:tcPr>
            <w:tcW w:w="1541" w:type="pct"/>
            <w:shd w:val="clear" w:color="auto" w:fill="auto"/>
            <w:noWrap/>
            <w:vAlign w:val="center"/>
            <w:hideMark/>
          </w:tcPr>
          <w:p w14:paraId="6631CA9A" w14:textId="77777777" w:rsidR="00CE1BDB" w:rsidRPr="00625CD5" w:rsidRDefault="00CE1BDB" w:rsidP="00EF49A7">
            <w:pPr>
              <w:rPr>
                <w:rFonts w:cs="Arial"/>
                <w:color w:val="000000"/>
                <w:sz w:val="22"/>
                <w:szCs w:val="22"/>
              </w:rPr>
            </w:pPr>
            <w:proofErr w:type="spellStart"/>
            <w:r w:rsidRPr="00625CD5">
              <w:rPr>
                <w:rFonts w:cs="Arial"/>
                <w:color w:val="000000"/>
                <w:sz w:val="22"/>
                <w:szCs w:val="22"/>
              </w:rPr>
              <w:t>Hoo</w:t>
            </w:r>
            <w:proofErr w:type="spellEnd"/>
            <w:r w:rsidRPr="00625CD5">
              <w:rPr>
                <w:rFonts w:cs="Arial"/>
                <w:color w:val="000000"/>
                <w:sz w:val="22"/>
                <w:szCs w:val="22"/>
              </w:rPr>
              <w:t xml:space="preserve"> St </w:t>
            </w:r>
            <w:proofErr w:type="spellStart"/>
            <w:r w:rsidRPr="00625CD5">
              <w:rPr>
                <w:rFonts w:cs="Arial"/>
                <w:color w:val="000000"/>
                <w:sz w:val="22"/>
                <w:szCs w:val="22"/>
              </w:rPr>
              <w:t>Werburgh</w:t>
            </w:r>
            <w:proofErr w:type="spellEnd"/>
            <w:r w:rsidRPr="00625CD5">
              <w:rPr>
                <w:rFonts w:cs="Arial"/>
                <w:color w:val="000000"/>
                <w:sz w:val="22"/>
                <w:szCs w:val="22"/>
              </w:rPr>
              <w:t>/Rural Town</w:t>
            </w:r>
          </w:p>
        </w:tc>
        <w:tc>
          <w:tcPr>
            <w:tcW w:w="617" w:type="pct"/>
            <w:shd w:val="clear" w:color="auto" w:fill="auto"/>
            <w:noWrap/>
            <w:tcMar>
              <w:left w:w="0" w:type="dxa"/>
            </w:tcMar>
            <w:vAlign w:val="center"/>
            <w:hideMark/>
          </w:tcPr>
          <w:p w14:paraId="1F36709B" w14:textId="77777777" w:rsidR="00CE1BDB" w:rsidRPr="00625CD5" w:rsidRDefault="00CE1BDB" w:rsidP="00625CD5">
            <w:pPr>
              <w:jc w:val="right"/>
              <w:rPr>
                <w:rFonts w:cs="Arial"/>
                <w:color w:val="000000"/>
                <w:sz w:val="22"/>
                <w:szCs w:val="22"/>
              </w:rPr>
            </w:pPr>
            <w:r w:rsidRPr="00625CD5">
              <w:rPr>
                <w:rFonts w:cs="Arial"/>
                <w:color w:val="000000"/>
                <w:sz w:val="22"/>
                <w:szCs w:val="22"/>
              </w:rPr>
              <w:t>£167,000</w:t>
            </w:r>
          </w:p>
        </w:tc>
        <w:tc>
          <w:tcPr>
            <w:tcW w:w="618" w:type="pct"/>
            <w:shd w:val="clear" w:color="auto" w:fill="auto"/>
            <w:noWrap/>
            <w:tcMar>
              <w:left w:w="0" w:type="dxa"/>
            </w:tcMar>
            <w:vAlign w:val="center"/>
            <w:hideMark/>
          </w:tcPr>
          <w:p w14:paraId="068AAB0D" w14:textId="77777777" w:rsidR="00CE1BDB" w:rsidRPr="00625CD5" w:rsidRDefault="00CE1BDB" w:rsidP="00625CD5">
            <w:pPr>
              <w:jc w:val="right"/>
              <w:rPr>
                <w:rFonts w:cs="Arial"/>
                <w:color w:val="000000"/>
                <w:sz w:val="22"/>
                <w:szCs w:val="22"/>
              </w:rPr>
            </w:pPr>
            <w:r w:rsidRPr="00625CD5">
              <w:rPr>
                <w:rFonts w:cs="Arial"/>
                <w:color w:val="000000"/>
                <w:sz w:val="22"/>
                <w:szCs w:val="22"/>
              </w:rPr>
              <w:t>£253,000</w:t>
            </w:r>
          </w:p>
        </w:tc>
        <w:tc>
          <w:tcPr>
            <w:tcW w:w="463" w:type="pct"/>
            <w:shd w:val="clear" w:color="auto" w:fill="auto"/>
            <w:noWrap/>
            <w:tcMar>
              <w:left w:w="0" w:type="dxa"/>
            </w:tcMar>
            <w:vAlign w:val="center"/>
            <w:hideMark/>
          </w:tcPr>
          <w:p w14:paraId="10D0C2CE" w14:textId="77777777" w:rsidR="00CE1BDB" w:rsidRPr="00625CD5" w:rsidRDefault="00CE1BDB" w:rsidP="00625CD5">
            <w:pPr>
              <w:jc w:val="right"/>
              <w:rPr>
                <w:rFonts w:cs="Arial"/>
                <w:color w:val="000000"/>
                <w:sz w:val="22"/>
                <w:szCs w:val="22"/>
              </w:rPr>
            </w:pPr>
            <w:r w:rsidRPr="00625CD5">
              <w:rPr>
                <w:rFonts w:cs="Arial"/>
                <w:color w:val="000000"/>
                <w:sz w:val="22"/>
                <w:szCs w:val="22"/>
              </w:rPr>
              <w:t>51.5%</w:t>
            </w:r>
          </w:p>
        </w:tc>
        <w:tc>
          <w:tcPr>
            <w:tcW w:w="618" w:type="pct"/>
            <w:shd w:val="clear" w:color="auto" w:fill="auto"/>
            <w:noWrap/>
            <w:tcMar>
              <w:left w:w="0" w:type="dxa"/>
            </w:tcMar>
            <w:vAlign w:val="center"/>
            <w:hideMark/>
          </w:tcPr>
          <w:p w14:paraId="33CE0B57" w14:textId="77777777" w:rsidR="00CE1BDB" w:rsidRPr="00625CD5" w:rsidRDefault="00CE1BDB" w:rsidP="00625CD5">
            <w:pPr>
              <w:jc w:val="right"/>
              <w:rPr>
                <w:rFonts w:cs="Arial"/>
                <w:color w:val="000000"/>
                <w:sz w:val="22"/>
                <w:szCs w:val="22"/>
              </w:rPr>
            </w:pPr>
            <w:r w:rsidRPr="00625CD5">
              <w:rPr>
                <w:rFonts w:cs="Arial"/>
                <w:color w:val="000000"/>
                <w:sz w:val="22"/>
                <w:szCs w:val="22"/>
              </w:rPr>
              <w:t>£205,000</w:t>
            </w:r>
          </w:p>
        </w:tc>
        <w:tc>
          <w:tcPr>
            <w:tcW w:w="621" w:type="pct"/>
            <w:shd w:val="clear" w:color="auto" w:fill="auto"/>
            <w:noWrap/>
            <w:tcMar>
              <w:left w:w="0" w:type="dxa"/>
            </w:tcMar>
            <w:vAlign w:val="center"/>
            <w:hideMark/>
          </w:tcPr>
          <w:p w14:paraId="0295CC6B" w14:textId="77777777" w:rsidR="00CE1BDB" w:rsidRPr="00625CD5" w:rsidRDefault="00CE1BDB" w:rsidP="00625CD5">
            <w:pPr>
              <w:jc w:val="right"/>
              <w:rPr>
                <w:rFonts w:cs="Arial"/>
                <w:color w:val="000000"/>
                <w:sz w:val="22"/>
                <w:szCs w:val="22"/>
              </w:rPr>
            </w:pPr>
            <w:r w:rsidRPr="00625CD5">
              <w:rPr>
                <w:rFonts w:cs="Arial"/>
                <w:color w:val="000000"/>
                <w:sz w:val="22"/>
                <w:szCs w:val="22"/>
              </w:rPr>
              <w:t>£307,000</w:t>
            </w:r>
          </w:p>
        </w:tc>
        <w:tc>
          <w:tcPr>
            <w:tcW w:w="521" w:type="pct"/>
            <w:shd w:val="clear" w:color="auto" w:fill="auto"/>
            <w:noWrap/>
            <w:tcMar>
              <w:left w:w="0" w:type="dxa"/>
            </w:tcMar>
            <w:vAlign w:val="center"/>
            <w:hideMark/>
          </w:tcPr>
          <w:p w14:paraId="47CFE71C" w14:textId="77777777" w:rsidR="00CE1BDB" w:rsidRPr="00625CD5" w:rsidRDefault="00CE1BDB" w:rsidP="00625CD5">
            <w:pPr>
              <w:jc w:val="right"/>
              <w:rPr>
                <w:rFonts w:cs="Arial"/>
                <w:color w:val="000000"/>
                <w:sz w:val="22"/>
                <w:szCs w:val="22"/>
              </w:rPr>
            </w:pPr>
            <w:r w:rsidRPr="00625CD5">
              <w:rPr>
                <w:rFonts w:cs="Arial"/>
                <w:color w:val="000000"/>
                <w:sz w:val="22"/>
                <w:szCs w:val="22"/>
              </w:rPr>
              <w:t>49.8%</w:t>
            </w:r>
          </w:p>
        </w:tc>
      </w:tr>
      <w:tr w:rsidR="00625CD5" w:rsidRPr="00625CD5" w14:paraId="2293892F" w14:textId="77777777" w:rsidTr="00625CD5">
        <w:trPr>
          <w:trHeight w:val="340"/>
        </w:trPr>
        <w:tc>
          <w:tcPr>
            <w:tcW w:w="1541" w:type="pct"/>
            <w:shd w:val="clear" w:color="auto" w:fill="auto"/>
            <w:noWrap/>
            <w:vAlign w:val="center"/>
            <w:hideMark/>
          </w:tcPr>
          <w:p w14:paraId="2E55B338" w14:textId="77777777" w:rsidR="00CE1BDB" w:rsidRPr="00625CD5" w:rsidRDefault="00CE1BDB" w:rsidP="00EF49A7">
            <w:pPr>
              <w:rPr>
                <w:rFonts w:cs="Arial"/>
                <w:color w:val="000000"/>
                <w:sz w:val="22"/>
                <w:szCs w:val="22"/>
                <w:highlight w:val="yellow"/>
              </w:rPr>
            </w:pPr>
            <w:r w:rsidRPr="00625CD5">
              <w:rPr>
                <w:rFonts w:cs="Arial"/>
                <w:color w:val="000000" w:themeColor="text1"/>
                <w:sz w:val="22"/>
                <w:szCs w:val="22"/>
              </w:rPr>
              <w:t>Arches (Chatham)</w:t>
            </w:r>
          </w:p>
        </w:tc>
        <w:tc>
          <w:tcPr>
            <w:tcW w:w="617" w:type="pct"/>
            <w:shd w:val="clear" w:color="auto" w:fill="auto"/>
            <w:noWrap/>
            <w:tcMar>
              <w:left w:w="0" w:type="dxa"/>
            </w:tcMar>
            <w:vAlign w:val="center"/>
            <w:hideMark/>
          </w:tcPr>
          <w:p w14:paraId="28C92D95" w14:textId="77777777" w:rsidR="00CE1BDB" w:rsidRPr="00625CD5" w:rsidRDefault="00CE1BDB" w:rsidP="00625CD5">
            <w:pPr>
              <w:jc w:val="right"/>
              <w:rPr>
                <w:rFonts w:cs="Arial"/>
                <w:color w:val="000000"/>
                <w:sz w:val="22"/>
                <w:szCs w:val="22"/>
              </w:rPr>
            </w:pPr>
            <w:r w:rsidRPr="00625CD5">
              <w:rPr>
                <w:rFonts w:cs="Arial"/>
                <w:color w:val="000000"/>
                <w:sz w:val="22"/>
                <w:szCs w:val="22"/>
              </w:rPr>
              <w:t>£109,000</w:t>
            </w:r>
          </w:p>
        </w:tc>
        <w:tc>
          <w:tcPr>
            <w:tcW w:w="618" w:type="pct"/>
            <w:shd w:val="clear" w:color="auto" w:fill="auto"/>
            <w:noWrap/>
            <w:tcMar>
              <w:left w:w="0" w:type="dxa"/>
            </w:tcMar>
            <w:vAlign w:val="center"/>
            <w:hideMark/>
          </w:tcPr>
          <w:p w14:paraId="48E6767C" w14:textId="77777777" w:rsidR="00CE1BDB" w:rsidRPr="00625CD5" w:rsidRDefault="00CE1BDB" w:rsidP="00625CD5">
            <w:pPr>
              <w:jc w:val="right"/>
              <w:rPr>
                <w:rFonts w:cs="Arial"/>
                <w:color w:val="000000"/>
                <w:sz w:val="22"/>
                <w:szCs w:val="22"/>
              </w:rPr>
            </w:pPr>
            <w:r w:rsidRPr="00625CD5">
              <w:rPr>
                <w:rFonts w:cs="Arial"/>
                <w:color w:val="000000"/>
                <w:sz w:val="22"/>
                <w:szCs w:val="22"/>
              </w:rPr>
              <w:t>£147,500</w:t>
            </w:r>
          </w:p>
        </w:tc>
        <w:tc>
          <w:tcPr>
            <w:tcW w:w="463" w:type="pct"/>
            <w:shd w:val="clear" w:color="auto" w:fill="auto"/>
            <w:noWrap/>
            <w:tcMar>
              <w:left w:w="0" w:type="dxa"/>
            </w:tcMar>
            <w:vAlign w:val="center"/>
            <w:hideMark/>
          </w:tcPr>
          <w:p w14:paraId="4C5C4638" w14:textId="77777777" w:rsidR="00CE1BDB" w:rsidRPr="00625CD5" w:rsidRDefault="00CE1BDB" w:rsidP="00625CD5">
            <w:pPr>
              <w:jc w:val="right"/>
              <w:rPr>
                <w:rFonts w:cs="Arial"/>
                <w:color w:val="000000"/>
                <w:sz w:val="22"/>
                <w:szCs w:val="22"/>
              </w:rPr>
            </w:pPr>
            <w:r w:rsidRPr="00625CD5">
              <w:rPr>
                <w:rFonts w:cs="Arial"/>
                <w:color w:val="000000"/>
                <w:sz w:val="22"/>
                <w:szCs w:val="22"/>
              </w:rPr>
              <w:t>35.3%</w:t>
            </w:r>
          </w:p>
        </w:tc>
        <w:tc>
          <w:tcPr>
            <w:tcW w:w="618" w:type="pct"/>
            <w:shd w:val="clear" w:color="auto" w:fill="auto"/>
            <w:noWrap/>
            <w:tcMar>
              <w:left w:w="0" w:type="dxa"/>
            </w:tcMar>
            <w:vAlign w:val="center"/>
            <w:hideMark/>
          </w:tcPr>
          <w:p w14:paraId="0AFE9DA6" w14:textId="77777777" w:rsidR="00CE1BDB" w:rsidRPr="00625CD5" w:rsidRDefault="00CE1BDB" w:rsidP="00625CD5">
            <w:pPr>
              <w:jc w:val="right"/>
              <w:rPr>
                <w:rFonts w:cs="Arial"/>
                <w:color w:val="000000"/>
                <w:sz w:val="22"/>
                <w:szCs w:val="22"/>
              </w:rPr>
            </w:pPr>
            <w:r w:rsidRPr="00625CD5">
              <w:rPr>
                <w:rFonts w:cs="Arial"/>
                <w:color w:val="000000"/>
                <w:sz w:val="22"/>
                <w:szCs w:val="22"/>
              </w:rPr>
              <w:t>£121,000</w:t>
            </w:r>
          </w:p>
        </w:tc>
        <w:tc>
          <w:tcPr>
            <w:tcW w:w="621" w:type="pct"/>
            <w:shd w:val="clear" w:color="auto" w:fill="auto"/>
            <w:noWrap/>
            <w:tcMar>
              <w:left w:w="0" w:type="dxa"/>
            </w:tcMar>
            <w:vAlign w:val="center"/>
            <w:hideMark/>
          </w:tcPr>
          <w:p w14:paraId="64F2B1D5" w14:textId="77777777" w:rsidR="00CE1BDB" w:rsidRPr="00625CD5" w:rsidRDefault="00CE1BDB" w:rsidP="00625CD5">
            <w:pPr>
              <w:jc w:val="right"/>
              <w:rPr>
                <w:rFonts w:cs="Arial"/>
                <w:color w:val="000000"/>
                <w:sz w:val="22"/>
                <w:szCs w:val="22"/>
              </w:rPr>
            </w:pPr>
            <w:r w:rsidRPr="00625CD5">
              <w:rPr>
                <w:rFonts w:cs="Arial"/>
                <w:color w:val="000000"/>
                <w:sz w:val="22"/>
                <w:szCs w:val="22"/>
              </w:rPr>
              <w:t>£168,500</w:t>
            </w:r>
          </w:p>
        </w:tc>
        <w:tc>
          <w:tcPr>
            <w:tcW w:w="521" w:type="pct"/>
            <w:shd w:val="clear" w:color="auto" w:fill="auto"/>
            <w:noWrap/>
            <w:tcMar>
              <w:left w:w="0" w:type="dxa"/>
            </w:tcMar>
            <w:vAlign w:val="center"/>
            <w:hideMark/>
          </w:tcPr>
          <w:p w14:paraId="4D9D31FD" w14:textId="77777777" w:rsidR="00CE1BDB" w:rsidRPr="00625CD5" w:rsidRDefault="00CE1BDB" w:rsidP="00625CD5">
            <w:pPr>
              <w:jc w:val="right"/>
              <w:rPr>
                <w:rFonts w:cs="Arial"/>
                <w:color w:val="000000"/>
                <w:sz w:val="22"/>
                <w:szCs w:val="22"/>
              </w:rPr>
            </w:pPr>
            <w:r w:rsidRPr="00625CD5">
              <w:rPr>
                <w:rFonts w:cs="Arial"/>
                <w:color w:val="000000"/>
                <w:sz w:val="22"/>
                <w:szCs w:val="22"/>
              </w:rPr>
              <w:t>39.3%</w:t>
            </w:r>
          </w:p>
        </w:tc>
      </w:tr>
    </w:tbl>
    <w:p w14:paraId="1102947D" w14:textId="77777777" w:rsidR="00CE1BDB" w:rsidRPr="00FA4DC7" w:rsidRDefault="00CE1BDB" w:rsidP="00CE1BDB">
      <w:pPr>
        <w:pStyle w:val="Reporttext"/>
        <w:numPr>
          <w:ilvl w:val="0"/>
          <w:numId w:val="0"/>
        </w:numPr>
        <w:tabs>
          <w:tab w:val="left" w:pos="0"/>
          <w:tab w:val="left" w:pos="709"/>
          <w:tab w:val="left" w:pos="1418"/>
        </w:tabs>
        <w:rPr>
          <w:rFonts w:cs="Arial"/>
          <w:b/>
          <w:bCs/>
          <w:color w:val="000000" w:themeColor="text1"/>
          <w:sz w:val="22"/>
          <w:szCs w:val="22"/>
        </w:rPr>
        <w:sectPr w:rsidR="00CE1BDB" w:rsidRPr="00FA4DC7" w:rsidSect="00EF49A7">
          <w:headerReference w:type="default" r:id="rId41"/>
          <w:pgSz w:w="11906" w:h="16838"/>
          <w:pgMar w:top="1134" w:right="1440" w:bottom="1440" w:left="1276" w:header="708" w:footer="708" w:gutter="0"/>
          <w:cols w:space="708"/>
          <w:docGrid w:linePitch="360"/>
        </w:sectPr>
      </w:pPr>
      <w:r w:rsidRPr="00FA4DC7">
        <w:rPr>
          <w:rFonts w:cs="Arial"/>
          <w:sz w:val="22"/>
          <w:szCs w:val="28"/>
        </w:rPr>
        <w:t>Source: Data produced by Land Registry © Crown copyright 2021</w:t>
      </w:r>
    </w:p>
    <w:p w14:paraId="2B072CAB" w14:textId="77777777" w:rsidR="00CE1BDB" w:rsidRPr="00FA4DC7" w:rsidRDefault="00CE1BDB" w:rsidP="00CE1BDB">
      <w:pPr>
        <w:pStyle w:val="Mapheading0"/>
        <w:tabs>
          <w:tab w:val="left" w:pos="709"/>
          <w:tab w:val="left" w:pos="1418"/>
        </w:tabs>
      </w:pPr>
      <w:bookmarkStart w:id="220" w:name="_Toc83035735"/>
      <w:r w:rsidRPr="00FA4DC7">
        <w:lastRenderedPageBreak/>
        <w:t>Map 3.1</w:t>
      </w:r>
      <w:r w:rsidRPr="00FA4DC7">
        <w:tab/>
        <w:t>Lower quartile house prices 2019 by built-up areas within the LSOAs of Medway</w:t>
      </w:r>
      <w:bookmarkEnd w:id="220"/>
    </w:p>
    <w:p w14:paraId="4D496ADF" w14:textId="77777777" w:rsidR="00CE1BDB" w:rsidRPr="00FA4DC7" w:rsidRDefault="00CE1BDB" w:rsidP="00625CD5">
      <w:pPr>
        <w:rPr>
          <w:highlight w:val="yellow"/>
        </w:rPr>
      </w:pPr>
      <w:bookmarkStart w:id="221" w:name="_Toc77592223"/>
      <w:r w:rsidRPr="00FA4DC7">
        <w:rPr>
          <w:noProof/>
        </w:rPr>
        <w:drawing>
          <wp:inline distT="0" distB="0" distL="0" distR="0" wp14:anchorId="02EAB453" wp14:editId="3773CB03">
            <wp:extent cx="7350369" cy="5194047"/>
            <wp:effectExtent l="0" t="0" r="3175" b="635"/>
            <wp:docPr id="57" name="Picture 57" descr="Map showing lower quartile house prices 2019 by built up areas within the LSOAs of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 showing lower quartile house prices 2019 by built up areas within the LSOAs of Medway"/>
                    <pic:cNvPicPr/>
                  </pic:nvPicPr>
                  <pic:blipFill>
                    <a:blip r:embed="rId42"/>
                    <a:stretch>
                      <a:fillRect/>
                    </a:stretch>
                  </pic:blipFill>
                  <pic:spPr>
                    <a:xfrm>
                      <a:off x="0" y="0"/>
                      <a:ext cx="7361833" cy="5202148"/>
                    </a:xfrm>
                    <a:prstGeom prst="rect">
                      <a:avLst/>
                    </a:prstGeom>
                  </pic:spPr>
                </pic:pic>
              </a:graphicData>
            </a:graphic>
          </wp:inline>
        </w:drawing>
      </w:r>
      <w:bookmarkEnd w:id="221"/>
    </w:p>
    <w:p w14:paraId="1495C32F" w14:textId="77777777" w:rsidR="00CE1BDB" w:rsidRPr="00FA4DC7" w:rsidRDefault="00CE1BDB" w:rsidP="00CE1BDB">
      <w:pPr>
        <w:pStyle w:val="Reporttext"/>
        <w:numPr>
          <w:ilvl w:val="0"/>
          <w:numId w:val="0"/>
        </w:numPr>
        <w:tabs>
          <w:tab w:val="left" w:pos="0"/>
          <w:tab w:val="left" w:pos="709"/>
          <w:tab w:val="left" w:pos="1418"/>
        </w:tabs>
        <w:rPr>
          <w:rFonts w:cs="Arial"/>
          <w:sz w:val="22"/>
          <w:szCs w:val="28"/>
        </w:rPr>
      </w:pPr>
      <w:bookmarkStart w:id="222" w:name="_Hlk12891261"/>
      <w:bookmarkStart w:id="223" w:name="_Toc428528473"/>
      <w:bookmarkStart w:id="224" w:name="_Toc430084566"/>
      <w:bookmarkStart w:id="225" w:name="_Toc430782020"/>
      <w:bookmarkStart w:id="226" w:name="_Toc529651975"/>
      <w:bookmarkEnd w:id="216"/>
      <w:bookmarkEnd w:id="217"/>
      <w:r w:rsidRPr="00FA4DC7">
        <w:rPr>
          <w:rFonts w:cs="Arial"/>
          <w:sz w:val="22"/>
          <w:szCs w:val="28"/>
        </w:rPr>
        <w:t>Source: Data produced by Land Registry © Crown copyright 2021</w:t>
      </w:r>
    </w:p>
    <w:p w14:paraId="506D9134" w14:textId="77777777" w:rsidR="00CE1BDB" w:rsidRPr="00FA4DC7" w:rsidRDefault="00CE1BDB" w:rsidP="00CE1BDB">
      <w:pPr>
        <w:pStyle w:val="Mapheading0"/>
        <w:tabs>
          <w:tab w:val="left" w:pos="0"/>
          <w:tab w:val="left" w:pos="709"/>
          <w:tab w:val="left" w:pos="1418"/>
        </w:tabs>
        <w:sectPr w:rsidR="00CE1BDB" w:rsidRPr="00FA4DC7" w:rsidSect="00EF49A7">
          <w:pgSz w:w="16838" w:h="11906" w:orient="landscape"/>
          <w:pgMar w:top="1440" w:right="1440" w:bottom="1276" w:left="1134" w:header="708" w:footer="708" w:gutter="0"/>
          <w:cols w:space="708"/>
          <w:docGrid w:linePitch="360"/>
        </w:sectPr>
      </w:pPr>
    </w:p>
    <w:p w14:paraId="16685B66" w14:textId="77777777" w:rsidR="00CE1BDB" w:rsidRPr="00FA4DC7" w:rsidRDefault="00CE1BDB" w:rsidP="00CE1BDB">
      <w:pPr>
        <w:pStyle w:val="Mapheading0"/>
        <w:tabs>
          <w:tab w:val="left" w:pos="0"/>
          <w:tab w:val="left" w:pos="709"/>
          <w:tab w:val="left" w:pos="1418"/>
        </w:tabs>
      </w:pPr>
      <w:bookmarkStart w:id="227" w:name="_Toc83035736"/>
      <w:r w:rsidRPr="00FA4DC7">
        <w:lastRenderedPageBreak/>
        <w:t>Map 3.2</w:t>
      </w:r>
      <w:r w:rsidRPr="00FA4DC7">
        <w:tab/>
        <w:t xml:space="preserve">Median </w:t>
      </w:r>
      <w:bookmarkEnd w:id="222"/>
      <w:r w:rsidRPr="00FA4DC7">
        <w:t>house prices 2019 by built-up areas within the LSOAs of Medway</w:t>
      </w:r>
      <w:bookmarkEnd w:id="227"/>
    </w:p>
    <w:p w14:paraId="3C8713EC" w14:textId="77777777" w:rsidR="00CE1BDB" w:rsidRPr="00FA4DC7" w:rsidRDefault="00CE1BDB" w:rsidP="00CE1BDB">
      <w:pPr>
        <w:tabs>
          <w:tab w:val="left" w:pos="0"/>
          <w:tab w:val="left" w:pos="709"/>
          <w:tab w:val="left" w:pos="1418"/>
        </w:tabs>
        <w:rPr>
          <w:rFonts w:cs="Arial"/>
          <w:highlight w:val="yellow"/>
        </w:rPr>
      </w:pPr>
    </w:p>
    <w:p w14:paraId="25142398" w14:textId="77777777" w:rsidR="00CE1BDB" w:rsidRPr="00FA4DC7" w:rsidRDefault="00CE1BDB" w:rsidP="00CE1BDB">
      <w:pPr>
        <w:tabs>
          <w:tab w:val="left" w:pos="0"/>
          <w:tab w:val="left" w:pos="709"/>
          <w:tab w:val="left" w:pos="1418"/>
        </w:tabs>
        <w:rPr>
          <w:rFonts w:cs="Arial"/>
          <w:highlight w:val="yellow"/>
        </w:rPr>
      </w:pPr>
      <w:r w:rsidRPr="00FA4DC7">
        <w:rPr>
          <w:rFonts w:cs="Arial"/>
          <w:noProof/>
        </w:rPr>
        <w:drawing>
          <wp:inline distT="0" distB="0" distL="0" distR="0" wp14:anchorId="0D6748DD" wp14:editId="72817565">
            <wp:extent cx="7069015" cy="4995232"/>
            <wp:effectExtent l="0" t="0" r="5080" b="0"/>
            <wp:docPr id="58" name="Picture 58" descr="Map showing median house prices 2019 by built up areas within the LSOAs of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 showing median house prices 2019 by built up areas within the LSOAs of Medway"/>
                    <pic:cNvPicPr/>
                  </pic:nvPicPr>
                  <pic:blipFill>
                    <a:blip r:embed="rId43"/>
                    <a:stretch>
                      <a:fillRect/>
                    </a:stretch>
                  </pic:blipFill>
                  <pic:spPr>
                    <a:xfrm>
                      <a:off x="0" y="0"/>
                      <a:ext cx="7076069" cy="5000216"/>
                    </a:xfrm>
                    <a:prstGeom prst="rect">
                      <a:avLst/>
                    </a:prstGeom>
                  </pic:spPr>
                </pic:pic>
              </a:graphicData>
            </a:graphic>
          </wp:inline>
        </w:drawing>
      </w:r>
    </w:p>
    <w:p w14:paraId="10A6566A" w14:textId="77777777" w:rsidR="00CE1BDB" w:rsidRPr="00FA4DC7" w:rsidRDefault="00CE1BDB" w:rsidP="00CE1BDB">
      <w:pPr>
        <w:pStyle w:val="Reporttext"/>
        <w:numPr>
          <w:ilvl w:val="0"/>
          <w:numId w:val="0"/>
        </w:numPr>
        <w:tabs>
          <w:tab w:val="left" w:pos="0"/>
          <w:tab w:val="left" w:pos="709"/>
          <w:tab w:val="left" w:pos="1418"/>
        </w:tabs>
        <w:rPr>
          <w:rFonts w:cs="Arial"/>
          <w:sz w:val="22"/>
          <w:szCs w:val="28"/>
        </w:rPr>
      </w:pPr>
      <w:r w:rsidRPr="00FA4DC7">
        <w:rPr>
          <w:rFonts w:cs="Arial"/>
          <w:sz w:val="22"/>
          <w:szCs w:val="28"/>
        </w:rPr>
        <w:t>Source: Data produced by Land Registry © Crown copyright 2021</w:t>
      </w:r>
    </w:p>
    <w:p w14:paraId="584DCBF7" w14:textId="77777777" w:rsidR="00CE1BDB" w:rsidRPr="00FA4DC7" w:rsidRDefault="00CE1BDB" w:rsidP="00CE1BDB">
      <w:pPr>
        <w:pStyle w:val="Reporttext"/>
        <w:numPr>
          <w:ilvl w:val="0"/>
          <w:numId w:val="0"/>
        </w:numPr>
        <w:tabs>
          <w:tab w:val="left" w:pos="0"/>
          <w:tab w:val="left" w:pos="709"/>
          <w:tab w:val="left" w:pos="1418"/>
        </w:tabs>
        <w:rPr>
          <w:rFonts w:cs="Arial"/>
          <w:sz w:val="22"/>
          <w:szCs w:val="28"/>
        </w:rPr>
      </w:pPr>
    </w:p>
    <w:p w14:paraId="3B96AA0F" w14:textId="77777777" w:rsidR="00CE1BDB" w:rsidRPr="00FA4DC7" w:rsidRDefault="00CE1BDB" w:rsidP="00CE1BDB">
      <w:pPr>
        <w:pStyle w:val="Reporttext"/>
        <w:numPr>
          <w:ilvl w:val="0"/>
          <w:numId w:val="0"/>
        </w:numPr>
        <w:tabs>
          <w:tab w:val="left" w:pos="0"/>
          <w:tab w:val="left" w:pos="709"/>
          <w:tab w:val="left" w:pos="1418"/>
        </w:tabs>
        <w:rPr>
          <w:rFonts w:cs="Arial"/>
          <w:sz w:val="28"/>
          <w:szCs w:val="28"/>
        </w:rPr>
        <w:sectPr w:rsidR="00CE1BDB" w:rsidRPr="00FA4DC7" w:rsidSect="00EF49A7">
          <w:pgSz w:w="16838" w:h="11906" w:orient="landscape"/>
          <w:pgMar w:top="1440" w:right="1440" w:bottom="1276" w:left="1134" w:header="708" w:footer="708" w:gutter="0"/>
          <w:cols w:space="708"/>
          <w:docGrid w:linePitch="360"/>
        </w:sectPr>
      </w:pPr>
    </w:p>
    <w:p w14:paraId="1E06C76F" w14:textId="77777777" w:rsidR="00CE1BDB" w:rsidRPr="00FA4DC7" w:rsidRDefault="00CE1BDB" w:rsidP="00CE1BDB">
      <w:pPr>
        <w:pStyle w:val="Heading2"/>
        <w:ind w:left="720" w:hanging="11"/>
        <w:rPr>
          <w:rFonts w:cs="Arial"/>
        </w:rPr>
      </w:pPr>
      <w:bookmarkStart w:id="228" w:name="_Toc46497072"/>
      <w:bookmarkStart w:id="229" w:name="_Toc83035657"/>
      <w:bookmarkEnd w:id="223"/>
      <w:bookmarkEnd w:id="224"/>
      <w:bookmarkEnd w:id="225"/>
      <w:bookmarkEnd w:id="226"/>
      <w:r w:rsidRPr="00FA4DC7">
        <w:rPr>
          <w:rFonts w:cs="Arial"/>
        </w:rPr>
        <w:lastRenderedPageBreak/>
        <w:t>Private renting</w:t>
      </w:r>
      <w:bookmarkEnd w:id="228"/>
      <w:bookmarkEnd w:id="229"/>
      <w:r w:rsidRPr="00FA4DC7">
        <w:rPr>
          <w:rFonts w:cs="Arial"/>
        </w:rPr>
        <w:t xml:space="preserve"> </w:t>
      </w:r>
    </w:p>
    <w:p w14:paraId="051DB9D4" w14:textId="77777777" w:rsidR="00CE1BDB" w:rsidRPr="00FA4DC7" w:rsidRDefault="00CE1BDB" w:rsidP="00CE1BDB">
      <w:pPr>
        <w:pStyle w:val="Reporttext"/>
        <w:tabs>
          <w:tab w:val="clear" w:pos="2128"/>
          <w:tab w:val="left" w:pos="0"/>
          <w:tab w:val="left" w:pos="709"/>
          <w:tab w:val="left" w:pos="1418"/>
          <w:tab w:val="num" w:pos="2129"/>
        </w:tabs>
        <w:rPr>
          <w:rFonts w:cs="Arial"/>
        </w:rPr>
      </w:pPr>
      <w:r w:rsidRPr="00FA4DC7">
        <w:rPr>
          <w:rFonts w:cs="Arial"/>
        </w:rPr>
        <w:t xml:space="preserve">Table 3.4 provides an overview of the cost of renting privately across Medway and compares prices with the </w:t>
      </w:r>
      <w:proofErr w:type="gramStart"/>
      <w:r w:rsidRPr="00FA4DC7">
        <w:rPr>
          <w:rFonts w:cs="Arial"/>
        </w:rPr>
        <w:t>South East</w:t>
      </w:r>
      <w:proofErr w:type="gramEnd"/>
      <w:r w:rsidRPr="00FA4DC7">
        <w:rPr>
          <w:rFonts w:cs="Arial"/>
        </w:rPr>
        <w:t xml:space="preserve"> and England over the period 2010 to 2020. Over this time lower quartile rents have increased by 38.2% and median rents have increased by 45.7%. The increase in median rents has been above that experienced across the </w:t>
      </w:r>
      <w:proofErr w:type="gramStart"/>
      <w:r w:rsidRPr="00FA4DC7">
        <w:rPr>
          <w:rFonts w:cs="Arial"/>
        </w:rPr>
        <w:t>South East</w:t>
      </w:r>
      <w:proofErr w:type="gramEnd"/>
      <w:r w:rsidRPr="00FA4DC7">
        <w:rPr>
          <w:rFonts w:cs="Arial"/>
        </w:rPr>
        <w:t xml:space="preserve"> and England. Table 3.5 summarises 2020 price data by wards and smaller areas. </w:t>
      </w:r>
    </w:p>
    <w:p w14:paraId="606EBEF3" w14:textId="77777777" w:rsidR="00CE1BDB" w:rsidRPr="00FA4DC7" w:rsidRDefault="00CE1BDB" w:rsidP="00CE1BDB">
      <w:pPr>
        <w:pStyle w:val="Reporttext"/>
        <w:numPr>
          <w:ilvl w:val="0"/>
          <w:numId w:val="0"/>
        </w:numPr>
        <w:rPr>
          <w:rFonts w:cs="Arial"/>
          <w:color w:val="000000" w:themeColor="text1"/>
        </w:rPr>
      </w:pPr>
    </w:p>
    <w:tbl>
      <w:tblPr>
        <w:tblW w:w="0" w:type="auto"/>
        <w:tblInd w:w="6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2527"/>
        <w:gridCol w:w="1535"/>
        <w:gridCol w:w="1934"/>
        <w:gridCol w:w="2480"/>
      </w:tblGrid>
      <w:tr w:rsidR="00CE1BDB" w:rsidRPr="00625CD5" w14:paraId="07E92B55" w14:textId="77777777" w:rsidTr="00625CD5">
        <w:tc>
          <w:tcPr>
            <w:tcW w:w="0" w:type="auto"/>
            <w:gridSpan w:val="4"/>
            <w:shd w:val="clear" w:color="auto" w:fill="006666"/>
            <w:vAlign w:val="bottom"/>
          </w:tcPr>
          <w:p w14:paraId="13A04E51" w14:textId="77777777" w:rsidR="00CE1BDB" w:rsidRPr="00625CD5" w:rsidRDefault="00CE1BDB" w:rsidP="00EF49A7">
            <w:pPr>
              <w:pStyle w:val="Tableheading1"/>
              <w:rPr>
                <w:rFonts w:cs="Arial"/>
                <w:szCs w:val="22"/>
              </w:rPr>
            </w:pPr>
            <w:bookmarkStart w:id="230" w:name="_Toc83036079"/>
            <w:r w:rsidRPr="00625CD5">
              <w:rPr>
                <w:rFonts w:cs="Arial"/>
                <w:szCs w:val="22"/>
              </w:rPr>
              <w:t>Table 3.4</w:t>
            </w:r>
            <w:r w:rsidRPr="00625CD5">
              <w:rPr>
                <w:rFonts w:cs="Arial"/>
                <w:szCs w:val="22"/>
              </w:rPr>
              <w:tab/>
              <w:t>Comparative lower quartile and median rental price 2010-2020</w:t>
            </w:r>
            <w:bookmarkEnd w:id="230"/>
          </w:p>
        </w:tc>
      </w:tr>
      <w:tr w:rsidR="00CE1BDB" w:rsidRPr="00625CD5" w14:paraId="28D2ADD4" w14:textId="77777777" w:rsidTr="00625CD5">
        <w:tc>
          <w:tcPr>
            <w:tcW w:w="0" w:type="auto"/>
            <w:vMerge w:val="restart"/>
            <w:shd w:val="clear" w:color="auto" w:fill="006666"/>
            <w:noWrap/>
            <w:vAlign w:val="bottom"/>
          </w:tcPr>
          <w:p w14:paraId="17300E4F" w14:textId="77777777" w:rsidR="00CE1BDB" w:rsidRPr="00625CD5" w:rsidRDefault="00CE1BDB" w:rsidP="00EF49A7">
            <w:pPr>
              <w:tabs>
                <w:tab w:val="left" w:pos="0"/>
                <w:tab w:val="left" w:pos="709"/>
                <w:tab w:val="left" w:pos="1418"/>
              </w:tabs>
              <w:rPr>
                <w:rFonts w:cs="Arial"/>
                <w:b/>
                <w:bCs/>
                <w:color w:val="FFFFFF"/>
                <w:sz w:val="22"/>
                <w:szCs w:val="22"/>
              </w:rPr>
            </w:pPr>
            <w:r w:rsidRPr="00625CD5">
              <w:rPr>
                <w:rFonts w:cs="Arial"/>
                <w:b/>
                <w:bCs/>
                <w:color w:val="FFFFFF"/>
                <w:sz w:val="22"/>
                <w:szCs w:val="22"/>
              </w:rPr>
              <w:t>Location</w:t>
            </w:r>
          </w:p>
        </w:tc>
        <w:tc>
          <w:tcPr>
            <w:tcW w:w="0" w:type="auto"/>
            <w:gridSpan w:val="2"/>
            <w:shd w:val="clear" w:color="auto" w:fill="006666"/>
            <w:noWrap/>
            <w:vAlign w:val="bottom"/>
          </w:tcPr>
          <w:p w14:paraId="29A1A98B" w14:textId="77777777" w:rsidR="00CE1BDB" w:rsidRPr="00625CD5" w:rsidRDefault="00CE1BDB" w:rsidP="00EF49A7">
            <w:pPr>
              <w:tabs>
                <w:tab w:val="left" w:pos="0"/>
                <w:tab w:val="left" w:pos="709"/>
                <w:tab w:val="left" w:pos="1418"/>
              </w:tabs>
              <w:jc w:val="center"/>
              <w:rPr>
                <w:rFonts w:cs="Arial"/>
                <w:b/>
                <w:color w:val="FFFFFF"/>
                <w:sz w:val="22"/>
                <w:szCs w:val="22"/>
              </w:rPr>
            </w:pPr>
            <w:r w:rsidRPr="00625CD5">
              <w:rPr>
                <w:rFonts w:cs="Arial"/>
                <w:b/>
                <w:color w:val="FFFFFF"/>
                <w:sz w:val="22"/>
                <w:szCs w:val="22"/>
              </w:rPr>
              <w:t>Lower quartile price by year (£)</w:t>
            </w:r>
          </w:p>
        </w:tc>
        <w:tc>
          <w:tcPr>
            <w:tcW w:w="0" w:type="auto"/>
            <w:vMerge w:val="restart"/>
            <w:shd w:val="clear" w:color="auto" w:fill="006666"/>
            <w:noWrap/>
            <w:vAlign w:val="bottom"/>
          </w:tcPr>
          <w:p w14:paraId="39F1FFDB" w14:textId="77777777" w:rsidR="00CE1BDB" w:rsidRPr="00625CD5" w:rsidRDefault="00CE1BDB" w:rsidP="00EF49A7">
            <w:pPr>
              <w:tabs>
                <w:tab w:val="left" w:pos="0"/>
                <w:tab w:val="left" w:pos="709"/>
                <w:tab w:val="left" w:pos="1418"/>
              </w:tabs>
              <w:jc w:val="center"/>
              <w:rPr>
                <w:rFonts w:cs="Arial"/>
                <w:b/>
                <w:bCs/>
                <w:color w:val="FFFFFF"/>
                <w:sz w:val="22"/>
                <w:szCs w:val="22"/>
              </w:rPr>
            </w:pPr>
            <w:r w:rsidRPr="00625CD5">
              <w:rPr>
                <w:rFonts w:cs="Arial"/>
                <w:b/>
                <w:bCs/>
                <w:color w:val="FFFFFF"/>
                <w:sz w:val="22"/>
                <w:szCs w:val="22"/>
              </w:rPr>
              <w:t xml:space="preserve">% </w:t>
            </w:r>
            <w:proofErr w:type="gramStart"/>
            <w:r w:rsidRPr="00625CD5">
              <w:rPr>
                <w:rFonts w:cs="Arial"/>
                <w:b/>
                <w:bCs/>
                <w:color w:val="FFFFFF"/>
                <w:sz w:val="22"/>
                <w:szCs w:val="22"/>
              </w:rPr>
              <w:t>change</w:t>
            </w:r>
            <w:proofErr w:type="gramEnd"/>
            <w:r w:rsidRPr="00625CD5">
              <w:rPr>
                <w:rFonts w:cs="Arial"/>
                <w:b/>
                <w:bCs/>
                <w:color w:val="FFFFFF"/>
                <w:sz w:val="22"/>
                <w:szCs w:val="22"/>
              </w:rPr>
              <w:t xml:space="preserve"> </w:t>
            </w:r>
          </w:p>
          <w:p w14:paraId="13F13D8B" w14:textId="77777777" w:rsidR="00CE1BDB" w:rsidRPr="00625CD5" w:rsidRDefault="00CE1BDB" w:rsidP="00EF49A7">
            <w:pPr>
              <w:tabs>
                <w:tab w:val="left" w:pos="0"/>
                <w:tab w:val="left" w:pos="709"/>
                <w:tab w:val="left" w:pos="1418"/>
              </w:tabs>
              <w:jc w:val="center"/>
              <w:rPr>
                <w:rFonts w:cs="Arial"/>
                <w:color w:val="FFFFFF"/>
                <w:sz w:val="22"/>
                <w:szCs w:val="22"/>
              </w:rPr>
            </w:pPr>
            <w:r w:rsidRPr="00625CD5">
              <w:rPr>
                <w:rFonts w:cs="Arial"/>
                <w:b/>
                <w:bCs/>
                <w:color w:val="FFFFFF"/>
                <w:sz w:val="22"/>
                <w:szCs w:val="22"/>
              </w:rPr>
              <w:t>2010-2020</w:t>
            </w:r>
          </w:p>
        </w:tc>
      </w:tr>
      <w:tr w:rsidR="00CE1BDB" w:rsidRPr="00625CD5" w14:paraId="03D7AD75" w14:textId="77777777" w:rsidTr="00625CD5">
        <w:tc>
          <w:tcPr>
            <w:tcW w:w="0" w:type="auto"/>
            <w:vMerge/>
            <w:shd w:val="clear" w:color="auto" w:fill="006666"/>
            <w:vAlign w:val="center"/>
          </w:tcPr>
          <w:p w14:paraId="35635790" w14:textId="77777777" w:rsidR="00CE1BDB" w:rsidRPr="00625CD5" w:rsidRDefault="00CE1BDB" w:rsidP="00EF49A7">
            <w:pPr>
              <w:tabs>
                <w:tab w:val="left" w:pos="0"/>
                <w:tab w:val="left" w:pos="709"/>
                <w:tab w:val="left" w:pos="1418"/>
              </w:tabs>
              <w:rPr>
                <w:rFonts w:cs="Arial"/>
                <w:color w:val="FFFFFF"/>
                <w:sz w:val="22"/>
                <w:szCs w:val="22"/>
              </w:rPr>
            </w:pPr>
          </w:p>
        </w:tc>
        <w:tc>
          <w:tcPr>
            <w:tcW w:w="0" w:type="auto"/>
            <w:shd w:val="clear" w:color="auto" w:fill="006666"/>
            <w:noWrap/>
            <w:vAlign w:val="bottom"/>
          </w:tcPr>
          <w:p w14:paraId="3F22F5F8" w14:textId="77777777" w:rsidR="00CE1BDB" w:rsidRPr="00625CD5" w:rsidRDefault="00CE1BDB" w:rsidP="00EF49A7">
            <w:pPr>
              <w:tabs>
                <w:tab w:val="left" w:pos="0"/>
                <w:tab w:val="left" w:pos="709"/>
                <w:tab w:val="left" w:pos="1418"/>
              </w:tabs>
              <w:jc w:val="center"/>
              <w:rPr>
                <w:rFonts w:cs="Arial"/>
                <w:color w:val="FFFFFF"/>
                <w:sz w:val="22"/>
                <w:szCs w:val="22"/>
              </w:rPr>
            </w:pPr>
            <w:r w:rsidRPr="00625CD5">
              <w:rPr>
                <w:rFonts w:cs="Arial"/>
                <w:color w:val="FFFFFF"/>
                <w:sz w:val="22"/>
                <w:szCs w:val="22"/>
              </w:rPr>
              <w:t>2010</w:t>
            </w:r>
          </w:p>
        </w:tc>
        <w:tc>
          <w:tcPr>
            <w:tcW w:w="0" w:type="auto"/>
            <w:shd w:val="clear" w:color="auto" w:fill="006666"/>
            <w:noWrap/>
            <w:vAlign w:val="bottom"/>
          </w:tcPr>
          <w:p w14:paraId="3B430FF3" w14:textId="77777777" w:rsidR="00CE1BDB" w:rsidRPr="00625CD5" w:rsidRDefault="00CE1BDB" w:rsidP="00EF49A7">
            <w:pPr>
              <w:tabs>
                <w:tab w:val="left" w:pos="0"/>
                <w:tab w:val="left" w:pos="709"/>
                <w:tab w:val="left" w:pos="1418"/>
              </w:tabs>
              <w:jc w:val="center"/>
              <w:rPr>
                <w:rFonts w:cs="Arial"/>
                <w:color w:val="FFFFFF"/>
                <w:sz w:val="22"/>
                <w:szCs w:val="22"/>
              </w:rPr>
            </w:pPr>
            <w:r w:rsidRPr="00625CD5">
              <w:rPr>
                <w:rFonts w:cs="Arial"/>
                <w:color w:val="FFFFFF"/>
                <w:sz w:val="22"/>
                <w:szCs w:val="22"/>
              </w:rPr>
              <w:t>2020</w:t>
            </w:r>
          </w:p>
        </w:tc>
        <w:tc>
          <w:tcPr>
            <w:tcW w:w="0" w:type="auto"/>
            <w:vMerge/>
            <w:shd w:val="clear" w:color="auto" w:fill="006666"/>
            <w:vAlign w:val="center"/>
          </w:tcPr>
          <w:p w14:paraId="16C7A37D" w14:textId="77777777" w:rsidR="00CE1BDB" w:rsidRPr="00625CD5" w:rsidRDefault="00CE1BDB" w:rsidP="00EF49A7">
            <w:pPr>
              <w:tabs>
                <w:tab w:val="left" w:pos="0"/>
                <w:tab w:val="left" w:pos="709"/>
                <w:tab w:val="left" w:pos="1418"/>
              </w:tabs>
              <w:rPr>
                <w:rFonts w:cs="Arial"/>
                <w:color w:val="FFFFFF"/>
                <w:sz w:val="22"/>
                <w:szCs w:val="22"/>
              </w:rPr>
            </w:pPr>
          </w:p>
        </w:tc>
      </w:tr>
      <w:tr w:rsidR="00CE1BDB" w:rsidRPr="00625CD5" w14:paraId="3D75A1B5" w14:textId="77777777" w:rsidTr="00625CD5">
        <w:tc>
          <w:tcPr>
            <w:tcW w:w="0" w:type="auto"/>
            <w:shd w:val="clear" w:color="auto" w:fill="FFFFFF"/>
            <w:noWrap/>
            <w:vAlign w:val="center"/>
          </w:tcPr>
          <w:p w14:paraId="04261A14" w14:textId="77777777" w:rsidR="00CE1BDB" w:rsidRPr="00625CD5" w:rsidRDefault="00CE1BDB" w:rsidP="00EF49A7">
            <w:pPr>
              <w:tabs>
                <w:tab w:val="left" w:pos="0"/>
                <w:tab w:val="left" w:pos="709"/>
                <w:tab w:val="left" w:pos="1418"/>
              </w:tabs>
              <w:rPr>
                <w:rFonts w:cs="Arial"/>
                <w:b/>
                <w:bCs/>
                <w:color w:val="000000"/>
                <w:sz w:val="22"/>
                <w:szCs w:val="22"/>
              </w:rPr>
            </w:pPr>
            <w:r w:rsidRPr="00625CD5">
              <w:rPr>
                <w:rFonts w:cs="Arial"/>
                <w:b/>
                <w:bCs/>
                <w:color w:val="000000"/>
                <w:sz w:val="22"/>
                <w:szCs w:val="22"/>
              </w:rPr>
              <w:t>Medway</w:t>
            </w:r>
          </w:p>
        </w:tc>
        <w:tc>
          <w:tcPr>
            <w:tcW w:w="0" w:type="auto"/>
            <w:shd w:val="clear" w:color="auto" w:fill="FFFFFF"/>
            <w:noWrap/>
            <w:vAlign w:val="center"/>
          </w:tcPr>
          <w:p w14:paraId="44C32A10" w14:textId="77777777" w:rsidR="00CE1BDB" w:rsidRPr="00625CD5" w:rsidRDefault="00CE1BDB" w:rsidP="00EF49A7">
            <w:pPr>
              <w:tabs>
                <w:tab w:val="left" w:pos="0"/>
                <w:tab w:val="left" w:pos="709"/>
                <w:tab w:val="left" w:pos="1418"/>
              </w:tabs>
              <w:jc w:val="right"/>
              <w:rPr>
                <w:rFonts w:cs="Arial"/>
                <w:b/>
                <w:color w:val="000000"/>
                <w:sz w:val="22"/>
                <w:szCs w:val="22"/>
              </w:rPr>
            </w:pPr>
            <w:r w:rsidRPr="00625CD5">
              <w:rPr>
                <w:rFonts w:cs="Arial"/>
                <w:b/>
                <w:bCs/>
                <w:color w:val="000000"/>
                <w:sz w:val="22"/>
                <w:szCs w:val="22"/>
              </w:rPr>
              <w:t>£524</w:t>
            </w:r>
          </w:p>
        </w:tc>
        <w:tc>
          <w:tcPr>
            <w:tcW w:w="0" w:type="auto"/>
            <w:shd w:val="clear" w:color="auto" w:fill="FFFFFF"/>
            <w:noWrap/>
            <w:vAlign w:val="center"/>
          </w:tcPr>
          <w:p w14:paraId="0E317584" w14:textId="77777777" w:rsidR="00CE1BDB" w:rsidRPr="00625CD5" w:rsidRDefault="00CE1BDB" w:rsidP="00EF49A7">
            <w:pPr>
              <w:tabs>
                <w:tab w:val="left" w:pos="0"/>
                <w:tab w:val="left" w:pos="709"/>
                <w:tab w:val="left" w:pos="1418"/>
              </w:tabs>
              <w:jc w:val="right"/>
              <w:rPr>
                <w:rFonts w:cs="Arial"/>
                <w:b/>
                <w:color w:val="000000"/>
                <w:sz w:val="22"/>
                <w:szCs w:val="22"/>
              </w:rPr>
            </w:pPr>
            <w:r w:rsidRPr="00625CD5">
              <w:rPr>
                <w:rFonts w:cs="Arial"/>
                <w:b/>
                <w:bCs/>
                <w:color w:val="000000"/>
                <w:sz w:val="22"/>
                <w:szCs w:val="22"/>
              </w:rPr>
              <w:t>£724</w:t>
            </w:r>
          </w:p>
        </w:tc>
        <w:tc>
          <w:tcPr>
            <w:tcW w:w="0" w:type="auto"/>
            <w:shd w:val="clear" w:color="auto" w:fill="FFFFFF"/>
            <w:noWrap/>
            <w:vAlign w:val="center"/>
          </w:tcPr>
          <w:p w14:paraId="1A760A4B" w14:textId="77777777" w:rsidR="00CE1BDB" w:rsidRPr="00625CD5" w:rsidRDefault="00CE1BDB" w:rsidP="00EF49A7">
            <w:pPr>
              <w:tabs>
                <w:tab w:val="left" w:pos="0"/>
                <w:tab w:val="left" w:pos="709"/>
                <w:tab w:val="left" w:pos="1418"/>
              </w:tabs>
              <w:jc w:val="right"/>
              <w:rPr>
                <w:rFonts w:cs="Arial"/>
                <w:b/>
                <w:color w:val="000000"/>
                <w:sz w:val="22"/>
                <w:szCs w:val="22"/>
              </w:rPr>
            </w:pPr>
            <w:r w:rsidRPr="00625CD5">
              <w:rPr>
                <w:rFonts w:cs="Arial"/>
                <w:b/>
                <w:bCs/>
                <w:color w:val="000000"/>
                <w:sz w:val="22"/>
                <w:szCs w:val="22"/>
              </w:rPr>
              <w:t>38.2%</w:t>
            </w:r>
          </w:p>
        </w:tc>
      </w:tr>
      <w:tr w:rsidR="00CE1BDB" w:rsidRPr="00625CD5" w14:paraId="5D96EB90" w14:textId="77777777" w:rsidTr="00625CD5">
        <w:tc>
          <w:tcPr>
            <w:tcW w:w="0" w:type="auto"/>
            <w:shd w:val="clear" w:color="auto" w:fill="FFFFFF"/>
            <w:noWrap/>
            <w:vAlign w:val="center"/>
          </w:tcPr>
          <w:p w14:paraId="64C97B03" w14:textId="77777777" w:rsidR="00CE1BDB" w:rsidRPr="00625CD5" w:rsidRDefault="00CE1BDB" w:rsidP="00EF49A7">
            <w:pPr>
              <w:tabs>
                <w:tab w:val="left" w:pos="0"/>
                <w:tab w:val="left" w:pos="709"/>
                <w:tab w:val="left" w:pos="1418"/>
              </w:tabs>
              <w:rPr>
                <w:rFonts w:cs="Arial"/>
                <w:color w:val="000000"/>
                <w:sz w:val="22"/>
                <w:szCs w:val="22"/>
              </w:rPr>
            </w:pPr>
            <w:proofErr w:type="gramStart"/>
            <w:r w:rsidRPr="00625CD5">
              <w:rPr>
                <w:rFonts w:cs="Arial"/>
                <w:color w:val="000000"/>
                <w:sz w:val="22"/>
                <w:szCs w:val="22"/>
              </w:rPr>
              <w:t>South East</w:t>
            </w:r>
            <w:proofErr w:type="gramEnd"/>
          </w:p>
        </w:tc>
        <w:tc>
          <w:tcPr>
            <w:tcW w:w="0" w:type="auto"/>
            <w:shd w:val="clear" w:color="auto" w:fill="FFFFFF" w:themeFill="background1"/>
            <w:noWrap/>
            <w:vAlign w:val="center"/>
          </w:tcPr>
          <w:p w14:paraId="20810F43" w14:textId="77777777" w:rsidR="00CE1BDB" w:rsidRPr="00625CD5" w:rsidRDefault="00CE1BDB" w:rsidP="00EF49A7">
            <w:pPr>
              <w:tabs>
                <w:tab w:val="left" w:pos="0"/>
                <w:tab w:val="left" w:pos="709"/>
                <w:tab w:val="left" w:pos="1418"/>
              </w:tabs>
              <w:jc w:val="right"/>
              <w:rPr>
                <w:rFonts w:cs="Arial"/>
                <w:color w:val="000000"/>
                <w:sz w:val="22"/>
                <w:szCs w:val="22"/>
              </w:rPr>
            </w:pPr>
            <w:r w:rsidRPr="00625CD5">
              <w:rPr>
                <w:rFonts w:cs="Arial"/>
                <w:color w:val="000000"/>
                <w:sz w:val="22"/>
                <w:szCs w:val="22"/>
              </w:rPr>
              <w:t>£646</w:t>
            </w:r>
          </w:p>
        </w:tc>
        <w:tc>
          <w:tcPr>
            <w:tcW w:w="0" w:type="auto"/>
            <w:shd w:val="clear" w:color="auto" w:fill="FFFFFF" w:themeFill="background1"/>
            <w:noWrap/>
            <w:vAlign w:val="center"/>
          </w:tcPr>
          <w:p w14:paraId="123349C5" w14:textId="77777777" w:rsidR="00CE1BDB" w:rsidRPr="00625CD5" w:rsidRDefault="00CE1BDB" w:rsidP="00EF49A7">
            <w:pPr>
              <w:tabs>
                <w:tab w:val="left" w:pos="0"/>
                <w:tab w:val="left" w:pos="709"/>
                <w:tab w:val="left" w:pos="1418"/>
              </w:tabs>
              <w:jc w:val="right"/>
              <w:rPr>
                <w:rFonts w:cs="Arial"/>
                <w:color w:val="000000"/>
                <w:sz w:val="22"/>
                <w:szCs w:val="22"/>
              </w:rPr>
            </w:pPr>
            <w:r w:rsidRPr="00625CD5">
              <w:rPr>
                <w:rFonts w:cs="Arial"/>
                <w:color w:val="000000"/>
                <w:sz w:val="22"/>
                <w:szCs w:val="22"/>
              </w:rPr>
              <w:t>£793</w:t>
            </w:r>
          </w:p>
        </w:tc>
        <w:tc>
          <w:tcPr>
            <w:tcW w:w="0" w:type="auto"/>
            <w:shd w:val="clear" w:color="auto" w:fill="FFFFFF" w:themeFill="background1"/>
            <w:noWrap/>
            <w:vAlign w:val="center"/>
          </w:tcPr>
          <w:p w14:paraId="54A1C888" w14:textId="77777777" w:rsidR="00CE1BDB" w:rsidRPr="00625CD5" w:rsidRDefault="00CE1BDB" w:rsidP="00EF49A7">
            <w:pPr>
              <w:tabs>
                <w:tab w:val="left" w:pos="0"/>
                <w:tab w:val="left" w:pos="709"/>
                <w:tab w:val="left" w:pos="1418"/>
              </w:tabs>
              <w:jc w:val="right"/>
              <w:rPr>
                <w:rFonts w:cs="Arial"/>
                <w:color w:val="000000"/>
                <w:sz w:val="22"/>
                <w:szCs w:val="22"/>
              </w:rPr>
            </w:pPr>
            <w:r w:rsidRPr="00625CD5">
              <w:rPr>
                <w:rFonts w:cs="Arial"/>
                <w:b/>
                <w:bCs/>
                <w:color w:val="000000"/>
                <w:sz w:val="22"/>
                <w:szCs w:val="22"/>
              </w:rPr>
              <w:t>22.8%</w:t>
            </w:r>
          </w:p>
        </w:tc>
      </w:tr>
      <w:tr w:rsidR="00CE1BDB" w:rsidRPr="00625CD5" w14:paraId="2C8A153E" w14:textId="77777777" w:rsidTr="00625CD5">
        <w:tc>
          <w:tcPr>
            <w:tcW w:w="0" w:type="auto"/>
            <w:shd w:val="clear" w:color="auto" w:fill="FFFFFF"/>
            <w:noWrap/>
            <w:vAlign w:val="center"/>
          </w:tcPr>
          <w:p w14:paraId="01D7CB35" w14:textId="77777777" w:rsidR="00CE1BDB" w:rsidRPr="00625CD5" w:rsidRDefault="00CE1BDB" w:rsidP="00EF49A7">
            <w:pPr>
              <w:tabs>
                <w:tab w:val="left" w:pos="0"/>
                <w:tab w:val="left" w:pos="709"/>
                <w:tab w:val="left" w:pos="1418"/>
              </w:tabs>
              <w:rPr>
                <w:rFonts w:cs="Arial"/>
                <w:b/>
                <w:bCs/>
                <w:color w:val="000000"/>
                <w:sz w:val="22"/>
                <w:szCs w:val="22"/>
              </w:rPr>
            </w:pPr>
            <w:r w:rsidRPr="00625CD5">
              <w:rPr>
                <w:rFonts w:cs="Arial"/>
                <w:color w:val="000000"/>
                <w:sz w:val="22"/>
                <w:szCs w:val="22"/>
              </w:rPr>
              <w:t>England</w:t>
            </w:r>
          </w:p>
        </w:tc>
        <w:tc>
          <w:tcPr>
            <w:tcW w:w="0" w:type="auto"/>
            <w:shd w:val="clear" w:color="auto" w:fill="FFFFFF" w:themeFill="background1"/>
            <w:noWrap/>
            <w:vAlign w:val="center"/>
          </w:tcPr>
          <w:p w14:paraId="4E9B6634" w14:textId="77777777" w:rsidR="00CE1BDB" w:rsidRPr="00625CD5" w:rsidRDefault="00CE1BDB" w:rsidP="00EF49A7">
            <w:pPr>
              <w:tabs>
                <w:tab w:val="left" w:pos="0"/>
                <w:tab w:val="left" w:pos="709"/>
                <w:tab w:val="left" w:pos="1418"/>
              </w:tabs>
              <w:jc w:val="right"/>
              <w:rPr>
                <w:rFonts w:cs="Arial"/>
                <w:bCs/>
                <w:color w:val="000000"/>
                <w:sz w:val="22"/>
                <w:szCs w:val="22"/>
              </w:rPr>
            </w:pPr>
            <w:r w:rsidRPr="00625CD5">
              <w:rPr>
                <w:rFonts w:cs="Arial"/>
                <w:color w:val="000000"/>
                <w:sz w:val="22"/>
                <w:szCs w:val="22"/>
              </w:rPr>
              <w:t>£598</w:t>
            </w:r>
          </w:p>
        </w:tc>
        <w:tc>
          <w:tcPr>
            <w:tcW w:w="0" w:type="auto"/>
            <w:shd w:val="clear" w:color="auto" w:fill="FFFFFF" w:themeFill="background1"/>
            <w:noWrap/>
            <w:vAlign w:val="center"/>
          </w:tcPr>
          <w:p w14:paraId="3AACAA57" w14:textId="77777777" w:rsidR="00CE1BDB" w:rsidRPr="00625CD5" w:rsidRDefault="00CE1BDB" w:rsidP="00EF49A7">
            <w:pPr>
              <w:tabs>
                <w:tab w:val="left" w:pos="0"/>
                <w:tab w:val="left" w:pos="709"/>
                <w:tab w:val="left" w:pos="1418"/>
              </w:tabs>
              <w:jc w:val="right"/>
              <w:rPr>
                <w:rFonts w:cs="Arial"/>
                <w:bCs/>
                <w:color w:val="000000"/>
                <w:sz w:val="22"/>
                <w:szCs w:val="22"/>
              </w:rPr>
            </w:pPr>
            <w:r w:rsidRPr="00625CD5">
              <w:rPr>
                <w:rFonts w:cs="Arial"/>
                <w:color w:val="000000"/>
                <w:sz w:val="22"/>
                <w:szCs w:val="22"/>
              </w:rPr>
              <w:t>£724</w:t>
            </w:r>
          </w:p>
        </w:tc>
        <w:tc>
          <w:tcPr>
            <w:tcW w:w="0" w:type="auto"/>
            <w:shd w:val="clear" w:color="auto" w:fill="FFFFFF" w:themeFill="background1"/>
            <w:noWrap/>
            <w:vAlign w:val="center"/>
          </w:tcPr>
          <w:p w14:paraId="0D0FA719" w14:textId="77777777" w:rsidR="00CE1BDB" w:rsidRPr="00625CD5" w:rsidRDefault="00CE1BDB" w:rsidP="00EF49A7">
            <w:pPr>
              <w:tabs>
                <w:tab w:val="left" w:pos="0"/>
                <w:tab w:val="left" w:pos="709"/>
                <w:tab w:val="left" w:pos="1418"/>
              </w:tabs>
              <w:jc w:val="right"/>
              <w:rPr>
                <w:rFonts w:cs="Arial"/>
                <w:bCs/>
                <w:color w:val="000000"/>
                <w:sz w:val="22"/>
                <w:szCs w:val="22"/>
              </w:rPr>
            </w:pPr>
            <w:r w:rsidRPr="00625CD5">
              <w:rPr>
                <w:rFonts w:cs="Arial"/>
                <w:b/>
                <w:bCs/>
                <w:color w:val="000000"/>
                <w:sz w:val="22"/>
                <w:szCs w:val="22"/>
              </w:rPr>
              <w:t>21.1%</w:t>
            </w:r>
          </w:p>
        </w:tc>
      </w:tr>
      <w:tr w:rsidR="00CE1BDB" w:rsidRPr="00625CD5" w14:paraId="08C953C8" w14:textId="77777777" w:rsidTr="00625CD5">
        <w:tc>
          <w:tcPr>
            <w:tcW w:w="0" w:type="auto"/>
            <w:vMerge w:val="restart"/>
            <w:shd w:val="clear" w:color="auto" w:fill="006666"/>
            <w:noWrap/>
            <w:vAlign w:val="bottom"/>
          </w:tcPr>
          <w:p w14:paraId="485DB6FA" w14:textId="77777777" w:rsidR="00CE1BDB" w:rsidRPr="00625CD5" w:rsidRDefault="00CE1BDB" w:rsidP="00EF49A7">
            <w:pPr>
              <w:tabs>
                <w:tab w:val="left" w:pos="0"/>
                <w:tab w:val="left" w:pos="709"/>
                <w:tab w:val="left" w:pos="1418"/>
              </w:tabs>
              <w:rPr>
                <w:rFonts w:cs="Arial"/>
                <w:b/>
                <w:bCs/>
                <w:color w:val="FFFFFF"/>
                <w:sz w:val="22"/>
                <w:szCs w:val="22"/>
              </w:rPr>
            </w:pPr>
            <w:r w:rsidRPr="00625CD5">
              <w:rPr>
                <w:rFonts w:cs="Arial"/>
                <w:b/>
                <w:bCs/>
                <w:color w:val="FFFFFF"/>
                <w:sz w:val="22"/>
                <w:szCs w:val="22"/>
              </w:rPr>
              <w:t>Location</w:t>
            </w:r>
          </w:p>
        </w:tc>
        <w:tc>
          <w:tcPr>
            <w:tcW w:w="0" w:type="auto"/>
            <w:gridSpan w:val="2"/>
            <w:shd w:val="clear" w:color="auto" w:fill="006666"/>
            <w:noWrap/>
            <w:vAlign w:val="bottom"/>
          </w:tcPr>
          <w:p w14:paraId="4E416B49" w14:textId="77777777" w:rsidR="00CE1BDB" w:rsidRPr="00625CD5" w:rsidRDefault="00CE1BDB" w:rsidP="00EF49A7">
            <w:pPr>
              <w:tabs>
                <w:tab w:val="left" w:pos="0"/>
                <w:tab w:val="left" w:pos="709"/>
                <w:tab w:val="left" w:pos="1418"/>
              </w:tabs>
              <w:jc w:val="center"/>
              <w:rPr>
                <w:rFonts w:cs="Arial"/>
                <w:b/>
                <w:color w:val="FFFFFF"/>
                <w:sz w:val="22"/>
                <w:szCs w:val="22"/>
              </w:rPr>
            </w:pPr>
            <w:r w:rsidRPr="00625CD5">
              <w:rPr>
                <w:rFonts w:cs="Arial"/>
                <w:b/>
                <w:color w:val="FFFFFF"/>
                <w:sz w:val="22"/>
                <w:szCs w:val="22"/>
              </w:rPr>
              <w:t>Median price by year (£)</w:t>
            </w:r>
          </w:p>
        </w:tc>
        <w:tc>
          <w:tcPr>
            <w:tcW w:w="0" w:type="auto"/>
            <w:vMerge w:val="restart"/>
            <w:shd w:val="clear" w:color="auto" w:fill="006666"/>
            <w:noWrap/>
            <w:vAlign w:val="bottom"/>
          </w:tcPr>
          <w:p w14:paraId="3EBDC0E3" w14:textId="77777777" w:rsidR="00CE1BDB" w:rsidRPr="00625CD5" w:rsidRDefault="00CE1BDB" w:rsidP="00EF49A7">
            <w:pPr>
              <w:tabs>
                <w:tab w:val="left" w:pos="0"/>
                <w:tab w:val="left" w:pos="709"/>
                <w:tab w:val="left" w:pos="1418"/>
              </w:tabs>
              <w:jc w:val="center"/>
              <w:rPr>
                <w:rFonts w:cs="Arial"/>
                <w:b/>
                <w:bCs/>
                <w:color w:val="FFFFFF"/>
                <w:sz w:val="22"/>
                <w:szCs w:val="22"/>
              </w:rPr>
            </w:pPr>
            <w:r w:rsidRPr="00625CD5">
              <w:rPr>
                <w:rFonts w:cs="Arial"/>
                <w:b/>
                <w:bCs/>
                <w:color w:val="FFFFFF"/>
                <w:sz w:val="22"/>
                <w:szCs w:val="22"/>
              </w:rPr>
              <w:t xml:space="preserve">% </w:t>
            </w:r>
            <w:proofErr w:type="gramStart"/>
            <w:r w:rsidRPr="00625CD5">
              <w:rPr>
                <w:rFonts w:cs="Arial"/>
                <w:b/>
                <w:bCs/>
                <w:color w:val="FFFFFF"/>
                <w:sz w:val="22"/>
                <w:szCs w:val="22"/>
              </w:rPr>
              <w:t>change</w:t>
            </w:r>
            <w:proofErr w:type="gramEnd"/>
            <w:r w:rsidRPr="00625CD5">
              <w:rPr>
                <w:rFonts w:cs="Arial"/>
                <w:b/>
                <w:bCs/>
                <w:color w:val="FFFFFF"/>
                <w:sz w:val="22"/>
                <w:szCs w:val="22"/>
              </w:rPr>
              <w:t xml:space="preserve"> </w:t>
            </w:r>
          </w:p>
          <w:p w14:paraId="109D977D" w14:textId="77777777" w:rsidR="00CE1BDB" w:rsidRPr="00625CD5" w:rsidRDefault="00CE1BDB" w:rsidP="00EF49A7">
            <w:pPr>
              <w:tabs>
                <w:tab w:val="left" w:pos="0"/>
                <w:tab w:val="left" w:pos="709"/>
                <w:tab w:val="left" w:pos="1418"/>
              </w:tabs>
              <w:jc w:val="center"/>
              <w:rPr>
                <w:rFonts w:cs="Arial"/>
                <w:color w:val="FFFFFF"/>
                <w:sz w:val="22"/>
                <w:szCs w:val="22"/>
              </w:rPr>
            </w:pPr>
            <w:r w:rsidRPr="00625CD5">
              <w:rPr>
                <w:rFonts w:cs="Arial"/>
                <w:b/>
                <w:bCs/>
                <w:color w:val="FFFFFF"/>
                <w:sz w:val="22"/>
                <w:szCs w:val="22"/>
              </w:rPr>
              <w:t>2010-2020</w:t>
            </w:r>
          </w:p>
        </w:tc>
      </w:tr>
      <w:tr w:rsidR="00CE1BDB" w:rsidRPr="00625CD5" w14:paraId="01FC8FD0" w14:textId="77777777" w:rsidTr="00625CD5">
        <w:tc>
          <w:tcPr>
            <w:tcW w:w="0" w:type="auto"/>
            <w:vMerge/>
            <w:shd w:val="clear" w:color="auto" w:fill="006666"/>
            <w:vAlign w:val="center"/>
          </w:tcPr>
          <w:p w14:paraId="2E9FCA11" w14:textId="77777777" w:rsidR="00CE1BDB" w:rsidRPr="00625CD5" w:rsidRDefault="00CE1BDB" w:rsidP="00EF49A7">
            <w:pPr>
              <w:tabs>
                <w:tab w:val="left" w:pos="0"/>
                <w:tab w:val="left" w:pos="709"/>
                <w:tab w:val="left" w:pos="1418"/>
              </w:tabs>
              <w:rPr>
                <w:rFonts w:cs="Arial"/>
                <w:color w:val="FFFFFF"/>
                <w:sz w:val="22"/>
                <w:szCs w:val="22"/>
              </w:rPr>
            </w:pPr>
          </w:p>
        </w:tc>
        <w:tc>
          <w:tcPr>
            <w:tcW w:w="0" w:type="auto"/>
            <w:shd w:val="clear" w:color="auto" w:fill="006666"/>
            <w:noWrap/>
            <w:vAlign w:val="bottom"/>
          </w:tcPr>
          <w:p w14:paraId="4317C0AC" w14:textId="77777777" w:rsidR="00CE1BDB" w:rsidRPr="00625CD5" w:rsidRDefault="00CE1BDB" w:rsidP="00EF49A7">
            <w:pPr>
              <w:tabs>
                <w:tab w:val="left" w:pos="0"/>
                <w:tab w:val="left" w:pos="709"/>
                <w:tab w:val="left" w:pos="1418"/>
              </w:tabs>
              <w:jc w:val="center"/>
              <w:rPr>
                <w:rFonts w:cs="Arial"/>
                <w:color w:val="FFFFFF"/>
                <w:sz w:val="22"/>
                <w:szCs w:val="22"/>
              </w:rPr>
            </w:pPr>
            <w:r w:rsidRPr="00625CD5">
              <w:rPr>
                <w:rFonts w:cs="Arial"/>
                <w:color w:val="FFFFFF"/>
                <w:sz w:val="22"/>
                <w:szCs w:val="22"/>
              </w:rPr>
              <w:t>2010</w:t>
            </w:r>
          </w:p>
        </w:tc>
        <w:tc>
          <w:tcPr>
            <w:tcW w:w="0" w:type="auto"/>
            <w:shd w:val="clear" w:color="auto" w:fill="006666"/>
            <w:noWrap/>
            <w:vAlign w:val="bottom"/>
          </w:tcPr>
          <w:p w14:paraId="01475FCE" w14:textId="77777777" w:rsidR="00CE1BDB" w:rsidRPr="00625CD5" w:rsidRDefault="00CE1BDB" w:rsidP="00EF49A7">
            <w:pPr>
              <w:tabs>
                <w:tab w:val="left" w:pos="0"/>
                <w:tab w:val="left" w:pos="709"/>
                <w:tab w:val="left" w:pos="1418"/>
              </w:tabs>
              <w:jc w:val="center"/>
              <w:rPr>
                <w:rFonts w:cs="Arial"/>
                <w:color w:val="FFFFFF"/>
                <w:sz w:val="22"/>
                <w:szCs w:val="22"/>
              </w:rPr>
            </w:pPr>
            <w:r w:rsidRPr="00625CD5">
              <w:rPr>
                <w:rFonts w:cs="Arial"/>
                <w:color w:val="FFFFFF"/>
                <w:sz w:val="22"/>
                <w:szCs w:val="22"/>
              </w:rPr>
              <w:t>2020</w:t>
            </w:r>
          </w:p>
        </w:tc>
        <w:tc>
          <w:tcPr>
            <w:tcW w:w="0" w:type="auto"/>
            <w:vMerge/>
            <w:shd w:val="clear" w:color="auto" w:fill="006666"/>
            <w:vAlign w:val="center"/>
          </w:tcPr>
          <w:p w14:paraId="2A3302BB" w14:textId="77777777" w:rsidR="00CE1BDB" w:rsidRPr="00625CD5" w:rsidRDefault="00CE1BDB" w:rsidP="00EF49A7">
            <w:pPr>
              <w:tabs>
                <w:tab w:val="left" w:pos="0"/>
                <w:tab w:val="left" w:pos="709"/>
                <w:tab w:val="left" w:pos="1418"/>
              </w:tabs>
              <w:rPr>
                <w:rFonts w:cs="Arial"/>
                <w:color w:val="FFFFFF"/>
                <w:sz w:val="22"/>
                <w:szCs w:val="22"/>
              </w:rPr>
            </w:pPr>
          </w:p>
        </w:tc>
      </w:tr>
      <w:tr w:rsidR="00CE1BDB" w:rsidRPr="00625CD5" w14:paraId="6355E161" w14:textId="77777777" w:rsidTr="00625CD5">
        <w:tc>
          <w:tcPr>
            <w:tcW w:w="0" w:type="auto"/>
            <w:shd w:val="clear" w:color="auto" w:fill="FFFFFF"/>
            <w:noWrap/>
            <w:vAlign w:val="center"/>
          </w:tcPr>
          <w:p w14:paraId="5125CF4D" w14:textId="77777777" w:rsidR="00CE1BDB" w:rsidRPr="00625CD5" w:rsidRDefault="00CE1BDB" w:rsidP="00EF49A7">
            <w:pPr>
              <w:tabs>
                <w:tab w:val="left" w:pos="0"/>
                <w:tab w:val="left" w:pos="709"/>
                <w:tab w:val="left" w:pos="1418"/>
              </w:tabs>
              <w:rPr>
                <w:rFonts w:cs="Arial"/>
                <w:b/>
                <w:bCs/>
                <w:color w:val="000000"/>
                <w:sz w:val="22"/>
                <w:szCs w:val="22"/>
              </w:rPr>
            </w:pPr>
            <w:r w:rsidRPr="00625CD5">
              <w:rPr>
                <w:rFonts w:cs="Arial"/>
                <w:b/>
                <w:bCs/>
                <w:color w:val="000000"/>
                <w:sz w:val="22"/>
                <w:szCs w:val="22"/>
              </w:rPr>
              <w:t>Medway</w:t>
            </w:r>
          </w:p>
        </w:tc>
        <w:tc>
          <w:tcPr>
            <w:tcW w:w="0" w:type="auto"/>
            <w:shd w:val="clear" w:color="auto" w:fill="FFFFFF"/>
            <w:noWrap/>
            <w:vAlign w:val="center"/>
          </w:tcPr>
          <w:p w14:paraId="328EB007" w14:textId="77777777" w:rsidR="00CE1BDB" w:rsidRPr="00625CD5" w:rsidRDefault="00CE1BDB" w:rsidP="00EF49A7">
            <w:pPr>
              <w:tabs>
                <w:tab w:val="left" w:pos="0"/>
                <w:tab w:val="left" w:pos="709"/>
                <w:tab w:val="left" w:pos="1418"/>
              </w:tabs>
              <w:jc w:val="right"/>
              <w:rPr>
                <w:rFonts w:cs="Arial"/>
                <w:b/>
                <w:color w:val="000000"/>
                <w:sz w:val="22"/>
                <w:szCs w:val="22"/>
              </w:rPr>
            </w:pPr>
            <w:r w:rsidRPr="00625CD5">
              <w:rPr>
                <w:rFonts w:cs="Arial"/>
                <w:b/>
                <w:bCs/>
                <w:color w:val="000000"/>
                <w:sz w:val="22"/>
                <w:szCs w:val="22"/>
              </w:rPr>
              <w:t>£598</w:t>
            </w:r>
          </w:p>
        </w:tc>
        <w:tc>
          <w:tcPr>
            <w:tcW w:w="0" w:type="auto"/>
            <w:shd w:val="clear" w:color="auto" w:fill="FFFFFF"/>
            <w:noWrap/>
            <w:vAlign w:val="center"/>
          </w:tcPr>
          <w:p w14:paraId="2703D6AF" w14:textId="77777777" w:rsidR="00CE1BDB" w:rsidRPr="00625CD5" w:rsidRDefault="00CE1BDB" w:rsidP="00EF49A7">
            <w:pPr>
              <w:tabs>
                <w:tab w:val="left" w:pos="0"/>
                <w:tab w:val="left" w:pos="709"/>
                <w:tab w:val="left" w:pos="1418"/>
              </w:tabs>
              <w:jc w:val="right"/>
              <w:rPr>
                <w:rFonts w:cs="Arial"/>
                <w:b/>
                <w:color w:val="000000"/>
                <w:sz w:val="22"/>
                <w:szCs w:val="22"/>
              </w:rPr>
            </w:pPr>
            <w:r w:rsidRPr="00625CD5">
              <w:rPr>
                <w:rFonts w:cs="Arial"/>
                <w:b/>
                <w:bCs/>
                <w:color w:val="000000"/>
                <w:sz w:val="22"/>
                <w:szCs w:val="22"/>
              </w:rPr>
              <w:t>£871</w:t>
            </w:r>
          </w:p>
        </w:tc>
        <w:tc>
          <w:tcPr>
            <w:tcW w:w="0" w:type="auto"/>
            <w:shd w:val="clear" w:color="auto" w:fill="FFFFFF"/>
            <w:noWrap/>
            <w:vAlign w:val="center"/>
          </w:tcPr>
          <w:p w14:paraId="594FBEC1" w14:textId="77777777" w:rsidR="00CE1BDB" w:rsidRPr="00625CD5" w:rsidRDefault="00CE1BDB" w:rsidP="00EF49A7">
            <w:pPr>
              <w:tabs>
                <w:tab w:val="left" w:pos="0"/>
                <w:tab w:val="left" w:pos="709"/>
                <w:tab w:val="left" w:pos="1418"/>
              </w:tabs>
              <w:jc w:val="right"/>
              <w:rPr>
                <w:rFonts w:cs="Arial"/>
                <w:b/>
                <w:color w:val="000000"/>
                <w:sz w:val="22"/>
                <w:szCs w:val="22"/>
              </w:rPr>
            </w:pPr>
            <w:r w:rsidRPr="00625CD5">
              <w:rPr>
                <w:rFonts w:cs="Arial"/>
                <w:b/>
                <w:bCs/>
                <w:color w:val="000000"/>
                <w:sz w:val="22"/>
                <w:szCs w:val="22"/>
              </w:rPr>
              <w:t>45.7%</w:t>
            </w:r>
          </w:p>
        </w:tc>
      </w:tr>
      <w:tr w:rsidR="00CE1BDB" w:rsidRPr="00625CD5" w14:paraId="39EE1F07" w14:textId="77777777" w:rsidTr="00625CD5">
        <w:tc>
          <w:tcPr>
            <w:tcW w:w="0" w:type="auto"/>
            <w:shd w:val="clear" w:color="auto" w:fill="FFFFFF"/>
            <w:noWrap/>
            <w:vAlign w:val="center"/>
          </w:tcPr>
          <w:p w14:paraId="70B43C53" w14:textId="77777777" w:rsidR="00CE1BDB" w:rsidRPr="00625CD5" w:rsidRDefault="00CE1BDB" w:rsidP="00EF49A7">
            <w:pPr>
              <w:tabs>
                <w:tab w:val="left" w:pos="0"/>
                <w:tab w:val="left" w:pos="709"/>
                <w:tab w:val="left" w:pos="1418"/>
              </w:tabs>
              <w:rPr>
                <w:rFonts w:cs="Arial"/>
                <w:color w:val="000000"/>
                <w:sz w:val="22"/>
                <w:szCs w:val="22"/>
              </w:rPr>
            </w:pPr>
            <w:proofErr w:type="gramStart"/>
            <w:r w:rsidRPr="00625CD5">
              <w:rPr>
                <w:rFonts w:cs="Arial"/>
                <w:color w:val="000000"/>
                <w:sz w:val="22"/>
                <w:szCs w:val="22"/>
              </w:rPr>
              <w:t>South East</w:t>
            </w:r>
            <w:proofErr w:type="gramEnd"/>
          </w:p>
        </w:tc>
        <w:tc>
          <w:tcPr>
            <w:tcW w:w="0" w:type="auto"/>
            <w:shd w:val="clear" w:color="auto" w:fill="FFFFFF" w:themeFill="background1"/>
            <w:noWrap/>
            <w:vAlign w:val="center"/>
          </w:tcPr>
          <w:p w14:paraId="4D7B202E" w14:textId="77777777" w:rsidR="00CE1BDB" w:rsidRPr="00625CD5" w:rsidRDefault="00CE1BDB" w:rsidP="00EF49A7">
            <w:pPr>
              <w:tabs>
                <w:tab w:val="left" w:pos="0"/>
                <w:tab w:val="left" w:pos="709"/>
                <w:tab w:val="left" w:pos="1418"/>
              </w:tabs>
              <w:jc w:val="right"/>
              <w:rPr>
                <w:rFonts w:cs="Arial"/>
                <w:color w:val="000000"/>
                <w:sz w:val="22"/>
                <w:szCs w:val="22"/>
              </w:rPr>
            </w:pPr>
            <w:r w:rsidRPr="00625CD5">
              <w:rPr>
                <w:rFonts w:cs="Arial"/>
                <w:color w:val="000000"/>
                <w:sz w:val="22"/>
                <w:szCs w:val="22"/>
              </w:rPr>
              <w:t>£797</w:t>
            </w:r>
          </w:p>
        </w:tc>
        <w:tc>
          <w:tcPr>
            <w:tcW w:w="0" w:type="auto"/>
            <w:shd w:val="clear" w:color="auto" w:fill="FFFFFF" w:themeFill="background1"/>
            <w:noWrap/>
            <w:vAlign w:val="center"/>
          </w:tcPr>
          <w:p w14:paraId="078E7170" w14:textId="77777777" w:rsidR="00CE1BDB" w:rsidRPr="00625CD5" w:rsidRDefault="00CE1BDB" w:rsidP="00EF49A7">
            <w:pPr>
              <w:tabs>
                <w:tab w:val="left" w:pos="0"/>
                <w:tab w:val="left" w:pos="709"/>
                <w:tab w:val="left" w:pos="1418"/>
              </w:tabs>
              <w:jc w:val="right"/>
              <w:rPr>
                <w:rFonts w:cs="Arial"/>
                <w:color w:val="000000"/>
                <w:sz w:val="22"/>
                <w:szCs w:val="22"/>
              </w:rPr>
            </w:pPr>
            <w:r w:rsidRPr="00625CD5">
              <w:rPr>
                <w:rFonts w:cs="Arial"/>
                <w:color w:val="000000"/>
                <w:sz w:val="22"/>
                <w:szCs w:val="22"/>
              </w:rPr>
              <w:t>£1,001</w:t>
            </w:r>
          </w:p>
        </w:tc>
        <w:tc>
          <w:tcPr>
            <w:tcW w:w="0" w:type="auto"/>
            <w:shd w:val="clear" w:color="auto" w:fill="FFFFFF" w:themeFill="background1"/>
            <w:noWrap/>
            <w:vAlign w:val="center"/>
          </w:tcPr>
          <w:p w14:paraId="7EA2784D" w14:textId="77777777" w:rsidR="00CE1BDB" w:rsidRPr="00625CD5" w:rsidRDefault="00CE1BDB" w:rsidP="00EF49A7">
            <w:pPr>
              <w:tabs>
                <w:tab w:val="left" w:pos="0"/>
                <w:tab w:val="left" w:pos="709"/>
                <w:tab w:val="left" w:pos="1418"/>
              </w:tabs>
              <w:jc w:val="right"/>
              <w:rPr>
                <w:rFonts w:cs="Arial"/>
                <w:color w:val="000000"/>
                <w:sz w:val="22"/>
                <w:szCs w:val="22"/>
              </w:rPr>
            </w:pPr>
            <w:r w:rsidRPr="00625CD5">
              <w:rPr>
                <w:rFonts w:cs="Arial"/>
                <w:b/>
                <w:bCs/>
                <w:color w:val="000000"/>
                <w:sz w:val="22"/>
                <w:szCs w:val="22"/>
              </w:rPr>
              <w:t>25.6%</w:t>
            </w:r>
          </w:p>
        </w:tc>
      </w:tr>
      <w:tr w:rsidR="00CE1BDB" w:rsidRPr="00625CD5" w14:paraId="2D5A81F7" w14:textId="77777777" w:rsidTr="00625CD5">
        <w:tc>
          <w:tcPr>
            <w:tcW w:w="0" w:type="auto"/>
            <w:shd w:val="clear" w:color="auto" w:fill="FFFFFF"/>
            <w:noWrap/>
            <w:vAlign w:val="center"/>
          </w:tcPr>
          <w:p w14:paraId="7F292F86" w14:textId="77777777" w:rsidR="00CE1BDB" w:rsidRPr="00625CD5" w:rsidRDefault="00CE1BDB" w:rsidP="00EF49A7">
            <w:pPr>
              <w:tabs>
                <w:tab w:val="left" w:pos="0"/>
                <w:tab w:val="left" w:pos="709"/>
                <w:tab w:val="left" w:pos="1418"/>
              </w:tabs>
              <w:rPr>
                <w:rFonts w:cs="Arial"/>
                <w:b/>
                <w:bCs/>
                <w:color w:val="000000"/>
                <w:sz w:val="22"/>
                <w:szCs w:val="22"/>
              </w:rPr>
            </w:pPr>
            <w:r w:rsidRPr="00625CD5">
              <w:rPr>
                <w:rFonts w:cs="Arial"/>
                <w:color w:val="000000"/>
                <w:sz w:val="22"/>
                <w:szCs w:val="22"/>
              </w:rPr>
              <w:t>England</w:t>
            </w:r>
          </w:p>
        </w:tc>
        <w:tc>
          <w:tcPr>
            <w:tcW w:w="0" w:type="auto"/>
            <w:shd w:val="clear" w:color="auto" w:fill="FFFFFF" w:themeFill="background1"/>
            <w:noWrap/>
            <w:vAlign w:val="center"/>
          </w:tcPr>
          <w:p w14:paraId="6A111BAB" w14:textId="77777777" w:rsidR="00CE1BDB" w:rsidRPr="00625CD5" w:rsidRDefault="00CE1BDB" w:rsidP="00EF49A7">
            <w:pPr>
              <w:tabs>
                <w:tab w:val="left" w:pos="0"/>
                <w:tab w:val="left" w:pos="709"/>
                <w:tab w:val="left" w:pos="1418"/>
              </w:tabs>
              <w:jc w:val="right"/>
              <w:rPr>
                <w:rFonts w:cs="Arial"/>
                <w:bCs/>
                <w:color w:val="000000"/>
                <w:sz w:val="22"/>
                <w:szCs w:val="22"/>
              </w:rPr>
            </w:pPr>
            <w:r w:rsidRPr="00625CD5">
              <w:rPr>
                <w:rFonts w:cs="Arial"/>
                <w:color w:val="000000"/>
                <w:sz w:val="22"/>
                <w:szCs w:val="22"/>
              </w:rPr>
              <w:t>£893</w:t>
            </w:r>
          </w:p>
        </w:tc>
        <w:tc>
          <w:tcPr>
            <w:tcW w:w="0" w:type="auto"/>
            <w:shd w:val="clear" w:color="auto" w:fill="FFFFFF" w:themeFill="background1"/>
            <w:noWrap/>
            <w:vAlign w:val="center"/>
          </w:tcPr>
          <w:p w14:paraId="2D5F4FDB" w14:textId="77777777" w:rsidR="00CE1BDB" w:rsidRPr="00625CD5" w:rsidRDefault="00CE1BDB" w:rsidP="00EF49A7">
            <w:pPr>
              <w:tabs>
                <w:tab w:val="left" w:pos="0"/>
                <w:tab w:val="left" w:pos="709"/>
                <w:tab w:val="left" w:pos="1418"/>
              </w:tabs>
              <w:jc w:val="right"/>
              <w:rPr>
                <w:rFonts w:cs="Arial"/>
                <w:bCs/>
                <w:color w:val="000000"/>
                <w:sz w:val="22"/>
                <w:szCs w:val="22"/>
              </w:rPr>
            </w:pPr>
            <w:r w:rsidRPr="00625CD5">
              <w:rPr>
                <w:rFonts w:cs="Arial"/>
                <w:color w:val="000000"/>
                <w:sz w:val="22"/>
                <w:szCs w:val="22"/>
              </w:rPr>
              <w:t>£1,148</w:t>
            </w:r>
          </w:p>
        </w:tc>
        <w:tc>
          <w:tcPr>
            <w:tcW w:w="0" w:type="auto"/>
            <w:shd w:val="clear" w:color="auto" w:fill="FFFFFF" w:themeFill="background1"/>
            <w:noWrap/>
            <w:vAlign w:val="center"/>
          </w:tcPr>
          <w:p w14:paraId="3C874B24" w14:textId="77777777" w:rsidR="00CE1BDB" w:rsidRPr="00625CD5" w:rsidRDefault="00CE1BDB" w:rsidP="00EF49A7">
            <w:pPr>
              <w:tabs>
                <w:tab w:val="left" w:pos="0"/>
                <w:tab w:val="left" w:pos="709"/>
                <w:tab w:val="left" w:pos="1418"/>
              </w:tabs>
              <w:jc w:val="right"/>
              <w:rPr>
                <w:rFonts w:cs="Arial"/>
                <w:bCs/>
                <w:color w:val="000000"/>
                <w:sz w:val="22"/>
                <w:szCs w:val="22"/>
              </w:rPr>
            </w:pPr>
            <w:r w:rsidRPr="00625CD5">
              <w:rPr>
                <w:rFonts w:cs="Arial"/>
                <w:b/>
                <w:bCs/>
                <w:color w:val="000000"/>
                <w:sz w:val="22"/>
                <w:szCs w:val="22"/>
              </w:rPr>
              <w:t>28.6%</w:t>
            </w:r>
          </w:p>
        </w:tc>
      </w:tr>
    </w:tbl>
    <w:p w14:paraId="0438AB10" w14:textId="19C3C0DA" w:rsidR="00CE1BDB" w:rsidRDefault="00CE1BDB" w:rsidP="00CE1BDB">
      <w:pPr>
        <w:tabs>
          <w:tab w:val="left" w:pos="0"/>
          <w:tab w:val="left" w:pos="709"/>
          <w:tab w:val="left" w:pos="1418"/>
        </w:tabs>
        <w:rPr>
          <w:rFonts w:cs="Arial"/>
          <w:sz w:val="22"/>
          <w:szCs w:val="22"/>
        </w:rPr>
      </w:pPr>
      <w:r w:rsidRPr="00FA4DC7">
        <w:rPr>
          <w:rFonts w:cs="Arial"/>
          <w:sz w:val="22"/>
          <w:szCs w:val="22"/>
        </w:rPr>
        <w:tab/>
        <w:t>Source: Zoopla PPD 2021</w:t>
      </w:r>
    </w:p>
    <w:p w14:paraId="05CA31A2" w14:textId="77777777" w:rsidR="00625CD5" w:rsidRPr="00FA4DC7" w:rsidRDefault="00625CD5" w:rsidP="00CE1BDB">
      <w:pPr>
        <w:tabs>
          <w:tab w:val="left" w:pos="0"/>
          <w:tab w:val="left" w:pos="709"/>
          <w:tab w:val="left" w:pos="1418"/>
        </w:tabs>
        <w:rPr>
          <w:rFonts w:cs="Arial"/>
          <w:sz w:val="22"/>
          <w:szCs w:val="22"/>
        </w:rPr>
      </w:pPr>
    </w:p>
    <w:tbl>
      <w:tblPr>
        <w:tblW w:w="0" w:type="auto"/>
        <w:tblInd w:w="602" w:type="dxa"/>
        <w:tblLook w:val="04A0" w:firstRow="1" w:lastRow="0" w:firstColumn="1" w:lastColumn="0" w:noHBand="0" w:noVBand="1"/>
      </w:tblPr>
      <w:tblGrid>
        <w:gridCol w:w="3115"/>
        <w:gridCol w:w="1781"/>
        <w:gridCol w:w="1781"/>
      </w:tblGrid>
      <w:tr w:rsidR="00834CE0" w:rsidRPr="00FA4DC7" w14:paraId="1C45DA0C" w14:textId="77777777" w:rsidTr="00834CE0">
        <w:tc>
          <w:tcPr>
            <w:tcW w:w="0" w:type="auto"/>
            <w:gridSpan w:val="3"/>
            <w:tcBorders>
              <w:top w:val="single" w:sz="8" w:space="0" w:color="auto"/>
              <w:left w:val="single" w:sz="8" w:space="0" w:color="auto"/>
              <w:bottom w:val="single" w:sz="8" w:space="0" w:color="auto"/>
              <w:right w:val="single" w:sz="8" w:space="0" w:color="auto"/>
            </w:tcBorders>
            <w:shd w:val="clear" w:color="auto" w:fill="006666"/>
            <w:noWrap/>
            <w:vAlign w:val="center"/>
          </w:tcPr>
          <w:p w14:paraId="0644E65B" w14:textId="6416A3F0" w:rsidR="00834CE0" w:rsidRPr="00FA4DC7" w:rsidRDefault="00834CE0" w:rsidP="00834CE0">
            <w:pPr>
              <w:pStyle w:val="Tableheading1"/>
              <w:rPr>
                <w:color w:val="FFFFFF"/>
              </w:rPr>
            </w:pPr>
            <w:bookmarkStart w:id="231" w:name="_Toc83036080"/>
            <w:r w:rsidRPr="00EF49A7">
              <w:t xml:space="preserve">Table 3.5a </w:t>
            </w:r>
            <w:r w:rsidRPr="00EF49A7">
              <w:tab/>
              <w:t>Lower quartile and median rents by ward 2020</w:t>
            </w:r>
            <w:bookmarkEnd w:id="231"/>
          </w:p>
        </w:tc>
      </w:tr>
      <w:tr w:rsidR="00CE1BDB" w:rsidRPr="00FA4DC7" w14:paraId="6D068087" w14:textId="77777777" w:rsidTr="00834CE0">
        <w:tc>
          <w:tcPr>
            <w:tcW w:w="0" w:type="auto"/>
            <w:vMerge w:val="restart"/>
            <w:tcBorders>
              <w:top w:val="single" w:sz="8" w:space="0" w:color="auto"/>
              <w:left w:val="single" w:sz="8" w:space="0" w:color="auto"/>
              <w:bottom w:val="single" w:sz="8" w:space="0" w:color="auto"/>
              <w:right w:val="single" w:sz="8" w:space="0" w:color="auto"/>
            </w:tcBorders>
            <w:shd w:val="clear" w:color="auto" w:fill="006666"/>
            <w:noWrap/>
            <w:vAlign w:val="center"/>
            <w:hideMark/>
          </w:tcPr>
          <w:p w14:paraId="30AC167B" w14:textId="77777777" w:rsidR="00CE1BDB" w:rsidRPr="00FA4DC7" w:rsidRDefault="00CE1BDB" w:rsidP="00834CE0">
            <w:pPr>
              <w:jc w:val="center"/>
              <w:rPr>
                <w:rFonts w:cs="Arial"/>
                <w:b/>
                <w:bCs/>
                <w:color w:val="FFFFFF"/>
                <w:sz w:val="22"/>
                <w:szCs w:val="22"/>
              </w:rPr>
            </w:pPr>
            <w:r w:rsidRPr="00FA4DC7">
              <w:rPr>
                <w:rFonts w:cs="Arial"/>
                <w:b/>
                <w:bCs/>
                <w:color w:val="FFFFFF"/>
                <w:sz w:val="22"/>
                <w:szCs w:val="22"/>
              </w:rPr>
              <w:t>Ward</w:t>
            </w:r>
          </w:p>
        </w:tc>
        <w:tc>
          <w:tcPr>
            <w:tcW w:w="0" w:type="auto"/>
            <w:tcBorders>
              <w:top w:val="single" w:sz="8" w:space="0" w:color="auto"/>
              <w:left w:val="nil"/>
              <w:bottom w:val="single" w:sz="8" w:space="0" w:color="auto"/>
              <w:right w:val="single" w:sz="8" w:space="0" w:color="auto"/>
            </w:tcBorders>
            <w:shd w:val="clear" w:color="auto" w:fill="006666"/>
            <w:noWrap/>
            <w:vAlign w:val="center"/>
            <w:hideMark/>
          </w:tcPr>
          <w:p w14:paraId="54E73883" w14:textId="77777777" w:rsidR="00CE1BDB" w:rsidRPr="00FA4DC7" w:rsidRDefault="00CE1BDB" w:rsidP="00834CE0">
            <w:pPr>
              <w:jc w:val="center"/>
              <w:rPr>
                <w:rFonts w:cs="Arial"/>
                <w:b/>
                <w:bCs/>
                <w:color w:val="FFFFFF"/>
                <w:sz w:val="22"/>
                <w:szCs w:val="22"/>
              </w:rPr>
            </w:pPr>
            <w:r w:rsidRPr="00FA4DC7">
              <w:rPr>
                <w:rFonts w:cs="Arial"/>
                <w:b/>
                <w:bCs/>
                <w:color w:val="FFFFFF"/>
                <w:sz w:val="22"/>
                <w:szCs w:val="22"/>
              </w:rPr>
              <w:t xml:space="preserve">Lower quartile </w:t>
            </w:r>
          </w:p>
        </w:tc>
        <w:tc>
          <w:tcPr>
            <w:tcW w:w="0" w:type="auto"/>
            <w:tcBorders>
              <w:top w:val="single" w:sz="8" w:space="0" w:color="auto"/>
              <w:left w:val="nil"/>
              <w:bottom w:val="single" w:sz="8" w:space="0" w:color="auto"/>
              <w:right w:val="single" w:sz="8" w:space="0" w:color="auto"/>
            </w:tcBorders>
            <w:shd w:val="clear" w:color="auto" w:fill="006666"/>
            <w:noWrap/>
            <w:vAlign w:val="center"/>
            <w:hideMark/>
          </w:tcPr>
          <w:p w14:paraId="456FCC89" w14:textId="77777777" w:rsidR="00CE1BDB" w:rsidRPr="00FA4DC7" w:rsidRDefault="00CE1BDB" w:rsidP="00834CE0">
            <w:pPr>
              <w:jc w:val="center"/>
              <w:rPr>
                <w:rFonts w:cs="Arial"/>
                <w:b/>
                <w:bCs/>
                <w:color w:val="FFFFFF"/>
                <w:sz w:val="22"/>
                <w:szCs w:val="22"/>
              </w:rPr>
            </w:pPr>
            <w:r w:rsidRPr="00FA4DC7">
              <w:rPr>
                <w:rFonts w:cs="Arial"/>
                <w:b/>
                <w:bCs/>
                <w:color w:val="FFFFFF"/>
                <w:sz w:val="22"/>
                <w:szCs w:val="22"/>
              </w:rPr>
              <w:t>Median</w:t>
            </w:r>
          </w:p>
        </w:tc>
      </w:tr>
      <w:tr w:rsidR="00CE1BDB" w:rsidRPr="00FA4DC7" w14:paraId="5171D857" w14:textId="77777777" w:rsidTr="00834CE0">
        <w:tc>
          <w:tcPr>
            <w:tcW w:w="0" w:type="auto"/>
            <w:vMerge/>
            <w:tcBorders>
              <w:top w:val="single" w:sz="8" w:space="0" w:color="auto"/>
              <w:left w:val="single" w:sz="8" w:space="0" w:color="auto"/>
              <w:bottom w:val="single" w:sz="8" w:space="0" w:color="auto"/>
              <w:right w:val="single" w:sz="8" w:space="0" w:color="auto"/>
            </w:tcBorders>
            <w:shd w:val="clear" w:color="auto" w:fill="006666"/>
            <w:vAlign w:val="center"/>
            <w:hideMark/>
          </w:tcPr>
          <w:p w14:paraId="2D7DB64D" w14:textId="77777777" w:rsidR="00CE1BDB" w:rsidRPr="00FA4DC7" w:rsidRDefault="00CE1BDB" w:rsidP="00834CE0">
            <w:pPr>
              <w:rPr>
                <w:rFonts w:cs="Arial"/>
                <w:b/>
                <w:bCs/>
                <w:color w:val="FFFFFF"/>
                <w:sz w:val="22"/>
                <w:szCs w:val="22"/>
              </w:rPr>
            </w:pPr>
          </w:p>
        </w:tc>
        <w:tc>
          <w:tcPr>
            <w:tcW w:w="0" w:type="auto"/>
            <w:tcBorders>
              <w:top w:val="nil"/>
              <w:left w:val="nil"/>
              <w:bottom w:val="single" w:sz="8" w:space="0" w:color="auto"/>
              <w:right w:val="single" w:sz="8" w:space="0" w:color="auto"/>
            </w:tcBorders>
            <w:shd w:val="clear" w:color="auto" w:fill="006666"/>
            <w:noWrap/>
            <w:vAlign w:val="center"/>
            <w:hideMark/>
          </w:tcPr>
          <w:p w14:paraId="4AC77A2B" w14:textId="77777777" w:rsidR="00CE1BDB" w:rsidRPr="00FA4DC7" w:rsidRDefault="00CE1BDB" w:rsidP="00834CE0">
            <w:pPr>
              <w:jc w:val="center"/>
              <w:rPr>
                <w:rFonts w:cs="Arial"/>
                <w:b/>
                <w:bCs/>
                <w:color w:val="FFFFFF"/>
                <w:sz w:val="22"/>
                <w:szCs w:val="22"/>
              </w:rPr>
            </w:pPr>
            <w:r w:rsidRPr="00FA4DC7">
              <w:rPr>
                <w:rFonts w:cs="Arial"/>
                <w:b/>
                <w:bCs/>
                <w:color w:val="FFFFFF"/>
                <w:sz w:val="22"/>
                <w:szCs w:val="22"/>
              </w:rPr>
              <w:t>(£ each month)</w:t>
            </w:r>
          </w:p>
        </w:tc>
        <w:tc>
          <w:tcPr>
            <w:tcW w:w="0" w:type="auto"/>
            <w:tcBorders>
              <w:top w:val="nil"/>
              <w:left w:val="nil"/>
              <w:bottom w:val="single" w:sz="8" w:space="0" w:color="auto"/>
              <w:right w:val="single" w:sz="8" w:space="0" w:color="auto"/>
            </w:tcBorders>
            <w:shd w:val="clear" w:color="auto" w:fill="006666"/>
            <w:noWrap/>
            <w:vAlign w:val="center"/>
            <w:hideMark/>
          </w:tcPr>
          <w:p w14:paraId="61A6A76D" w14:textId="77777777" w:rsidR="00CE1BDB" w:rsidRPr="00FA4DC7" w:rsidRDefault="00CE1BDB" w:rsidP="00834CE0">
            <w:pPr>
              <w:jc w:val="center"/>
              <w:rPr>
                <w:rFonts w:cs="Arial"/>
                <w:b/>
                <w:bCs/>
                <w:color w:val="FFFFFF"/>
                <w:sz w:val="22"/>
                <w:szCs w:val="22"/>
              </w:rPr>
            </w:pPr>
            <w:r w:rsidRPr="00FA4DC7">
              <w:rPr>
                <w:rFonts w:cs="Arial"/>
                <w:b/>
                <w:bCs/>
                <w:color w:val="FFFFFF"/>
                <w:sz w:val="22"/>
                <w:szCs w:val="22"/>
              </w:rPr>
              <w:t>(£ each month)</w:t>
            </w:r>
          </w:p>
        </w:tc>
      </w:tr>
      <w:tr w:rsidR="00CE1BDB" w:rsidRPr="00FA4DC7" w14:paraId="399325CE"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854FFC" w14:textId="77777777" w:rsidR="00CE1BDB" w:rsidRPr="00FA4DC7" w:rsidRDefault="00CE1BDB" w:rsidP="00834CE0">
            <w:pPr>
              <w:jc w:val="both"/>
              <w:rPr>
                <w:rFonts w:cs="Arial"/>
                <w:color w:val="000000"/>
                <w:sz w:val="22"/>
                <w:szCs w:val="22"/>
              </w:rPr>
            </w:pPr>
            <w:r w:rsidRPr="00FA4DC7">
              <w:rPr>
                <w:rFonts w:cs="Arial"/>
                <w:color w:val="000000"/>
                <w:sz w:val="22"/>
                <w:szCs w:val="22"/>
              </w:rPr>
              <w:t>Chatham Central</w:t>
            </w:r>
          </w:p>
        </w:tc>
        <w:tc>
          <w:tcPr>
            <w:tcW w:w="0" w:type="auto"/>
            <w:tcBorders>
              <w:top w:val="nil"/>
              <w:left w:val="nil"/>
              <w:bottom w:val="single" w:sz="8" w:space="0" w:color="auto"/>
              <w:right w:val="single" w:sz="8" w:space="0" w:color="auto"/>
            </w:tcBorders>
            <w:shd w:val="clear" w:color="auto" w:fill="auto"/>
            <w:noWrap/>
            <w:vAlign w:val="bottom"/>
            <w:hideMark/>
          </w:tcPr>
          <w:p w14:paraId="705A29DF" w14:textId="77777777" w:rsidR="00CE1BDB" w:rsidRPr="00FA4DC7" w:rsidRDefault="00CE1BDB" w:rsidP="00834CE0">
            <w:pPr>
              <w:jc w:val="right"/>
              <w:rPr>
                <w:rFonts w:cs="Arial"/>
                <w:color w:val="000000"/>
                <w:sz w:val="22"/>
                <w:szCs w:val="22"/>
              </w:rPr>
            </w:pPr>
            <w:r w:rsidRPr="00FA4DC7">
              <w:rPr>
                <w:rFonts w:cs="Arial"/>
                <w:color w:val="000000"/>
                <w:sz w:val="22"/>
                <w:szCs w:val="22"/>
              </w:rPr>
              <w:t>£650</w:t>
            </w:r>
          </w:p>
        </w:tc>
        <w:tc>
          <w:tcPr>
            <w:tcW w:w="0" w:type="auto"/>
            <w:tcBorders>
              <w:top w:val="nil"/>
              <w:left w:val="nil"/>
              <w:bottom w:val="single" w:sz="8" w:space="0" w:color="auto"/>
              <w:right w:val="single" w:sz="8" w:space="0" w:color="auto"/>
            </w:tcBorders>
            <w:shd w:val="clear" w:color="auto" w:fill="auto"/>
            <w:noWrap/>
            <w:vAlign w:val="bottom"/>
            <w:hideMark/>
          </w:tcPr>
          <w:p w14:paraId="4E053A1C" w14:textId="77777777" w:rsidR="00CE1BDB" w:rsidRPr="00FA4DC7" w:rsidRDefault="00CE1BDB" w:rsidP="00834CE0">
            <w:pPr>
              <w:jc w:val="right"/>
              <w:rPr>
                <w:rFonts w:cs="Arial"/>
                <w:color w:val="000000"/>
                <w:sz w:val="22"/>
                <w:szCs w:val="22"/>
              </w:rPr>
            </w:pPr>
            <w:r w:rsidRPr="00FA4DC7">
              <w:rPr>
                <w:rFonts w:cs="Arial"/>
                <w:color w:val="000000"/>
                <w:sz w:val="22"/>
                <w:szCs w:val="22"/>
              </w:rPr>
              <w:t>£802</w:t>
            </w:r>
          </w:p>
        </w:tc>
      </w:tr>
      <w:tr w:rsidR="00CE1BDB" w:rsidRPr="00FA4DC7" w14:paraId="0DBA8287"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D1E1D4F" w14:textId="77777777" w:rsidR="00CE1BDB" w:rsidRPr="00FA4DC7" w:rsidRDefault="00CE1BDB" w:rsidP="00834CE0">
            <w:pPr>
              <w:jc w:val="both"/>
              <w:rPr>
                <w:rFonts w:cs="Arial"/>
                <w:color w:val="000000"/>
                <w:sz w:val="22"/>
                <w:szCs w:val="22"/>
              </w:rPr>
            </w:pPr>
            <w:proofErr w:type="spellStart"/>
            <w:r w:rsidRPr="00FA4DC7">
              <w:rPr>
                <w:rFonts w:cs="Arial"/>
                <w:color w:val="000000"/>
                <w:sz w:val="22"/>
                <w:szCs w:val="22"/>
              </w:rPr>
              <w:t>Cuxton</w:t>
            </w:r>
            <w:proofErr w:type="spellEnd"/>
            <w:r w:rsidRPr="00FA4DC7">
              <w:rPr>
                <w:rFonts w:cs="Arial"/>
                <w:color w:val="000000"/>
                <w:sz w:val="22"/>
                <w:szCs w:val="22"/>
              </w:rPr>
              <w:t xml:space="preserve"> and </w:t>
            </w:r>
            <w:proofErr w:type="spellStart"/>
            <w:r w:rsidRPr="00FA4DC7">
              <w:rPr>
                <w:rFonts w:cs="Arial"/>
                <w:color w:val="000000"/>
                <w:sz w:val="22"/>
                <w:szCs w:val="22"/>
              </w:rPr>
              <w:t>Halling</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14:paraId="675758DB" w14:textId="77777777" w:rsidR="00CE1BDB" w:rsidRPr="00FA4DC7" w:rsidRDefault="00CE1BDB" w:rsidP="00834CE0">
            <w:pPr>
              <w:jc w:val="right"/>
              <w:rPr>
                <w:rFonts w:cs="Arial"/>
                <w:color w:val="000000"/>
                <w:sz w:val="22"/>
                <w:szCs w:val="22"/>
              </w:rPr>
            </w:pPr>
            <w:r w:rsidRPr="00FA4DC7">
              <w:rPr>
                <w:rFonts w:cs="Arial"/>
                <w:color w:val="000000"/>
                <w:sz w:val="22"/>
                <w:szCs w:val="22"/>
              </w:rPr>
              <w:t>£937</w:t>
            </w:r>
          </w:p>
        </w:tc>
        <w:tc>
          <w:tcPr>
            <w:tcW w:w="0" w:type="auto"/>
            <w:tcBorders>
              <w:top w:val="nil"/>
              <w:left w:val="nil"/>
              <w:bottom w:val="single" w:sz="8" w:space="0" w:color="auto"/>
              <w:right w:val="single" w:sz="8" w:space="0" w:color="auto"/>
            </w:tcBorders>
            <w:shd w:val="clear" w:color="auto" w:fill="auto"/>
            <w:noWrap/>
            <w:vAlign w:val="bottom"/>
            <w:hideMark/>
          </w:tcPr>
          <w:p w14:paraId="1CF8BEC0" w14:textId="77777777" w:rsidR="00CE1BDB" w:rsidRPr="00FA4DC7" w:rsidRDefault="00CE1BDB" w:rsidP="00834CE0">
            <w:pPr>
              <w:jc w:val="right"/>
              <w:rPr>
                <w:rFonts w:cs="Arial"/>
                <w:color w:val="000000"/>
                <w:sz w:val="22"/>
                <w:szCs w:val="22"/>
              </w:rPr>
            </w:pPr>
            <w:r w:rsidRPr="00FA4DC7">
              <w:rPr>
                <w:rFonts w:cs="Arial"/>
                <w:color w:val="000000"/>
                <w:sz w:val="22"/>
                <w:szCs w:val="22"/>
              </w:rPr>
              <w:t>£1,001</w:t>
            </w:r>
          </w:p>
        </w:tc>
      </w:tr>
      <w:tr w:rsidR="00CE1BDB" w:rsidRPr="00FA4DC7" w14:paraId="76AB8748"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2E200D" w14:textId="77777777" w:rsidR="00CE1BDB" w:rsidRPr="00FA4DC7" w:rsidRDefault="00CE1BDB" w:rsidP="00834CE0">
            <w:pPr>
              <w:jc w:val="both"/>
              <w:rPr>
                <w:rFonts w:cs="Arial"/>
                <w:color w:val="000000"/>
                <w:sz w:val="22"/>
                <w:szCs w:val="22"/>
              </w:rPr>
            </w:pPr>
            <w:r w:rsidRPr="00FA4DC7">
              <w:rPr>
                <w:rFonts w:cs="Arial"/>
                <w:color w:val="000000"/>
                <w:sz w:val="22"/>
                <w:szCs w:val="22"/>
              </w:rPr>
              <w:t>Gillingham North</w:t>
            </w:r>
          </w:p>
        </w:tc>
        <w:tc>
          <w:tcPr>
            <w:tcW w:w="0" w:type="auto"/>
            <w:tcBorders>
              <w:top w:val="nil"/>
              <w:left w:val="nil"/>
              <w:bottom w:val="single" w:sz="8" w:space="0" w:color="auto"/>
              <w:right w:val="single" w:sz="8" w:space="0" w:color="auto"/>
            </w:tcBorders>
            <w:shd w:val="clear" w:color="auto" w:fill="auto"/>
            <w:noWrap/>
            <w:vAlign w:val="bottom"/>
            <w:hideMark/>
          </w:tcPr>
          <w:p w14:paraId="4F90769A" w14:textId="77777777" w:rsidR="00CE1BDB" w:rsidRPr="00FA4DC7" w:rsidRDefault="00CE1BDB" w:rsidP="00834CE0">
            <w:pPr>
              <w:jc w:val="right"/>
              <w:rPr>
                <w:rFonts w:cs="Arial"/>
                <w:color w:val="000000"/>
                <w:sz w:val="22"/>
                <w:szCs w:val="22"/>
              </w:rPr>
            </w:pPr>
            <w:r w:rsidRPr="00FA4DC7">
              <w:rPr>
                <w:rFonts w:cs="Arial"/>
                <w:color w:val="000000"/>
                <w:sz w:val="22"/>
                <w:szCs w:val="22"/>
              </w:rPr>
              <w:t>£702</w:t>
            </w:r>
          </w:p>
        </w:tc>
        <w:tc>
          <w:tcPr>
            <w:tcW w:w="0" w:type="auto"/>
            <w:tcBorders>
              <w:top w:val="nil"/>
              <w:left w:val="nil"/>
              <w:bottom w:val="single" w:sz="8" w:space="0" w:color="auto"/>
              <w:right w:val="single" w:sz="8" w:space="0" w:color="auto"/>
            </w:tcBorders>
            <w:shd w:val="clear" w:color="auto" w:fill="auto"/>
            <w:noWrap/>
            <w:vAlign w:val="bottom"/>
            <w:hideMark/>
          </w:tcPr>
          <w:p w14:paraId="7422D0A7" w14:textId="77777777" w:rsidR="00CE1BDB" w:rsidRPr="00FA4DC7" w:rsidRDefault="00CE1BDB" w:rsidP="00834CE0">
            <w:pPr>
              <w:jc w:val="right"/>
              <w:rPr>
                <w:rFonts w:cs="Arial"/>
                <w:color w:val="000000"/>
                <w:sz w:val="22"/>
                <w:szCs w:val="22"/>
              </w:rPr>
            </w:pPr>
            <w:r w:rsidRPr="00FA4DC7">
              <w:rPr>
                <w:rFonts w:cs="Arial"/>
                <w:color w:val="000000"/>
                <w:sz w:val="22"/>
                <w:szCs w:val="22"/>
              </w:rPr>
              <w:t>£849</w:t>
            </w:r>
          </w:p>
        </w:tc>
      </w:tr>
      <w:tr w:rsidR="00CE1BDB" w:rsidRPr="00FA4DC7" w14:paraId="4E61F11A"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71D5A9" w14:textId="77777777" w:rsidR="00CE1BDB" w:rsidRPr="00FA4DC7" w:rsidRDefault="00CE1BDB" w:rsidP="00834CE0">
            <w:pPr>
              <w:jc w:val="both"/>
              <w:rPr>
                <w:rFonts w:cs="Arial"/>
                <w:color w:val="000000"/>
                <w:sz w:val="22"/>
                <w:szCs w:val="22"/>
              </w:rPr>
            </w:pPr>
            <w:r w:rsidRPr="00FA4DC7">
              <w:rPr>
                <w:rFonts w:cs="Arial"/>
                <w:color w:val="000000"/>
                <w:sz w:val="22"/>
                <w:szCs w:val="22"/>
              </w:rPr>
              <w:t>Gillingham South</w:t>
            </w:r>
          </w:p>
        </w:tc>
        <w:tc>
          <w:tcPr>
            <w:tcW w:w="0" w:type="auto"/>
            <w:tcBorders>
              <w:top w:val="nil"/>
              <w:left w:val="nil"/>
              <w:bottom w:val="single" w:sz="8" w:space="0" w:color="auto"/>
              <w:right w:val="single" w:sz="8" w:space="0" w:color="auto"/>
            </w:tcBorders>
            <w:shd w:val="clear" w:color="auto" w:fill="auto"/>
            <w:noWrap/>
            <w:vAlign w:val="bottom"/>
            <w:hideMark/>
          </w:tcPr>
          <w:p w14:paraId="031E7BA8" w14:textId="77777777" w:rsidR="00CE1BDB" w:rsidRPr="00FA4DC7" w:rsidRDefault="00CE1BDB" w:rsidP="00834CE0">
            <w:pPr>
              <w:jc w:val="right"/>
              <w:rPr>
                <w:rFonts w:cs="Arial"/>
                <w:color w:val="000000"/>
                <w:sz w:val="22"/>
                <w:szCs w:val="22"/>
              </w:rPr>
            </w:pPr>
            <w:r w:rsidRPr="00FA4DC7">
              <w:rPr>
                <w:rFonts w:cs="Arial"/>
                <w:color w:val="000000"/>
                <w:sz w:val="22"/>
                <w:szCs w:val="22"/>
              </w:rPr>
              <w:t>£624</w:t>
            </w:r>
          </w:p>
        </w:tc>
        <w:tc>
          <w:tcPr>
            <w:tcW w:w="0" w:type="auto"/>
            <w:tcBorders>
              <w:top w:val="nil"/>
              <w:left w:val="nil"/>
              <w:bottom w:val="single" w:sz="8" w:space="0" w:color="auto"/>
              <w:right w:val="single" w:sz="8" w:space="0" w:color="auto"/>
            </w:tcBorders>
            <w:shd w:val="clear" w:color="auto" w:fill="auto"/>
            <w:noWrap/>
            <w:vAlign w:val="bottom"/>
            <w:hideMark/>
          </w:tcPr>
          <w:p w14:paraId="437A858B" w14:textId="77777777" w:rsidR="00CE1BDB" w:rsidRPr="00FA4DC7" w:rsidRDefault="00CE1BDB" w:rsidP="00834CE0">
            <w:pPr>
              <w:jc w:val="right"/>
              <w:rPr>
                <w:rFonts w:cs="Arial"/>
                <w:color w:val="000000"/>
                <w:sz w:val="22"/>
                <w:szCs w:val="22"/>
              </w:rPr>
            </w:pPr>
            <w:r w:rsidRPr="00FA4DC7">
              <w:rPr>
                <w:rFonts w:cs="Arial"/>
                <w:color w:val="000000"/>
                <w:sz w:val="22"/>
                <w:szCs w:val="22"/>
              </w:rPr>
              <w:t>£802</w:t>
            </w:r>
          </w:p>
        </w:tc>
      </w:tr>
      <w:tr w:rsidR="00CE1BDB" w:rsidRPr="00FA4DC7" w14:paraId="3AF5B40D"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6B477E" w14:textId="77777777" w:rsidR="00CE1BDB" w:rsidRPr="00FA4DC7" w:rsidRDefault="00CE1BDB" w:rsidP="00834CE0">
            <w:pPr>
              <w:jc w:val="both"/>
              <w:rPr>
                <w:rFonts w:cs="Arial"/>
                <w:color w:val="000000"/>
                <w:sz w:val="22"/>
                <w:szCs w:val="22"/>
              </w:rPr>
            </w:pPr>
            <w:r w:rsidRPr="00FA4DC7">
              <w:rPr>
                <w:rFonts w:cs="Arial"/>
                <w:color w:val="000000"/>
                <w:sz w:val="22"/>
                <w:szCs w:val="22"/>
              </w:rPr>
              <w:t xml:space="preserve">Hempstead and </w:t>
            </w:r>
            <w:proofErr w:type="spellStart"/>
            <w:r w:rsidRPr="00FA4DC7">
              <w:rPr>
                <w:rFonts w:cs="Arial"/>
                <w:color w:val="000000"/>
                <w:sz w:val="22"/>
                <w:szCs w:val="22"/>
              </w:rPr>
              <w:t>Wigmore</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14:paraId="14A26679" w14:textId="77777777" w:rsidR="00CE1BDB" w:rsidRPr="00FA4DC7" w:rsidRDefault="00CE1BDB" w:rsidP="00834CE0">
            <w:pPr>
              <w:jc w:val="right"/>
              <w:rPr>
                <w:rFonts w:cs="Arial"/>
                <w:color w:val="000000"/>
                <w:sz w:val="22"/>
                <w:szCs w:val="22"/>
              </w:rPr>
            </w:pPr>
            <w:r w:rsidRPr="00FA4DC7">
              <w:rPr>
                <w:rFonts w:cs="Arial"/>
                <w:color w:val="000000"/>
                <w:sz w:val="22"/>
                <w:szCs w:val="22"/>
              </w:rPr>
              <w:t>£814</w:t>
            </w:r>
          </w:p>
        </w:tc>
        <w:tc>
          <w:tcPr>
            <w:tcW w:w="0" w:type="auto"/>
            <w:tcBorders>
              <w:top w:val="nil"/>
              <w:left w:val="nil"/>
              <w:bottom w:val="single" w:sz="8" w:space="0" w:color="auto"/>
              <w:right w:val="single" w:sz="8" w:space="0" w:color="auto"/>
            </w:tcBorders>
            <w:shd w:val="clear" w:color="auto" w:fill="auto"/>
            <w:noWrap/>
            <w:vAlign w:val="bottom"/>
            <w:hideMark/>
          </w:tcPr>
          <w:p w14:paraId="3541DE30" w14:textId="77777777" w:rsidR="00CE1BDB" w:rsidRPr="00FA4DC7" w:rsidRDefault="00CE1BDB" w:rsidP="00834CE0">
            <w:pPr>
              <w:jc w:val="right"/>
              <w:rPr>
                <w:rFonts w:cs="Arial"/>
                <w:color w:val="000000"/>
                <w:sz w:val="22"/>
                <w:szCs w:val="22"/>
              </w:rPr>
            </w:pPr>
            <w:r w:rsidRPr="00FA4DC7">
              <w:rPr>
                <w:rFonts w:cs="Arial"/>
                <w:color w:val="000000"/>
                <w:sz w:val="22"/>
                <w:szCs w:val="22"/>
              </w:rPr>
              <w:t>£1,025</w:t>
            </w:r>
          </w:p>
        </w:tc>
      </w:tr>
      <w:tr w:rsidR="00CE1BDB" w:rsidRPr="00FA4DC7" w14:paraId="06E27B10"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F091DAD" w14:textId="77777777" w:rsidR="00CE1BDB" w:rsidRPr="00FA4DC7" w:rsidRDefault="00CE1BDB" w:rsidP="00834CE0">
            <w:pPr>
              <w:jc w:val="both"/>
              <w:rPr>
                <w:rFonts w:cs="Arial"/>
                <w:color w:val="000000"/>
                <w:sz w:val="22"/>
                <w:szCs w:val="22"/>
              </w:rPr>
            </w:pPr>
            <w:proofErr w:type="spellStart"/>
            <w:r w:rsidRPr="00FA4DC7">
              <w:rPr>
                <w:rFonts w:cs="Arial"/>
                <w:color w:val="000000"/>
                <w:sz w:val="22"/>
                <w:szCs w:val="22"/>
              </w:rPr>
              <w:t>Lordswood</w:t>
            </w:r>
            <w:proofErr w:type="spellEnd"/>
            <w:r w:rsidRPr="00FA4DC7">
              <w:rPr>
                <w:rFonts w:cs="Arial"/>
                <w:color w:val="000000"/>
                <w:sz w:val="22"/>
                <w:szCs w:val="22"/>
              </w:rPr>
              <w:t xml:space="preserve"> and Capstone</w:t>
            </w:r>
          </w:p>
        </w:tc>
        <w:tc>
          <w:tcPr>
            <w:tcW w:w="0" w:type="auto"/>
            <w:tcBorders>
              <w:top w:val="nil"/>
              <w:left w:val="nil"/>
              <w:bottom w:val="single" w:sz="8" w:space="0" w:color="auto"/>
              <w:right w:val="single" w:sz="8" w:space="0" w:color="auto"/>
            </w:tcBorders>
            <w:shd w:val="clear" w:color="auto" w:fill="auto"/>
            <w:noWrap/>
            <w:vAlign w:val="bottom"/>
            <w:hideMark/>
          </w:tcPr>
          <w:p w14:paraId="1BC47694" w14:textId="77777777" w:rsidR="00CE1BDB" w:rsidRPr="00FA4DC7" w:rsidRDefault="00CE1BDB" w:rsidP="00834CE0">
            <w:pPr>
              <w:jc w:val="right"/>
              <w:rPr>
                <w:rFonts w:cs="Arial"/>
                <w:color w:val="000000"/>
                <w:sz w:val="22"/>
                <w:szCs w:val="22"/>
              </w:rPr>
            </w:pPr>
            <w:r w:rsidRPr="00FA4DC7">
              <w:rPr>
                <w:rFonts w:cs="Arial"/>
                <w:color w:val="000000"/>
                <w:sz w:val="22"/>
                <w:szCs w:val="22"/>
              </w:rPr>
              <w:t>£750</w:t>
            </w:r>
          </w:p>
        </w:tc>
        <w:tc>
          <w:tcPr>
            <w:tcW w:w="0" w:type="auto"/>
            <w:tcBorders>
              <w:top w:val="nil"/>
              <w:left w:val="nil"/>
              <w:bottom w:val="single" w:sz="8" w:space="0" w:color="auto"/>
              <w:right w:val="single" w:sz="8" w:space="0" w:color="auto"/>
            </w:tcBorders>
            <w:shd w:val="clear" w:color="auto" w:fill="auto"/>
            <w:noWrap/>
            <w:vAlign w:val="bottom"/>
            <w:hideMark/>
          </w:tcPr>
          <w:p w14:paraId="5B05C1A3" w14:textId="77777777" w:rsidR="00CE1BDB" w:rsidRPr="00FA4DC7" w:rsidRDefault="00CE1BDB" w:rsidP="00834CE0">
            <w:pPr>
              <w:jc w:val="right"/>
              <w:rPr>
                <w:rFonts w:cs="Arial"/>
                <w:color w:val="000000"/>
                <w:sz w:val="22"/>
                <w:szCs w:val="22"/>
              </w:rPr>
            </w:pPr>
            <w:r w:rsidRPr="00FA4DC7">
              <w:rPr>
                <w:rFonts w:cs="Arial"/>
                <w:color w:val="000000"/>
                <w:sz w:val="22"/>
                <w:szCs w:val="22"/>
              </w:rPr>
              <w:t>£849</w:t>
            </w:r>
          </w:p>
        </w:tc>
      </w:tr>
      <w:tr w:rsidR="00CE1BDB" w:rsidRPr="00FA4DC7" w14:paraId="210BE669"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997B70E" w14:textId="77777777" w:rsidR="00CE1BDB" w:rsidRPr="00FA4DC7" w:rsidRDefault="00CE1BDB" w:rsidP="00834CE0">
            <w:pPr>
              <w:jc w:val="both"/>
              <w:rPr>
                <w:rFonts w:cs="Arial"/>
                <w:color w:val="000000"/>
                <w:sz w:val="22"/>
                <w:szCs w:val="22"/>
              </w:rPr>
            </w:pPr>
            <w:r w:rsidRPr="00FA4DC7">
              <w:rPr>
                <w:rFonts w:cs="Arial"/>
                <w:color w:val="000000"/>
                <w:sz w:val="22"/>
                <w:szCs w:val="22"/>
              </w:rPr>
              <w:t xml:space="preserve">Luton and </w:t>
            </w:r>
            <w:proofErr w:type="spellStart"/>
            <w:r w:rsidRPr="00FA4DC7">
              <w:rPr>
                <w:rFonts w:cs="Arial"/>
                <w:color w:val="000000"/>
                <w:sz w:val="22"/>
                <w:szCs w:val="22"/>
              </w:rPr>
              <w:t>Wayfield</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14:paraId="0C566E4E" w14:textId="77777777" w:rsidR="00CE1BDB" w:rsidRPr="00FA4DC7" w:rsidRDefault="00CE1BDB" w:rsidP="00834CE0">
            <w:pPr>
              <w:jc w:val="right"/>
              <w:rPr>
                <w:rFonts w:cs="Arial"/>
                <w:color w:val="000000"/>
                <w:sz w:val="22"/>
                <w:szCs w:val="22"/>
              </w:rPr>
            </w:pPr>
            <w:r w:rsidRPr="00FA4DC7">
              <w:rPr>
                <w:rFonts w:cs="Arial"/>
                <w:color w:val="000000"/>
                <w:sz w:val="22"/>
                <w:szCs w:val="22"/>
              </w:rPr>
              <w:t>£650</w:t>
            </w:r>
          </w:p>
        </w:tc>
        <w:tc>
          <w:tcPr>
            <w:tcW w:w="0" w:type="auto"/>
            <w:tcBorders>
              <w:top w:val="nil"/>
              <w:left w:val="nil"/>
              <w:bottom w:val="single" w:sz="8" w:space="0" w:color="auto"/>
              <w:right w:val="single" w:sz="8" w:space="0" w:color="auto"/>
            </w:tcBorders>
            <w:shd w:val="clear" w:color="auto" w:fill="auto"/>
            <w:noWrap/>
            <w:vAlign w:val="bottom"/>
            <w:hideMark/>
          </w:tcPr>
          <w:p w14:paraId="6AD24E1F" w14:textId="77777777" w:rsidR="00CE1BDB" w:rsidRPr="00FA4DC7" w:rsidRDefault="00CE1BDB" w:rsidP="00834CE0">
            <w:pPr>
              <w:jc w:val="right"/>
              <w:rPr>
                <w:rFonts w:cs="Arial"/>
                <w:color w:val="000000"/>
                <w:sz w:val="22"/>
                <w:szCs w:val="22"/>
              </w:rPr>
            </w:pPr>
            <w:r w:rsidRPr="00FA4DC7">
              <w:rPr>
                <w:rFonts w:cs="Arial"/>
                <w:color w:val="000000"/>
                <w:sz w:val="22"/>
                <w:szCs w:val="22"/>
              </w:rPr>
              <w:t>£802</w:t>
            </w:r>
          </w:p>
        </w:tc>
      </w:tr>
      <w:tr w:rsidR="00CE1BDB" w:rsidRPr="00FA4DC7" w14:paraId="7FB5B590"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0931A64" w14:textId="77777777" w:rsidR="00CE1BDB" w:rsidRPr="00FA4DC7" w:rsidRDefault="00CE1BDB" w:rsidP="00834CE0">
            <w:pPr>
              <w:jc w:val="both"/>
              <w:rPr>
                <w:rFonts w:cs="Arial"/>
                <w:color w:val="000000"/>
                <w:sz w:val="22"/>
                <w:szCs w:val="22"/>
              </w:rPr>
            </w:pPr>
            <w:r w:rsidRPr="00FA4DC7">
              <w:rPr>
                <w:rFonts w:cs="Arial"/>
                <w:color w:val="000000"/>
                <w:sz w:val="22"/>
                <w:szCs w:val="22"/>
              </w:rPr>
              <w:t>Peninsula</w:t>
            </w:r>
          </w:p>
        </w:tc>
        <w:tc>
          <w:tcPr>
            <w:tcW w:w="0" w:type="auto"/>
            <w:tcBorders>
              <w:top w:val="nil"/>
              <w:left w:val="nil"/>
              <w:bottom w:val="single" w:sz="8" w:space="0" w:color="auto"/>
              <w:right w:val="single" w:sz="8" w:space="0" w:color="auto"/>
            </w:tcBorders>
            <w:shd w:val="clear" w:color="auto" w:fill="auto"/>
            <w:noWrap/>
            <w:vAlign w:val="bottom"/>
            <w:hideMark/>
          </w:tcPr>
          <w:p w14:paraId="06685CC7" w14:textId="77777777" w:rsidR="00CE1BDB" w:rsidRPr="00FA4DC7" w:rsidRDefault="00CE1BDB" w:rsidP="00834CE0">
            <w:pPr>
              <w:jc w:val="right"/>
              <w:rPr>
                <w:rFonts w:cs="Arial"/>
                <w:color w:val="000000"/>
                <w:sz w:val="22"/>
                <w:szCs w:val="22"/>
              </w:rPr>
            </w:pPr>
            <w:r w:rsidRPr="00FA4DC7">
              <w:rPr>
                <w:rFonts w:cs="Arial"/>
                <w:color w:val="000000"/>
                <w:sz w:val="22"/>
                <w:szCs w:val="22"/>
              </w:rPr>
              <w:t>£900</w:t>
            </w:r>
          </w:p>
        </w:tc>
        <w:tc>
          <w:tcPr>
            <w:tcW w:w="0" w:type="auto"/>
            <w:tcBorders>
              <w:top w:val="nil"/>
              <w:left w:val="nil"/>
              <w:bottom w:val="single" w:sz="8" w:space="0" w:color="auto"/>
              <w:right w:val="single" w:sz="8" w:space="0" w:color="auto"/>
            </w:tcBorders>
            <w:shd w:val="clear" w:color="auto" w:fill="auto"/>
            <w:noWrap/>
            <w:vAlign w:val="bottom"/>
            <w:hideMark/>
          </w:tcPr>
          <w:p w14:paraId="6CBBE7BA" w14:textId="77777777" w:rsidR="00CE1BDB" w:rsidRPr="00FA4DC7" w:rsidRDefault="00CE1BDB" w:rsidP="00834CE0">
            <w:pPr>
              <w:jc w:val="right"/>
              <w:rPr>
                <w:rFonts w:cs="Arial"/>
                <w:color w:val="000000"/>
                <w:sz w:val="22"/>
                <w:szCs w:val="22"/>
              </w:rPr>
            </w:pPr>
            <w:r w:rsidRPr="00FA4DC7">
              <w:rPr>
                <w:rFonts w:cs="Arial"/>
                <w:color w:val="000000"/>
                <w:sz w:val="22"/>
                <w:szCs w:val="22"/>
              </w:rPr>
              <w:t>£1,101</w:t>
            </w:r>
          </w:p>
        </w:tc>
      </w:tr>
      <w:tr w:rsidR="00CE1BDB" w:rsidRPr="00FA4DC7" w14:paraId="6E8FB8AE"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036433" w14:textId="77777777" w:rsidR="00CE1BDB" w:rsidRPr="00FA4DC7" w:rsidRDefault="00CE1BDB" w:rsidP="00834CE0">
            <w:pPr>
              <w:jc w:val="both"/>
              <w:rPr>
                <w:rFonts w:cs="Arial"/>
                <w:color w:val="000000"/>
                <w:sz w:val="22"/>
                <w:szCs w:val="22"/>
              </w:rPr>
            </w:pPr>
            <w:r w:rsidRPr="00FA4DC7">
              <w:rPr>
                <w:rFonts w:cs="Arial"/>
                <w:color w:val="000000"/>
                <w:sz w:val="22"/>
                <w:szCs w:val="22"/>
              </w:rPr>
              <w:t>Princes Park</w:t>
            </w:r>
          </w:p>
        </w:tc>
        <w:tc>
          <w:tcPr>
            <w:tcW w:w="0" w:type="auto"/>
            <w:tcBorders>
              <w:top w:val="nil"/>
              <w:left w:val="nil"/>
              <w:bottom w:val="single" w:sz="8" w:space="0" w:color="auto"/>
              <w:right w:val="single" w:sz="8" w:space="0" w:color="auto"/>
            </w:tcBorders>
            <w:shd w:val="clear" w:color="auto" w:fill="auto"/>
            <w:noWrap/>
            <w:vAlign w:val="bottom"/>
            <w:hideMark/>
          </w:tcPr>
          <w:p w14:paraId="1227E15B" w14:textId="77777777" w:rsidR="00CE1BDB" w:rsidRPr="00FA4DC7" w:rsidRDefault="00CE1BDB" w:rsidP="00834CE0">
            <w:pPr>
              <w:jc w:val="right"/>
              <w:rPr>
                <w:rFonts w:cs="Arial"/>
                <w:color w:val="000000"/>
                <w:sz w:val="22"/>
                <w:szCs w:val="22"/>
              </w:rPr>
            </w:pPr>
            <w:r w:rsidRPr="00FA4DC7">
              <w:rPr>
                <w:rFonts w:cs="Arial"/>
                <w:color w:val="000000"/>
                <w:sz w:val="22"/>
                <w:szCs w:val="22"/>
              </w:rPr>
              <w:t>£795</w:t>
            </w:r>
          </w:p>
        </w:tc>
        <w:tc>
          <w:tcPr>
            <w:tcW w:w="0" w:type="auto"/>
            <w:tcBorders>
              <w:top w:val="nil"/>
              <w:left w:val="nil"/>
              <w:bottom w:val="single" w:sz="8" w:space="0" w:color="auto"/>
              <w:right w:val="single" w:sz="8" w:space="0" w:color="auto"/>
            </w:tcBorders>
            <w:shd w:val="clear" w:color="auto" w:fill="auto"/>
            <w:noWrap/>
            <w:vAlign w:val="bottom"/>
            <w:hideMark/>
          </w:tcPr>
          <w:p w14:paraId="1EFD1808" w14:textId="77777777" w:rsidR="00CE1BDB" w:rsidRPr="00FA4DC7" w:rsidRDefault="00CE1BDB" w:rsidP="00834CE0">
            <w:pPr>
              <w:jc w:val="right"/>
              <w:rPr>
                <w:rFonts w:cs="Arial"/>
                <w:color w:val="000000"/>
                <w:sz w:val="22"/>
                <w:szCs w:val="22"/>
              </w:rPr>
            </w:pPr>
            <w:r w:rsidRPr="00FA4DC7">
              <w:rPr>
                <w:rFonts w:cs="Arial"/>
                <w:color w:val="000000"/>
                <w:sz w:val="22"/>
                <w:szCs w:val="22"/>
              </w:rPr>
              <w:t>£875</w:t>
            </w:r>
          </w:p>
        </w:tc>
      </w:tr>
      <w:tr w:rsidR="00CE1BDB" w:rsidRPr="00FA4DC7" w14:paraId="5E5BBF1D"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ACD9E2" w14:textId="77777777" w:rsidR="00CE1BDB" w:rsidRPr="00FA4DC7" w:rsidRDefault="00CE1BDB" w:rsidP="00834CE0">
            <w:pPr>
              <w:jc w:val="both"/>
              <w:rPr>
                <w:rFonts w:cs="Arial"/>
                <w:color w:val="000000"/>
                <w:sz w:val="22"/>
                <w:szCs w:val="22"/>
              </w:rPr>
            </w:pPr>
            <w:r w:rsidRPr="00FA4DC7">
              <w:rPr>
                <w:rFonts w:cs="Arial"/>
                <w:color w:val="000000"/>
                <w:sz w:val="22"/>
                <w:szCs w:val="22"/>
              </w:rPr>
              <w:t>Rainham Central</w:t>
            </w:r>
          </w:p>
        </w:tc>
        <w:tc>
          <w:tcPr>
            <w:tcW w:w="0" w:type="auto"/>
            <w:tcBorders>
              <w:top w:val="nil"/>
              <w:left w:val="nil"/>
              <w:bottom w:val="single" w:sz="8" w:space="0" w:color="auto"/>
              <w:right w:val="single" w:sz="8" w:space="0" w:color="auto"/>
            </w:tcBorders>
            <w:shd w:val="clear" w:color="auto" w:fill="auto"/>
            <w:noWrap/>
            <w:vAlign w:val="bottom"/>
            <w:hideMark/>
          </w:tcPr>
          <w:p w14:paraId="742F7184" w14:textId="77777777" w:rsidR="00CE1BDB" w:rsidRPr="00FA4DC7" w:rsidRDefault="00CE1BDB" w:rsidP="00834CE0">
            <w:pPr>
              <w:jc w:val="right"/>
              <w:rPr>
                <w:rFonts w:cs="Arial"/>
                <w:color w:val="000000"/>
                <w:sz w:val="22"/>
                <w:szCs w:val="22"/>
              </w:rPr>
            </w:pPr>
            <w:r w:rsidRPr="00FA4DC7">
              <w:rPr>
                <w:rFonts w:cs="Arial"/>
                <w:color w:val="000000"/>
                <w:sz w:val="22"/>
                <w:szCs w:val="22"/>
              </w:rPr>
              <w:t>£848</w:t>
            </w:r>
          </w:p>
        </w:tc>
        <w:tc>
          <w:tcPr>
            <w:tcW w:w="0" w:type="auto"/>
            <w:tcBorders>
              <w:top w:val="nil"/>
              <w:left w:val="nil"/>
              <w:bottom w:val="single" w:sz="8" w:space="0" w:color="auto"/>
              <w:right w:val="single" w:sz="8" w:space="0" w:color="auto"/>
            </w:tcBorders>
            <w:shd w:val="clear" w:color="auto" w:fill="auto"/>
            <w:noWrap/>
            <w:vAlign w:val="bottom"/>
            <w:hideMark/>
          </w:tcPr>
          <w:p w14:paraId="5B22BA8E" w14:textId="77777777" w:rsidR="00CE1BDB" w:rsidRPr="00FA4DC7" w:rsidRDefault="00CE1BDB" w:rsidP="00834CE0">
            <w:pPr>
              <w:jc w:val="right"/>
              <w:rPr>
                <w:rFonts w:cs="Arial"/>
                <w:color w:val="000000"/>
                <w:sz w:val="22"/>
                <w:szCs w:val="22"/>
              </w:rPr>
            </w:pPr>
            <w:r w:rsidRPr="00FA4DC7">
              <w:rPr>
                <w:rFonts w:cs="Arial"/>
                <w:color w:val="000000"/>
                <w:sz w:val="22"/>
                <w:szCs w:val="22"/>
              </w:rPr>
              <w:t>£997</w:t>
            </w:r>
          </w:p>
        </w:tc>
      </w:tr>
      <w:tr w:rsidR="00CE1BDB" w:rsidRPr="00FA4DC7" w14:paraId="7485EEB6"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0BF9A19" w14:textId="77777777" w:rsidR="00CE1BDB" w:rsidRPr="00FA4DC7" w:rsidRDefault="00CE1BDB" w:rsidP="00834CE0">
            <w:pPr>
              <w:jc w:val="both"/>
              <w:rPr>
                <w:rFonts w:cs="Arial"/>
                <w:color w:val="000000"/>
                <w:sz w:val="22"/>
                <w:szCs w:val="22"/>
              </w:rPr>
            </w:pPr>
            <w:r w:rsidRPr="00FA4DC7">
              <w:rPr>
                <w:rFonts w:cs="Arial"/>
                <w:color w:val="000000"/>
                <w:sz w:val="22"/>
                <w:szCs w:val="22"/>
              </w:rPr>
              <w:t>Rainham North</w:t>
            </w:r>
          </w:p>
        </w:tc>
        <w:tc>
          <w:tcPr>
            <w:tcW w:w="0" w:type="auto"/>
            <w:tcBorders>
              <w:top w:val="nil"/>
              <w:left w:val="nil"/>
              <w:bottom w:val="single" w:sz="8" w:space="0" w:color="auto"/>
              <w:right w:val="single" w:sz="8" w:space="0" w:color="auto"/>
            </w:tcBorders>
            <w:shd w:val="clear" w:color="auto" w:fill="auto"/>
            <w:noWrap/>
            <w:vAlign w:val="bottom"/>
            <w:hideMark/>
          </w:tcPr>
          <w:p w14:paraId="51876D66" w14:textId="77777777" w:rsidR="00CE1BDB" w:rsidRPr="00FA4DC7" w:rsidRDefault="00CE1BDB" w:rsidP="00834CE0">
            <w:pPr>
              <w:jc w:val="right"/>
              <w:rPr>
                <w:rFonts w:cs="Arial"/>
                <w:color w:val="000000"/>
                <w:sz w:val="22"/>
                <w:szCs w:val="22"/>
              </w:rPr>
            </w:pPr>
            <w:r w:rsidRPr="00FA4DC7">
              <w:rPr>
                <w:rFonts w:cs="Arial"/>
                <w:color w:val="000000"/>
                <w:sz w:val="22"/>
                <w:szCs w:val="22"/>
              </w:rPr>
              <w:t>£724</w:t>
            </w:r>
          </w:p>
        </w:tc>
        <w:tc>
          <w:tcPr>
            <w:tcW w:w="0" w:type="auto"/>
            <w:tcBorders>
              <w:top w:val="nil"/>
              <w:left w:val="nil"/>
              <w:bottom w:val="single" w:sz="8" w:space="0" w:color="auto"/>
              <w:right w:val="single" w:sz="8" w:space="0" w:color="auto"/>
            </w:tcBorders>
            <w:shd w:val="clear" w:color="auto" w:fill="auto"/>
            <w:noWrap/>
            <w:vAlign w:val="bottom"/>
            <w:hideMark/>
          </w:tcPr>
          <w:p w14:paraId="537CC45C" w14:textId="77777777" w:rsidR="00CE1BDB" w:rsidRPr="00FA4DC7" w:rsidRDefault="00CE1BDB" w:rsidP="00834CE0">
            <w:pPr>
              <w:jc w:val="right"/>
              <w:rPr>
                <w:rFonts w:cs="Arial"/>
                <w:color w:val="000000"/>
                <w:sz w:val="22"/>
                <w:szCs w:val="22"/>
              </w:rPr>
            </w:pPr>
            <w:r w:rsidRPr="00FA4DC7">
              <w:rPr>
                <w:rFonts w:cs="Arial"/>
                <w:color w:val="000000"/>
                <w:sz w:val="22"/>
                <w:szCs w:val="22"/>
              </w:rPr>
              <w:t>£849</w:t>
            </w:r>
          </w:p>
        </w:tc>
      </w:tr>
      <w:tr w:rsidR="00CE1BDB" w:rsidRPr="00FA4DC7" w14:paraId="7602BDC8"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23AE88" w14:textId="77777777" w:rsidR="00CE1BDB" w:rsidRPr="00FA4DC7" w:rsidRDefault="00CE1BDB" w:rsidP="00834CE0">
            <w:pPr>
              <w:jc w:val="both"/>
              <w:rPr>
                <w:rFonts w:cs="Arial"/>
                <w:color w:val="000000"/>
                <w:sz w:val="22"/>
                <w:szCs w:val="22"/>
              </w:rPr>
            </w:pPr>
            <w:r w:rsidRPr="00FA4DC7">
              <w:rPr>
                <w:rFonts w:cs="Arial"/>
                <w:color w:val="000000"/>
                <w:sz w:val="22"/>
                <w:szCs w:val="22"/>
              </w:rPr>
              <w:t>Rainham South</w:t>
            </w:r>
          </w:p>
        </w:tc>
        <w:tc>
          <w:tcPr>
            <w:tcW w:w="0" w:type="auto"/>
            <w:tcBorders>
              <w:top w:val="nil"/>
              <w:left w:val="nil"/>
              <w:bottom w:val="single" w:sz="8" w:space="0" w:color="auto"/>
              <w:right w:val="single" w:sz="8" w:space="0" w:color="auto"/>
            </w:tcBorders>
            <w:shd w:val="clear" w:color="auto" w:fill="auto"/>
            <w:noWrap/>
            <w:vAlign w:val="bottom"/>
            <w:hideMark/>
          </w:tcPr>
          <w:p w14:paraId="60EB7F55" w14:textId="77777777" w:rsidR="00CE1BDB" w:rsidRPr="00FA4DC7" w:rsidRDefault="00CE1BDB" w:rsidP="00834CE0">
            <w:pPr>
              <w:jc w:val="right"/>
              <w:rPr>
                <w:rFonts w:cs="Arial"/>
                <w:color w:val="000000"/>
                <w:sz w:val="22"/>
                <w:szCs w:val="22"/>
              </w:rPr>
            </w:pPr>
            <w:r w:rsidRPr="00FA4DC7">
              <w:rPr>
                <w:rFonts w:cs="Arial"/>
                <w:color w:val="000000"/>
                <w:sz w:val="22"/>
                <w:szCs w:val="22"/>
              </w:rPr>
              <w:t>£793</w:t>
            </w:r>
          </w:p>
        </w:tc>
        <w:tc>
          <w:tcPr>
            <w:tcW w:w="0" w:type="auto"/>
            <w:tcBorders>
              <w:top w:val="nil"/>
              <w:left w:val="nil"/>
              <w:bottom w:val="single" w:sz="8" w:space="0" w:color="auto"/>
              <w:right w:val="single" w:sz="8" w:space="0" w:color="auto"/>
            </w:tcBorders>
            <w:shd w:val="clear" w:color="auto" w:fill="auto"/>
            <w:noWrap/>
            <w:vAlign w:val="bottom"/>
            <w:hideMark/>
          </w:tcPr>
          <w:p w14:paraId="4580B73F" w14:textId="77777777" w:rsidR="00CE1BDB" w:rsidRPr="00FA4DC7" w:rsidRDefault="00CE1BDB" w:rsidP="00834CE0">
            <w:pPr>
              <w:jc w:val="right"/>
              <w:rPr>
                <w:rFonts w:cs="Arial"/>
                <w:color w:val="000000"/>
                <w:sz w:val="22"/>
                <w:szCs w:val="22"/>
              </w:rPr>
            </w:pPr>
            <w:r w:rsidRPr="00FA4DC7">
              <w:rPr>
                <w:rFonts w:cs="Arial"/>
                <w:color w:val="000000"/>
                <w:sz w:val="22"/>
                <w:szCs w:val="22"/>
              </w:rPr>
              <w:t>£923</w:t>
            </w:r>
          </w:p>
        </w:tc>
      </w:tr>
      <w:tr w:rsidR="00CE1BDB" w:rsidRPr="00FA4DC7" w14:paraId="5BCC646F"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378FF3" w14:textId="77777777" w:rsidR="00CE1BDB" w:rsidRPr="00FA4DC7" w:rsidRDefault="00CE1BDB" w:rsidP="00834CE0">
            <w:pPr>
              <w:jc w:val="both"/>
              <w:rPr>
                <w:rFonts w:cs="Arial"/>
                <w:color w:val="000000"/>
                <w:sz w:val="22"/>
                <w:szCs w:val="22"/>
              </w:rPr>
            </w:pPr>
            <w:r w:rsidRPr="00FA4DC7">
              <w:rPr>
                <w:rFonts w:cs="Arial"/>
                <w:color w:val="000000"/>
                <w:sz w:val="22"/>
                <w:szCs w:val="22"/>
              </w:rPr>
              <w:t>River</w:t>
            </w:r>
          </w:p>
        </w:tc>
        <w:tc>
          <w:tcPr>
            <w:tcW w:w="0" w:type="auto"/>
            <w:tcBorders>
              <w:top w:val="nil"/>
              <w:left w:val="nil"/>
              <w:bottom w:val="single" w:sz="8" w:space="0" w:color="auto"/>
              <w:right w:val="single" w:sz="8" w:space="0" w:color="auto"/>
            </w:tcBorders>
            <w:shd w:val="clear" w:color="auto" w:fill="auto"/>
            <w:noWrap/>
            <w:vAlign w:val="bottom"/>
            <w:hideMark/>
          </w:tcPr>
          <w:p w14:paraId="089A4582" w14:textId="77777777" w:rsidR="00CE1BDB" w:rsidRPr="00FA4DC7" w:rsidRDefault="00CE1BDB" w:rsidP="00834CE0">
            <w:pPr>
              <w:jc w:val="right"/>
              <w:rPr>
                <w:rFonts w:cs="Arial"/>
                <w:color w:val="000000"/>
                <w:sz w:val="22"/>
                <w:szCs w:val="22"/>
              </w:rPr>
            </w:pPr>
            <w:r w:rsidRPr="00FA4DC7">
              <w:rPr>
                <w:rFonts w:cs="Arial"/>
                <w:color w:val="000000"/>
                <w:sz w:val="22"/>
                <w:szCs w:val="22"/>
              </w:rPr>
              <w:t>£750</w:t>
            </w:r>
          </w:p>
        </w:tc>
        <w:tc>
          <w:tcPr>
            <w:tcW w:w="0" w:type="auto"/>
            <w:tcBorders>
              <w:top w:val="nil"/>
              <w:left w:val="nil"/>
              <w:bottom w:val="single" w:sz="8" w:space="0" w:color="auto"/>
              <w:right w:val="single" w:sz="8" w:space="0" w:color="auto"/>
            </w:tcBorders>
            <w:shd w:val="clear" w:color="auto" w:fill="auto"/>
            <w:noWrap/>
            <w:vAlign w:val="bottom"/>
            <w:hideMark/>
          </w:tcPr>
          <w:p w14:paraId="216932BE" w14:textId="77777777" w:rsidR="00CE1BDB" w:rsidRPr="00FA4DC7" w:rsidRDefault="00CE1BDB" w:rsidP="00834CE0">
            <w:pPr>
              <w:jc w:val="right"/>
              <w:rPr>
                <w:rFonts w:cs="Arial"/>
                <w:color w:val="000000"/>
                <w:sz w:val="22"/>
                <w:szCs w:val="22"/>
              </w:rPr>
            </w:pPr>
            <w:r w:rsidRPr="00FA4DC7">
              <w:rPr>
                <w:rFonts w:cs="Arial"/>
                <w:color w:val="000000"/>
                <w:sz w:val="22"/>
                <w:szCs w:val="22"/>
              </w:rPr>
              <w:t>£875</w:t>
            </w:r>
          </w:p>
        </w:tc>
      </w:tr>
      <w:tr w:rsidR="00CE1BDB" w:rsidRPr="00FA4DC7" w14:paraId="29D0E7FC"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B35E61E" w14:textId="77777777" w:rsidR="00CE1BDB" w:rsidRPr="00FA4DC7" w:rsidRDefault="00CE1BDB" w:rsidP="00834CE0">
            <w:pPr>
              <w:jc w:val="both"/>
              <w:rPr>
                <w:rFonts w:cs="Arial"/>
                <w:color w:val="000000"/>
                <w:sz w:val="22"/>
                <w:szCs w:val="22"/>
              </w:rPr>
            </w:pPr>
            <w:r w:rsidRPr="00FA4DC7">
              <w:rPr>
                <w:rFonts w:cs="Arial"/>
                <w:color w:val="000000"/>
                <w:sz w:val="22"/>
                <w:szCs w:val="22"/>
              </w:rPr>
              <w:t>Rochester East</w:t>
            </w:r>
          </w:p>
        </w:tc>
        <w:tc>
          <w:tcPr>
            <w:tcW w:w="0" w:type="auto"/>
            <w:tcBorders>
              <w:top w:val="nil"/>
              <w:left w:val="nil"/>
              <w:bottom w:val="single" w:sz="8" w:space="0" w:color="auto"/>
              <w:right w:val="single" w:sz="8" w:space="0" w:color="auto"/>
            </w:tcBorders>
            <w:shd w:val="clear" w:color="auto" w:fill="auto"/>
            <w:noWrap/>
            <w:vAlign w:val="bottom"/>
            <w:hideMark/>
          </w:tcPr>
          <w:p w14:paraId="6DC9E709" w14:textId="77777777" w:rsidR="00CE1BDB" w:rsidRPr="00FA4DC7" w:rsidRDefault="00CE1BDB" w:rsidP="00834CE0">
            <w:pPr>
              <w:jc w:val="right"/>
              <w:rPr>
                <w:rFonts w:cs="Arial"/>
                <w:color w:val="000000"/>
                <w:sz w:val="22"/>
                <w:szCs w:val="22"/>
              </w:rPr>
            </w:pPr>
            <w:r w:rsidRPr="00FA4DC7">
              <w:rPr>
                <w:rFonts w:cs="Arial"/>
                <w:color w:val="000000"/>
                <w:sz w:val="22"/>
                <w:szCs w:val="22"/>
              </w:rPr>
              <w:t>£724</w:t>
            </w:r>
          </w:p>
        </w:tc>
        <w:tc>
          <w:tcPr>
            <w:tcW w:w="0" w:type="auto"/>
            <w:tcBorders>
              <w:top w:val="nil"/>
              <w:left w:val="nil"/>
              <w:bottom w:val="single" w:sz="8" w:space="0" w:color="auto"/>
              <w:right w:val="single" w:sz="8" w:space="0" w:color="auto"/>
            </w:tcBorders>
            <w:shd w:val="clear" w:color="auto" w:fill="auto"/>
            <w:noWrap/>
            <w:vAlign w:val="bottom"/>
            <w:hideMark/>
          </w:tcPr>
          <w:p w14:paraId="75B131D0" w14:textId="77777777" w:rsidR="00CE1BDB" w:rsidRPr="00FA4DC7" w:rsidRDefault="00CE1BDB" w:rsidP="00834CE0">
            <w:pPr>
              <w:jc w:val="right"/>
              <w:rPr>
                <w:rFonts w:cs="Arial"/>
                <w:color w:val="000000"/>
                <w:sz w:val="22"/>
                <w:szCs w:val="22"/>
              </w:rPr>
            </w:pPr>
            <w:r w:rsidRPr="00FA4DC7">
              <w:rPr>
                <w:rFonts w:cs="Arial"/>
                <w:color w:val="000000"/>
                <w:sz w:val="22"/>
                <w:szCs w:val="22"/>
              </w:rPr>
              <w:t>£849</w:t>
            </w:r>
          </w:p>
        </w:tc>
      </w:tr>
      <w:tr w:rsidR="00CE1BDB" w:rsidRPr="00FA4DC7" w14:paraId="69162042"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6065EB" w14:textId="77777777" w:rsidR="00CE1BDB" w:rsidRPr="00FA4DC7" w:rsidRDefault="00CE1BDB" w:rsidP="00834CE0">
            <w:pPr>
              <w:jc w:val="both"/>
              <w:rPr>
                <w:rFonts w:cs="Arial"/>
                <w:color w:val="000000"/>
                <w:sz w:val="22"/>
                <w:szCs w:val="22"/>
              </w:rPr>
            </w:pPr>
            <w:r w:rsidRPr="00FA4DC7">
              <w:rPr>
                <w:rFonts w:cs="Arial"/>
                <w:color w:val="000000"/>
                <w:sz w:val="22"/>
                <w:szCs w:val="22"/>
              </w:rPr>
              <w:t xml:space="preserve">Rochester South and </w:t>
            </w:r>
            <w:proofErr w:type="spellStart"/>
            <w:r w:rsidRPr="00FA4DC7">
              <w:rPr>
                <w:rFonts w:cs="Arial"/>
                <w:color w:val="000000"/>
                <w:sz w:val="22"/>
                <w:szCs w:val="22"/>
              </w:rPr>
              <w:t>Horsted</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14:paraId="6332CB20" w14:textId="77777777" w:rsidR="00CE1BDB" w:rsidRPr="00FA4DC7" w:rsidRDefault="00CE1BDB" w:rsidP="00834CE0">
            <w:pPr>
              <w:jc w:val="right"/>
              <w:rPr>
                <w:rFonts w:cs="Arial"/>
                <w:color w:val="000000"/>
                <w:sz w:val="22"/>
                <w:szCs w:val="22"/>
              </w:rPr>
            </w:pPr>
            <w:r w:rsidRPr="00FA4DC7">
              <w:rPr>
                <w:rFonts w:cs="Arial"/>
                <w:color w:val="000000"/>
                <w:sz w:val="22"/>
                <w:szCs w:val="22"/>
              </w:rPr>
              <w:t>£793</w:t>
            </w:r>
          </w:p>
        </w:tc>
        <w:tc>
          <w:tcPr>
            <w:tcW w:w="0" w:type="auto"/>
            <w:tcBorders>
              <w:top w:val="nil"/>
              <w:left w:val="nil"/>
              <w:bottom w:val="single" w:sz="8" w:space="0" w:color="auto"/>
              <w:right w:val="single" w:sz="8" w:space="0" w:color="auto"/>
            </w:tcBorders>
            <w:shd w:val="clear" w:color="auto" w:fill="auto"/>
            <w:noWrap/>
            <w:vAlign w:val="bottom"/>
            <w:hideMark/>
          </w:tcPr>
          <w:p w14:paraId="2EA773E7" w14:textId="77777777" w:rsidR="00CE1BDB" w:rsidRPr="00FA4DC7" w:rsidRDefault="00CE1BDB" w:rsidP="00834CE0">
            <w:pPr>
              <w:jc w:val="right"/>
              <w:rPr>
                <w:rFonts w:cs="Arial"/>
                <w:color w:val="000000"/>
                <w:sz w:val="22"/>
                <w:szCs w:val="22"/>
              </w:rPr>
            </w:pPr>
            <w:r w:rsidRPr="00FA4DC7">
              <w:rPr>
                <w:rFonts w:cs="Arial"/>
                <w:color w:val="000000"/>
                <w:sz w:val="22"/>
                <w:szCs w:val="22"/>
              </w:rPr>
              <w:t>£999</w:t>
            </w:r>
          </w:p>
        </w:tc>
      </w:tr>
      <w:tr w:rsidR="00CE1BDB" w:rsidRPr="00FA4DC7" w14:paraId="3E4731E6"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E07ECA" w14:textId="77777777" w:rsidR="00CE1BDB" w:rsidRPr="00FA4DC7" w:rsidRDefault="00CE1BDB" w:rsidP="00834CE0">
            <w:pPr>
              <w:jc w:val="both"/>
              <w:rPr>
                <w:rFonts w:cs="Arial"/>
                <w:color w:val="000000"/>
                <w:sz w:val="22"/>
                <w:szCs w:val="22"/>
              </w:rPr>
            </w:pPr>
            <w:r w:rsidRPr="00FA4DC7">
              <w:rPr>
                <w:rFonts w:cs="Arial"/>
                <w:color w:val="000000"/>
                <w:sz w:val="22"/>
                <w:szCs w:val="22"/>
              </w:rPr>
              <w:t>Rochester West</w:t>
            </w:r>
          </w:p>
        </w:tc>
        <w:tc>
          <w:tcPr>
            <w:tcW w:w="0" w:type="auto"/>
            <w:tcBorders>
              <w:top w:val="nil"/>
              <w:left w:val="nil"/>
              <w:bottom w:val="single" w:sz="8" w:space="0" w:color="auto"/>
              <w:right w:val="single" w:sz="8" w:space="0" w:color="auto"/>
            </w:tcBorders>
            <w:shd w:val="clear" w:color="auto" w:fill="auto"/>
            <w:noWrap/>
            <w:vAlign w:val="bottom"/>
            <w:hideMark/>
          </w:tcPr>
          <w:p w14:paraId="0F6CB3B3" w14:textId="77777777" w:rsidR="00CE1BDB" w:rsidRPr="00FA4DC7" w:rsidRDefault="00CE1BDB" w:rsidP="00834CE0">
            <w:pPr>
              <w:jc w:val="right"/>
              <w:rPr>
                <w:rFonts w:cs="Arial"/>
                <w:color w:val="000000"/>
                <w:sz w:val="22"/>
                <w:szCs w:val="22"/>
              </w:rPr>
            </w:pPr>
            <w:r w:rsidRPr="00FA4DC7">
              <w:rPr>
                <w:rFonts w:cs="Arial"/>
                <w:color w:val="000000"/>
                <w:sz w:val="22"/>
                <w:szCs w:val="22"/>
              </w:rPr>
              <w:t>£750</w:t>
            </w:r>
          </w:p>
        </w:tc>
        <w:tc>
          <w:tcPr>
            <w:tcW w:w="0" w:type="auto"/>
            <w:tcBorders>
              <w:top w:val="nil"/>
              <w:left w:val="nil"/>
              <w:bottom w:val="single" w:sz="8" w:space="0" w:color="auto"/>
              <w:right w:val="single" w:sz="8" w:space="0" w:color="auto"/>
            </w:tcBorders>
            <w:shd w:val="clear" w:color="auto" w:fill="auto"/>
            <w:noWrap/>
            <w:vAlign w:val="bottom"/>
            <w:hideMark/>
          </w:tcPr>
          <w:p w14:paraId="583682DD" w14:textId="77777777" w:rsidR="00CE1BDB" w:rsidRPr="00FA4DC7" w:rsidRDefault="00CE1BDB" w:rsidP="00834CE0">
            <w:pPr>
              <w:jc w:val="right"/>
              <w:rPr>
                <w:rFonts w:cs="Arial"/>
                <w:color w:val="000000"/>
                <w:sz w:val="22"/>
                <w:szCs w:val="22"/>
              </w:rPr>
            </w:pPr>
            <w:r w:rsidRPr="00FA4DC7">
              <w:rPr>
                <w:rFonts w:cs="Arial"/>
                <w:color w:val="000000"/>
                <w:sz w:val="22"/>
                <w:szCs w:val="22"/>
              </w:rPr>
              <w:t>£875</w:t>
            </w:r>
          </w:p>
        </w:tc>
      </w:tr>
      <w:tr w:rsidR="00CE1BDB" w:rsidRPr="00FA4DC7" w14:paraId="5DBC94B7"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227AF" w14:textId="77777777" w:rsidR="00CE1BDB" w:rsidRPr="00FA4DC7" w:rsidRDefault="00CE1BDB" w:rsidP="00834CE0">
            <w:pPr>
              <w:jc w:val="both"/>
              <w:rPr>
                <w:rFonts w:cs="Arial"/>
                <w:color w:val="000000"/>
                <w:sz w:val="22"/>
                <w:szCs w:val="22"/>
              </w:rPr>
            </w:pPr>
            <w:r w:rsidRPr="00FA4DC7">
              <w:rPr>
                <w:rFonts w:cs="Arial"/>
                <w:color w:val="000000"/>
                <w:sz w:val="22"/>
                <w:szCs w:val="22"/>
              </w:rPr>
              <w:t>Strood North</w:t>
            </w:r>
          </w:p>
        </w:tc>
        <w:tc>
          <w:tcPr>
            <w:tcW w:w="0" w:type="auto"/>
            <w:tcBorders>
              <w:top w:val="nil"/>
              <w:left w:val="nil"/>
              <w:bottom w:val="single" w:sz="8" w:space="0" w:color="auto"/>
              <w:right w:val="single" w:sz="8" w:space="0" w:color="auto"/>
            </w:tcBorders>
            <w:shd w:val="clear" w:color="auto" w:fill="auto"/>
            <w:noWrap/>
            <w:vAlign w:val="bottom"/>
            <w:hideMark/>
          </w:tcPr>
          <w:p w14:paraId="06C94A55" w14:textId="77777777" w:rsidR="00CE1BDB" w:rsidRPr="00FA4DC7" w:rsidRDefault="00CE1BDB" w:rsidP="00834CE0">
            <w:pPr>
              <w:jc w:val="right"/>
              <w:rPr>
                <w:rFonts w:cs="Arial"/>
                <w:color w:val="000000"/>
                <w:sz w:val="22"/>
                <w:szCs w:val="22"/>
              </w:rPr>
            </w:pPr>
            <w:r w:rsidRPr="00FA4DC7">
              <w:rPr>
                <w:rFonts w:cs="Arial"/>
                <w:color w:val="000000"/>
                <w:sz w:val="22"/>
                <w:szCs w:val="22"/>
              </w:rPr>
              <w:t>£737</w:t>
            </w:r>
          </w:p>
        </w:tc>
        <w:tc>
          <w:tcPr>
            <w:tcW w:w="0" w:type="auto"/>
            <w:tcBorders>
              <w:top w:val="nil"/>
              <w:left w:val="nil"/>
              <w:bottom w:val="single" w:sz="8" w:space="0" w:color="auto"/>
              <w:right w:val="single" w:sz="8" w:space="0" w:color="auto"/>
            </w:tcBorders>
            <w:shd w:val="clear" w:color="auto" w:fill="auto"/>
            <w:noWrap/>
            <w:vAlign w:val="bottom"/>
            <w:hideMark/>
          </w:tcPr>
          <w:p w14:paraId="7335459D" w14:textId="77777777" w:rsidR="00CE1BDB" w:rsidRPr="00FA4DC7" w:rsidRDefault="00CE1BDB" w:rsidP="00834CE0">
            <w:pPr>
              <w:jc w:val="right"/>
              <w:rPr>
                <w:rFonts w:cs="Arial"/>
                <w:color w:val="000000"/>
                <w:sz w:val="22"/>
                <w:szCs w:val="22"/>
              </w:rPr>
            </w:pPr>
            <w:r w:rsidRPr="00FA4DC7">
              <w:rPr>
                <w:rFonts w:cs="Arial"/>
                <w:color w:val="000000"/>
                <w:sz w:val="22"/>
                <w:szCs w:val="22"/>
              </w:rPr>
              <w:t>£875</w:t>
            </w:r>
          </w:p>
        </w:tc>
      </w:tr>
      <w:tr w:rsidR="00CE1BDB" w:rsidRPr="00FA4DC7" w14:paraId="2F259928"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A213EA" w14:textId="77777777" w:rsidR="00CE1BDB" w:rsidRPr="00FA4DC7" w:rsidRDefault="00CE1BDB" w:rsidP="00834CE0">
            <w:pPr>
              <w:jc w:val="both"/>
              <w:rPr>
                <w:rFonts w:cs="Arial"/>
                <w:color w:val="000000"/>
                <w:sz w:val="22"/>
                <w:szCs w:val="22"/>
              </w:rPr>
            </w:pPr>
            <w:r w:rsidRPr="00FA4DC7">
              <w:rPr>
                <w:rFonts w:cs="Arial"/>
                <w:color w:val="000000"/>
                <w:sz w:val="22"/>
                <w:szCs w:val="22"/>
              </w:rPr>
              <w:t>Strood Rural</w:t>
            </w:r>
          </w:p>
        </w:tc>
        <w:tc>
          <w:tcPr>
            <w:tcW w:w="0" w:type="auto"/>
            <w:tcBorders>
              <w:top w:val="nil"/>
              <w:left w:val="nil"/>
              <w:bottom w:val="single" w:sz="8" w:space="0" w:color="auto"/>
              <w:right w:val="single" w:sz="8" w:space="0" w:color="auto"/>
            </w:tcBorders>
            <w:shd w:val="clear" w:color="auto" w:fill="auto"/>
            <w:noWrap/>
            <w:vAlign w:val="bottom"/>
            <w:hideMark/>
          </w:tcPr>
          <w:p w14:paraId="32E2ACE9" w14:textId="77777777" w:rsidR="00CE1BDB" w:rsidRPr="00FA4DC7" w:rsidRDefault="00CE1BDB" w:rsidP="00834CE0">
            <w:pPr>
              <w:jc w:val="right"/>
              <w:rPr>
                <w:rFonts w:cs="Arial"/>
                <w:color w:val="000000"/>
                <w:sz w:val="22"/>
                <w:szCs w:val="22"/>
              </w:rPr>
            </w:pPr>
            <w:r w:rsidRPr="00FA4DC7">
              <w:rPr>
                <w:rFonts w:cs="Arial"/>
                <w:color w:val="000000"/>
                <w:sz w:val="22"/>
                <w:szCs w:val="22"/>
              </w:rPr>
              <w:t>£849</w:t>
            </w:r>
          </w:p>
        </w:tc>
        <w:tc>
          <w:tcPr>
            <w:tcW w:w="0" w:type="auto"/>
            <w:tcBorders>
              <w:top w:val="nil"/>
              <w:left w:val="nil"/>
              <w:bottom w:val="single" w:sz="8" w:space="0" w:color="auto"/>
              <w:right w:val="single" w:sz="8" w:space="0" w:color="auto"/>
            </w:tcBorders>
            <w:shd w:val="clear" w:color="auto" w:fill="auto"/>
            <w:noWrap/>
            <w:vAlign w:val="bottom"/>
            <w:hideMark/>
          </w:tcPr>
          <w:p w14:paraId="3D102343" w14:textId="77777777" w:rsidR="00CE1BDB" w:rsidRPr="00FA4DC7" w:rsidRDefault="00CE1BDB" w:rsidP="00834CE0">
            <w:pPr>
              <w:jc w:val="right"/>
              <w:rPr>
                <w:rFonts w:cs="Arial"/>
                <w:color w:val="000000"/>
                <w:sz w:val="22"/>
                <w:szCs w:val="22"/>
              </w:rPr>
            </w:pPr>
            <w:r w:rsidRPr="00FA4DC7">
              <w:rPr>
                <w:rFonts w:cs="Arial"/>
                <w:color w:val="000000"/>
                <w:sz w:val="22"/>
                <w:szCs w:val="22"/>
              </w:rPr>
              <w:t>£1,001</w:t>
            </w:r>
          </w:p>
        </w:tc>
      </w:tr>
      <w:tr w:rsidR="00CE1BDB" w:rsidRPr="00FA4DC7" w14:paraId="5940CA4A"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7168E0" w14:textId="77777777" w:rsidR="00CE1BDB" w:rsidRPr="00FA4DC7" w:rsidRDefault="00CE1BDB" w:rsidP="00834CE0">
            <w:pPr>
              <w:jc w:val="both"/>
              <w:rPr>
                <w:rFonts w:cs="Arial"/>
                <w:color w:val="000000"/>
                <w:sz w:val="22"/>
                <w:szCs w:val="22"/>
              </w:rPr>
            </w:pPr>
            <w:r w:rsidRPr="00FA4DC7">
              <w:rPr>
                <w:rFonts w:cs="Arial"/>
                <w:color w:val="000000"/>
                <w:sz w:val="22"/>
                <w:szCs w:val="22"/>
              </w:rPr>
              <w:t>Strood South</w:t>
            </w:r>
          </w:p>
        </w:tc>
        <w:tc>
          <w:tcPr>
            <w:tcW w:w="0" w:type="auto"/>
            <w:tcBorders>
              <w:top w:val="nil"/>
              <w:left w:val="nil"/>
              <w:bottom w:val="single" w:sz="8" w:space="0" w:color="auto"/>
              <w:right w:val="single" w:sz="8" w:space="0" w:color="auto"/>
            </w:tcBorders>
            <w:shd w:val="clear" w:color="auto" w:fill="auto"/>
            <w:noWrap/>
            <w:vAlign w:val="bottom"/>
            <w:hideMark/>
          </w:tcPr>
          <w:p w14:paraId="29D12EF2" w14:textId="77777777" w:rsidR="00CE1BDB" w:rsidRPr="00FA4DC7" w:rsidRDefault="00CE1BDB" w:rsidP="00834CE0">
            <w:pPr>
              <w:jc w:val="right"/>
              <w:rPr>
                <w:rFonts w:cs="Arial"/>
                <w:color w:val="000000"/>
                <w:sz w:val="22"/>
                <w:szCs w:val="22"/>
              </w:rPr>
            </w:pPr>
            <w:r w:rsidRPr="00FA4DC7">
              <w:rPr>
                <w:rFonts w:cs="Arial"/>
                <w:color w:val="000000"/>
                <w:sz w:val="22"/>
                <w:szCs w:val="22"/>
              </w:rPr>
              <w:t>£731</w:t>
            </w:r>
          </w:p>
        </w:tc>
        <w:tc>
          <w:tcPr>
            <w:tcW w:w="0" w:type="auto"/>
            <w:tcBorders>
              <w:top w:val="nil"/>
              <w:left w:val="nil"/>
              <w:bottom w:val="single" w:sz="8" w:space="0" w:color="auto"/>
              <w:right w:val="single" w:sz="8" w:space="0" w:color="auto"/>
            </w:tcBorders>
            <w:shd w:val="clear" w:color="auto" w:fill="auto"/>
            <w:noWrap/>
            <w:vAlign w:val="bottom"/>
            <w:hideMark/>
          </w:tcPr>
          <w:p w14:paraId="5902BE06" w14:textId="77777777" w:rsidR="00CE1BDB" w:rsidRPr="00FA4DC7" w:rsidRDefault="00CE1BDB" w:rsidP="00834CE0">
            <w:pPr>
              <w:jc w:val="right"/>
              <w:rPr>
                <w:rFonts w:cs="Arial"/>
                <w:color w:val="000000"/>
                <w:sz w:val="22"/>
                <w:szCs w:val="22"/>
              </w:rPr>
            </w:pPr>
            <w:r w:rsidRPr="00FA4DC7">
              <w:rPr>
                <w:rFonts w:cs="Arial"/>
                <w:color w:val="000000"/>
                <w:sz w:val="22"/>
                <w:szCs w:val="22"/>
              </w:rPr>
              <w:t>£901</w:t>
            </w:r>
          </w:p>
        </w:tc>
      </w:tr>
      <w:tr w:rsidR="00CE1BDB" w:rsidRPr="00FA4DC7" w14:paraId="42D1EFD0"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9D581E" w14:textId="77777777" w:rsidR="00CE1BDB" w:rsidRPr="00FA4DC7" w:rsidRDefault="00CE1BDB" w:rsidP="00834CE0">
            <w:pPr>
              <w:jc w:val="both"/>
              <w:rPr>
                <w:rFonts w:cs="Arial"/>
                <w:color w:val="000000"/>
                <w:sz w:val="22"/>
                <w:szCs w:val="22"/>
              </w:rPr>
            </w:pPr>
            <w:proofErr w:type="spellStart"/>
            <w:r w:rsidRPr="00FA4DC7">
              <w:rPr>
                <w:rFonts w:cs="Arial"/>
                <w:color w:val="000000"/>
                <w:sz w:val="22"/>
                <w:szCs w:val="22"/>
              </w:rPr>
              <w:t>Twydall</w:t>
            </w:r>
            <w:proofErr w:type="spellEnd"/>
          </w:p>
        </w:tc>
        <w:tc>
          <w:tcPr>
            <w:tcW w:w="0" w:type="auto"/>
            <w:tcBorders>
              <w:top w:val="nil"/>
              <w:left w:val="nil"/>
              <w:bottom w:val="single" w:sz="8" w:space="0" w:color="auto"/>
              <w:right w:val="single" w:sz="8" w:space="0" w:color="auto"/>
            </w:tcBorders>
            <w:shd w:val="clear" w:color="auto" w:fill="auto"/>
            <w:noWrap/>
            <w:vAlign w:val="bottom"/>
            <w:hideMark/>
          </w:tcPr>
          <w:p w14:paraId="204A4B92" w14:textId="77777777" w:rsidR="00CE1BDB" w:rsidRPr="00FA4DC7" w:rsidRDefault="00CE1BDB" w:rsidP="00834CE0">
            <w:pPr>
              <w:jc w:val="right"/>
              <w:rPr>
                <w:rFonts w:cs="Arial"/>
                <w:color w:val="000000"/>
                <w:sz w:val="22"/>
                <w:szCs w:val="22"/>
              </w:rPr>
            </w:pPr>
            <w:r w:rsidRPr="00FA4DC7">
              <w:rPr>
                <w:rFonts w:cs="Arial"/>
                <w:color w:val="000000"/>
                <w:sz w:val="22"/>
                <w:szCs w:val="22"/>
              </w:rPr>
              <w:t>£849</w:t>
            </w:r>
          </w:p>
        </w:tc>
        <w:tc>
          <w:tcPr>
            <w:tcW w:w="0" w:type="auto"/>
            <w:tcBorders>
              <w:top w:val="nil"/>
              <w:left w:val="nil"/>
              <w:bottom w:val="single" w:sz="8" w:space="0" w:color="auto"/>
              <w:right w:val="single" w:sz="8" w:space="0" w:color="auto"/>
            </w:tcBorders>
            <w:shd w:val="clear" w:color="auto" w:fill="auto"/>
            <w:noWrap/>
            <w:vAlign w:val="bottom"/>
            <w:hideMark/>
          </w:tcPr>
          <w:p w14:paraId="5D41DD41" w14:textId="77777777" w:rsidR="00CE1BDB" w:rsidRPr="00FA4DC7" w:rsidRDefault="00CE1BDB" w:rsidP="00834CE0">
            <w:pPr>
              <w:jc w:val="right"/>
              <w:rPr>
                <w:rFonts w:cs="Arial"/>
                <w:color w:val="000000"/>
                <w:sz w:val="22"/>
                <w:szCs w:val="22"/>
              </w:rPr>
            </w:pPr>
            <w:r w:rsidRPr="00FA4DC7">
              <w:rPr>
                <w:rFonts w:cs="Arial"/>
                <w:color w:val="000000"/>
                <w:sz w:val="22"/>
                <w:szCs w:val="22"/>
              </w:rPr>
              <w:t>£975</w:t>
            </w:r>
          </w:p>
        </w:tc>
      </w:tr>
      <w:tr w:rsidR="00CE1BDB" w:rsidRPr="00FA4DC7" w14:paraId="1647B00C"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E9D94E" w14:textId="77777777" w:rsidR="00CE1BDB" w:rsidRPr="00FA4DC7" w:rsidRDefault="00CE1BDB" w:rsidP="00834CE0">
            <w:pPr>
              <w:jc w:val="both"/>
              <w:rPr>
                <w:rFonts w:cs="Arial"/>
                <w:color w:val="000000"/>
                <w:sz w:val="22"/>
                <w:szCs w:val="22"/>
              </w:rPr>
            </w:pPr>
            <w:r w:rsidRPr="00FA4DC7">
              <w:rPr>
                <w:rFonts w:cs="Arial"/>
                <w:color w:val="000000"/>
                <w:sz w:val="22"/>
                <w:szCs w:val="22"/>
              </w:rPr>
              <w:t>Walderslade</w:t>
            </w:r>
          </w:p>
        </w:tc>
        <w:tc>
          <w:tcPr>
            <w:tcW w:w="0" w:type="auto"/>
            <w:tcBorders>
              <w:top w:val="nil"/>
              <w:left w:val="nil"/>
              <w:bottom w:val="single" w:sz="8" w:space="0" w:color="auto"/>
              <w:right w:val="single" w:sz="8" w:space="0" w:color="auto"/>
            </w:tcBorders>
            <w:shd w:val="clear" w:color="auto" w:fill="auto"/>
            <w:noWrap/>
            <w:vAlign w:val="bottom"/>
            <w:hideMark/>
          </w:tcPr>
          <w:p w14:paraId="4842378A" w14:textId="77777777" w:rsidR="00CE1BDB" w:rsidRPr="00FA4DC7" w:rsidRDefault="00CE1BDB" w:rsidP="00834CE0">
            <w:pPr>
              <w:jc w:val="right"/>
              <w:rPr>
                <w:rFonts w:cs="Arial"/>
                <w:color w:val="000000"/>
                <w:sz w:val="22"/>
                <w:szCs w:val="22"/>
              </w:rPr>
            </w:pPr>
            <w:r w:rsidRPr="00FA4DC7">
              <w:rPr>
                <w:rFonts w:cs="Arial"/>
                <w:color w:val="000000"/>
                <w:sz w:val="22"/>
                <w:szCs w:val="22"/>
              </w:rPr>
              <w:t>£823</w:t>
            </w:r>
          </w:p>
        </w:tc>
        <w:tc>
          <w:tcPr>
            <w:tcW w:w="0" w:type="auto"/>
            <w:tcBorders>
              <w:top w:val="nil"/>
              <w:left w:val="nil"/>
              <w:bottom w:val="single" w:sz="8" w:space="0" w:color="auto"/>
              <w:right w:val="single" w:sz="8" w:space="0" w:color="auto"/>
            </w:tcBorders>
            <w:shd w:val="clear" w:color="auto" w:fill="auto"/>
            <w:noWrap/>
            <w:vAlign w:val="bottom"/>
            <w:hideMark/>
          </w:tcPr>
          <w:p w14:paraId="2F59776F" w14:textId="77777777" w:rsidR="00CE1BDB" w:rsidRPr="00FA4DC7" w:rsidRDefault="00CE1BDB" w:rsidP="00834CE0">
            <w:pPr>
              <w:jc w:val="right"/>
              <w:rPr>
                <w:rFonts w:cs="Arial"/>
                <w:color w:val="000000"/>
                <w:sz w:val="22"/>
                <w:szCs w:val="22"/>
              </w:rPr>
            </w:pPr>
            <w:r w:rsidRPr="00FA4DC7">
              <w:rPr>
                <w:rFonts w:cs="Arial"/>
                <w:color w:val="000000"/>
                <w:sz w:val="22"/>
                <w:szCs w:val="22"/>
              </w:rPr>
              <w:t>£1,101</w:t>
            </w:r>
          </w:p>
        </w:tc>
      </w:tr>
      <w:tr w:rsidR="00CE1BDB" w:rsidRPr="00FA4DC7" w14:paraId="2022D1EF"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398437" w14:textId="77777777" w:rsidR="00CE1BDB" w:rsidRPr="00FA4DC7" w:rsidRDefault="00CE1BDB" w:rsidP="00834CE0">
            <w:pPr>
              <w:jc w:val="both"/>
              <w:rPr>
                <w:rFonts w:cs="Arial"/>
                <w:color w:val="000000"/>
                <w:sz w:val="22"/>
                <w:szCs w:val="22"/>
              </w:rPr>
            </w:pPr>
            <w:r w:rsidRPr="00FA4DC7">
              <w:rPr>
                <w:rFonts w:cs="Arial"/>
                <w:color w:val="000000"/>
                <w:sz w:val="22"/>
                <w:szCs w:val="22"/>
              </w:rPr>
              <w:t>Watling</w:t>
            </w:r>
          </w:p>
        </w:tc>
        <w:tc>
          <w:tcPr>
            <w:tcW w:w="0" w:type="auto"/>
            <w:tcBorders>
              <w:top w:val="nil"/>
              <w:left w:val="nil"/>
              <w:bottom w:val="single" w:sz="8" w:space="0" w:color="auto"/>
              <w:right w:val="single" w:sz="8" w:space="0" w:color="auto"/>
            </w:tcBorders>
            <w:shd w:val="clear" w:color="auto" w:fill="auto"/>
            <w:noWrap/>
            <w:vAlign w:val="bottom"/>
            <w:hideMark/>
          </w:tcPr>
          <w:p w14:paraId="5492133D" w14:textId="77777777" w:rsidR="00CE1BDB" w:rsidRPr="00FA4DC7" w:rsidRDefault="00CE1BDB" w:rsidP="00834CE0">
            <w:pPr>
              <w:jc w:val="right"/>
              <w:rPr>
                <w:rFonts w:cs="Arial"/>
                <w:color w:val="000000"/>
                <w:sz w:val="22"/>
                <w:szCs w:val="22"/>
              </w:rPr>
            </w:pPr>
            <w:r w:rsidRPr="00FA4DC7">
              <w:rPr>
                <w:rFonts w:cs="Arial"/>
                <w:color w:val="000000"/>
                <w:sz w:val="22"/>
                <w:szCs w:val="22"/>
              </w:rPr>
              <w:t>£750</w:t>
            </w:r>
          </w:p>
        </w:tc>
        <w:tc>
          <w:tcPr>
            <w:tcW w:w="0" w:type="auto"/>
            <w:tcBorders>
              <w:top w:val="nil"/>
              <w:left w:val="nil"/>
              <w:bottom w:val="single" w:sz="8" w:space="0" w:color="auto"/>
              <w:right w:val="single" w:sz="8" w:space="0" w:color="auto"/>
            </w:tcBorders>
            <w:shd w:val="clear" w:color="auto" w:fill="auto"/>
            <w:noWrap/>
            <w:vAlign w:val="bottom"/>
            <w:hideMark/>
          </w:tcPr>
          <w:p w14:paraId="02F8DC29" w14:textId="77777777" w:rsidR="00CE1BDB" w:rsidRPr="00FA4DC7" w:rsidRDefault="00CE1BDB" w:rsidP="00834CE0">
            <w:pPr>
              <w:jc w:val="right"/>
              <w:rPr>
                <w:rFonts w:cs="Arial"/>
                <w:color w:val="000000"/>
                <w:sz w:val="22"/>
                <w:szCs w:val="22"/>
              </w:rPr>
            </w:pPr>
            <w:r w:rsidRPr="00FA4DC7">
              <w:rPr>
                <w:rFonts w:cs="Arial"/>
                <w:color w:val="000000"/>
                <w:sz w:val="22"/>
                <w:szCs w:val="22"/>
              </w:rPr>
              <w:t>£886</w:t>
            </w:r>
          </w:p>
        </w:tc>
      </w:tr>
      <w:tr w:rsidR="00CE1BDB" w:rsidRPr="00FA4DC7" w14:paraId="6B44FB59" w14:textId="77777777" w:rsidTr="00834CE0">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DC8AC6" w14:textId="77777777" w:rsidR="00CE1BDB" w:rsidRPr="00FA4DC7" w:rsidRDefault="00CE1BDB" w:rsidP="00834CE0">
            <w:pPr>
              <w:jc w:val="both"/>
              <w:rPr>
                <w:rFonts w:cs="Arial"/>
                <w:b/>
                <w:bCs/>
                <w:color w:val="000000"/>
                <w:sz w:val="22"/>
                <w:szCs w:val="22"/>
              </w:rPr>
            </w:pPr>
            <w:r w:rsidRPr="00FA4DC7">
              <w:rPr>
                <w:rFonts w:cs="Arial"/>
                <w:b/>
                <w:bCs/>
                <w:color w:val="000000"/>
                <w:sz w:val="22"/>
                <w:szCs w:val="22"/>
              </w:rPr>
              <w:t>Medway</w:t>
            </w:r>
          </w:p>
        </w:tc>
        <w:tc>
          <w:tcPr>
            <w:tcW w:w="0" w:type="auto"/>
            <w:tcBorders>
              <w:top w:val="nil"/>
              <w:left w:val="nil"/>
              <w:bottom w:val="single" w:sz="8" w:space="0" w:color="auto"/>
              <w:right w:val="single" w:sz="8" w:space="0" w:color="auto"/>
            </w:tcBorders>
            <w:shd w:val="clear" w:color="auto" w:fill="auto"/>
            <w:noWrap/>
            <w:vAlign w:val="bottom"/>
            <w:hideMark/>
          </w:tcPr>
          <w:p w14:paraId="11C4D3AE" w14:textId="77777777" w:rsidR="00CE1BDB" w:rsidRPr="00FA4DC7" w:rsidRDefault="00CE1BDB" w:rsidP="00834CE0">
            <w:pPr>
              <w:jc w:val="right"/>
              <w:rPr>
                <w:rFonts w:cs="Arial"/>
                <w:b/>
                <w:bCs/>
                <w:color w:val="000000"/>
                <w:sz w:val="22"/>
                <w:szCs w:val="22"/>
              </w:rPr>
            </w:pPr>
            <w:r w:rsidRPr="00FA4DC7">
              <w:rPr>
                <w:rFonts w:cs="Arial"/>
                <w:b/>
                <w:bCs/>
                <w:color w:val="000000"/>
                <w:sz w:val="22"/>
                <w:szCs w:val="22"/>
              </w:rPr>
              <w:t>£724</w:t>
            </w:r>
          </w:p>
        </w:tc>
        <w:tc>
          <w:tcPr>
            <w:tcW w:w="0" w:type="auto"/>
            <w:tcBorders>
              <w:top w:val="nil"/>
              <w:left w:val="nil"/>
              <w:bottom w:val="single" w:sz="8" w:space="0" w:color="auto"/>
              <w:right w:val="single" w:sz="8" w:space="0" w:color="auto"/>
            </w:tcBorders>
            <w:shd w:val="clear" w:color="auto" w:fill="auto"/>
            <w:noWrap/>
            <w:vAlign w:val="bottom"/>
            <w:hideMark/>
          </w:tcPr>
          <w:p w14:paraId="46F97687" w14:textId="77777777" w:rsidR="00CE1BDB" w:rsidRPr="00FA4DC7" w:rsidRDefault="00CE1BDB" w:rsidP="00834CE0">
            <w:pPr>
              <w:jc w:val="right"/>
              <w:rPr>
                <w:rFonts w:cs="Arial"/>
                <w:b/>
                <w:bCs/>
                <w:color w:val="000000"/>
                <w:sz w:val="22"/>
                <w:szCs w:val="22"/>
              </w:rPr>
            </w:pPr>
            <w:r w:rsidRPr="00FA4DC7">
              <w:rPr>
                <w:rFonts w:cs="Arial"/>
                <w:b/>
                <w:bCs/>
                <w:color w:val="000000"/>
                <w:sz w:val="22"/>
                <w:szCs w:val="22"/>
              </w:rPr>
              <w:t>£871</w:t>
            </w:r>
          </w:p>
        </w:tc>
      </w:tr>
    </w:tbl>
    <w:p w14:paraId="506B6B29" w14:textId="77777777" w:rsidR="00CE1BDB" w:rsidRPr="00FA4DC7" w:rsidRDefault="00CE1BDB" w:rsidP="00CE1BDB">
      <w:pPr>
        <w:pStyle w:val="Reporttext"/>
        <w:numPr>
          <w:ilvl w:val="0"/>
          <w:numId w:val="0"/>
        </w:numPr>
        <w:rPr>
          <w:rFonts w:cs="Arial"/>
          <w:color w:val="000000" w:themeColor="text1"/>
          <w:highlight w:val="yellow"/>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11"/>
        <w:gridCol w:w="1866"/>
        <w:gridCol w:w="1835"/>
      </w:tblGrid>
      <w:tr w:rsidR="00834CE0" w:rsidRPr="00834CE0" w14:paraId="1C7438D1" w14:textId="77777777" w:rsidTr="00834CE0">
        <w:tc>
          <w:tcPr>
            <w:tcW w:w="5000" w:type="pct"/>
            <w:gridSpan w:val="3"/>
            <w:shd w:val="clear" w:color="auto" w:fill="006666"/>
            <w:noWrap/>
            <w:vAlign w:val="center"/>
          </w:tcPr>
          <w:p w14:paraId="75536C72" w14:textId="00812115" w:rsidR="00834CE0" w:rsidRPr="00834CE0" w:rsidRDefault="00834CE0" w:rsidP="00834CE0">
            <w:pPr>
              <w:pStyle w:val="Tableheading1"/>
              <w:rPr>
                <w:color w:val="FFFFFF"/>
              </w:rPr>
            </w:pPr>
            <w:bookmarkStart w:id="232" w:name="_Toc83036081"/>
            <w:r w:rsidRPr="00834CE0">
              <w:lastRenderedPageBreak/>
              <w:t>Table 3.5b</w:t>
            </w:r>
            <w:r w:rsidRPr="00834CE0">
              <w:tab/>
              <w:t>Lower quartile and median rents by Key Development Location and Neighbourhood Planning Areas 2020</w:t>
            </w:r>
            <w:bookmarkEnd w:id="232"/>
          </w:p>
        </w:tc>
      </w:tr>
      <w:tr w:rsidR="00CE1BDB" w:rsidRPr="00834CE0" w14:paraId="4D1A0923" w14:textId="77777777" w:rsidTr="00834CE0">
        <w:tc>
          <w:tcPr>
            <w:tcW w:w="3039" w:type="pct"/>
            <w:vMerge w:val="restart"/>
            <w:shd w:val="clear" w:color="auto" w:fill="006666"/>
            <w:noWrap/>
            <w:vAlign w:val="center"/>
            <w:hideMark/>
          </w:tcPr>
          <w:p w14:paraId="093ED0CD" w14:textId="77777777" w:rsidR="00CE1BDB" w:rsidRPr="00834CE0" w:rsidRDefault="00CE1BDB" w:rsidP="00834CE0">
            <w:pPr>
              <w:spacing w:before="20" w:after="20"/>
              <w:rPr>
                <w:rFonts w:cs="Arial"/>
                <w:b/>
                <w:bCs/>
                <w:color w:val="FFFFFF"/>
                <w:sz w:val="22"/>
                <w:szCs w:val="22"/>
              </w:rPr>
            </w:pPr>
            <w:r w:rsidRPr="00834CE0">
              <w:rPr>
                <w:rFonts w:cs="Arial"/>
                <w:b/>
                <w:bCs/>
                <w:color w:val="FFFFFF"/>
                <w:sz w:val="22"/>
                <w:szCs w:val="22"/>
              </w:rPr>
              <w:t>Key Development Location</w:t>
            </w:r>
          </w:p>
        </w:tc>
        <w:tc>
          <w:tcPr>
            <w:tcW w:w="989" w:type="pct"/>
            <w:shd w:val="clear" w:color="auto" w:fill="006666"/>
            <w:noWrap/>
            <w:vAlign w:val="center"/>
            <w:hideMark/>
          </w:tcPr>
          <w:p w14:paraId="49DD01CB"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 xml:space="preserve">Lower quartile </w:t>
            </w:r>
          </w:p>
        </w:tc>
        <w:tc>
          <w:tcPr>
            <w:tcW w:w="972" w:type="pct"/>
            <w:shd w:val="clear" w:color="auto" w:fill="006666"/>
            <w:noWrap/>
            <w:vAlign w:val="center"/>
            <w:hideMark/>
          </w:tcPr>
          <w:p w14:paraId="3E9AA0DD"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Median</w:t>
            </w:r>
          </w:p>
        </w:tc>
      </w:tr>
      <w:tr w:rsidR="00CE1BDB" w:rsidRPr="00834CE0" w14:paraId="78B17EE4" w14:textId="77777777" w:rsidTr="00834CE0">
        <w:tc>
          <w:tcPr>
            <w:tcW w:w="3039" w:type="pct"/>
            <w:vMerge/>
            <w:shd w:val="clear" w:color="auto" w:fill="006666"/>
            <w:vAlign w:val="center"/>
            <w:hideMark/>
          </w:tcPr>
          <w:p w14:paraId="7ADD6F29" w14:textId="77777777" w:rsidR="00CE1BDB" w:rsidRPr="00834CE0" w:rsidRDefault="00CE1BDB" w:rsidP="00834CE0">
            <w:pPr>
              <w:spacing w:before="20" w:after="20"/>
              <w:rPr>
                <w:rFonts w:cs="Arial"/>
                <w:b/>
                <w:bCs/>
                <w:color w:val="FFFFFF"/>
                <w:sz w:val="22"/>
                <w:szCs w:val="22"/>
              </w:rPr>
            </w:pPr>
          </w:p>
        </w:tc>
        <w:tc>
          <w:tcPr>
            <w:tcW w:w="989" w:type="pct"/>
            <w:shd w:val="clear" w:color="auto" w:fill="006666"/>
            <w:noWrap/>
            <w:vAlign w:val="center"/>
            <w:hideMark/>
          </w:tcPr>
          <w:p w14:paraId="1BFE63DE"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 each month)</w:t>
            </w:r>
          </w:p>
        </w:tc>
        <w:tc>
          <w:tcPr>
            <w:tcW w:w="972" w:type="pct"/>
            <w:shd w:val="clear" w:color="auto" w:fill="006666"/>
            <w:noWrap/>
            <w:vAlign w:val="center"/>
            <w:hideMark/>
          </w:tcPr>
          <w:p w14:paraId="094A0BC0"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 each month)</w:t>
            </w:r>
          </w:p>
        </w:tc>
      </w:tr>
      <w:tr w:rsidR="00CE1BDB" w:rsidRPr="00834CE0" w14:paraId="610815C7" w14:textId="77777777" w:rsidTr="000B304C">
        <w:tc>
          <w:tcPr>
            <w:tcW w:w="3039" w:type="pct"/>
            <w:shd w:val="clear" w:color="auto" w:fill="auto"/>
            <w:noWrap/>
            <w:vAlign w:val="center"/>
            <w:hideMark/>
          </w:tcPr>
          <w:p w14:paraId="4C5DEF3B" w14:textId="77777777" w:rsidR="00CE1BDB" w:rsidRPr="00834CE0" w:rsidRDefault="00CE1BDB" w:rsidP="00834CE0">
            <w:pPr>
              <w:spacing w:before="20" w:after="20"/>
              <w:jc w:val="both"/>
              <w:rPr>
                <w:rFonts w:cs="Arial"/>
                <w:color w:val="000000"/>
                <w:sz w:val="22"/>
                <w:szCs w:val="22"/>
              </w:rPr>
            </w:pPr>
            <w:r w:rsidRPr="00834CE0">
              <w:rPr>
                <w:rFonts w:cs="Arial"/>
                <w:color w:val="000000"/>
                <w:sz w:val="22"/>
                <w:szCs w:val="22"/>
              </w:rPr>
              <w:t>Chatham</w:t>
            </w:r>
          </w:p>
        </w:tc>
        <w:tc>
          <w:tcPr>
            <w:tcW w:w="989" w:type="pct"/>
            <w:shd w:val="clear" w:color="auto" w:fill="auto"/>
            <w:noWrap/>
            <w:vAlign w:val="center"/>
            <w:hideMark/>
          </w:tcPr>
          <w:p w14:paraId="4AAF94C2"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£650</w:t>
            </w:r>
          </w:p>
        </w:tc>
        <w:tc>
          <w:tcPr>
            <w:tcW w:w="972" w:type="pct"/>
            <w:shd w:val="clear" w:color="auto" w:fill="auto"/>
            <w:noWrap/>
            <w:vAlign w:val="center"/>
            <w:hideMark/>
          </w:tcPr>
          <w:p w14:paraId="4CEAA6A6"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£802</w:t>
            </w:r>
          </w:p>
        </w:tc>
      </w:tr>
      <w:tr w:rsidR="00CE1BDB" w:rsidRPr="00834CE0" w14:paraId="58A2F510" w14:textId="77777777" w:rsidTr="000B304C">
        <w:tc>
          <w:tcPr>
            <w:tcW w:w="3039" w:type="pct"/>
            <w:shd w:val="clear" w:color="auto" w:fill="auto"/>
            <w:noWrap/>
            <w:vAlign w:val="center"/>
            <w:hideMark/>
          </w:tcPr>
          <w:p w14:paraId="0E386D94" w14:textId="77777777" w:rsidR="00CE1BDB" w:rsidRPr="00834CE0" w:rsidRDefault="00CE1BDB" w:rsidP="00834CE0">
            <w:pPr>
              <w:spacing w:before="20" w:after="20"/>
              <w:rPr>
                <w:rFonts w:cs="Arial"/>
                <w:color w:val="000000"/>
                <w:sz w:val="22"/>
                <w:szCs w:val="22"/>
              </w:rPr>
            </w:pPr>
            <w:r w:rsidRPr="00834CE0">
              <w:rPr>
                <w:rFonts w:cs="Arial"/>
                <w:color w:val="000000"/>
                <w:sz w:val="22"/>
                <w:szCs w:val="22"/>
              </w:rPr>
              <w:t>Chatham Maritime and Gillingham (</w:t>
            </w:r>
            <w:proofErr w:type="spellStart"/>
            <w:r w:rsidRPr="00834CE0">
              <w:rPr>
                <w:rFonts w:cs="Arial"/>
                <w:color w:val="000000"/>
                <w:sz w:val="22"/>
                <w:szCs w:val="22"/>
              </w:rPr>
              <w:t>inc</w:t>
            </w:r>
            <w:proofErr w:type="spellEnd"/>
            <w:r w:rsidRPr="00834CE0">
              <w:rPr>
                <w:rFonts w:cs="Arial"/>
                <w:color w:val="000000"/>
                <w:sz w:val="22"/>
                <w:szCs w:val="22"/>
              </w:rPr>
              <w:t xml:space="preserve"> St Mary’s Island &amp; Brompton) </w:t>
            </w:r>
          </w:p>
        </w:tc>
        <w:tc>
          <w:tcPr>
            <w:tcW w:w="989" w:type="pct"/>
            <w:shd w:val="clear" w:color="auto" w:fill="auto"/>
            <w:noWrap/>
            <w:vAlign w:val="center"/>
            <w:hideMark/>
          </w:tcPr>
          <w:p w14:paraId="25D08B07"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£702</w:t>
            </w:r>
          </w:p>
        </w:tc>
        <w:tc>
          <w:tcPr>
            <w:tcW w:w="972" w:type="pct"/>
            <w:shd w:val="clear" w:color="auto" w:fill="auto"/>
            <w:noWrap/>
            <w:vAlign w:val="center"/>
            <w:hideMark/>
          </w:tcPr>
          <w:p w14:paraId="4C72513A"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£875</w:t>
            </w:r>
          </w:p>
        </w:tc>
      </w:tr>
      <w:tr w:rsidR="00CE1BDB" w:rsidRPr="00834CE0" w14:paraId="5CE25AC5" w14:textId="77777777" w:rsidTr="000B304C">
        <w:tc>
          <w:tcPr>
            <w:tcW w:w="3039" w:type="pct"/>
            <w:shd w:val="clear" w:color="auto" w:fill="auto"/>
            <w:noWrap/>
            <w:vAlign w:val="center"/>
            <w:hideMark/>
          </w:tcPr>
          <w:p w14:paraId="7EA03C3A" w14:textId="77777777" w:rsidR="00CE1BDB" w:rsidRPr="00834CE0" w:rsidRDefault="00CE1BDB" w:rsidP="00834CE0">
            <w:pPr>
              <w:spacing w:before="20" w:after="20"/>
              <w:jc w:val="both"/>
              <w:rPr>
                <w:rFonts w:cs="Arial"/>
                <w:color w:val="000000"/>
                <w:sz w:val="22"/>
                <w:szCs w:val="22"/>
              </w:rPr>
            </w:pPr>
            <w:r w:rsidRPr="00834CE0">
              <w:rPr>
                <w:rFonts w:cs="Arial"/>
                <w:color w:val="000000"/>
                <w:sz w:val="22"/>
                <w:szCs w:val="22"/>
              </w:rPr>
              <w:t>Rainham</w:t>
            </w:r>
          </w:p>
        </w:tc>
        <w:tc>
          <w:tcPr>
            <w:tcW w:w="989" w:type="pct"/>
            <w:shd w:val="clear" w:color="auto" w:fill="auto"/>
            <w:noWrap/>
            <w:vAlign w:val="center"/>
            <w:hideMark/>
          </w:tcPr>
          <w:p w14:paraId="64337FF8"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£793</w:t>
            </w:r>
          </w:p>
        </w:tc>
        <w:tc>
          <w:tcPr>
            <w:tcW w:w="972" w:type="pct"/>
            <w:shd w:val="clear" w:color="auto" w:fill="auto"/>
            <w:noWrap/>
            <w:vAlign w:val="center"/>
            <w:hideMark/>
          </w:tcPr>
          <w:p w14:paraId="26C13386"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£901</w:t>
            </w:r>
          </w:p>
        </w:tc>
      </w:tr>
      <w:tr w:rsidR="00CE1BDB" w:rsidRPr="00834CE0" w14:paraId="3F526CA0" w14:textId="77777777" w:rsidTr="000B304C">
        <w:tc>
          <w:tcPr>
            <w:tcW w:w="3039" w:type="pct"/>
            <w:shd w:val="clear" w:color="auto" w:fill="auto"/>
            <w:noWrap/>
            <w:vAlign w:val="center"/>
            <w:hideMark/>
          </w:tcPr>
          <w:p w14:paraId="72C10F28" w14:textId="77777777" w:rsidR="00CE1BDB" w:rsidRPr="00834CE0" w:rsidRDefault="00CE1BDB" w:rsidP="00834CE0">
            <w:pPr>
              <w:spacing w:before="20" w:after="20"/>
              <w:jc w:val="both"/>
              <w:rPr>
                <w:rFonts w:cs="Arial"/>
                <w:color w:val="000000"/>
                <w:sz w:val="22"/>
                <w:szCs w:val="22"/>
              </w:rPr>
            </w:pPr>
            <w:r w:rsidRPr="00834CE0">
              <w:rPr>
                <w:rFonts w:cs="Arial"/>
                <w:color w:val="000000"/>
                <w:sz w:val="22"/>
                <w:szCs w:val="22"/>
              </w:rPr>
              <w:t>Rochester</w:t>
            </w:r>
          </w:p>
        </w:tc>
        <w:tc>
          <w:tcPr>
            <w:tcW w:w="989" w:type="pct"/>
            <w:shd w:val="clear" w:color="auto" w:fill="auto"/>
            <w:noWrap/>
            <w:vAlign w:val="center"/>
            <w:hideMark/>
          </w:tcPr>
          <w:p w14:paraId="736F5854"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£750</w:t>
            </w:r>
          </w:p>
        </w:tc>
        <w:tc>
          <w:tcPr>
            <w:tcW w:w="972" w:type="pct"/>
            <w:shd w:val="clear" w:color="auto" w:fill="auto"/>
            <w:noWrap/>
            <w:vAlign w:val="center"/>
            <w:hideMark/>
          </w:tcPr>
          <w:p w14:paraId="119C96D0"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£875</w:t>
            </w:r>
          </w:p>
        </w:tc>
      </w:tr>
      <w:tr w:rsidR="00CE1BDB" w:rsidRPr="00834CE0" w14:paraId="6EF0469C" w14:textId="77777777" w:rsidTr="000B304C">
        <w:tc>
          <w:tcPr>
            <w:tcW w:w="3039" w:type="pct"/>
            <w:shd w:val="clear" w:color="auto" w:fill="auto"/>
            <w:noWrap/>
            <w:vAlign w:val="center"/>
            <w:hideMark/>
          </w:tcPr>
          <w:p w14:paraId="581DFF67" w14:textId="77777777" w:rsidR="00CE1BDB" w:rsidRPr="00834CE0" w:rsidRDefault="00CE1BDB" w:rsidP="00834CE0">
            <w:pPr>
              <w:spacing w:before="20" w:after="20"/>
              <w:jc w:val="both"/>
              <w:rPr>
                <w:rFonts w:cs="Arial"/>
                <w:color w:val="000000"/>
                <w:sz w:val="22"/>
                <w:szCs w:val="22"/>
              </w:rPr>
            </w:pPr>
            <w:r w:rsidRPr="00834CE0">
              <w:rPr>
                <w:rFonts w:cs="Arial"/>
                <w:color w:val="000000"/>
                <w:sz w:val="22"/>
                <w:szCs w:val="22"/>
              </w:rPr>
              <w:t>Strood</w:t>
            </w:r>
          </w:p>
        </w:tc>
        <w:tc>
          <w:tcPr>
            <w:tcW w:w="989" w:type="pct"/>
            <w:shd w:val="clear" w:color="auto" w:fill="auto"/>
            <w:noWrap/>
            <w:vAlign w:val="center"/>
            <w:hideMark/>
          </w:tcPr>
          <w:p w14:paraId="11DC04FD"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£737</w:t>
            </w:r>
          </w:p>
        </w:tc>
        <w:tc>
          <w:tcPr>
            <w:tcW w:w="972" w:type="pct"/>
            <w:shd w:val="clear" w:color="auto" w:fill="auto"/>
            <w:noWrap/>
            <w:vAlign w:val="center"/>
            <w:hideMark/>
          </w:tcPr>
          <w:p w14:paraId="40B806F9"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£897</w:t>
            </w:r>
          </w:p>
        </w:tc>
      </w:tr>
      <w:tr w:rsidR="00CE1BDB" w:rsidRPr="00834CE0" w14:paraId="75D94171" w14:textId="77777777" w:rsidTr="00834CE0">
        <w:tc>
          <w:tcPr>
            <w:tcW w:w="3039" w:type="pct"/>
            <w:vMerge w:val="restart"/>
            <w:shd w:val="clear" w:color="auto" w:fill="006666"/>
            <w:noWrap/>
            <w:vAlign w:val="center"/>
            <w:hideMark/>
          </w:tcPr>
          <w:p w14:paraId="12D1CBCE" w14:textId="77777777" w:rsidR="00CE1BDB" w:rsidRPr="00834CE0" w:rsidRDefault="00CE1BDB" w:rsidP="00834CE0">
            <w:pPr>
              <w:spacing w:before="20" w:after="20"/>
              <w:rPr>
                <w:rFonts w:cs="Arial"/>
                <w:b/>
                <w:bCs/>
                <w:color w:val="FFFFFF"/>
                <w:sz w:val="22"/>
                <w:szCs w:val="22"/>
              </w:rPr>
            </w:pPr>
            <w:r w:rsidRPr="00834CE0">
              <w:rPr>
                <w:rFonts w:cs="Arial"/>
                <w:b/>
                <w:bCs/>
                <w:color w:val="FFFFFF"/>
                <w:sz w:val="22"/>
                <w:szCs w:val="22"/>
              </w:rPr>
              <w:t>Neighbourhood Planning Areas</w:t>
            </w:r>
          </w:p>
        </w:tc>
        <w:tc>
          <w:tcPr>
            <w:tcW w:w="989" w:type="pct"/>
            <w:shd w:val="clear" w:color="auto" w:fill="006666"/>
            <w:noWrap/>
            <w:vAlign w:val="center"/>
            <w:hideMark/>
          </w:tcPr>
          <w:p w14:paraId="15845E81"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 xml:space="preserve">Lower quartile </w:t>
            </w:r>
          </w:p>
        </w:tc>
        <w:tc>
          <w:tcPr>
            <w:tcW w:w="972" w:type="pct"/>
            <w:shd w:val="clear" w:color="auto" w:fill="006666"/>
            <w:noWrap/>
            <w:vAlign w:val="center"/>
            <w:hideMark/>
          </w:tcPr>
          <w:p w14:paraId="122A24FA"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Median</w:t>
            </w:r>
          </w:p>
        </w:tc>
      </w:tr>
      <w:tr w:rsidR="00CE1BDB" w:rsidRPr="00834CE0" w14:paraId="64A4143E" w14:textId="77777777" w:rsidTr="00834CE0">
        <w:tc>
          <w:tcPr>
            <w:tcW w:w="3039" w:type="pct"/>
            <w:vMerge/>
            <w:shd w:val="clear" w:color="auto" w:fill="006666"/>
            <w:vAlign w:val="center"/>
            <w:hideMark/>
          </w:tcPr>
          <w:p w14:paraId="2AB075DA" w14:textId="77777777" w:rsidR="00CE1BDB" w:rsidRPr="00834CE0" w:rsidRDefault="00CE1BDB" w:rsidP="00834CE0">
            <w:pPr>
              <w:spacing w:before="20" w:after="20"/>
              <w:rPr>
                <w:rFonts w:cs="Arial"/>
                <w:b/>
                <w:bCs/>
                <w:color w:val="FFFFFF"/>
                <w:sz w:val="22"/>
                <w:szCs w:val="22"/>
              </w:rPr>
            </w:pPr>
          </w:p>
        </w:tc>
        <w:tc>
          <w:tcPr>
            <w:tcW w:w="989" w:type="pct"/>
            <w:shd w:val="clear" w:color="auto" w:fill="006666"/>
            <w:noWrap/>
            <w:vAlign w:val="center"/>
            <w:hideMark/>
          </w:tcPr>
          <w:p w14:paraId="4EA5F1F4"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 each month)</w:t>
            </w:r>
          </w:p>
        </w:tc>
        <w:tc>
          <w:tcPr>
            <w:tcW w:w="972" w:type="pct"/>
            <w:shd w:val="clear" w:color="auto" w:fill="006666"/>
            <w:noWrap/>
            <w:vAlign w:val="center"/>
            <w:hideMark/>
          </w:tcPr>
          <w:p w14:paraId="4F3FFB9A" w14:textId="77777777" w:rsidR="00CE1BDB" w:rsidRPr="00834CE0" w:rsidRDefault="00CE1BDB" w:rsidP="00834CE0">
            <w:pPr>
              <w:spacing w:before="20" w:after="20"/>
              <w:jc w:val="center"/>
              <w:rPr>
                <w:rFonts w:cs="Arial"/>
                <w:b/>
                <w:bCs/>
                <w:color w:val="FFFFFF"/>
                <w:sz w:val="22"/>
                <w:szCs w:val="22"/>
              </w:rPr>
            </w:pPr>
            <w:r w:rsidRPr="00834CE0">
              <w:rPr>
                <w:rFonts w:cs="Arial"/>
                <w:b/>
                <w:bCs/>
                <w:color w:val="FFFFFF"/>
                <w:sz w:val="22"/>
                <w:szCs w:val="22"/>
              </w:rPr>
              <w:t>(£ each month)</w:t>
            </w:r>
          </w:p>
        </w:tc>
      </w:tr>
      <w:tr w:rsidR="00CE1BDB" w:rsidRPr="00834CE0" w14:paraId="33E4C5BB" w14:textId="77777777" w:rsidTr="000B304C">
        <w:tc>
          <w:tcPr>
            <w:tcW w:w="3039" w:type="pct"/>
            <w:shd w:val="clear" w:color="auto" w:fill="auto"/>
            <w:noWrap/>
            <w:vAlign w:val="center"/>
            <w:hideMark/>
          </w:tcPr>
          <w:p w14:paraId="05A96B70" w14:textId="77777777" w:rsidR="00CE1BDB" w:rsidRPr="00834CE0" w:rsidRDefault="00CE1BDB" w:rsidP="00834CE0">
            <w:pPr>
              <w:spacing w:before="20" w:after="20"/>
              <w:jc w:val="both"/>
              <w:rPr>
                <w:rFonts w:cs="Arial"/>
                <w:color w:val="000000"/>
                <w:sz w:val="22"/>
                <w:szCs w:val="22"/>
              </w:rPr>
            </w:pPr>
            <w:r w:rsidRPr="00834CE0">
              <w:rPr>
                <w:rFonts w:cs="Arial"/>
                <w:color w:val="000000" w:themeColor="text1"/>
                <w:sz w:val="22"/>
                <w:szCs w:val="22"/>
              </w:rPr>
              <w:t>Cliffe and Cliffe Woods</w:t>
            </w:r>
          </w:p>
        </w:tc>
        <w:tc>
          <w:tcPr>
            <w:tcW w:w="989" w:type="pct"/>
            <w:shd w:val="clear" w:color="auto" w:fill="auto"/>
            <w:noWrap/>
            <w:vAlign w:val="center"/>
            <w:hideMark/>
          </w:tcPr>
          <w:p w14:paraId="4F8B6427"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£856</w:t>
            </w:r>
          </w:p>
        </w:tc>
        <w:tc>
          <w:tcPr>
            <w:tcW w:w="972" w:type="pct"/>
            <w:shd w:val="clear" w:color="auto" w:fill="auto"/>
            <w:noWrap/>
            <w:vAlign w:val="center"/>
            <w:hideMark/>
          </w:tcPr>
          <w:p w14:paraId="318E1C69"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£1,248</w:t>
            </w:r>
          </w:p>
        </w:tc>
      </w:tr>
      <w:tr w:rsidR="00CE1BDB" w:rsidRPr="00834CE0" w14:paraId="310D21E2" w14:textId="77777777" w:rsidTr="000B304C">
        <w:tc>
          <w:tcPr>
            <w:tcW w:w="3039" w:type="pct"/>
            <w:shd w:val="clear" w:color="auto" w:fill="auto"/>
            <w:noWrap/>
            <w:vAlign w:val="center"/>
            <w:hideMark/>
          </w:tcPr>
          <w:p w14:paraId="6A826BC0" w14:textId="77777777" w:rsidR="00CE1BDB" w:rsidRPr="00834CE0" w:rsidRDefault="00CE1BDB" w:rsidP="00834CE0">
            <w:pPr>
              <w:spacing w:before="20" w:after="20"/>
              <w:jc w:val="both"/>
              <w:rPr>
                <w:rFonts w:cs="Arial"/>
                <w:color w:val="000000"/>
                <w:sz w:val="22"/>
                <w:szCs w:val="22"/>
              </w:rPr>
            </w:pPr>
            <w:proofErr w:type="spellStart"/>
            <w:r w:rsidRPr="00834CE0">
              <w:rPr>
                <w:rFonts w:cs="Arial"/>
                <w:color w:val="000000"/>
                <w:sz w:val="22"/>
                <w:szCs w:val="22"/>
              </w:rPr>
              <w:t>Frindsbury</w:t>
            </w:r>
            <w:proofErr w:type="spellEnd"/>
            <w:r w:rsidRPr="00834CE0">
              <w:rPr>
                <w:rFonts w:cs="Arial"/>
                <w:color w:val="000000"/>
                <w:sz w:val="22"/>
                <w:szCs w:val="22"/>
              </w:rPr>
              <w:t xml:space="preserve"> Extra</w:t>
            </w:r>
          </w:p>
        </w:tc>
        <w:tc>
          <w:tcPr>
            <w:tcW w:w="989" w:type="pct"/>
            <w:shd w:val="clear" w:color="auto" w:fill="auto"/>
            <w:noWrap/>
            <w:vAlign w:val="center"/>
            <w:hideMark/>
          </w:tcPr>
          <w:p w14:paraId="286C9645"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£813</w:t>
            </w:r>
          </w:p>
        </w:tc>
        <w:tc>
          <w:tcPr>
            <w:tcW w:w="972" w:type="pct"/>
            <w:shd w:val="clear" w:color="auto" w:fill="auto"/>
            <w:noWrap/>
            <w:vAlign w:val="center"/>
            <w:hideMark/>
          </w:tcPr>
          <w:p w14:paraId="68CD8FA8"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£949</w:t>
            </w:r>
          </w:p>
        </w:tc>
      </w:tr>
      <w:tr w:rsidR="00CE1BDB" w:rsidRPr="00834CE0" w14:paraId="4B5645CD" w14:textId="77777777" w:rsidTr="000B304C">
        <w:tc>
          <w:tcPr>
            <w:tcW w:w="3039" w:type="pct"/>
            <w:shd w:val="clear" w:color="auto" w:fill="auto"/>
            <w:noWrap/>
            <w:vAlign w:val="center"/>
            <w:hideMark/>
          </w:tcPr>
          <w:p w14:paraId="5FD9AC9F" w14:textId="77777777" w:rsidR="00CE1BDB" w:rsidRPr="00834CE0" w:rsidRDefault="00CE1BDB" w:rsidP="00834CE0">
            <w:pPr>
              <w:spacing w:before="20" w:after="20"/>
              <w:jc w:val="both"/>
              <w:rPr>
                <w:rFonts w:cs="Arial"/>
                <w:color w:val="000000"/>
                <w:sz w:val="22"/>
                <w:szCs w:val="22"/>
              </w:rPr>
            </w:pPr>
            <w:r w:rsidRPr="00834CE0">
              <w:rPr>
                <w:rFonts w:cs="Arial"/>
                <w:color w:val="000000"/>
                <w:sz w:val="22"/>
                <w:szCs w:val="22"/>
              </w:rPr>
              <w:t xml:space="preserve">High </w:t>
            </w:r>
            <w:proofErr w:type="spellStart"/>
            <w:r w:rsidRPr="00834CE0">
              <w:rPr>
                <w:rFonts w:cs="Arial"/>
                <w:color w:val="000000"/>
                <w:sz w:val="22"/>
                <w:szCs w:val="22"/>
              </w:rPr>
              <w:t>Halstow</w:t>
            </w:r>
            <w:proofErr w:type="spellEnd"/>
          </w:p>
        </w:tc>
        <w:tc>
          <w:tcPr>
            <w:tcW w:w="989" w:type="pct"/>
            <w:shd w:val="clear" w:color="auto" w:fill="auto"/>
            <w:noWrap/>
            <w:vAlign w:val="center"/>
            <w:hideMark/>
          </w:tcPr>
          <w:p w14:paraId="3CC04194"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£791</w:t>
            </w:r>
          </w:p>
        </w:tc>
        <w:tc>
          <w:tcPr>
            <w:tcW w:w="972" w:type="pct"/>
            <w:shd w:val="clear" w:color="auto" w:fill="auto"/>
            <w:noWrap/>
            <w:vAlign w:val="center"/>
            <w:hideMark/>
          </w:tcPr>
          <w:p w14:paraId="36A0A13C"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£888</w:t>
            </w:r>
          </w:p>
        </w:tc>
      </w:tr>
      <w:tr w:rsidR="00CE1BDB" w:rsidRPr="00834CE0" w14:paraId="6B5669B5" w14:textId="77777777" w:rsidTr="000B304C">
        <w:tc>
          <w:tcPr>
            <w:tcW w:w="3039" w:type="pct"/>
            <w:shd w:val="clear" w:color="auto" w:fill="auto"/>
            <w:noWrap/>
            <w:vAlign w:val="center"/>
            <w:hideMark/>
          </w:tcPr>
          <w:p w14:paraId="47C09C7E" w14:textId="77777777" w:rsidR="00CE1BDB" w:rsidRPr="00834CE0" w:rsidRDefault="00CE1BDB" w:rsidP="00834CE0">
            <w:pPr>
              <w:spacing w:before="20" w:after="20"/>
              <w:jc w:val="both"/>
              <w:rPr>
                <w:rFonts w:cs="Arial"/>
                <w:color w:val="000000"/>
                <w:sz w:val="22"/>
                <w:szCs w:val="22"/>
              </w:rPr>
            </w:pPr>
            <w:proofErr w:type="spellStart"/>
            <w:r w:rsidRPr="00834CE0">
              <w:rPr>
                <w:rFonts w:cs="Arial"/>
                <w:color w:val="000000"/>
                <w:sz w:val="22"/>
                <w:szCs w:val="22"/>
              </w:rPr>
              <w:t>Hoo</w:t>
            </w:r>
            <w:proofErr w:type="spellEnd"/>
            <w:r w:rsidRPr="00834CE0">
              <w:rPr>
                <w:rFonts w:cs="Arial"/>
                <w:color w:val="000000"/>
                <w:sz w:val="22"/>
                <w:szCs w:val="22"/>
              </w:rPr>
              <w:t xml:space="preserve"> St </w:t>
            </w:r>
            <w:proofErr w:type="spellStart"/>
            <w:r w:rsidRPr="00834CE0">
              <w:rPr>
                <w:rFonts w:cs="Arial"/>
                <w:color w:val="000000"/>
                <w:sz w:val="22"/>
                <w:szCs w:val="22"/>
              </w:rPr>
              <w:t>Werburgh</w:t>
            </w:r>
            <w:proofErr w:type="spellEnd"/>
            <w:r w:rsidRPr="00834CE0">
              <w:rPr>
                <w:rFonts w:cs="Arial"/>
                <w:color w:val="000000"/>
                <w:sz w:val="22"/>
                <w:szCs w:val="22"/>
              </w:rPr>
              <w:t>/Rural Town</w:t>
            </w:r>
          </w:p>
        </w:tc>
        <w:tc>
          <w:tcPr>
            <w:tcW w:w="989" w:type="pct"/>
            <w:shd w:val="clear" w:color="auto" w:fill="auto"/>
            <w:noWrap/>
            <w:vAlign w:val="center"/>
            <w:hideMark/>
          </w:tcPr>
          <w:p w14:paraId="43407181"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£898</w:t>
            </w:r>
          </w:p>
        </w:tc>
        <w:tc>
          <w:tcPr>
            <w:tcW w:w="972" w:type="pct"/>
            <w:shd w:val="clear" w:color="auto" w:fill="auto"/>
            <w:noWrap/>
            <w:vAlign w:val="center"/>
            <w:hideMark/>
          </w:tcPr>
          <w:p w14:paraId="1A4F32A3"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£1,101</w:t>
            </w:r>
          </w:p>
        </w:tc>
      </w:tr>
      <w:tr w:rsidR="00CE1BDB" w:rsidRPr="00834CE0" w14:paraId="7893AAD5" w14:textId="77777777" w:rsidTr="000B304C">
        <w:tc>
          <w:tcPr>
            <w:tcW w:w="3039" w:type="pct"/>
            <w:shd w:val="clear" w:color="auto" w:fill="auto"/>
            <w:noWrap/>
            <w:vAlign w:val="center"/>
            <w:hideMark/>
          </w:tcPr>
          <w:p w14:paraId="6D22446E" w14:textId="77777777" w:rsidR="00CE1BDB" w:rsidRPr="00834CE0" w:rsidRDefault="00CE1BDB" w:rsidP="00834CE0">
            <w:pPr>
              <w:spacing w:before="20" w:after="20"/>
              <w:jc w:val="both"/>
              <w:rPr>
                <w:rFonts w:cs="Arial"/>
                <w:color w:val="000000"/>
                <w:sz w:val="22"/>
                <w:szCs w:val="22"/>
                <w:highlight w:val="yellow"/>
              </w:rPr>
            </w:pPr>
            <w:r w:rsidRPr="00834CE0">
              <w:rPr>
                <w:rFonts w:cs="Arial"/>
                <w:color w:val="000000" w:themeColor="text1"/>
                <w:sz w:val="22"/>
                <w:szCs w:val="22"/>
              </w:rPr>
              <w:t>Arches (Chatham)</w:t>
            </w:r>
          </w:p>
        </w:tc>
        <w:tc>
          <w:tcPr>
            <w:tcW w:w="989" w:type="pct"/>
            <w:shd w:val="clear" w:color="auto" w:fill="auto"/>
            <w:noWrap/>
            <w:vAlign w:val="center"/>
            <w:hideMark/>
          </w:tcPr>
          <w:p w14:paraId="56A81D94"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£650</w:t>
            </w:r>
          </w:p>
        </w:tc>
        <w:tc>
          <w:tcPr>
            <w:tcW w:w="972" w:type="pct"/>
            <w:shd w:val="clear" w:color="auto" w:fill="auto"/>
            <w:noWrap/>
            <w:vAlign w:val="center"/>
            <w:hideMark/>
          </w:tcPr>
          <w:p w14:paraId="0A83AD15" w14:textId="77777777" w:rsidR="00CE1BDB" w:rsidRPr="00834CE0" w:rsidRDefault="00CE1BDB" w:rsidP="000B304C">
            <w:pPr>
              <w:spacing w:before="20" w:after="20"/>
              <w:jc w:val="right"/>
              <w:rPr>
                <w:rFonts w:cs="Arial"/>
                <w:color w:val="000000"/>
                <w:sz w:val="22"/>
                <w:szCs w:val="22"/>
              </w:rPr>
            </w:pPr>
            <w:r w:rsidRPr="00834CE0">
              <w:rPr>
                <w:rFonts w:cs="Arial"/>
                <w:color w:val="000000"/>
                <w:sz w:val="22"/>
                <w:szCs w:val="22"/>
              </w:rPr>
              <w:t>£802</w:t>
            </w:r>
          </w:p>
        </w:tc>
      </w:tr>
    </w:tbl>
    <w:p w14:paraId="540DB406" w14:textId="77777777" w:rsidR="00CE1BDB" w:rsidRPr="00FA4DC7" w:rsidRDefault="00CE1BDB" w:rsidP="00CE1BDB">
      <w:pPr>
        <w:pStyle w:val="Reporttext"/>
        <w:numPr>
          <w:ilvl w:val="0"/>
          <w:numId w:val="0"/>
        </w:numPr>
        <w:rPr>
          <w:rFonts w:cs="Arial"/>
          <w:color w:val="000000" w:themeColor="text1"/>
        </w:rPr>
      </w:pPr>
      <w:r w:rsidRPr="00FA4DC7">
        <w:rPr>
          <w:rFonts w:cs="Arial"/>
          <w:sz w:val="22"/>
          <w:szCs w:val="22"/>
        </w:rPr>
        <w:t>Source: Zoopla PPD 2021</w:t>
      </w:r>
    </w:p>
    <w:p w14:paraId="2CC033C1" w14:textId="77777777" w:rsidR="00CE1BDB" w:rsidRPr="00FA4DC7" w:rsidRDefault="00CE1BDB" w:rsidP="00CE1BDB">
      <w:pPr>
        <w:pStyle w:val="Reporttext"/>
        <w:numPr>
          <w:ilvl w:val="0"/>
          <w:numId w:val="0"/>
        </w:numPr>
        <w:rPr>
          <w:rFonts w:cs="Arial"/>
          <w:color w:val="000000" w:themeColor="text1"/>
        </w:rPr>
      </w:pPr>
    </w:p>
    <w:p w14:paraId="648E4A54" w14:textId="77777777" w:rsidR="00CE1BDB" w:rsidRPr="00FA4DC7" w:rsidRDefault="00CE1BDB" w:rsidP="00CE1BDB">
      <w:pPr>
        <w:pStyle w:val="Reporttext"/>
        <w:tabs>
          <w:tab w:val="left" w:pos="709"/>
          <w:tab w:val="left" w:pos="1418"/>
        </w:tabs>
        <w:rPr>
          <w:rFonts w:cs="Arial"/>
        </w:rPr>
      </w:pPr>
      <w:r w:rsidRPr="00FA4DC7">
        <w:rPr>
          <w:rFonts w:cs="Arial"/>
        </w:rPr>
        <w:t xml:space="preserve">More detailed rental data within built-up areas at a small area level (Lower Super Output Areas) are presented in Map 3.3 (lower quartile) and Map 3.4 (median). This illustrates rents were generally lower in inner urban areas and highest in Strood and Rainham Central Ward. </w:t>
      </w:r>
    </w:p>
    <w:p w14:paraId="41C662D7" w14:textId="77777777" w:rsidR="00CE1BDB" w:rsidRPr="00FA4DC7" w:rsidRDefault="00CE1BDB" w:rsidP="00CE1BDB">
      <w:pPr>
        <w:pStyle w:val="Reporttext"/>
        <w:tabs>
          <w:tab w:val="left" w:pos="0"/>
          <w:tab w:val="left" w:pos="709"/>
          <w:tab w:val="left" w:pos="1418"/>
        </w:tabs>
        <w:rPr>
          <w:rFonts w:cs="Arial"/>
        </w:rPr>
      </w:pPr>
      <w:r w:rsidRPr="00FA4DC7">
        <w:rPr>
          <w:rFonts w:cs="Arial"/>
        </w:rPr>
        <w:t>The private rented sector accommodates a proportion of low-income households that are eligible for assistance with rental costs. Map 3.5 illustrates the proportion of households in receipt of housing benefit assistance across the borough. This shows particular concentrations in River Ward and other areas of Chatham and Gillingham.</w:t>
      </w:r>
    </w:p>
    <w:p w14:paraId="72CAA247" w14:textId="77777777" w:rsidR="00CE1BDB" w:rsidRPr="00FA4DC7" w:rsidRDefault="00CE1BDB" w:rsidP="00CE1BDB">
      <w:pPr>
        <w:rPr>
          <w:rFonts w:cs="Arial"/>
          <w:highlight w:val="yellow"/>
        </w:rPr>
      </w:pPr>
    </w:p>
    <w:p w14:paraId="62C06544" w14:textId="77777777" w:rsidR="00CE1BDB" w:rsidRPr="00FA4DC7" w:rsidRDefault="00CE1BDB" w:rsidP="00CE1BDB">
      <w:pPr>
        <w:pStyle w:val="Mapheading0"/>
        <w:rPr>
          <w:highlight w:val="yellow"/>
        </w:rPr>
        <w:sectPr w:rsidR="00CE1BDB" w:rsidRPr="00FA4DC7" w:rsidSect="00EF49A7">
          <w:footerReference w:type="first" r:id="rId44"/>
          <w:pgSz w:w="11906" w:h="16838" w:code="9"/>
          <w:pgMar w:top="1440" w:right="1440" w:bottom="1276" w:left="1134" w:header="709" w:footer="567" w:gutter="0"/>
          <w:cols w:space="708"/>
          <w:docGrid w:linePitch="360"/>
        </w:sectPr>
      </w:pPr>
    </w:p>
    <w:p w14:paraId="09F9DC11" w14:textId="77777777" w:rsidR="00CE1BDB" w:rsidRPr="00FA4DC7" w:rsidRDefault="00CE1BDB" w:rsidP="00CE1BDB">
      <w:pPr>
        <w:pStyle w:val="Mapheading0"/>
      </w:pPr>
      <w:bookmarkStart w:id="233" w:name="_Toc83035737"/>
      <w:r w:rsidRPr="00FA4DC7">
        <w:lastRenderedPageBreak/>
        <w:t>Map 3.3</w:t>
      </w:r>
      <w:r w:rsidRPr="00FA4DC7">
        <w:tab/>
        <w:t>2020 lower quartile rents across Medway by built up areas within LSOAs</w:t>
      </w:r>
      <w:bookmarkEnd w:id="233"/>
    </w:p>
    <w:p w14:paraId="517C1D0A" w14:textId="77777777" w:rsidR="00CE1BDB" w:rsidRPr="00FA4DC7" w:rsidRDefault="00CE1BDB" w:rsidP="00CE1BDB">
      <w:pPr>
        <w:rPr>
          <w:rFonts w:cs="Arial"/>
          <w:highlight w:val="yellow"/>
        </w:rPr>
      </w:pPr>
      <w:r w:rsidRPr="00FA4DC7">
        <w:rPr>
          <w:rFonts w:cs="Arial"/>
          <w:noProof/>
        </w:rPr>
        <w:drawing>
          <wp:inline distT="0" distB="0" distL="0" distR="0" wp14:anchorId="447C1863" wp14:editId="37941BE3">
            <wp:extent cx="7639665" cy="5398194"/>
            <wp:effectExtent l="0" t="0" r="6350" b="0"/>
            <wp:docPr id="7491" name="Picture 7491" descr="Map showing 2020 lower quartile rents across Medway by built up areas within LS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 name="Picture 7491" descr="Map showing 2020 lower quartile rents across Medway by built up areas within LSOAs"/>
                    <pic:cNvPicPr/>
                  </pic:nvPicPr>
                  <pic:blipFill>
                    <a:blip r:embed="rId45"/>
                    <a:stretch>
                      <a:fillRect/>
                    </a:stretch>
                  </pic:blipFill>
                  <pic:spPr>
                    <a:xfrm>
                      <a:off x="0" y="0"/>
                      <a:ext cx="7647356" cy="5403628"/>
                    </a:xfrm>
                    <a:prstGeom prst="rect">
                      <a:avLst/>
                    </a:prstGeom>
                  </pic:spPr>
                </pic:pic>
              </a:graphicData>
            </a:graphic>
          </wp:inline>
        </w:drawing>
      </w:r>
    </w:p>
    <w:p w14:paraId="2172F08F" w14:textId="77777777" w:rsidR="00CE1BDB" w:rsidRPr="00FA4DC7" w:rsidRDefault="00CE1BDB" w:rsidP="00CE1BDB">
      <w:pPr>
        <w:rPr>
          <w:rFonts w:cs="Arial"/>
          <w:sz w:val="20"/>
          <w:szCs w:val="20"/>
        </w:rPr>
      </w:pPr>
      <w:r w:rsidRPr="00FA4DC7">
        <w:rPr>
          <w:rFonts w:cs="Arial"/>
          <w:sz w:val="22"/>
          <w:szCs w:val="22"/>
        </w:rPr>
        <w:t>Source: Zoopla PPD 2021</w:t>
      </w:r>
      <w:r w:rsidRPr="00FA4DC7">
        <w:rPr>
          <w:rFonts w:cs="Arial"/>
          <w:sz w:val="28"/>
          <w:szCs w:val="28"/>
        </w:rPr>
        <w:br w:type="page"/>
      </w:r>
    </w:p>
    <w:p w14:paraId="51837551" w14:textId="77777777" w:rsidR="00CE1BDB" w:rsidRPr="00FA4DC7" w:rsidRDefault="00CE1BDB" w:rsidP="00CE1BDB">
      <w:pPr>
        <w:pStyle w:val="Mapheading0"/>
      </w:pPr>
      <w:bookmarkStart w:id="234" w:name="_Toc83035738"/>
      <w:r w:rsidRPr="00FA4DC7">
        <w:lastRenderedPageBreak/>
        <w:t>Map 3.4</w:t>
      </w:r>
      <w:r w:rsidRPr="00FA4DC7">
        <w:tab/>
        <w:t>2020 median rents across Medway by built up areas within LSOAs</w:t>
      </w:r>
      <w:bookmarkEnd w:id="234"/>
    </w:p>
    <w:p w14:paraId="00201616" w14:textId="77777777" w:rsidR="00CE1BDB" w:rsidRPr="00FA4DC7" w:rsidRDefault="00CE1BDB" w:rsidP="00CE1BDB">
      <w:pPr>
        <w:rPr>
          <w:rFonts w:cs="Arial"/>
          <w:highlight w:val="yellow"/>
        </w:rPr>
      </w:pPr>
      <w:r w:rsidRPr="00FA4DC7">
        <w:rPr>
          <w:rFonts w:cs="Arial"/>
          <w:noProof/>
        </w:rPr>
        <w:drawing>
          <wp:inline distT="0" distB="0" distL="0" distR="0" wp14:anchorId="5C18D2F9" wp14:editId="485DA47A">
            <wp:extent cx="7639262" cy="5397910"/>
            <wp:effectExtent l="0" t="0" r="0" b="0"/>
            <wp:docPr id="7492" name="Picture 7492" descr="Map showing 2020 median rents across Medway by built up areas within LS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 name="Picture 7492" descr="Map showing 2020 median rents across Medway by built up areas within LSOAs"/>
                    <pic:cNvPicPr/>
                  </pic:nvPicPr>
                  <pic:blipFill>
                    <a:blip r:embed="rId46"/>
                    <a:stretch>
                      <a:fillRect/>
                    </a:stretch>
                  </pic:blipFill>
                  <pic:spPr>
                    <a:xfrm>
                      <a:off x="0" y="0"/>
                      <a:ext cx="7654034" cy="5408348"/>
                    </a:xfrm>
                    <a:prstGeom prst="rect">
                      <a:avLst/>
                    </a:prstGeom>
                  </pic:spPr>
                </pic:pic>
              </a:graphicData>
            </a:graphic>
          </wp:inline>
        </w:drawing>
      </w:r>
    </w:p>
    <w:p w14:paraId="69FC0BDA" w14:textId="77777777" w:rsidR="00CE1BDB" w:rsidRPr="00FA4DC7" w:rsidRDefault="00CE1BDB" w:rsidP="00CE1BDB">
      <w:pPr>
        <w:rPr>
          <w:rFonts w:cs="Arial"/>
          <w:b/>
          <w:color w:val="009999"/>
          <w:szCs w:val="28"/>
          <w:lang w:eastAsia="en-US"/>
        </w:rPr>
      </w:pPr>
      <w:r w:rsidRPr="00FA4DC7">
        <w:rPr>
          <w:rFonts w:cs="Arial"/>
          <w:sz w:val="22"/>
          <w:szCs w:val="22"/>
        </w:rPr>
        <w:t>Source: Zoopla PPD 2021; not figures may be skewed by low numbers of properties for rent</w:t>
      </w:r>
    </w:p>
    <w:p w14:paraId="055F9D71" w14:textId="77777777" w:rsidR="00CE1BDB" w:rsidRPr="00FA4DC7" w:rsidRDefault="00CE1BDB" w:rsidP="00CE1BDB">
      <w:pPr>
        <w:pStyle w:val="Mapheading0"/>
      </w:pPr>
      <w:bookmarkStart w:id="235" w:name="_Toc83035739"/>
      <w:r w:rsidRPr="00FA4DC7">
        <w:lastRenderedPageBreak/>
        <w:t>Map 3.5</w:t>
      </w:r>
      <w:r w:rsidRPr="00FA4DC7">
        <w:tab/>
        <w:t>Private rented sector Non-Passported Housing Benefit 2020</w:t>
      </w:r>
      <w:bookmarkEnd w:id="235"/>
    </w:p>
    <w:p w14:paraId="4027A17D" w14:textId="77777777" w:rsidR="00CE1BDB" w:rsidRPr="00FA4DC7" w:rsidRDefault="00CE1BDB" w:rsidP="00CE1BDB">
      <w:pPr>
        <w:tabs>
          <w:tab w:val="left" w:pos="0"/>
          <w:tab w:val="left" w:pos="709"/>
          <w:tab w:val="left" w:pos="1418"/>
        </w:tabs>
        <w:rPr>
          <w:rFonts w:cs="Arial"/>
          <w:highlight w:val="yellow"/>
        </w:rPr>
      </w:pPr>
      <w:r w:rsidRPr="00FA4DC7">
        <w:rPr>
          <w:rFonts w:cs="Arial"/>
          <w:noProof/>
        </w:rPr>
        <w:drawing>
          <wp:inline distT="0" distB="0" distL="0" distR="0" wp14:anchorId="3E7EE002" wp14:editId="1225357A">
            <wp:extent cx="7410450" cy="5236231"/>
            <wp:effectExtent l="0" t="0" r="0" b="2540"/>
            <wp:docPr id="7494" name="Picture 7494" descr="Map showing private rented sector non passported housing benefi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 name="Picture 7494" descr="Map showing private rented sector non passported housing benefit 2020"/>
                    <pic:cNvPicPr/>
                  </pic:nvPicPr>
                  <pic:blipFill>
                    <a:blip r:embed="rId47"/>
                    <a:stretch>
                      <a:fillRect/>
                    </a:stretch>
                  </pic:blipFill>
                  <pic:spPr>
                    <a:xfrm>
                      <a:off x="0" y="0"/>
                      <a:ext cx="7417573" cy="5241264"/>
                    </a:xfrm>
                    <a:prstGeom prst="rect">
                      <a:avLst/>
                    </a:prstGeom>
                  </pic:spPr>
                </pic:pic>
              </a:graphicData>
            </a:graphic>
          </wp:inline>
        </w:drawing>
      </w:r>
    </w:p>
    <w:p w14:paraId="4B6AFD0B" w14:textId="77777777" w:rsidR="00CE1BDB" w:rsidRPr="00FA4DC7" w:rsidRDefault="00CE1BDB" w:rsidP="00CE1BDB">
      <w:pPr>
        <w:tabs>
          <w:tab w:val="left" w:pos="0"/>
          <w:tab w:val="left" w:pos="709"/>
          <w:tab w:val="left" w:pos="1418"/>
        </w:tabs>
        <w:rPr>
          <w:rFonts w:cs="Arial"/>
          <w:sz w:val="22"/>
          <w:szCs w:val="28"/>
        </w:rPr>
        <w:sectPr w:rsidR="00CE1BDB" w:rsidRPr="00FA4DC7" w:rsidSect="00EF49A7">
          <w:pgSz w:w="16838" w:h="11906" w:orient="landscape" w:code="9"/>
          <w:pgMar w:top="1440" w:right="1276" w:bottom="1134" w:left="1440" w:header="709" w:footer="567" w:gutter="0"/>
          <w:cols w:space="708"/>
          <w:docGrid w:linePitch="360"/>
        </w:sectPr>
      </w:pPr>
      <w:r w:rsidRPr="00FA4DC7">
        <w:rPr>
          <w:rFonts w:cs="Arial"/>
          <w:sz w:val="22"/>
          <w:szCs w:val="28"/>
        </w:rPr>
        <w:t>Source: 2021 DWP Stat explore</w:t>
      </w:r>
    </w:p>
    <w:p w14:paraId="0F481212" w14:textId="77777777" w:rsidR="00CE1BDB" w:rsidRPr="00FA4DC7" w:rsidRDefault="00CE1BDB" w:rsidP="00CE1BDB">
      <w:pPr>
        <w:pStyle w:val="Reporttext"/>
        <w:rPr>
          <w:rFonts w:cs="Arial"/>
        </w:rPr>
      </w:pPr>
      <w:bookmarkStart w:id="236" w:name="_Toc442260210"/>
      <w:bookmarkStart w:id="237" w:name="_Toc1385758"/>
      <w:bookmarkStart w:id="238" w:name="_Toc10151803"/>
      <w:bookmarkStart w:id="239" w:name="_Toc529651989"/>
      <w:bookmarkStart w:id="240" w:name="_Toc7683282"/>
      <w:bookmarkStart w:id="241" w:name="_Toc414279343"/>
      <w:bookmarkStart w:id="242" w:name="_Toc399864379"/>
      <w:bookmarkEnd w:id="127"/>
      <w:bookmarkEnd w:id="128"/>
      <w:bookmarkEnd w:id="129"/>
      <w:bookmarkEnd w:id="131"/>
      <w:r w:rsidRPr="00FA4DC7">
        <w:rPr>
          <w:rFonts w:cs="Arial"/>
        </w:rPr>
        <w:lastRenderedPageBreak/>
        <w:t xml:space="preserve">The amount that can be claimed for assistance with rental costs is capped to a local allowance that varies by area. The cap is estimated by the VOA and published in the form of a Local Housing Allowance (LHA) rate for a broad market area (BRMA). Medway is covered by two BRMAs (Table 3.6). </w:t>
      </w:r>
    </w:p>
    <w:p w14:paraId="5AE9ED77" w14:textId="77777777" w:rsidR="00CE1BDB" w:rsidRPr="00FA4DC7" w:rsidRDefault="00CE1BDB" w:rsidP="00CE1BDB">
      <w:pPr>
        <w:pStyle w:val="Reporttext"/>
        <w:numPr>
          <w:ilvl w:val="0"/>
          <w:numId w:val="0"/>
        </w:numPr>
        <w:ind w:left="709"/>
        <w:rPr>
          <w:rFonts w:cs="Arial"/>
          <w:highlight w:val="yellow"/>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383"/>
        <w:gridCol w:w="2125"/>
        <w:gridCol w:w="1814"/>
      </w:tblGrid>
      <w:tr w:rsidR="00CE1BDB" w:rsidRPr="00FA4DC7" w14:paraId="6F56E3BB" w14:textId="77777777" w:rsidTr="00EF49A7">
        <w:tc>
          <w:tcPr>
            <w:tcW w:w="5000" w:type="pct"/>
            <w:gridSpan w:val="3"/>
            <w:shd w:val="clear" w:color="auto" w:fill="006666"/>
            <w:vAlign w:val="center"/>
            <w:hideMark/>
          </w:tcPr>
          <w:p w14:paraId="5B47DF85" w14:textId="77777777" w:rsidR="00CE1BDB" w:rsidRPr="00FA4DC7" w:rsidRDefault="00CE1BDB" w:rsidP="00EF49A7">
            <w:pPr>
              <w:pStyle w:val="Tableheading1"/>
              <w:rPr>
                <w:rFonts w:cs="Arial"/>
                <w:color w:val="FFFFFF"/>
                <w:szCs w:val="22"/>
              </w:rPr>
            </w:pPr>
            <w:bookmarkStart w:id="243" w:name="_Toc83036082"/>
            <w:r w:rsidRPr="00FA4DC7">
              <w:rPr>
                <w:rFonts w:cs="Arial"/>
                <w:color w:val="FFFFFF"/>
                <w:szCs w:val="22"/>
              </w:rPr>
              <w:t>Table 3.6</w:t>
            </w:r>
            <w:r w:rsidRPr="00FA4DC7">
              <w:rPr>
                <w:rFonts w:cs="Arial"/>
                <w:color w:val="FFFFFF"/>
                <w:szCs w:val="22"/>
              </w:rPr>
              <w:tab/>
              <w:t>Broad Rental Market Area Local Housing Allowance Rates (April 2020)</w:t>
            </w:r>
            <w:bookmarkEnd w:id="243"/>
          </w:p>
        </w:tc>
      </w:tr>
      <w:tr w:rsidR="00CE1BDB" w:rsidRPr="00FA4DC7" w14:paraId="0590E71E" w14:textId="77777777" w:rsidTr="002A5D35">
        <w:tc>
          <w:tcPr>
            <w:tcW w:w="2887" w:type="pct"/>
            <w:shd w:val="clear" w:color="auto" w:fill="006666"/>
            <w:vAlign w:val="center"/>
            <w:hideMark/>
          </w:tcPr>
          <w:p w14:paraId="736B64C8" w14:textId="77777777" w:rsidR="00CE1BDB" w:rsidRPr="00FA4DC7" w:rsidRDefault="00CE1BDB" w:rsidP="00EF49A7">
            <w:pPr>
              <w:jc w:val="both"/>
              <w:rPr>
                <w:rFonts w:cs="Arial"/>
                <w:b/>
                <w:bCs/>
                <w:color w:val="FFFFFF" w:themeColor="background1"/>
                <w:sz w:val="22"/>
                <w:szCs w:val="22"/>
              </w:rPr>
            </w:pPr>
            <w:r w:rsidRPr="00FA4DC7">
              <w:rPr>
                <w:rFonts w:cs="Arial"/>
                <w:b/>
                <w:bCs/>
                <w:color w:val="FFFFFF" w:themeColor="background1"/>
                <w:sz w:val="22"/>
                <w:szCs w:val="22"/>
              </w:rPr>
              <w:t>No. of Bedrooms</w:t>
            </w:r>
          </w:p>
        </w:tc>
        <w:tc>
          <w:tcPr>
            <w:tcW w:w="1140" w:type="pct"/>
            <w:shd w:val="clear" w:color="auto" w:fill="006666"/>
            <w:vAlign w:val="center"/>
            <w:hideMark/>
          </w:tcPr>
          <w:p w14:paraId="7A064390"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Medway and Swale BRMA</w:t>
            </w:r>
          </w:p>
        </w:tc>
        <w:tc>
          <w:tcPr>
            <w:tcW w:w="973" w:type="pct"/>
            <w:shd w:val="clear" w:color="auto" w:fill="006666"/>
            <w:vAlign w:val="center"/>
            <w:hideMark/>
          </w:tcPr>
          <w:p w14:paraId="5D5AF5B4"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Maidstone BRMA</w:t>
            </w:r>
          </w:p>
        </w:tc>
      </w:tr>
      <w:tr w:rsidR="00CE1BDB" w:rsidRPr="00FA4DC7" w14:paraId="242950DB" w14:textId="77777777" w:rsidTr="002A5D35">
        <w:tc>
          <w:tcPr>
            <w:tcW w:w="2887" w:type="pct"/>
            <w:shd w:val="clear" w:color="auto" w:fill="auto"/>
            <w:vAlign w:val="center"/>
            <w:hideMark/>
          </w:tcPr>
          <w:p w14:paraId="22FF0C84" w14:textId="77777777" w:rsidR="00CE1BDB" w:rsidRPr="00FA4DC7" w:rsidRDefault="00CE1BDB" w:rsidP="002A5D35">
            <w:pPr>
              <w:rPr>
                <w:rFonts w:cs="Arial"/>
                <w:color w:val="000000"/>
                <w:sz w:val="22"/>
                <w:szCs w:val="22"/>
              </w:rPr>
            </w:pPr>
            <w:r w:rsidRPr="00FA4DC7">
              <w:rPr>
                <w:rFonts w:cs="Arial"/>
                <w:color w:val="000000"/>
                <w:sz w:val="22"/>
                <w:szCs w:val="22"/>
              </w:rPr>
              <w:t>Shared accommodation rate / aged under 35</w:t>
            </w:r>
          </w:p>
        </w:tc>
        <w:tc>
          <w:tcPr>
            <w:tcW w:w="1140" w:type="pct"/>
            <w:shd w:val="clear" w:color="auto" w:fill="auto"/>
            <w:vAlign w:val="center"/>
            <w:hideMark/>
          </w:tcPr>
          <w:p w14:paraId="2D8FFAA6" w14:textId="77777777" w:rsidR="00CE1BDB" w:rsidRPr="00FA4DC7" w:rsidRDefault="00CE1BDB" w:rsidP="00EF49A7">
            <w:pPr>
              <w:jc w:val="center"/>
              <w:rPr>
                <w:rFonts w:cs="Arial"/>
                <w:color w:val="000000"/>
                <w:sz w:val="22"/>
                <w:szCs w:val="22"/>
              </w:rPr>
            </w:pPr>
            <w:r w:rsidRPr="00FA4DC7">
              <w:rPr>
                <w:rFonts w:cs="Arial"/>
                <w:color w:val="000000"/>
                <w:sz w:val="22"/>
                <w:szCs w:val="22"/>
              </w:rPr>
              <w:t>£72.84</w:t>
            </w:r>
          </w:p>
        </w:tc>
        <w:tc>
          <w:tcPr>
            <w:tcW w:w="973" w:type="pct"/>
            <w:shd w:val="clear" w:color="auto" w:fill="auto"/>
            <w:vAlign w:val="center"/>
            <w:hideMark/>
          </w:tcPr>
          <w:p w14:paraId="078F6BDA" w14:textId="77777777" w:rsidR="00CE1BDB" w:rsidRPr="00FA4DC7" w:rsidRDefault="00CE1BDB" w:rsidP="00EF49A7">
            <w:pPr>
              <w:jc w:val="center"/>
              <w:rPr>
                <w:rFonts w:cs="Arial"/>
                <w:color w:val="000000"/>
                <w:sz w:val="22"/>
                <w:szCs w:val="22"/>
              </w:rPr>
            </w:pPr>
            <w:r w:rsidRPr="00FA4DC7">
              <w:rPr>
                <w:rFonts w:cs="Arial"/>
                <w:color w:val="000000"/>
                <w:sz w:val="22"/>
                <w:szCs w:val="22"/>
              </w:rPr>
              <w:t>£88.85</w:t>
            </w:r>
          </w:p>
        </w:tc>
      </w:tr>
      <w:tr w:rsidR="00CE1BDB" w:rsidRPr="00FA4DC7" w14:paraId="0A273A96" w14:textId="77777777" w:rsidTr="002A5D35">
        <w:tc>
          <w:tcPr>
            <w:tcW w:w="2887" w:type="pct"/>
            <w:shd w:val="clear" w:color="auto" w:fill="auto"/>
            <w:vAlign w:val="center"/>
            <w:hideMark/>
          </w:tcPr>
          <w:p w14:paraId="600FA00C" w14:textId="77777777" w:rsidR="00CE1BDB" w:rsidRPr="00FA4DC7" w:rsidRDefault="00CE1BDB" w:rsidP="00EF49A7">
            <w:pPr>
              <w:jc w:val="both"/>
              <w:rPr>
                <w:rFonts w:cs="Arial"/>
                <w:color w:val="000000"/>
                <w:sz w:val="22"/>
                <w:szCs w:val="22"/>
              </w:rPr>
            </w:pPr>
            <w:r w:rsidRPr="00FA4DC7">
              <w:rPr>
                <w:rFonts w:cs="Arial"/>
                <w:color w:val="000000"/>
                <w:sz w:val="22"/>
                <w:szCs w:val="22"/>
              </w:rPr>
              <w:t>1-bedroom rate</w:t>
            </w:r>
          </w:p>
        </w:tc>
        <w:tc>
          <w:tcPr>
            <w:tcW w:w="1140" w:type="pct"/>
            <w:shd w:val="clear" w:color="auto" w:fill="auto"/>
            <w:vAlign w:val="center"/>
            <w:hideMark/>
          </w:tcPr>
          <w:p w14:paraId="527BD8EE" w14:textId="77777777" w:rsidR="00CE1BDB" w:rsidRPr="00FA4DC7" w:rsidRDefault="00CE1BDB" w:rsidP="00EF49A7">
            <w:pPr>
              <w:jc w:val="center"/>
              <w:rPr>
                <w:rFonts w:cs="Arial"/>
                <w:color w:val="000000"/>
                <w:sz w:val="22"/>
                <w:szCs w:val="22"/>
              </w:rPr>
            </w:pPr>
            <w:r w:rsidRPr="00FA4DC7">
              <w:rPr>
                <w:rFonts w:cs="Arial"/>
                <w:color w:val="000000"/>
                <w:sz w:val="22"/>
                <w:szCs w:val="22"/>
              </w:rPr>
              <w:t>£136.93</w:t>
            </w:r>
          </w:p>
        </w:tc>
        <w:tc>
          <w:tcPr>
            <w:tcW w:w="973" w:type="pct"/>
            <w:shd w:val="clear" w:color="auto" w:fill="auto"/>
            <w:vAlign w:val="center"/>
            <w:hideMark/>
          </w:tcPr>
          <w:p w14:paraId="743E03DD" w14:textId="77777777" w:rsidR="00CE1BDB" w:rsidRPr="00FA4DC7" w:rsidRDefault="00CE1BDB" w:rsidP="00EF49A7">
            <w:pPr>
              <w:jc w:val="center"/>
              <w:rPr>
                <w:rFonts w:cs="Arial"/>
                <w:color w:val="000000"/>
                <w:sz w:val="22"/>
                <w:szCs w:val="22"/>
              </w:rPr>
            </w:pPr>
            <w:r w:rsidRPr="00FA4DC7">
              <w:rPr>
                <w:rFonts w:cs="Arial"/>
                <w:color w:val="000000"/>
                <w:sz w:val="22"/>
                <w:szCs w:val="22"/>
              </w:rPr>
              <w:t>£149.59</w:t>
            </w:r>
          </w:p>
        </w:tc>
      </w:tr>
      <w:tr w:rsidR="00CE1BDB" w:rsidRPr="00FA4DC7" w14:paraId="1D01CA0C" w14:textId="77777777" w:rsidTr="002A5D35">
        <w:tc>
          <w:tcPr>
            <w:tcW w:w="2887" w:type="pct"/>
            <w:shd w:val="clear" w:color="auto" w:fill="auto"/>
            <w:vAlign w:val="center"/>
            <w:hideMark/>
          </w:tcPr>
          <w:p w14:paraId="1DFF455D" w14:textId="77777777" w:rsidR="00CE1BDB" w:rsidRPr="00FA4DC7" w:rsidRDefault="00CE1BDB" w:rsidP="00EF49A7">
            <w:pPr>
              <w:jc w:val="both"/>
              <w:rPr>
                <w:rFonts w:cs="Arial"/>
                <w:color w:val="000000"/>
                <w:sz w:val="22"/>
                <w:szCs w:val="22"/>
              </w:rPr>
            </w:pPr>
            <w:r w:rsidRPr="00FA4DC7">
              <w:rPr>
                <w:rFonts w:cs="Arial"/>
                <w:color w:val="000000"/>
                <w:sz w:val="22"/>
                <w:szCs w:val="22"/>
              </w:rPr>
              <w:t>2-bedroom rate</w:t>
            </w:r>
          </w:p>
        </w:tc>
        <w:tc>
          <w:tcPr>
            <w:tcW w:w="1140" w:type="pct"/>
            <w:shd w:val="clear" w:color="auto" w:fill="auto"/>
            <w:vAlign w:val="center"/>
            <w:hideMark/>
          </w:tcPr>
          <w:p w14:paraId="6514D574" w14:textId="77777777" w:rsidR="00CE1BDB" w:rsidRPr="00FA4DC7" w:rsidRDefault="00CE1BDB" w:rsidP="00EF49A7">
            <w:pPr>
              <w:jc w:val="center"/>
              <w:rPr>
                <w:rFonts w:cs="Arial"/>
                <w:color w:val="000000"/>
                <w:sz w:val="22"/>
                <w:szCs w:val="22"/>
              </w:rPr>
            </w:pPr>
            <w:r w:rsidRPr="00FA4DC7">
              <w:rPr>
                <w:rFonts w:cs="Arial"/>
                <w:color w:val="000000"/>
                <w:sz w:val="22"/>
                <w:szCs w:val="22"/>
              </w:rPr>
              <w:t>£172.60</w:t>
            </w:r>
          </w:p>
        </w:tc>
        <w:tc>
          <w:tcPr>
            <w:tcW w:w="973" w:type="pct"/>
            <w:shd w:val="clear" w:color="auto" w:fill="auto"/>
            <w:vAlign w:val="center"/>
            <w:hideMark/>
          </w:tcPr>
          <w:p w14:paraId="6B4DA6B8" w14:textId="77777777" w:rsidR="00CE1BDB" w:rsidRPr="00FA4DC7" w:rsidRDefault="00CE1BDB" w:rsidP="00EF49A7">
            <w:pPr>
              <w:jc w:val="center"/>
              <w:rPr>
                <w:rFonts w:cs="Arial"/>
                <w:color w:val="000000"/>
                <w:sz w:val="22"/>
                <w:szCs w:val="22"/>
              </w:rPr>
            </w:pPr>
            <w:r w:rsidRPr="00FA4DC7">
              <w:rPr>
                <w:rFonts w:cs="Arial"/>
                <w:color w:val="000000"/>
                <w:sz w:val="22"/>
                <w:szCs w:val="22"/>
              </w:rPr>
              <w:t>£187.56</w:t>
            </w:r>
          </w:p>
        </w:tc>
      </w:tr>
      <w:tr w:rsidR="00CE1BDB" w:rsidRPr="00FA4DC7" w14:paraId="65069736" w14:textId="77777777" w:rsidTr="002A5D35">
        <w:tc>
          <w:tcPr>
            <w:tcW w:w="2887" w:type="pct"/>
            <w:shd w:val="clear" w:color="auto" w:fill="auto"/>
            <w:vAlign w:val="center"/>
            <w:hideMark/>
          </w:tcPr>
          <w:p w14:paraId="68B0E2BB" w14:textId="77777777" w:rsidR="00CE1BDB" w:rsidRPr="00FA4DC7" w:rsidRDefault="00CE1BDB" w:rsidP="00EF49A7">
            <w:pPr>
              <w:jc w:val="both"/>
              <w:rPr>
                <w:rFonts w:cs="Arial"/>
                <w:color w:val="000000"/>
                <w:sz w:val="22"/>
                <w:szCs w:val="22"/>
              </w:rPr>
            </w:pPr>
            <w:r w:rsidRPr="00FA4DC7">
              <w:rPr>
                <w:rFonts w:cs="Arial"/>
                <w:color w:val="000000"/>
                <w:sz w:val="22"/>
                <w:szCs w:val="22"/>
              </w:rPr>
              <w:t>3-bedroom rate</w:t>
            </w:r>
          </w:p>
        </w:tc>
        <w:tc>
          <w:tcPr>
            <w:tcW w:w="1140" w:type="pct"/>
            <w:shd w:val="clear" w:color="auto" w:fill="auto"/>
            <w:vAlign w:val="center"/>
            <w:hideMark/>
          </w:tcPr>
          <w:p w14:paraId="64F71EDC" w14:textId="77777777" w:rsidR="00CE1BDB" w:rsidRPr="00FA4DC7" w:rsidRDefault="00CE1BDB" w:rsidP="00EF49A7">
            <w:pPr>
              <w:jc w:val="center"/>
              <w:rPr>
                <w:rFonts w:cs="Arial"/>
                <w:color w:val="000000"/>
                <w:sz w:val="22"/>
                <w:szCs w:val="22"/>
              </w:rPr>
            </w:pPr>
            <w:r w:rsidRPr="00FA4DC7">
              <w:rPr>
                <w:rFonts w:cs="Arial"/>
                <w:color w:val="000000"/>
                <w:sz w:val="22"/>
                <w:szCs w:val="22"/>
              </w:rPr>
              <w:t>£195.62</w:t>
            </w:r>
          </w:p>
        </w:tc>
        <w:tc>
          <w:tcPr>
            <w:tcW w:w="973" w:type="pct"/>
            <w:shd w:val="clear" w:color="auto" w:fill="auto"/>
            <w:vAlign w:val="center"/>
            <w:hideMark/>
          </w:tcPr>
          <w:p w14:paraId="7767D295" w14:textId="77777777" w:rsidR="00CE1BDB" w:rsidRPr="00FA4DC7" w:rsidRDefault="00CE1BDB" w:rsidP="00EF49A7">
            <w:pPr>
              <w:jc w:val="center"/>
              <w:rPr>
                <w:rFonts w:cs="Arial"/>
                <w:color w:val="000000"/>
                <w:sz w:val="22"/>
                <w:szCs w:val="22"/>
              </w:rPr>
            </w:pPr>
            <w:r w:rsidRPr="00FA4DC7">
              <w:rPr>
                <w:rFonts w:cs="Arial"/>
                <w:color w:val="000000"/>
                <w:sz w:val="22"/>
                <w:szCs w:val="22"/>
              </w:rPr>
              <w:t>£224.38</w:t>
            </w:r>
          </w:p>
        </w:tc>
      </w:tr>
      <w:tr w:rsidR="00CE1BDB" w:rsidRPr="00FA4DC7" w14:paraId="3BDFD90A" w14:textId="77777777" w:rsidTr="002A5D35">
        <w:tc>
          <w:tcPr>
            <w:tcW w:w="2887" w:type="pct"/>
            <w:shd w:val="clear" w:color="auto" w:fill="auto"/>
            <w:vAlign w:val="center"/>
            <w:hideMark/>
          </w:tcPr>
          <w:p w14:paraId="48E3E0D6" w14:textId="77777777" w:rsidR="00CE1BDB" w:rsidRPr="00FA4DC7" w:rsidRDefault="00CE1BDB" w:rsidP="00EF49A7">
            <w:pPr>
              <w:jc w:val="both"/>
              <w:rPr>
                <w:rFonts w:cs="Arial"/>
                <w:color w:val="000000"/>
                <w:sz w:val="22"/>
                <w:szCs w:val="22"/>
              </w:rPr>
            </w:pPr>
            <w:r w:rsidRPr="00FA4DC7">
              <w:rPr>
                <w:rFonts w:cs="Arial"/>
                <w:color w:val="000000"/>
                <w:sz w:val="22"/>
                <w:szCs w:val="22"/>
              </w:rPr>
              <w:t>4-bedroom rate</w:t>
            </w:r>
          </w:p>
        </w:tc>
        <w:tc>
          <w:tcPr>
            <w:tcW w:w="1140" w:type="pct"/>
            <w:shd w:val="clear" w:color="auto" w:fill="auto"/>
            <w:vAlign w:val="center"/>
            <w:hideMark/>
          </w:tcPr>
          <w:p w14:paraId="693552FF" w14:textId="77777777" w:rsidR="00CE1BDB" w:rsidRPr="00FA4DC7" w:rsidRDefault="00CE1BDB" w:rsidP="00EF49A7">
            <w:pPr>
              <w:jc w:val="center"/>
              <w:rPr>
                <w:rFonts w:cs="Arial"/>
                <w:color w:val="000000"/>
                <w:sz w:val="22"/>
                <w:szCs w:val="22"/>
              </w:rPr>
            </w:pPr>
            <w:r w:rsidRPr="00FA4DC7">
              <w:rPr>
                <w:rFonts w:cs="Arial"/>
                <w:color w:val="000000"/>
                <w:sz w:val="22"/>
                <w:szCs w:val="22"/>
              </w:rPr>
              <w:t>£276.16</w:t>
            </w:r>
          </w:p>
        </w:tc>
        <w:tc>
          <w:tcPr>
            <w:tcW w:w="973" w:type="pct"/>
            <w:shd w:val="clear" w:color="auto" w:fill="auto"/>
            <w:vAlign w:val="center"/>
            <w:hideMark/>
          </w:tcPr>
          <w:p w14:paraId="3DBDF7FF" w14:textId="77777777" w:rsidR="00CE1BDB" w:rsidRPr="00FA4DC7" w:rsidRDefault="00CE1BDB" w:rsidP="00EF49A7">
            <w:pPr>
              <w:jc w:val="center"/>
              <w:rPr>
                <w:rFonts w:cs="Arial"/>
                <w:color w:val="000000"/>
                <w:sz w:val="22"/>
                <w:szCs w:val="22"/>
              </w:rPr>
            </w:pPr>
            <w:r w:rsidRPr="00FA4DC7">
              <w:rPr>
                <w:rFonts w:cs="Arial"/>
                <w:color w:val="000000"/>
                <w:sz w:val="22"/>
                <w:szCs w:val="22"/>
              </w:rPr>
              <w:t>£287.67</w:t>
            </w:r>
          </w:p>
        </w:tc>
      </w:tr>
    </w:tbl>
    <w:p w14:paraId="15962196" w14:textId="77777777" w:rsidR="00CE1BDB" w:rsidRPr="002A5D35" w:rsidRDefault="00CE1BDB" w:rsidP="00CE1BDB">
      <w:pPr>
        <w:rPr>
          <w:rFonts w:cs="Arial"/>
          <w:sz w:val="22"/>
          <w:szCs w:val="22"/>
        </w:rPr>
      </w:pPr>
      <w:r w:rsidRPr="002A5D35">
        <w:rPr>
          <w:rFonts w:cs="Arial"/>
          <w:sz w:val="22"/>
          <w:szCs w:val="22"/>
        </w:rPr>
        <w:t>Source: Valuation Office Agency</w:t>
      </w:r>
    </w:p>
    <w:p w14:paraId="3B933FE0" w14:textId="77777777" w:rsidR="00CE1BDB" w:rsidRPr="00FA4DC7" w:rsidRDefault="00CE1BDB" w:rsidP="002A5D35">
      <w:pPr>
        <w:rPr>
          <w:highlight w:val="yellow"/>
        </w:rPr>
      </w:pPr>
    </w:p>
    <w:p w14:paraId="1B0639B0" w14:textId="77777777" w:rsidR="00CE1BDB" w:rsidRPr="00FA4DC7" w:rsidRDefault="00CE1BDB" w:rsidP="00CE1BDB">
      <w:pPr>
        <w:pStyle w:val="Heading2"/>
        <w:tabs>
          <w:tab w:val="left" w:pos="0"/>
          <w:tab w:val="left" w:pos="709"/>
          <w:tab w:val="left" w:pos="1418"/>
        </w:tabs>
        <w:rPr>
          <w:rFonts w:cs="Arial"/>
        </w:rPr>
      </w:pPr>
      <w:bookmarkStart w:id="244" w:name="_Toc83035658"/>
      <w:r w:rsidRPr="00FA4DC7">
        <w:rPr>
          <w:rFonts w:cs="Arial"/>
        </w:rPr>
        <w:t>Relative affordability</w:t>
      </w:r>
      <w:bookmarkEnd w:id="244"/>
    </w:p>
    <w:p w14:paraId="58DFC916" w14:textId="77777777" w:rsidR="00CE1BDB" w:rsidRPr="00FA4DC7" w:rsidRDefault="00CE1BDB" w:rsidP="00CE1BDB">
      <w:pPr>
        <w:pStyle w:val="Reporttext"/>
        <w:tabs>
          <w:tab w:val="left" w:pos="0"/>
          <w:tab w:val="left" w:pos="709"/>
          <w:tab w:val="left" w:pos="1418"/>
        </w:tabs>
        <w:rPr>
          <w:rFonts w:cs="Arial"/>
        </w:rPr>
      </w:pPr>
      <w:r w:rsidRPr="00FA4DC7">
        <w:rPr>
          <w:rFonts w:cs="Arial"/>
        </w:rPr>
        <w:t>The ONS produces national data on the ratio of earnings to house prices. Two sets of data are available: workplace-based and resident-based. For each, lower quartile and median ratios are produced. The data are based on Land Registry Price Paid data and ONS Annual Survey of Hours and Earnings data.</w:t>
      </w:r>
    </w:p>
    <w:p w14:paraId="1C323B05" w14:textId="77777777" w:rsidR="00CE1BDB" w:rsidRPr="00FA4DC7" w:rsidRDefault="00CE1BDB" w:rsidP="00CE1BDB">
      <w:pPr>
        <w:pStyle w:val="Reporttext"/>
        <w:tabs>
          <w:tab w:val="left" w:pos="709"/>
          <w:tab w:val="left" w:pos="1418"/>
        </w:tabs>
        <w:rPr>
          <w:rFonts w:cs="Arial"/>
        </w:rPr>
      </w:pPr>
      <w:r w:rsidRPr="00FA4DC7">
        <w:rPr>
          <w:rFonts w:cs="Arial"/>
        </w:rPr>
        <w:t xml:space="preserve">Table 3.7 sets out the 2020 lower quartile and median affordability ratios for Medway and compares these with neighbouring authorities, the </w:t>
      </w:r>
      <w:proofErr w:type="gramStart"/>
      <w:r w:rsidRPr="00FA4DC7">
        <w:rPr>
          <w:rFonts w:cs="Arial"/>
        </w:rPr>
        <w:t>South East</w:t>
      </w:r>
      <w:proofErr w:type="gramEnd"/>
      <w:r w:rsidRPr="00FA4DC7">
        <w:rPr>
          <w:rFonts w:cs="Arial"/>
        </w:rPr>
        <w:t xml:space="preserve"> and England. Using workplace-based median ratios to illustrate the data, prices are 7.5x income in Medway. Medway is the least expensive district compared with its neighbours and the ratio is lower than the regional and higher than the national figure. </w:t>
      </w:r>
    </w:p>
    <w:p w14:paraId="4E0EE31E" w14:textId="77777777" w:rsidR="00CE1BDB" w:rsidRPr="00FA4DC7" w:rsidRDefault="00CE1BDB" w:rsidP="00CE1BDB">
      <w:pPr>
        <w:pStyle w:val="Reporttext"/>
        <w:numPr>
          <w:ilvl w:val="0"/>
          <w:numId w:val="0"/>
        </w:numPr>
        <w:tabs>
          <w:tab w:val="left" w:pos="0"/>
          <w:tab w:val="left" w:pos="1418"/>
        </w:tabs>
        <w:rPr>
          <w:rFonts w:cs="Arial"/>
          <w:highlight w:val="yellow"/>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45"/>
        <w:gridCol w:w="1571"/>
        <w:gridCol w:w="1570"/>
        <w:gridCol w:w="1568"/>
        <w:gridCol w:w="1568"/>
      </w:tblGrid>
      <w:tr w:rsidR="00CE1BDB" w:rsidRPr="00FA4DC7" w14:paraId="2691258F" w14:textId="77777777" w:rsidTr="00EF49A7">
        <w:tc>
          <w:tcPr>
            <w:tcW w:w="5000" w:type="pct"/>
            <w:gridSpan w:val="5"/>
            <w:shd w:val="clear" w:color="auto" w:fill="006666"/>
            <w:noWrap/>
            <w:vAlign w:val="bottom"/>
          </w:tcPr>
          <w:p w14:paraId="2C2BC77F" w14:textId="77777777" w:rsidR="00CE1BDB" w:rsidRPr="00FA4DC7" w:rsidRDefault="00CE1BDB" w:rsidP="00EF49A7">
            <w:pPr>
              <w:pStyle w:val="Tableheading1"/>
              <w:rPr>
                <w:rFonts w:cs="Arial"/>
                <w:b w:val="0"/>
                <w:bCs w:val="0"/>
                <w:color w:val="FFFFFF"/>
                <w:szCs w:val="22"/>
              </w:rPr>
            </w:pPr>
            <w:bookmarkStart w:id="245" w:name="_Toc83036083"/>
            <w:r w:rsidRPr="00FA4DC7">
              <w:rPr>
                <w:rFonts w:cs="Arial"/>
              </w:rPr>
              <w:t>Table 3.7</w:t>
            </w:r>
            <w:r w:rsidRPr="00FA4DC7">
              <w:rPr>
                <w:rFonts w:cs="Arial"/>
              </w:rPr>
              <w:tab/>
              <w:t xml:space="preserve">Relative affordability of lower quartile and median prices by local authority area, </w:t>
            </w:r>
            <w:proofErr w:type="gramStart"/>
            <w:r w:rsidRPr="00FA4DC7">
              <w:rPr>
                <w:rFonts w:cs="Arial"/>
              </w:rPr>
              <w:t>South East</w:t>
            </w:r>
            <w:proofErr w:type="gramEnd"/>
            <w:r w:rsidRPr="00FA4DC7">
              <w:rPr>
                <w:rFonts w:cs="Arial"/>
              </w:rPr>
              <w:t xml:space="preserve"> and England (workplace-based and residence-based)</w:t>
            </w:r>
            <w:bookmarkEnd w:id="245"/>
          </w:p>
        </w:tc>
      </w:tr>
      <w:tr w:rsidR="00CE1BDB" w:rsidRPr="00FA4DC7" w14:paraId="01FF5346" w14:textId="77777777" w:rsidTr="00EF49A7">
        <w:tc>
          <w:tcPr>
            <w:tcW w:w="1670" w:type="pct"/>
            <w:vMerge w:val="restart"/>
            <w:shd w:val="clear" w:color="auto" w:fill="006666"/>
            <w:noWrap/>
            <w:vAlign w:val="bottom"/>
            <w:hideMark/>
          </w:tcPr>
          <w:p w14:paraId="295AB14C" w14:textId="77777777" w:rsidR="00CE1BDB" w:rsidRPr="00FA4DC7" w:rsidRDefault="00CE1BDB" w:rsidP="00EF49A7">
            <w:pPr>
              <w:rPr>
                <w:rFonts w:cs="Arial"/>
                <w:b/>
                <w:bCs/>
                <w:color w:val="FFFFFF"/>
                <w:sz w:val="22"/>
                <w:szCs w:val="22"/>
              </w:rPr>
            </w:pPr>
            <w:r w:rsidRPr="00FA4DC7">
              <w:rPr>
                <w:rFonts w:cs="Arial"/>
                <w:b/>
                <w:bCs/>
                <w:color w:val="FFFFFF"/>
                <w:sz w:val="22"/>
                <w:szCs w:val="22"/>
              </w:rPr>
              <w:t>Locality</w:t>
            </w:r>
          </w:p>
        </w:tc>
        <w:tc>
          <w:tcPr>
            <w:tcW w:w="1666" w:type="pct"/>
            <w:gridSpan w:val="2"/>
            <w:shd w:val="clear" w:color="auto" w:fill="006666"/>
            <w:vAlign w:val="bottom"/>
            <w:hideMark/>
          </w:tcPr>
          <w:p w14:paraId="17507BFD" w14:textId="302CF4A3" w:rsidR="00CE1BDB" w:rsidRPr="00FA4DC7" w:rsidRDefault="00CE1BDB" w:rsidP="00EF49A7">
            <w:pPr>
              <w:jc w:val="center"/>
              <w:rPr>
                <w:rFonts w:cs="Arial"/>
                <w:b/>
                <w:bCs/>
                <w:color w:val="FFFFFF"/>
                <w:sz w:val="22"/>
                <w:szCs w:val="22"/>
              </w:rPr>
            </w:pPr>
            <w:r w:rsidRPr="00FA4DC7">
              <w:rPr>
                <w:rFonts w:cs="Arial"/>
                <w:b/>
                <w:bCs/>
                <w:color w:val="FFFFFF"/>
                <w:sz w:val="22"/>
                <w:szCs w:val="22"/>
              </w:rPr>
              <w:t>20</w:t>
            </w:r>
            <w:r w:rsidR="001A51F7">
              <w:rPr>
                <w:rFonts w:cs="Arial"/>
                <w:b/>
                <w:bCs/>
                <w:color w:val="FFFFFF"/>
                <w:sz w:val="22"/>
                <w:szCs w:val="22"/>
              </w:rPr>
              <w:t xml:space="preserve">20 </w:t>
            </w:r>
            <w:proofErr w:type="gramStart"/>
            <w:r w:rsidRPr="00FA4DC7">
              <w:rPr>
                <w:rFonts w:cs="Arial"/>
                <w:b/>
                <w:bCs/>
                <w:color w:val="FFFFFF"/>
                <w:sz w:val="22"/>
                <w:szCs w:val="22"/>
              </w:rPr>
              <w:t>Lower  Quartile</w:t>
            </w:r>
            <w:proofErr w:type="gramEnd"/>
          </w:p>
        </w:tc>
        <w:tc>
          <w:tcPr>
            <w:tcW w:w="1664" w:type="pct"/>
            <w:gridSpan w:val="2"/>
            <w:shd w:val="clear" w:color="auto" w:fill="006666"/>
            <w:vAlign w:val="bottom"/>
            <w:hideMark/>
          </w:tcPr>
          <w:p w14:paraId="05B1686A" w14:textId="1BB839AC" w:rsidR="00CE1BDB" w:rsidRPr="00FA4DC7" w:rsidRDefault="00CE1BDB" w:rsidP="00EF49A7">
            <w:pPr>
              <w:jc w:val="center"/>
              <w:rPr>
                <w:rFonts w:cs="Arial"/>
                <w:b/>
                <w:bCs/>
                <w:color w:val="FFFFFF"/>
                <w:sz w:val="22"/>
                <w:szCs w:val="22"/>
              </w:rPr>
            </w:pPr>
            <w:r w:rsidRPr="00FA4DC7">
              <w:rPr>
                <w:rFonts w:cs="Arial"/>
                <w:b/>
                <w:bCs/>
                <w:color w:val="FFFFFF"/>
                <w:sz w:val="22"/>
                <w:szCs w:val="22"/>
              </w:rPr>
              <w:t>20</w:t>
            </w:r>
            <w:r w:rsidR="001A51F7">
              <w:rPr>
                <w:rFonts w:cs="Arial"/>
                <w:b/>
                <w:bCs/>
                <w:color w:val="FFFFFF"/>
                <w:sz w:val="22"/>
                <w:szCs w:val="22"/>
              </w:rPr>
              <w:t xml:space="preserve">20 </w:t>
            </w:r>
            <w:r w:rsidRPr="00FA4DC7">
              <w:rPr>
                <w:rFonts w:cs="Arial"/>
                <w:b/>
                <w:bCs/>
                <w:color w:val="FFFFFF"/>
                <w:sz w:val="22"/>
                <w:szCs w:val="22"/>
              </w:rPr>
              <w:t>Median</w:t>
            </w:r>
          </w:p>
        </w:tc>
      </w:tr>
      <w:tr w:rsidR="00CE1BDB" w:rsidRPr="00FA4DC7" w14:paraId="31F8CE05" w14:textId="77777777" w:rsidTr="00EF49A7">
        <w:tc>
          <w:tcPr>
            <w:tcW w:w="1670" w:type="pct"/>
            <w:vMerge/>
            <w:shd w:val="clear" w:color="auto" w:fill="006666"/>
            <w:noWrap/>
            <w:vAlign w:val="bottom"/>
            <w:hideMark/>
          </w:tcPr>
          <w:p w14:paraId="3B2A50B7" w14:textId="77777777" w:rsidR="00CE1BDB" w:rsidRPr="00FA4DC7" w:rsidRDefault="00CE1BDB" w:rsidP="00EF49A7">
            <w:pPr>
              <w:rPr>
                <w:rFonts w:cs="Arial"/>
                <w:color w:val="FFFFFF"/>
                <w:sz w:val="22"/>
                <w:szCs w:val="22"/>
              </w:rPr>
            </w:pPr>
          </w:p>
        </w:tc>
        <w:tc>
          <w:tcPr>
            <w:tcW w:w="833" w:type="pct"/>
            <w:shd w:val="clear" w:color="auto" w:fill="006666"/>
            <w:vAlign w:val="bottom"/>
            <w:hideMark/>
          </w:tcPr>
          <w:p w14:paraId="61673D5E" w14:textId="77777777" w:rsidR="00CE1BDB" w:rsidRPr="00FA4DC7" w:rsidRDefault="00CE1BDB" w:rsidP="00EF49A7">
            <w:pPr>
              <w:jc w:val="center"/>
              <w:rPr>
                <w:rFonts w:cs="Arial"/>
                <w:color w:val="FFFFFF"/>
                <w:sz w:val="22"/>
                <w:szCs w:val="22"/>
              </w:rPr>
            </w:pPr>
            <w:r w:rsidRPr="00FA4DC7">
              <w:rPr>
                <w:rFonts w:cs="Arial"/>
                <w:color w:val="FFFFFF"/>
                <w:sz w:val="22"/>
                <w:szCs w:val="22"/>
              </w:rPr>
              <w:t>Workplace-based</w:t>
            </w:r>
          </w:p>
        </w:tc>
        <w:tc>
          <w:tcPr>
            <w:tcW w:w="833" w:type="pct"/>
            <w:shd w:val="clear" w:color="auto" w:fill="006666"/>
            <w:vAlign w:val="bottom"/>
            <w:hideMark/>
          </w:tcPr>
          <w:p w14:paraId="50AA3B87" w14:textId="77777777" w:rsidR="00CE1BDB" w:rsidRPr="00FA4DC7" w:rsidRDefault="00CE1BDB" w:rsidP="00EF49A7">
            <w:pPr>
              <w:jc w:val="center"/>
              <w:rPr>
                <w:rFonts w:cs="Arial"/>
                <w:color w:val="FFFFFF"/>
                <w:sz w:val="22"/>
                <w:szCs w:val="22"/>
              </w:rPr>
            </w:pPr>
            <w:r w:rsidRPr="00FA4DC7">
              <w:rPr>
                <w:rFonts w:cs="Arial"/>
                <w:color w:val="FFFFFF"/>
                <w:sz w:val="22"/>
                <w:szCs w:val="22"/>
              </w:rPr>
              <w:t>Residence-based</w:t>
            </w:r>
          </w:p>
        </w:tc>
        <w:tc>
          <w:tcPr>
            <w:tcW w:w="832" w:type="pct"/>
            <w:shd w:val="clear" w:color="auto" w:fill="006666"/>
            <w:vAlign w:val="bottom"/>
            <w:hideMark/>
          </w:tcPr>
          <w:p w14:paraId="2DBA97F7" w14:textId="77777777" w:rsidR="00CE1BDB" w:rsidRPr="00FA4DC7" w:rsidRDefault="00CE1BDB" w:rsidP="00EF49A7">
            <w:pPr>
              <w:jc w:val="center"/>
              <w:rPr>
                <w:rFonts w:cs="Arial"/>
                <w:color w:val="FFFFFF"/>
                <w:sz w:val="22"/>
                <w:szCs w:val="22"/>
              </w:rPr>
            </w:pPr>
            <w:r w:rsidRPr="00FA4DC7">
              <w:rPr>
                <w:rFonts w:cs="Arial"/>
                <w:color w:val="FFFFFF"/>
                <w:sz w:val="22"/>
                <w:szCs w:val="22"/>
              </w:rPr>
              <w:t>Workplace-based</w:t>
            </w:r>
          </w:p>
        </w:tc>
        <w:tc>
          <w:tcPr>
            <w:tcW w:w="832" w:type="pct"/>
            <w:shd w:val="clear" w:color="auto" w:fill="006666"/>
            <w:vAlign w:val="bottom"/>
            <w:hideMark/>
          </w:tcPr>
          <w:p w14:paraId="6A64A41D" w14:textId="77777777" w:rsidR="00CE1BDB" w:rsidRPr="00FA4DC7" w:rsidRDefault="00CE1BDB" w:rsidP="00EF49A7">
            <w:pPr>
              <w:jc w:val="center"/>
              <w:rPr>
                <w:rFonts w:cs="Arial"/>
                <w:color w:val="FFFFFF"/>
                <w:sz w:val="22"/>
                <w:szCs w:val="22"/>
              </w:rPr>
            </w:pPr>
            <w:r w:rsidRPr="00FA4DC7">
              <w:rPr>
                <w:rFonts w:cs="Arial"/>
                <w:color w:val="FFFFFF"/>
                <w:sz w:val="22"/>
                <w:szCs w:val="22"/>
              </w:rPr>
              <w:t>Residence-based</w:t>
            </w:r>
          </w:p>
        </w:tc>
      </w:tr>
      <w:tr w:rsidR="00CE1BDB" w:rsidRPr="00FA4DC7" w14:paraId="4873D73F" w14:textId="77777777" w:rsidTr="00EF49A7">
        <w:tc>
          <w:tcPr>
            <w:tcW w:w="1670" w:type="pct"/>
            <w:shd w:val="clear" w:color="auto" w:fill="auto"/>
            <w:noWrap/>
            <w:vAlign w:val="center"/>
          </w:tcPr>
          <w:p w14:paraId="3104555B" w14:textId="77777777" w:rsidR="00CE1BDB" w:rsidRPr="00FA4DC7" w:rsidRDefault="00CE1BDB" w:rsidP="00EF49A7">
            <w:pPr>
              <w:rPr>
                <w:rFonts w:cs="Arial"/>
                <w:color w:val="000000"/>
                <w:sz w:val="22"/>
                <w:szCs w:val="22"/>
              </w:rPr>
            </w:pPr>
            <w:r w:rsidRPr="00FA4DC7">
              <w:rPr>
                <w:rFonts w:cs="Arial"/>
                <w:b/>
                <w:bCs/>
                <w:color w:val="000000"/>
                <w:sz w:val="22"/>
                <w:szCs w:val="22"/>
              </w:rPr>
              <w:t>Medway</w:t>
            </w:r>
          </w:p>
        </w:tc>
        <w:tc>
          <w:tcPr>
            <w:tcW w:w="833" w:type="pct"/>
            <w:shd w:val="clear" w:color="auto" w:fill="auto"/>
            <w:noWrap/>
            <w:vAlign w:val="center"/>
          </w:tcPr>
          <w:p w14:paraId="0E4B5F1A"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8.9</w:t>
            </w:r>
          </w:p>
        </w:tc>
        <w:tc>
          <w:tcPr>
            <w:tcW w:w="833" w:type="pct"/>
            <w:shd w:val="clear" w:color="auto" w:fill="auto"/>
            <w:noWrap/>
            <w:vAlign w:val="center"/>
          </w:tcPr>
          <w:p w14:paraId="7C8C1027"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8.9</w:t>
            </w:r>
          </w:p>
        </w:tc>
        <w:tc>
          <w:tcPr>
            <w:tcW w:w="832" w:type="pct"/>
            <w:shd w:val="clear" w:color="000000" w:fill="FFFFFF"/>
            <w:noWrap/>
            <w:vAlign w:val="center"/>
          </w:tcPr>
          <w:p w14:paraId="2454B2B6" w14:textId="77777777" w:rsidR="00CE1BDB" w:rsidRPr="00FA4DC7" w:rsidRDefault="00CE1BDB" w:rsidP="00EF49A7">
            <w:pPr>
              <w:jc w:val="right"/>
              <w:rPr>
                <w:rFonts w:cs="Arial"/>
                <w:sz w:val="22"/>
                <w:szCs w:val="22"/>
              </w:rPr>
            </w:pPr>
            <w:r w:rsidRPr="00FA4DC7">
              <w:rPr>
                <w:rFonts w:cs="Arial"/>
                <w:b/>
                <w:bCs/>
                <w:color w:val="000000"/>
                <w:sz w:val="22"/>
                <w:szCs w:val="22"/>
              </w:rPr>
              <w:t>7.6</w:t>
            </w:r>
          </w:p>
        </w:tc>
        <w:tc>
          <w:tcPr>
            <w:tcW w:w="832" w:type="pct"/>
            <w:shd w:val="clear" w:color="000000" w:fill="FFFFFF"/>
            <w:noWrap/>
            <w:vAlign w:val="center"/>
          </w:tcPr>
          <w:p w14:paraId="6058C469"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7.5</w:t>
            </w:r>
          </w:p>
        </w:tc>
      </w:tr>
      <w:tr w:rsidR="00CE1BDB" w:rsidRPr="00FA4DC7" w14:paraId="2C835D32" w14:textId="77777777" w:rsidTr="00EF49A7">
        <w:tc>
          <w:tcPr>
            <w:tcW w:w="1670" w:type="pct"/>
            <w:shd w:val="clear" w:color="auto" w:fill="auto"/>
            <w:noWrap/>
            <w:vAlign w:val="center"/>
          </w:tcPr>
          <w:p w14:paraId="1F156355" w14:textId="77777777" w:rsidR="00CE1BDB" w:rsidRPr="00FA4DC7" w:rsidRDefault="00CE1BDB" w:rsidP="00EF49A7">
            <w:pPr>
              <w:rPr>
                <w:rFonts w:cs="Arial"/>
                <w:color w:val="000000"/>
                <w:sz w:val="22"/>
                <w:szCs w:val="22"/>
              </w:rPr>
            </w:pPr>
            <w:r w:rsidRPr="00FA4DC7">
              <w:rPr>
                <w:rFonts w:cs="Arial"/>
                <w:color w:val="000000"/>
                <w:sz w:val="22"/>
                <w:szCs w:val="22"/>
              </w:rPr>
              <w:t>Dartford</w:t>
            </w:r>
          </w:p>
        </w:tc>
        <w:tc>
          <w:tcPr>
            <w:tcW w:w="833" w:type="pct"/>
            <w:shd w:val="clear" w:color="auto" w:fill="auto"/>
            <w:noWrap/>
            <w:vAlign w:val="center"/>
          </w:tcPr>
          <w:p w14:paraId="12906662" w14:textId="77777777" w:rsidR="00CE1BDB" w:rsidRPr="00FA4DC7" w:rsidRDefault="00CE1BDB" w:rsidP="00EF49A7">
            <w:pPr>
              <w:jc w:val="right"/>
              <w:rPr>
                <w:rFonts w:cs="Arial"/>
                <w:color w:val="000000"/>
                <w:sz w:val="22"/>
                <w:szCs w:val="22"/>
              </w:rPr>
            </w:pPr>
            <w:r w:rsidRPr="00FA4DC7">
              <w:rPr>
                <w:rFonts w:cs="Arial"/>
                <w:color w:val="000000"/>
                <w:sz w:val="22"/>
                <w:szCs w:val="22"/>
              </w:rPr>
              <w:t>9.9</w:t>
            </w:r>
          </w:p>
        </w:tc>
        <w:tc>
          <w:tcPr>
            <w:tcW w:w="833" w:type="pct"/>
            <w:shd w:val="clear" w:color="auto" w:fill="auto"/>
            <w:noWrap/>
            <w:vAlign w:val="center"/>
          </w:tcPr>
          <w:p w14:paraId="48B48169" w14:textId="77777777" w:rsidR="00CE1BDB" w:rsidRPr="00FA4DC7" w:rsidRDefault="00CE1BDB" w:rsidP="00EF49A7">
            <w:pPr>
              <w:jc w:val="right"/>
              <w:rPr>
                <w:rFonts w:cs="Arial"/>
                <w:color w:val="000000"/>
                <w:sz w:val="22"/>
                <w:szCs w:val="22"/>
              </w:rPr>
            </w:pPr>
            <w:r w:rsidRPr="00FA4DC7">
              <w:rPr>
                <w:rFonts w:cs="Arial"/>
                <w:color w:val="000000"/>
                <w:sz w:val="22"/>
                <w:szCs w:val="22"/>
              </w:rPr>
              <w:t>10.3</w:t>
            </w:r>
          </w:p>
        </w:tc>
        <w:tc>
          <w:tcPr>
            <w:tcW w:w="832" w:type="pct"/>
            <w:shd w:val="clear" w:color="000000" w:fill="FFFFFF"/>
            <w:noWrap/>
            <w:vAlign w:val="center"/>
          </w:tcPr>
          <w:p w14:paraId="4FD581BE" w14:textId="77777777" w:rsidR="00CE1BDB" w:rsidRPr="00FA4DC7" w:rsidRDefault="00CE1BDB" w:rsidP="00EF49A7">
            <w:pPr>
              <w:jc w:val="right"/>
              <w:rPr>
                <w:rFonts w:cs="Arial"/>
                <w:sz w:val="22"/>
                <w:szCs w:val="22"/>
              </w:rPr>
            </w:pPr>
            <w:r w:rsidRPr="00FA4DC7">
              <w:rPr>
                <w:rFonts w:cs="Arial"/>
                <w:color w:val="000000"/>
                <w:sz w:val="22"/>
                <w:szCs w:val="22"/>
              </w:rPr>
              <w:t>8.6</w:t>
            </w:r>
          </w:p>
        </w:tc>
        <w:tc>
          <w:tcPr>
            <w:tcW w:w="832" w:type="pct"/>
            <w:shd w:val="clear" w:color="000000" w:fill="FFFFFF"/>
            <w:noWrap/>
            <w:vAlign w:val="center"/>
          </w:tcPr>
          <w:p w14:paraId="4CDF45BE" w14:textId="77777777" w:rsidR="00CE1BDB" w:rsidRPr="00FA4DC7" w:rsidRDefault="00CE1BDB" w:rsidP="00EF49A7">
            <w:pPr>
              <w:jc w:val="right"/>
              <w:rPr>
                <w:rFonts w:cs="Arial"/>
                <w:color w:val="000000"/>
                <w:sz w:val="22"/>
                <w:szCs w:val="22"/>
              </w:rPr>
            </w:pPr>
            <w:r w:rsidRPr="00FA4DC7">
              <w:rPr>
                <w:rFonts w:cs="Arial"/>
                <w:color w:val="000000"/>
                <w:sz w:val="22"/>
                <w:szCs w:val="22"/>
              </w:rPr>
              <w:t>8.4</w:t>
            </w:r>
          </w:p>
        </w:tc>
      </w:tr>
      <w:tr w:rsidR="00CE1BDB" w:rsidRPr="00FA4DC7" w14:paraId="79658B14" w14:textId="77777777" w:rsidTr="00EF49A7">
        <w:tc>
          <w:tcPr>
            <w:tcW w:w="1670" w:type="pct"/>
            <w:shd w:val="clear" w:color="auto" w:fill="auto"/>
            <w:noWrap/>
            <w:vAlign w:val="center"/>
          </w:tcPr>
          <w:p w14:paraId="469B1278" w14:textId="77777777" w:rsidR="00CE1BDB" w:rsidRPr="00FA4DC7" w:rsidRDefault="00CE1BDB" w:rsidP="00EF49A7">
            <w:pPr>
              <w:rPr>
                <w:rFonts w:cs="Arial"/>
                <w:color w:val="000000"/>
                <w:sz w:val="22"/>
                <w:szCs w:val="22"/>
              </w:rPr>
            </w:pPr>
            <w:r w:rsidRPr="00FA4DC7">
              <w:rPr>
                <w:rFonts w:cs="Arial"/>
                <w:color w:val="000000"/>
                <w:sz w:val="22"/>
                <w:szCs w:val="22"/>
              </w:rPr>
              <w:t>Gravesham</w:t>
            </w:r>
          </w:p>
        </w:tc>
        <w:tc>
          <w:tcPr>
            <w:tcW w:w="833" w:type="pct"/>
            <w:shd w:val="clear" w:color="auto" w:fill="auto"/>
            <w:noWrap/>
            <w:vAlign w:val="center"/>
          </w:tcPr>
          <w:p w14:paraId="46204E20" w14:textId="77777777" w:rsidR="00CE1BDB" w:rsidRPr="00FA4DC7" w:rsidRDefault="00CE1BDB" w:rsidP="00EF49A7">
            <w:pPr>
              <w:jc w:val="right"/>
              <w:rPr>
                <w:rFonts w:cs="Arial"/>
                <w:color w:val="000000"/>
                <w:sz w:val="22"/>
                <w:szCs w:val="22"/>
              </w:rPr>
            </w:pPr>
            <w:r w:rsidRPr="00FA4DC7">
              <w:rPr>
                <w:rFonts w:cs="Arial"/>
                <w:color w:val="000000"/>
                <w:sz w:val="22"/>
                <w:szCs w:val="22"/>
              </w:rPr>
              <w:t>10.2</w:t>
            </w:r>
          </w:p>
        </w:tc>
        <w:tc>
          <w:tcPr>
            <w:tcW w:w="833" w:type="pct"/>
            <w:shd w:val="clear" w:color="auto" w:fill="auto"/>
            <w:noWrap/>
            <w:vAlign w:val="center"/>
          </w:tcPr>
          <w:p w14:paraId="6061F4DE" w14:textId="77777777" w:rsidR="00CE1BDB" w:rsidRPr="00FA4DC7" w:rsidRDefault="00CE1BDB" w:rsidP="00EF49A7">
            <w:pPr>
              <w:jc w:val="right"/>
              <w:rPr>
                <w:rFonts w:cs="Arial"/>
                <w:color w:val="000000"/>
                <w:sz w:val="22"/>
                <w:szCs w:val="22"/>
              </w:rPr>
            </w:pPr>
            <w:r w:rsidRPr="00FA4DC7">
              <w:rPr>
                <w:rFonts w:cs="Arial"/>
                <w:color w:val="000000"/>
                <w:sz w:val="22"/>
                <w:szCs w:val="22"/>
              </w:rPr>
              <w:t>11.1</w:t>
            </w:r>
          </w:p>
        </w:tc>
        <w:tc>
          <w:tcPr>
            <w:tcW w:w="832" w:type="pct"/>
            <w:shd w:val="clear" w:color="000000" w:fill="FFFFFF"/>
            <w:noWrap/>
            <w:vAlign w:val="center"/>
          </w:tcPr>
          <w:p w14:paraId="28FBE149" w14:textId="77777777" w:rsidR="00CE1BDB" w:rsidRPr="00FA4DC7" w:rsidRDefault="00CE1BDB" w:rsidP="00EF49A7">
            <w:pPr>
              <w:jc w:val="right"/>
              <w:rPr>
                <w:rFonts w:cs="Arial"/>
                <w:color w:val="000000"/>
                <w:sz w:val="22"/>
                <w:szCs w:val="22"/>
              </w:rPr>
            </w:pPr>
            <w:r w:rsidRPr="00FA4DC7">
              <w:rPr>
                <w:rFonts w:cs="Arial"/>
                <w:color w:val="000000"/>
                <w:sz w:val="22"/>
                <w:szCs w:val="22"/>
              </w:rPr>
              <w:t>8.4</w:t>
            </w:r>
          </w:p>
        </w:tc>
        <w:tc>
          <w:tcPr>
            <w:tcW w:w="832" w:type="pct"/>
            <w:shd w:val="clear" w:color="000000" w:fill="FFFFFF"/>
            <w:noWrap/>
            <w:vAlign w:val="center"/>
          </w:tcPr>
          <w:p w14:paraId="61FE71ED" w14:textId="77777777" w:rsidR="00CE1BDB" w:rsidRPr="00FA4DC7" w:rsidRDefault="00CE1BDB" w:rsidP="00EF49A7">
            <w:pPr>
              <w:jc w:val="right"/>
              <w:rPr>
                <w:rFonts w:cs="Arial"/>
                <w:color w:val="000000"/>
                <w:sz w:val="22"/>
                <w:szCs w:val="22"/>
              </w:rPr>
            </w:pPr>
            <w:r w:rsidRPr="00FA4DC7">
              <w:rPr>
                <w:rFonts w:cs="Arial"/>
                <w:color w:val="000000"/>
                <w:sz w:val="22"/>
                <w:szCs w:val="22"/>
              </w:rPr>
              <w:t>9.8</w:t>
            </w:r>
          </w:p>
        </w:tc>
      </w:tr>
      <w:tr w:rsidR="00CE1BDB" w:rsidRPr="00FA4DC7" w14:paraId="04B45351" w14:textId="77777777" w:rsidTr="00EF49A7">
        <w:tc>
          <w:tcPr>
            <w:tcW w:w="1670" w:type="pct"/>
            <w:shd w:val="clear" w:color="auto" w:fill="auto"/>
            <w:noWrap/>
            <w:vAlign w:val="center"/>
            <w:hideMark/>
          </w:tcPr>
          <w:p w14:paraId="47957361" w14:textId="77777777" w:rsidR="00CE1BDB" w:rsidRPr="00FA4DC7" w:rsidRDefault="00CE1BDB" w:rsidP="00EF49A7">
            <w:pPr>
              <w:rPr>
                <w:rFonts w:cs="Arial"/>
                <w:color w:val="000000"/>
                <w:sz w:val="22"/>
                <w:szCs w:val="22"/>
              </w:rPr>
            </w:pPr>
            <w:r w:rsidRPr="00FA4DC7">
              <w:rPr>
                <w:rFonts w:cs="Arial"/>
                <w:color w:val="000000"/>
                <w:sz w:val="22"/>
                <w:szCs w:val="22"/>
              </w:rPr>
              <w:t>Maidstone</w:t>
            </w:r>
          </w:p>
        </w:tc>
        <w:tc>
          <w:tcPr>
            <w:tcW w:w="833" w:type="pct"/>
            <w:shd w:val="clear" w:color="auto" w:fill="auto"/>
            <w:noWrap/>
            <w:vAlign w:val="center"/>
            <w:hideMark/>
          </w:tcPr>
          <w:p w14:paraId="4B78267B" w14:textId="77777777" w:rsidR="00CE1BDB" w:rsidRPr="00FA4DC7" w:rsidRDefault="00CE1BDB" w:rsidP="00EF49A7">
            <w:pPr>
              <w:jc w:val="right"/>
              <w:rPr>
                <w:rFonts w:cs="Arial"/>
                <w:color w:val="000000"/>
                <w:sz w:val="22"/>
                <w:szCs w:val="22"/>
              </w:rPr>
            </w:pPr>
            <w:r w:rsidRPr="00FA4DC7">
              <w:rPr>
                <w:rFonts w:cs="Arial"/>
                <w:color w:val="000000"/>
                <w:sz w:val="22"/>
                <w:szCs w:val="22"/>
              </w:rPr>
              <w:t>11.2</w:t>
            </w:r>
          </w:p>
        </w:tc>
        <w:tc>
          <w:tcPr>
            <w:tcW w:w="833" w:type="pct"/>
            <w:shd w:val="clear" w:color="auto" w:fill="auto"/>
            <w:noWrap/>
            <w:vAlign w:val="center"/>
            <w:hideMark/>
          </w:tcPr>
          <w:p w14:paraId="5B691925" w14:textId="77777777" w:rsidR="00CE1BDB" w:rsidRPr="00FA4DC7" w:rsidRDefault="00CE1BDB" w:rsidP="00EF49A7">
            <w:pPr>
              <w:jc w:val="right"/>
              <w:rPr>
                <w:rFonts w:cs="Arial"/>
                <w:color w:val="000000"/>
                <w:sz w:val="22"/>
                <w:szCs w:val="22"/>
              </w:rPr>
            </w:pPr>
            <w:r w:rsidRPr="00FA4DC7">
              <w:rPr>
                <w:rFonts w:cs="Arial"/>
                <w:color w:val="000000"/>
                <w:sz w:val="22"/>
                <w:szCs w:val="22"/>
              </w:rPr>
              <w:t>10.6</w:t>
            </w:r>
          </w:p>
        </w:tc>
        <w:tc>
          <w:tcPr>
            <w:tcW w:w="832" w:type="pct"/>
            <w:shd w:val="clear" w:color="000000" w:fill="FFFFFF"/>
            <w:noWrap/>
            <w:vAlign w:val="center"/>
            <w:hideMark/>
          </w:tcPr>
          <w:p w14:paraId="69F67FD3" w14:textId="77777777" w:rsidR="00CE1BDB" w:rsidRPr="00FA4DC7" w:rsidRDefault="00CE1BDB" w:rsidP="00EF49A7">
            <w:pPr>
              <w:jc w:val="right"/>
              <w:rPr>
                <w:rFonts w:cs="Arial"/>
                <w:sz w:val="22"/>
                <w:szCs w:val="22"/>
              </w:rPr>
            </w:pPr>
            <w:r w:rsidRPr="00FA4DC7">
              <w:rPr>
                <w:rFonts w:cs="Arial"/>
                <w:color w:val="000000"/>
                <w:sz w:val="22"/>
                <w:szCs w:val="22"/>
              </w:rPr>
              <w:t>10.0</w:t>
            </w:r>
          </w:p>
        </w:tc>
        <w:tc>
          <w:tcPr>
            <w:tcW w:w="832" w:type="pct"/>
            <w:shd w:val="clear" w:color="000000" w:fill="FFFFFF"/>
            <w:noWrap/>
            <w:vAlign w:val="center"/>
            <w:hideMark/>
          </w:tcPr>
          <w:p w14:paraId="3092A442" w14:textId="77777777" w:rsidR="00CE1BDB" w:rsidRPr="00FA4DC7" w:rsidRDefault="00CE1BDB" w:rsidP="00EF49A7">
            <w:pPr>
              <w:jc w:val="right"/>
              <w:rPr>
                <w:rFonts w:cs="Arial"/>
                <w:color w:val="000000"/>
              </w:rPr>
            </w:pPr>
            <w:r w:rsidRPr="00FA4DC7">
              <w:rPr>
                <w:rFonts w:cs="Arial"/>
                <w:color w:val="000000"/>
                <w:sz w:val="22"/>
                <w:szCs w:val="22"/>
              </w:rPr>
              <w:t>9.7</w:t>
            </w:r>
          </w:p>
        </w:tc>
      </w:tr>
      <w:tr w:rsidR="00CE1BDB" w:rsidRPr="00FA4DC7" w14:paraId="4F1CD8BF" w14:textId="77777777" w:rsidTr="00EF49A7">
        <w:tc>
          <w:tcPr>
            <w:tcW w:w="1670" w:type="pct"/>
            <w:shd w:val="clear" w:color="auto" w:fill="auto"/>
            <w:noWrap/>
            <w:vAlign w:val="center"/>
            <w:hideMark/>
          </w:tcPr>
          <w:p w14:paraId="14ED0E04" w14:textId="77777777" w:rsidR="00CE1BDB" w:rsidRPr="00FA4DC7" w:rsidRDefault="00CE1BDB" w:rsidP="00EF49A7">
            <w:pPr>
              <w:rPr>
                <w:rFonts w:cs="Arial"/>
                <w:color w:val="000000"/>
                <w:sz w:val="22"/>
                <w:szCs w:val="22"/>
              </w:rPr>
            </w:pPr>
            <w:r w:rsidRPr="00FA4DC7">
              <w:rPr>
                <w:rFonts w:cs="Arial"/>
                <w:color w:val="000000"/>
                <w:sz w:val="22"/>
                <w:szCs w:val="22"/>
              </w:rPr>
              <w:t>Swale</w:t>
            </w:r>
          </w:p>
        </w:tc>
        <w:tc>
          <w:tcPr>
            <w:tcW w:w="833" w:type="pct"/>
            <w:shd w:val="clear" w:color="auto" w:fill="auto"/>
            <w:noWrap/>
            <w:vAlign w:val="center"/>
            <w:hideMark/>
          </w:tcPr>
          <w:p w14:paraId="653F5CC8" w14:textId="77777777" w:rsidR="00CE1BDB" w:rsidRPr="00FA4DC7" w:rsidRDefault="00CE1BDB" w:rsidP="00EF49A7">
            <w:pPr>
              <w:jc w:val="right"/>
              <w:rPr>
                <w:rFonts w:cs="Arial"/>
                <w:color w:val="000000"/>
                <w:sz w:val="22"/>
                <w:szCs w:val="22"/>
              </w:rPr>
            </w:pPr>
            <w:r w:rsidRPr="00FA4DC7">
              <w:rPr>
                <w:rFonts w:cs="Arial"/>
                <w:color w:val="000000"/>
                <w:sz w:val="22"/>
                <w:szCs w:val="22"/>
              </w:rPr>
              <w:t>9.9</w:t>
            </w:r>
          </w:p>
        </w:tc>
        <w:tc>
          <w:tcPr>
            <w:tcW w:w="833" w:type="pct"/>
            <w:shd w:val="clear" w:color="auto" w:fill="auto"/>
            <w:noWrap/>
            <w:vAlign w:val="center"/>
            <w:hideMark/>
          </w:tcPr>
          <w:p w14:paraId="4AD760BD" w14:textId="77777777" w:rsidR="00CE1BDB" w:rsidRPr="00FA4DC7" w:rsidRDefault="00CE1BDB" w:rsidP="00EF49A7">
            <w:pPr>
              <w:jc w:val="right"/>
              <w:rPr>
                <w:rFonts w:cs="Arial"/>
                <w:color w:val="000000"/>
                <w:sz w:val="22"/>
                <w:szCs w:val="22"/>
              </w:rPr>
            </w:pPr>
            <w:r w:rsidRPr="00FA4DC7">
              <w:rPr>
                <w:rFonts w:cs="Arial"/>
                <w:color w:val="000000"/>
                <w:sz w:val="22"/>
                <w:szCs w:val="22"/>
              </w:rPr>
              <w:t>9.5</w:t>
            </w:r>
          </w:p>
        </w:tc>
        <w:tc>
          <w:tcPr>
            <w:tcW w:w="832" w:type="pct"/>
            <w:shd w:val="clear" w:color="000000" w:fill="FFFFFF"/>
            <w:noWrap/>
            <w:vAlign w:val="center"/>
            <w:hideMark/>
          </w:tcPr>
          <w:p w14:paraId="43A704B5" w14:textId="77777777" w:rsidR="00CE1BDB" w:rsidRPr="00FA4DC7" w:rsidRDefault="00CE1BDB" w:rsidP="00EF49A7">
            <w:pPr>
              <w:jc w:val="right"/>
              <w:rPr>
                <w:rFonts w:cs="Arial"/>
                <w:sz w:val="22"/>
                <w:szCs w:val="22"/>
              </w:rPr>
            </w:pPr>
            <w:r w:rsidRPr="00FA4DC7">
              <w:rPr>
                <w:rFonts w:cs="Arial"/>
                <w:color w:val="000000"/>
                <w:sz w:val="22"/>
                <w:szCs w:val="22"/>
              </w:rPr>
              <w:t>9.3</w:t>
            </w:r>
          </w:p>
        </w:tc>
        <w:tc>
          <w:tcPr>
            <w:tcW w:w="832" w:type="pct"/>
            <w:shd w:val="clear" w:color="000000" w:fill="FFFFFF"/>
            <w:noWrap/>
            <w:vAlign w:val="center"/>
            <w:hideMark/>
          </w:tcPr>
          <w:p w14:paraId="796C699E" w14:textId="77777777" w:rsidR="00CE1BDB" w:rsidRPr="00FA4DC7" w:rsidRDefault="00CE1BDB" w:rsidP="00EF49A7">
            <w:pPr>
              <w:jc w:val="right"/>
              <w:rPr>
                <w:rFonts w:cs="Arial"/>
                <w:color w:val="000000"/>
              </w:rPr>
            </w:pPr>
            <w:r w:rsidRPr="00FA4DC7">
              <w:rPr>
                <w:rFonts w:cs="Arial"/>
                <w:color w:val="000000"/>
                <w:sz w:val="22"/>
                <w:szCs w:val="22"/>
              </w:rPr>
              <w:t>8.0</w:t>
            </w:r>
          </w:p>
        </w:tc>
      </w:tr>
      <w:tr w:rsidR="00CE1BDB" w:rsidRPr="00FA4DC7" w14:paraId="27CE88DC" w14:textId="77777777" w:rsidTr="00EF49A7">
        <w:tc>
          <w:tcPr>
            <w:tcW w:w="1670" w:type="pct"/>
            <w:shd w:val="clear" w:color="auto" w:fill="auto"/>
            <w:noWrap/>
            <w:vAlign w:val="center"/>
            <w:hideMark/>
          </w:tcPr>
          <w:p w14:paraId="20B3E517" w14:textId="77777777" w:rsidR="00CE1BDB" w:rsidRPr="00FA4DC7" w:rsidRDefault="00CE1BDB" w:rsidP="00EF49A7">
            <w:pPr>
              <w:rPr>
                <w:rFonts w:cs="Arial"/>
                <w:color w:val="000000"/>
                <w:sz w:val="22"/>
                <w:szCs w:val="22"/>
              </w:rPr>
            </w:pPr>
            <w:r w:rsidRPr="00FA4DC7">
              <w:rPr>
                <w:rFonts w:cs="Arial"/>
                <w:color w:val="000000"/>
                <w:sz w:val="22"/>
                <w:szCs w:val="22"/>
              </w:rPr>
              <w:t xml:space="preserve">Tonbridge &amp; </w:t>
            </w:r>
            <w:proofErr w:type="spellStart"/>
            <w:r w:rsidRPr="00FA4DC7">
              <w:rPr>
                <w:rFonts w:cs="Arial"/>
                <w:color w:val="000000"/>
                <w:sz w:val="22"/>
                <w:szCs w:val="22"/>
              </w:rPr>
              <w:t>Malling</w:t>
            </w:r>
            <w:proofErr w:type="spellEnd"/>
          </w:p>
        </w:tc>
        <w:tc>
          <w:tcPr>
            <w:tcW w:w="833" w:type="pct"/>
            <w:shd w:val="clear" w:color="auto" w:fill="auto"/>
            <w:noWrap/>
            <w:vAlign w:val="center"/>
            <w:hideMark/>
          </w:tcPr>
          <w:p w14:paraId="306864B2" w14:textId="77777777" w:rsidR="00CE1BDB" w:rsidRPr="00FA4DC7" w:rsidRDefault="00CE1BDB" w:rsidP="00EF49A7">
            <w:pPr>
              <w:jc w:val="right"/>
              <w:rPr>
                <w:rFonts w:cs="Arial"/>
                <w:color w:val="000000"/>
                <w:sz w:val="22"/>
                <w:szCs w:val="22"/>
              </w:rPr>
            </w:pPr>
            <w:r w:rsidRPr="00FA4DC7">
              <w:rPr>
                <w:rFonts w:cs="Arial"/>
                <w:color w:val="000000"/>
                <w:sz w:val="22"/>
                <w:szCs w:val="22"/>
              </w:rPr>
              <w:t>12.4</w:t>
            </w:r>
          </w:p>
        </w:tc>
        <w:tc>
          <w:tcPr>
            <w:tcW w:w="833" w:type="pct"/>
            <w:shd w:val="clear" w:color="auto" w:fill="auto"/>
            <w:noWrap/>
            <w:vAlign w:val="center"/>
            <w:hideMark/>
          </w:tcPr>
          <w:p w14:paraId="2FEBC320" w14:textId="77777777" w:rsidR="00CE1BDB" w:rsidRPr="00FA4DC7" w:rsidRDefault="00CE1BDB" w:rsidP="00EF49A7">
            <w:pPr>
              <w:jc w:val="right"/>
              <w:rPr>
                <w:rFonts w:cs="Arial"/>
                <w:color w:val="000000"/>
                <w:sz w:val="22"/>
                <w:szCs w:val="22"/>
              </w:rPr>
            </w:pPr>
            <w:r w:rsidRPr="00FA4DC7">
              <w:rPr>
                <w:rFonts w:cs="Arial"/>
                <w:color w:val="000000"/>
                <w:sz w:val="22"/>
                <w:szCs w:val="22"/>
              </w:rPr>
              <w:t>10.1</w:t>
            </w:r>
          </w:p>
        </w:tc>
        <w:tc>
          <w:tcPr>
            <w:tcW w:w="832" w:type="pct"/>
            <w:shd w:val="clear" w:color="000000" w:fill="FFFFFF"/>
            <w:noWrap/>
            <w:vAlign w:val="center"/>
            <w:hideMark/>
          </w:tcPr>
          <w:p w14:paraId="02A980E4" w14:textId="77777777" w:rsidR="00CE1BDB" w:rsidRPr="00FA4DC7" w:rsidRDefault="00CE1BDB" w:rsidP="00EF49A7">
            <w:pPr>
              <w:jc w:val="right"/>
              <w:rPr>
                <w:rFonts w:cs="Arial"/>
                <w:sz w:val="22"/>
                <w:szCs w:val="22"/>
              </w:rPr>
            </w:pPr>
            <w:r w:rsidRPr="00FA4DC7">
              <w:rPr>
                <w:rFonts w:cs="Arial"/>
                <w:color w:val="000000"/>
                <w:sz w:val="22"/>
                <w:szCs w:val="22"/>
              </w:rPr>
              <w:t>11.8</w:t>
            </w:r>
          </w:p>
        </w:tc>
        <w:tc>
          <w:tcPr>
            <w:tcW w:w="832" w:type="pct"/>
            <w:shd w:val="clear" w:color="000000" w:fill="FFFFFF"/>
            <w:noWrap/>
            <w:vAlign w:val="center"/>
            <w:hideMark/>
          </w:tcPr>
          <w:p w14:paraId="3BC24B46" w14:textId="77777777" w:rsidR="00CE1BDB" w:rsidRPr="00FA4DC7" w:rsidRDefault="00CE1BDB" w:rsidP="00EF49A7">
            <w:pPr>
              <w:jc w:val="right"/>
              <w:rPr>
                <w:rFonts w:cs="Arial"/>
                <w:color w:val="000000"/>
              </w:rPr>
            </w:pPr>
            <w:r w:rsidRPr="00FA4DC7">
              <w:rPr>
                <w:rFonts w:cs="Arial"/>
                <w:color w:val="000000"/>
                <w:sz w:val="22"/>
                <w:szCs w:val="22"/>
              </w:rPr>
              <w:t>9.7</w:t>
            </w:r>
          </w:p>
        </w:tc>
      </w:tr>
      <w:tr w:rsidR="00CE1BDB" w:rsidRPr="00FA4DC7" w14:paraId="3A10A5C4" w14:textId="77777777" w:rsidTr="00EF49A7">
        <w:tc>
          <w:tcPr>
            <w:tcW w:w="1670" w:type="pct"/>
            <w:shd w:val="clear" w:color="auto" w:fill="auto"/>
            <w:noWrap/>
            <w:vAlign w:val="center"/>
            <w:hideMark/>
          </w:tcPr>
          <w:p w14:paraId="396534E4" w14:textId="77777777" w:rsidR="00CE1BDB" w:rsidRPr="00FA4DC7" w:rsidRDefault="00CE1BDB" w:rsidP="00EF49A7">
            <w:pPr>
              <w:rPr>
                <w:rFonts w:cs="Arial"/>
                <w:color w:val="000000"/>
                <w:sz w:val="22"/>
                <w:szCs w:val="22"/>
              </w:rPr>
            </w:pPr>
            <w:proofErr w:type="gramStart"/>
            <w:r w:rsidRPr="00FA4DC7">
              <w:rPr>
                <w:rFonts w:cs="Arial"/>
                <w:color w:val="000000"/>
                <w:sz w:val="22"/>
                <w:szCs w:val="22"/>
              </w:rPr>
              <w:t>South East</w:t>
            </w:r>
            <w:proofErr w:type="gramEnd"/>
          </w:p>
        </w:tc>
        <w:tc>
          <w:tcPr>
            <w:tcW w:w="833" w:type="pct"/>
            <w:shd w:val="clear" w:color="auto" w:fill="auto"/>
            <w:noWrap/>
            <w:vAlign w:val="center"/>
            <w:hideMark/>
          </w:tcPr>
          <w:p w14:paraId="7AAAE7EA" w14:textId="77777777" w:rsidR="00CE1BDB" w:rsidRPr="00FA4DC7" w:rsidRDefault="00CE1BDB" w:rsidP="00EF49A7">
            <w:pPr>
              <w:jc w:val="right"/>
              <w:rPr>
                <w:rFonts w:cs="Arial"/>
                <w:color w:val="000000"/>
                <w:sz w:val="22"/>
                <w:szCs w:val="22"/>
              </w:rPr>
            </w:pPr>
            <w:r w:rsidRPr="00FA4DC7">
              <w:rPr>
                <w:rFonts w:cs="Arial"/>
                <w:color w:val="000000"/>
                <w:sz w:val="22"/>
                <w:szCs w:val="22"/>
              </w:rPr>
              <w:t>10.2</w:t>
            </w:r>
          </w:p>
        </w:tc>
        <w:tc>
          <w:tcPr>
            <w:tcW w:w="833" w:type="pct"/>
            <w:shd w:val="clear" w:color="auto" w:fill="auto"/>
            <w:noWrap/>
            <w:vAlign w:val="center"/>
            <w:hideMark/>
          </w:tcPr>
          <w:p w14:paraId="098FFB17" w14:textId="77777777" w:rsidR="00CE1BDB" w:rsidRPr="00FA4DC7" w:rsidRDefault="00CE1BDB" w:rsidP="00EF49A7">
            <w:pPr>
              <w:jc w:val="right"/>
              <w:rPr>
                <w:rFonts w:cs="Arial"/>
                <w:color w:val="000000"/>
                <w:sz w:val="22"/>
                <w:szCs w:val="22"/>
              </w:rPr>
            </w:pPr>
            <w:r w:rsidRPr="00FA4DC7">
              <w:rPr>
                <w:rFonts w:cs="Arial"/>
                <w:color w:val="000000"/>
                <w:sz w:val="22"/>
                <w:szCs w:val="22"/>
              </w:rPr>
              <w:t>10.1</w:t>
            </w:r>
          </w:p>
        </w:tc>
        <w:tc>
          <w:tcPr>
            <w:tcW w:w="832" w:type="pct"/>
            <w:shd w:val="clear" w:color="000000" w:fill="FFFFFF"/>
            <w:noWrap/>
            <w:vAlign w:val="center"/>
            <w:hideMark/>
          </w:tcPr>
          <w:p w14:paraId="73A0573A" w14:textId="77777777" w:rsidR="00CE1BDB" w:rsidRPr="00FA4DC7" w:rsidRDefault="00CE1BDB" w:rsidP="00EF49A7">
            <w:pPr>
              <w:jc w:val="right"/>
              <w:rPr>
                <w:rFonts w:cs="Arial"/>
                <w:sz w:val="22"/>
                <w:szCs w:val="22"/>
              </w:rPr>
            </w:pPr>
            <w:r w:rsidRPr="00FA4DC7">
              <w:rPr>
                <w:rFonts w:cs="Arial"/>
                <w:color w:val="000000"/>
                <w:sz w:val="22"/>
                <w:szCs w:val="22"/>
              </w:rPr>
              <w:t>9.9</w:t>
            </w:r>
          </w:p>
        </w:tc>
        <w:tc>
          <w:tcPr>
            <w:tcW w:w="832" w:type="pct"/>
            <w:shd w:val="clear" w:color="000000" w:fill="FFFFFF"/>
            <w:noWrap/>
            <w:vAlign w:val="center"/>
            <w:hideMark/>
          </w:tcPr>
          <w:p w14:paraId="693F3CE9" w14:textId="77777777" w:rsidR="00CE1BDB" w:rsidRPr="00FA4DC7" w:rsidRDefault="00CE1BDB" w:rsidP="00EF49A7">
            <w:pPr>
              <w:jc w:val="right"/>
              <w:rPr>
                <w:rFonts w:cs="Arial"/>
                <w:color w:val="000000"/>
              </w:rPr>
            </w:pPr>
            <w:r w:rsidRPr="00FA4DC7">
              <w:rPr>
                <w:rFonts w:cs="Arial"/>
                <w:color w:val="000000"/>
                <w:sz w:val="22"/>
                <w:szCs w:val="22"/>
              </w:rPr>
              <w:t>9.6</w:t>
            </w:r>
          </w:p>
        </w:tc>
      </w:tr>
      <w:tr w:rsidR="00CE1BDB" w:rsidRPr="00FA4DC7" w14:paraId="3849F02B" w14:textId="77777777" w:rsidTr="00EF49A7">
        <w:tc>
          <w:tcPr>
            <w:tcW w:w="1670" w:type="pct"/>
            <w:shd w:val="clear" w:color="auto" w:fill="auto"/>
            <w:noWrap/>
            <w:vAlign w:val="center"/>
            <w:hideMark/>
          </w:tcPr>
          <w:p w14:paraId="2BB411FE" w14:textId="77777777" w:rsidR="00CE1BDB" w:rsidRPr="00FA4DC7" w:rsidRDefault="00CE1BDB" w:rsidP="00EF49A7">
            <w:pPr>
              <w:rPr>
                <w:rFonts w:cs="Arial"/>
                <w:color w:val="000000"/>
                <w:sz w:val="22"/>
                <w:szCs w:val="22"/>
              </w:rPr>
            </w:pPr>
            <w:r w:rsidRPr="00FA4DC7">
              <w:rPr>
                <w:rFonts w:cs="Arial"/>
                <w:color w:val="000000"/>
                <w:sz w:val="22"/>
                <w:szCs w:val="22"/>
              </w:rPr>
              <w:t>ENGLAND</w:t>
            </w:r>
          </w:p>
        </w:tc>
        <w:tc>
          <w:tcPr>
            <w:tcW w:w="833" w:type="pct"/>
            <w:shd w:val="clear" w:color="auto" w:fill="auto"/>
            <w:noWrap/>
            <w:vAlign w:val="center"/>
            <w:hideMark/>
          </w:tcPr>
          <w:p w14:paraId="3623032F" w14:textId="77777777" w:rsidR="00CE1BDB" w:rsidRPr="00FA4DC7" w:rsidRDefault="00CE1BDB" w:rsidP="00EF49A7">
            <w:pPr>
              <w:jc w:val="right"/>
              <w:rPr>
                <w:rFonts w:cs="Arial"/>
                <w:color w:val="000000"/>
                <w:sz w:val="22"/>
                <w:szCs w:val="22"/>
              </w:rPr>
            </w:pPr>
            <w:r w:rsidRPr="00FA4DC7">
              <w:rPr>
                <w:rFonts w:cs="Arial"/>
                <w:color w:val="000000"/>
                <w:sz w:val="22"/>
                <w:szCs w:val="22"/>
              </w:rPr>
              <w:t>7.2</w:t>
            </w:r>
          </w:p>
        </w:tc>
        <w:tc>
          <w:tcPr>
            <w:tcW w:w="833" w:type="pct"/>
            <w:shd w:val="clear" w:color="auto" w:fill="auto"/>
            <w:noWrap/>
            <w:vAlign w:val="center"/>
            <w:hideMark/>
          </w:tcPr>
          <w:p w14:paraId="783DE79B" w14:textId="77777777" w:rsidR="00CE1BDB" w:rsidRPr="00FA4DC7" w:rsidRDefault="00CE1BDB" w:rsidP="00EF49A7">
            <w:pPr>
              <w:jc w:val="right"/>
              <w:rPr>
                <w:rFonts w:cs="Arial"/>
                <w:color w:val="000000"/>
                <w:sz w:val="22"/>
                <w:szCs w:val="22"/>
              </w:rPr>
            </w:pPr>
            <w:r w:rsidRPr="00FA4DC7">
              <w:rPr>
                <w:rFonts w:cs="Arial"/>
                <w:color w:val="000000"/>
                <w:sz w:val="22"/>
                <w:szCs w:val="22"/>
              </w:rPr>
              <w:t>7.2</w:t>
            </w:r>
          </w:p>
        </w:tc>
        <w:tc>
          <w:tcPr>
            <w:tcW w:w="832" w:type="pct"/>
            <w:shd w:val="clear" w:color="000000" w:fill="FFFFFF"/>
            <w:noWrap/>
            <w:vAlign w:val="center"/>
            <w:hideMark/>
          </w:tcPr>
          <w:p w14:paraId="79EB14B9" w14:textId="77777777" w:rsidR="00CE1BDB" w:rsidRPr="00FA4DC7" w:rsidRDefault="00CE1BDB" w:rsidP="00EF49A7">
            <w:pPr>
              <w:jc w:val="right"/>
              <w:rPr>
                <w:rFonts w:cs="Arial"/>
                <w:sz w:val="22"/>
                <w:szCs w:val="22"/>
              </w:rPr>
            </w:pPr>
            <w:r w:rsidRPr="00FA4DC7">
              <w:rPr>
                <w:rFonts w:cs="Arial"/>
                <w:color w:val="000000"/>
                <w:sz w:val="22"/>
                <w:szCs w:val="22"/>
              </w:rPr>
              <w:t>7.9</w:t>
            </w:r>
          </w:p>
        </w:tc>
        <w:tc>
          <w:tcPr>
            <w:tcW w:w="832" w:type="pct"/>
            <w:shd w:val="clear" w:color="000000" w:fill="FFFFFF"/>
            <w:noWrap/>
            <w:vAlign w:val="center"/>
            <w:hideMark/>
          </w:tcPr>
          <w:p w14:paraId="4A87014E" w14:textId="77777777" w:rsidR="00CE1BDB" w:rsidRPr="00FA4DC7" w:rsidRDefault="00CE1BDB" w:rsidP="00EF49A7">
            <w:pPr>
              <w:jc w:val="right"/>
              <w:rPr>
                <w:rFonts w:cs="Arial"/>
                <w:color w:val="000000"/>
              </w:rPr>
            </w:pPr>
            <w:r w:rsidRPr="00FA4DC7">
              <w:rPr>
                <w:rFonts w:cs="Arial"/>
                <w:color w:val="000000"/>
                <w:sz w:val="22"/>
                <w:szCs w:val="22"/>
              </w:rPr>
              <w:t>7.8</w:t>
            </w:r>
          </w:p>
        </w:tc>
      </w:tr>
    </w:tbl>
    <w:p w14:paraId="078F6B81" w14:textId="77777777" w:rsidR="00CE1BDB" w:rsidRPr="00FA4DC7" w:rsidRDefault="00CE1BDB" w:rsidP="00CE1BDB">
      <w:pPr>
        <w:rPr>
          <w:rFonts w:cs="Arial"/>
        </w:rPr>
      </w:pPr>
      <w:r w:rsidRPr="00FA4DC7">
        <w:rPr>
          <w:rFonts w:cs="Arial"/>
          <w:sz w:val="20"/>
          <w:szCs w:val="20"/>
        </w:rPr>
        <w:t>Source: ONS</w:t>
      </w:r>
    </w:p>
    <w:p w14:paraId="241BEB16" w14:textId="77777777" w:rsidR="00CE1BDB" w:rsidRPr="00FA4DC7" w:rsidRDefault="00CE1BDB" w:rsidP="00CE1BDB">
      <w:pPr>
        <w:rPr>
          <w:rFonts w:cs="Arial"/>
          <w:bCs/>
          <w:iCs/>
          <w:color w:val="006666"/>
          <w:sz w:val="32"/>
          <w:szCs w:val="28"/>
          <w:highlight w:val="yellow"/>
          <w:lang w:eastAsia="en-US"/>
        </w:rPr>
      </w:pPr>
      <w:r w:rsidRPr="00FA4DC7">
        <w:rPr>
          <w:rFonts w:cs="Arial"/>
          <w:highlight w:val="yellow"/>
        </w:rPr>
        <w:br w:type="page"/>
      </w:r>
    </w:p>
    <w:p w14:paraId="5E167FCF" w14:textId="77777777" w:rsidR="00CE1BDB" w:rsidRPr="00FA4DC7" w:rsidRDefault="00CE1BDB" w:rsidP="00CE1BDB">
      <w:pPr>
        <w:pStyle w:val="Heading2"/>
        <w:ind w:left="720" w:hanging="11"/>
        <w:rPr>
          <w:rFonts w:cs="Arial"/>
        </w:rPr>
      </w:pPr>
      <w:bookmarkStart w:id="246" w:name="_Toc83035659"/>
      <w:r w:rsidRPr="00FA4DC7">
        <w:rPr>
          <w:rFonts w:cs="Arial"/>
        </w:rPr>
        <w:lastRenderedPageBreak/>
        <w:t>Relative affordability of housing tenure options</w:t>
      </w:r>
      <w:bookmarkEnd w:id="236"/>
      <w:bookmarkEnd w:id="237"/>
      <w:r w:rsidRPr="00FA4DC7">
        <w:rPr>
          <w:rFonts w:cs="Arial"/>
          <w:lang w:val="en-US"/>
        </w:rPr>
        <w:t xml:space="preserve"> and defining genuinely affordable housing</w:t>
      </w:r>
      <w:bookmarkEnd w:id="238"/>
      <w:bookmarkEnd w:id="246"/>
    </w:p>
    <w:p w14:paraId="203219B8"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 relative cost of alternative housing options across the borough and housing market sub-areas has been considered from two perspectives. Firstly, analysis considers prevailing prices at housing market sub-area level across a range of market and affordable tenures and the incomes required to afford these properties. Secondly, analysis considers what is </w:t>
      </w:r>
      <w:r w:rsidRPr="00FA4DC7">
        <w:rPr>
          <w:rFonts w:cs="Arial"/>
          <w:u w:val="single"/>
        </w:rPr>
        <w:t>genuinely affordable</w:t>
      </w:r>
      <w:r w:rsidRPr="00FA4DC7">
        <w:rPr>
          <w:rFonts w:cs="Arial"/>
        </w:rPr>
        <w:t xml:space="preserve"> to households based on local incomes and assumptions around the proportion of income that should be spent on renting and the multiples of income for buying. The analysis of what is genuinely affordable also considers the incomes of selected key workers and those on minimum and living wages.</w:t>
      </w:r>
    </w:p>
    <w:p w14:paraId="3D116270"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 thresholds for what </w:t>
      </w:r>
      <w:proofErr w:type="gramStart"/>
      <w:r w:rsidRPr="00FA4DC7">
        <w:rPr>
          <w:rFonts w:cs="Arial"/>
        </w:rPr>
        <w:t>is</w:t>
      </w:r>
      <w:proofErr w:type="gramEnd"/>
      <w:r w:rsidRPr="00FA4DC7">
        <w:rPr>
          <w:rFonts w:cs="Arial"/>
        </w:rPr>
        <w:t xml:space="preserve"> affordable and not affordable are as follows:</w:t>
      </w:r>
    </w:p>
    <w:p w14:paraId="5EFA3E2C" w14:textId="77777777" w:rsidR="00CE1BDB" w:rsidRPr="00FA4DC7" w:rsidRDefault="00CE1BDB" w:rsidP="00CE1BDB">
      <w:pPr>
        <w:pStyle w:val="bullet"/>
        <w:rPr>
          <w:rFonts w:cs="Arial"/>
        </w:rPr>
      </w:pPr>
      <w:r w:rsidRPr="00FA4DC7">
        <w:rPr>
          <w:rFonts w:cs="Arial"/>
        </w:rPr>
        <w:t>for renting, 25% of gross household income is used as the ‘tipping point’ for affordability, with properties not affordable if more than 25% of income is spent on rent. There is no official guidance on what proportion of income should be used. Former CLG SHMA Practice Guidance (2007) recommended 25% and Shelter suggest using 35% of net income; and</w:t>
      </w:r>
    </w:p>
    <w:p w14:paraId="413015DF" w14:textId="77777777" w:rsidR="00CE1BDB" w:rsidRPr="00FA4DC7" w:rsidRDefault="00CE1BDB" w:rsidP="00CE1BDB">
      <w:pPr>
        <w:pStyle w:val="bullet"/>
        <w:rPr>
          <w:rFonts w:cs="Arial"/>
        </w:rPr>
      </w:pPr>
      <w:r w:rsidRPr="00FA4DC7">
        <w:rPr>
          <w:rFonts w:cs="Arial"/>
        </w:rPr>
        <w:t xml:space="preserve">for buying, affordability is based on a 3.5x gross household income multiple. Former CLG SHMA Practice Guidance (2007) recommended a 3.5x multiple for a household with a single earner and 2.9x for a dual earner. </w:t>
      </w:r>
    </w:p>
    <w:p w14:paraId="6CC3D776" w14:textId="77777777" w:rsidR="00CE1BDB" w:rsidRPr="00FA4DC7" w:rsidRDefault="00CE1BDB" w:rsidP="00CE1BDB">
      <w:pPr>
        <w:pStyle w:val="Reporttext"/>
        <w:tabs>
          <w:tab w:val="left" w:pos="709"/>
          <w:tab w:val="left" w:pos="1418"/>
        </w:tabs>
        <w:rPr>
          <w:rFonts w:cs="Arial"/>
        </w:rPr>
      </w:pPr>
      <w:r w:rsidRPr="00FA4DC7">
        <w:rPr>
          <w:rFonts w:cs="Arial"/>
        </w:rPr>
        <w:t>Table</w:t>
      </w:r>
      <w:r w:rsidRPr="00FA4DC7">
        <w:rPr>
          <w:rFonts w:cs="Arial"/>
          <w:lang w:val="en-US"/>
        </w:rPr>
        <w:t xml:space="preserve"> 3.8 sets out the range of market and affordable tenures considered in analysis and any assumptions relating to the cost of properties. The cost of alternative affordable and market tenure options by ward, key development locations and neighbourhood planning areas is set out in Table 3.9. Table 3.10 shows the gross household incomes needed to afford the tenure based on the 25% rental and 3.5x income multiples. Table 3.11 considers the impact of deposits on sale price.</w:t>
      </w:r>
    </w:p>
    <w:p w14:paraId="302DC6B3" w14:textId="77777777" w:rsidR="00CE1BDB" w:rsidRPr="00FA4DC7" w:rsidRDefault="00CE1BDB" w:rsidP="00CE1BDB">
      <w:pPr>
        <w:rPr>
          <w:rFonts w:cs="Arial"/>
          <w:lang w:val="en-US" w:eastAsia="en-US"/>
        </w:rPr>
        <w:sectPr w:rsidR="00CE1BDB" w:rsidRPr="00FA4DC7" w:rsidSect="00EF49A7">
          <w:pgSz w:w="11906" w:h="16838" w:code="9"/>
          <w:pgMar w:top="1440" w:right="1440" w:bottom="1276" w:left="1134" w:header="709" w:footer="567" w:gutter="0"/>
          <w:cols w:space="708"/>
          <w:docGrid w:linePitch="360"/>
        </w:sect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72"/>
        <w:gridCol w:w="5244"/>
        <w:gridCol w:w="2964"/>
        <w:gridCol w:w="2932"/>
      </w:tblGrid>
      <w:tr w:rsidR="00CE1BDB" w:rsidRPr="002A5D35" w14:paraId="330AA1AB" w14:textId="77777777" w:rsidTr="002A5D35">
        <w:trPr>
          <w:tblHeader/>
        </w:trPr>
        <w:tc>
          <w:tcPr>
            <w:tcW w:w="5000" w:type="pct"/>
            <w:gridSpan w:val="4"/>
            <w:shd w:val="clear" w:color="auto" w:fill="006666"/>
          </w:tcPr>
          <w:p w14:paraId="672C8C2E" w14:textId="77777777" w:rsidR="00CE1BDB" w:rsidRPr="002A5D35" w:rsidDel="00FD2958" w:rsidRDefault="00CE1BDB" w:rsidP="00EF49A7">
            <w:pPr>
              <w:pStyle w:val="Tableheading1"/>
              <w:rPr>
                <w:rFonts w:cs="Arial"/>
                <w:szCs w:val="22"/>
              </w:rPr>
            </w:pPr>
            <w:bookmarkStart w:id="247" w:name="_Toc10209756"/>
            <w:bookmarkStart w:id="248" w:name="_Toc83036084"/>
            <w:r w:rsidRPr="002A5D35">
              <w:rPr>
                <w:rFonts w:cs="Arial"/>
                <w:szCs w:val="22"/>
              </w:rPr>
              <w:lastRenderedPageBreak/>
              <w:t>Table</w:t>
            </w:r>
            <w:r w:rsidRPr="002A5D35">
              <w:rPr>
                <w:rFonts w:cs="Arial"/>
                <w:szCs w:val="22"/>
                <w:lang w:val="en-US"/>
              </w:rPr>
              <w:t xml:space="preserve"> 3.8</w:t>
            </w:r>
            <w:r w:rsidRPr="002A5D35">
              <w:rPr>
                <w:rFonts w:cs="Arial"/>
                <w:szCs w:val="22"/>
                <w:lang w:val="en-US"/>
              </w:rPr>
              <w:tab/>
              <w:t>Summary of tenure (including affordable options), price assumptions and data sources</w:t>
            </w:r>
            <w:bookmarkEnd w:id="247"/>
            <w:bookmarkEnd w:id="248"/>
          </w:p>
        </w:tc>
      </w:tr>
      <w:tr w:rsidR="00CE1BDB" w:rsidRPr="002A5D35" w14:paraId="1E7569A7" w14:textId="77777777" w:rsidTr="002A5D35">
        <w:trPr>
          <w:tblHeader/>
        </w:trPr>
        <w:tc>
          <w:tcPr>
            <w:tcW w:w="1053" w:type="pct"/>
            <w:shd w:val="clear" w:color="auto" w:fill="006666"/>
            <w:noWrap/>
            <w:vAlign w:val="bottom"/>
            <w:hideMark/>
          </w:tcPr>
          <w:p w14:paraId="39E8F89C" w14:textId="77777777" w:rsidR="00CE1BDB" w:rsidRPr="002A5D35" w:rsidRDefault="00CE1BDB" w:rsidP="00EF49A7">
            <w:pPr>
              <w:rPr>
                <w:rFonts w:cs="Arial"/>
                <w:b/>
                <w:bCs/>
                <w:color w:val="FFFFFF"/>
                <w:sz w:val="22"/>
                <w:szCs w:val="22"/>
              </w:rPr>
            </w:pPr>
            <w:r w:rsidRPr="002A5D35">
              <w:rPr>
                <w:rFonts w:cs="Arial"/>
                <w:b/>
                <w:bCs/>
                <w:color w:val="FFFFFF"/>
                <w:sz w:val="22"/>
                <w:szCs w:val="22"/>
              </w:rPr>
              <w:t>Tenure</w:t>
            </w:r>
          </w:p>
        </w:tc>
        <w:tc>
          <w:tcPr>
            <w:tcW w:w="1858" w:type="pct"/>
            <w:shd w:val="clear" w:color="auto" w:fill="006666"/>
            <w:vAlign w:val="bottom"/>
            <w:hideMark/>
          </w:tcPr>
          <w:p w14:paraId="39964A32" w14:textId="77777777" w:rsidR="00CE1BDB" w:rsidRPr="002A5D35" w:rsidRDefault="00CE1BDB" w:rsidP="00EF49A7">
            <w:pPr>
              <w:jc w:val="center"/>
              <w:rPr>
                <w:rFonts w:cs="Arial"/>
                <w:b/>
                <w:bCs/>
                <w:color w:val="FFFFFF"/>
                <w:sz w:val="22"/>
                <w:szCs w:val="22"/>
              </w:rPr>
            </w:pPr>
            <w:r w:rsidRPr="002A5D35">
              <w:rPr>
                <w:rFonts w:cs="Arial"/>
                <w:b/>
                <w:bCs/>
                <w:color w:val="FFFFFF"/>
                <w:sz w:val="22"/>
                <w:szCs w:val="22"/>
              </w:rPr>
              <w:t>Tenure price assumptions</w:t>
            </w:r>
          </w:p>
        </w:tc>
        <w:tc>
          <w:tcPr>
            <w:tcW w:w="1050" w:type="pct"/>
            <w:shd w:val="clear" w:color="auto" w:fill="006666"/>
            <w:vAlign w:val="bottom"/>
          </w:tcPr>
          <w:p w14:paraId="55A92B9E" w14:textId="77777777" w:rsidR="00CE1BDB" w:rsidRPr="002A5D35" w:rsidRDefault="00CE1BDB" w:rsidP="00EF49A7">
            <w:pPr>
              <w:jc w:val="center"/>
              <w:rPr>
                <w:rFonts w:cs="Arial"/>
                <w:b/>
                <w:bCs/>
                <w:color w:val="FFFFFF"/>
                <w:sz w:val="22"/>
                <w:szCs w:val="22"/>
              </w:rPr>
            </w:pPr>
            <w:r w:rsidRPr="002A5D35">
              <w:rPr>
                <w:rFonts w:cs="Arial"/>
                <w:b/>
                <w:bCs/>
                <w:color w:val="FFFFFF"/>
                <w:sz w:val="22"/>
                <w:szCs w:val="22"/>
              </w:rPr>
              <w:t>Affordability assumptions</w:t>
            </w:r>
          </w:p>
        </w:tc>
        <w:tc>
          <w:tcPr>
            <w:tcW w:w="1039" w:type="pct"/>
            <w:shd w:val="clear" w:color="auto" w:fill="006666"/>
            <w:vAlign w:val="bottom"/>
          </w:tcPr>
          <w:p w14:paraId="55FB22DD" w14:textId="77777777" w:rsidR="00CE1BDB" w:rsidRPr="002A5D35" w:rsidRDefault="00CE1BDB" w:rsidP="00EF49A7">
            <w:pPr>
              <w:jc w:val="center"/>
              <w:rPr>
                <w:rFonts w:cs="Arial"/>
                <w:b/>
                <w:bCs/>
                <w:color w:val="FFFFFF"/>
                <w:sz w:val="22"/>
                <w:szCs w:val="22"/>
              </w:rPr>
            </w:pPr>
            <w:r w:rsidRPr="002A5D35">
              <w:rPr>
                <w:rFonts w:cs="Arial"/>
                <w:b/>
                <w:bCs/>
                <w:color w:val="FFFFFF"/>
                <w:sz w:val="22"/>
                <w:szCs w:val="22"/>
              </w:rPr>
              <w:t>Data Source</w:t>
            </w:r>
          </w:p>
        </w:tc>
      </w:tr>
      <w:tr w:rsidR="00CE1BDB" w:rsidRPr="002A5D35" w14:paraId="77768D40" w14:textId="77777777" w:rsidTr="002A5D35">
        <w:tc>
          <w:tcPr>
            <w:tcW w:w="1053" w:type="pct"/>
            <w:shd w:val="clear" w:color="auto" w:fill="auto"/>
            <w:noWrap/>
            <w:hideMark/>
          </w:tcPr>
          <w:p w14:paraId="1962FEB1" w14:textId="77777777" w:rsidR="00CE1BDB" w:rsidRPr="002A5D35" w:rsidRDefault="00CE1BDB" w:rsidP="00EF49A7">
            <w:pPr>
              <w:rPr>
                <w:rFonts w:cs="Arial"/>
                <w:color w:val="000000"/>
                <w:sz w:val="22"/>
                <w:szCs w:val="22"/>
              </w:rPr>
            </w:pPr>
            <w:r w:rsidRPr="002A5D35">
              <w:rPr>
                <w:rFonts w:cs="Arial"/>
                <w:color w:val="000000"/>
                <w:sz w:val="22"/>
                <w:szCs w:val="22"/>
              </w:rPr>
              <w:t xml:space="preserve">Social rent </w:t>
            </w:r>
          </w:p>
        </w:tc>
        <w:tc>
          <w:tcPr>
            <w:tcW w:w="1858" w:type="pct"/>
            <w:shd w:val="clear" w:color="auto" w:fill="auto"/>
            <w:hideMark/>
          </w:tcPr>
          <w:p w14:paraId="05D189AC" w14:textId="506C93A0" w:rsidR="00CE1BDB" w:rsidRPr="002A5D35" w:rsidRDefault="00CE1BDB" w:rsidP="00EF49A7">
            <w:pPr>
              <w:rPr>
                <w:rFonts w:cs="Arial"/>
                <w:color w:val="000000"/>
                <w:sz w:val="22"/>
                <w:szCs w:val="22"/>
              </w:rPr>
            </w:pPr>
            <w:r w:rsidRPr="002A5D35">
              <w:rPr>
                <w:rFonts w:cs="Arial"/>
                <w:color w:val="000000"/>
                <w:sz w:val="22"/>
                <w:szCs w:val="22"/>
              </w:rPr>
              <w:t xml:space="preserve">2020 </w:t>
            </w:r>
            <w:r w:rsidR="00FC29FF" w:rsidRPr="002A5D35">
              <w:rPr>
                <w:rFonts w:cs="Arial"/>
                <w:color w:val="000000"/>
                <w:sz w:val="22"/>
                <w:szCs w:val="22"/>
              </w:rPr>
              <w:t xml:space="preserve">average </w:t>
            </w:r>
            <w:r w:rsidRPr="002A5D35">
              <w:rPr>
                <w:rFonts w:cs="Arial"/>
                <w:color w:val="000000"/>
                <w:sz w:val="22"/>
                <w:szCs w:val="22"/>
              </w:rPr>
              <w:t xml:space="preserve">prices </w:t>
            </w:r>
          </w:p>
        </w:tc>
        <w:tc>
          <w:tcPr>
            <w:tcW w:w="1050" w:type="pct"/>
          </w:tcPr>
          <w:p w14:paraId="529B35E5" w14:textId="77777777" w:rsidR="00CE1BDB" w:rsidRPr="002A5D35" w:rsidRDefault="00CE1BDB" w:rsidP="00EF49A7">
            <w:pPr>
              <w:rPr>
                <w:rFonts w:cs="Arial"/>
                <w:color w:val="000000"/>
                <w:sz w:val="22"/>
                <w:szCs w:val="22"/>
              </w:rPr>
            </w:pPr>
            <w:r w:rsidRPr="002A5D35">
              <w:rPr>
                <w:rFonts w:cs="Arial"/>
                <w:color w:val="000000"/>
                <w:sz w:val="22"/>
                <w:szCs w:val="22"/>
              </w:rPr>
              <w:t>25% of income</w:t>
            </w:r>
          </w:p>
        </w:tc>
        <w:tc>
          <w:tcPr>
            <w:tcW w:w="1039" w:type="pct"/>
          </w:tcPr>
          <w:p w14:paraId="276F64B0" w14:textId="77777777" w:rsidR="00CE1BDB" w:rsidRPr="002A5D35" w:rsidDel="002558A6" w:rsidRDefault="00CE1BDB" w:rsidP="00EF49A7">
            <w:pPr>
              <w:rPr>
                <w:rFonts w:cs="Arial"/>
                <w:color w:val="000000"/>
                <w:sz w:val="22"/>
                <w:szCs w:val="22"/>
              </w:rPr>
            </w:pPr>
            <w:r w:rsidRPr="002A5D35">
              <w:rPr>
                <w:rFonts w:cs="Arial"/>
                <w:color w:val="000000"/>
                <w:sz w:val="22"/>
                <w:szCs w:val="22"/>
              </w:rPr>
              <w:t>Regulator of Social Housing Statistical Data Return 2020</w:t>
            </w:r>
          </w:p>
        </w:tc>
      </w:tr>
      <w:tr w:rsidR="00CE1BDB" w:rsidRPr="002A5D35" w14:paraId="72FDD617" w14:textId="77777777" w:rsidTr="002A5D35">
        <w:tc>
          <w:tcPr>
            <w:tcW w:w="1053" w:type="pct"/>
            <w:shd w:val="clear" w:color="auto" w:fill="auto"/>
            <w:noWrap/>
            <w:hideMark/>
          </w:tcPr>
          <w:p w14:paraId="1A15BDDF" w14:textId="77777777" w:rsidR="00CE1BDB" w:rsidRPr="002A5D35" w:rsidRDefault="00CE1BDB" w:rsidP="00EF49A7">
            <w:pPr>
              <w:rPr>
                <w:rFonts w:cs="Arial"/>
                <w:color w:val="000000"/>
                <w:sz w:val="22"/>
                <w:szCs w:val="22"/>
              </w:rPr>
            </w:pPr>
            <w:r w:rsidRPr="002A5D35">
              <w:rPr>
                <w:rFonts w:cs="Arial"/>
                <w:color w:val="000000"/>
                <w:sz w:val="22"/>
                <w:szCs w:val="22"/>
              </w:rPr>
              <w:t>Affordable Rent</w:t>
            </w:r>
          </w:p>
        </w:tc>
        <w:tc>
          <w:tcPr>
            <w:tcW w:w="1858" w:type="pct"/>
            <w:shd w:val="clear" w:color="auto" w:fill="auto"/>
            <w:hideMark/>
          </w:tcPr>
          <w:p w14:paraId="4F21E3F6" w14:textId="4BA03C06" w:rsidR="00CE1BDB" w:rsidRPr="002A5D35" w:rsidRDefault="00FC29FF" w:rsidP="00EF49A7">
            <w:pPr>
              <w:rPr>
                <w:rFonts w:cs="Arial"/>
                <w:color w:val="000000"/>
                <w:sz w:val="22"/>
                <w:szCs w:val="22"/>
              </w:rPr>
            </w:pPr>
            <w:r w:rsidRPr="002A5D35">
              <w:rPr>
                <w:rFonts w:cs="Arial"/>
                <w:color w:val="000000"/>
                <w:sz w:val="22"/>
                <w:szCs w:val="22"/>
              </w:rPr>
              <w:t>2020 average prices which are based on Local Housing Allowance rates</w:t>
            </w:r>
          </w:p>
        </w:tc>
        <w:tc>
          <w:tcPr>
            <w:tcW w:w="1050" w:type="pct"/>
          </w:tcPr>
          <w:p w14:paraId="623326F0" w14:textId="77777777" w:rsidR="00CE1BDB" w:rsidRPr="002A5D35" w:rsidRDefault="00CE1BDB" w:rsidP="00EF49A7">
            <w:pPr>
              <w:rPr>
                <w:rFonts w:cs="Arial"/>
                <w:color w:val="000000"/>
                <w:sz w:val="22"/>
                <w:szCs w:val="22"/>
              </w:rPr>
            </w:pPr>
            <w:r w:rsidRPr="002A5D35">
              <w:rPr>
                <w:rFonts w:cs="Arial"/>
                <w:color w:val="000000"/>
                <w:sz w:val="22"/>
                <w:szCs w:val="22"/>
              </w:rPr>
              <w:t>25% of income</w:t>
            </w:r>
          </w:p>
        </w:tc>
        <w:tc>
          <w:tcPr>
            <w:tcW w:w="1039" w:type="pct"/>
          </w:tcPr>
          <w:p w14:paraId="5F69A578" w14:textId="77777777" w:rsidR="00CE1BDB" w:rsidRPr="002A5D35" w:rsidRDefault="00CE1BDB" w:rsidP="00EF49A7">
            <w:pPr>
              <w:rPr>
                <w:rFonts w:cs="Arial"/>
                <w:color w:val="000000"/>
                <w:sz w:val="22"/>
                <w:szCs w:val="22"/>
              </w:rPr>
            </w:pPr>
            <w:r w:rsidRPr="002A5D35">
              <w:rPr>
                <w:rFonts w:cs="Arial"/>
                <w:color w:val="000000"/>
                <w:sz w:val="22"/>
                <w:szCs w:val="22"/>
              </w:rPr>
              <w:t>Regulator of Social Housing Statistical Data Return 2020</w:t>
            </w:r>
          </w:p>
        </w:tc>
      </w:tr>
      <w:tr w:rsidR="00CE1BDB" w:rsidRPr="002A5D35" w14:paraId="5D411D6A" w14:textId="77777777" w:rsidTr="002A5D35">
        <w:tc>
          <w:tcPr>
            <w:tcW w:w="1053" w:type="pct"/>
            <w:shd w:val="clear" w:color="auto" w:fill="auto"/>
            <w:noWrap/>
            <w:hideMark/>
          </w:tcPr>
          <w:p w14:paraId="0F0B26F8" w14:textId="77777777" w:rsidR="00CE1BDB" w:rsidRPr="002A5D35" w:rsidRDefault="00CE1BDB" w:rsidP="00EF49A7">
            <w:pPr>
              <w:rPr>
                <w:rFonts w:cs="Arial"/>
                <w:color w:val="000000"/>
                <w:sz w:val="22"/>
                <w:szCs w:val="22"/>
              </w:rPr>
            </w:pPr>
            <w:r w:rsidRPr="002A5D35">
              <w:rPr>
                <w:rFonts w:cs="Arial"/>
                <w:color w:val="000000"/>
                <w:sz w:val="22"/>
                <w:szCs w:val="22"/>
              </w:rPr>
              <w:t>Market Rent – lower quartile</w:t>
            </w:r>
          </w:p>
        </w:tc>
        <w:tc>
          <w:tcPr>
            <w:tcW w:w="1858" w:type="pct"/>
            <w:shd w:val="clear" w:color="auto" w:fill="auto"/>
            <w:hideMark/>
          </w:tcPr>
          <w:p w14:paraId="39E2C040" w14:textId="77777777" w:rsidR="00CE1BDB" w:rsidRPr="002A5D35" w:rsidRDefault="00CE1BDB" w:rsidP="00EF49A7">
            <w:pPr>
              <w:rPr>
                <w:rFonts w:cs="Arial"/>
                <w:color w:val="000000"/>
                <w:sz w:val="22"/>
                <w:szCs w:val="22"/>
              </w:rPr>
            </w:pPr>
            <w:r w:rsidRPr="002A5D35">
              <w:rPr>
                <w:rFonts w:cs="Arial"/>
                <w:color w:val="000000"/>
                <w:sz w:val="22"/>
                <w:szCs w:val="22"/>
              </w:rPr>
              <w:t xml:space="preserve">2020 prices </w:t>
            </w:r>
          </w:p>
        </w:tc>
        <w:tc>
          <w:tcPr>
            <w:tcW w:w="1050" w:type="pct"/>
          </w:tcPr>
          <w:p w14:paraId="4AF62E04" w14:textId="77777777" w:rsidR="00CE1BDB" w:rsidRPr="002A5D35" w:rsidRDefault="00CE1BDB" w:rsidP="00EF49A7">
            <w:pPr>
              <w:rPr>
                <w:rFonts w:cs="Arial"/>
                <w:sz w:val="22"/>
                <w:szCs w:val="22"/>
              </w:rPr>
            </w:pPr>
            <w:r w:rsidRPr="002A5D35">
              <w:rPr>
                <w:rFonts w:cs="Arial"/>
                <w:color w:val="000000"/>
                <w:sz w:val="22"/>
                <w:szCs w:val="22"/>
              </w:rPr>
              <w:t>25% of income</w:t>
            </w:r>
          </w:p>
        </w:tc>
        <w:tc>
          <w:tcPr>
            <w:tcW w:w="1039" w:type="pct"/>
          </w:tcPr>
          <w:p w14:paraId="61503654" w14:textId="77777777" w:rsidR="00CE1BDB" w:rsidRPr="002A5D35" w:rsidDel="002558A6" w:rsidRDefault="00CE1BDB" w:rsidP="00EF49A7">
            <w:pPr>
              <w:rPr>
                <w:rFonts w:cs="Arial"/>
                <w:color w:val="000000"/>
                <w:sz w:val="22"/>
                <w:szCs w:val="22"/>
              </w:rPr>
            </w:pPr>
            <w:r w:rsidRPr="002A5D35">
              <w:rPr>
                <w:rFonts w:cs="Arial"/>
                <w:sz w:val="22"/>
                <w:szCs w:val="22"/>
              </w:rPr>
              <w:t>Zoopla 2020</w:t>
            </w:r>
          </w:p>
        </w:tc>
      </w:tr>
      <w:tr w:rsidR="00CE1BDB" w:rsidRPr="002A5D35" w14:paraId="2E459B72" w14:textId="77777777" w:rsidTr="002A5D35">
        <w:tc>
          <w:tcPr>
            <w:tcW w:w="1053" w:type="pct"/>
            <w:shd w:val="clear" w:color="auto" w:fill="auto"/>
            <w:noWrap/>
            <w:hideMark/>
          </w:tcPr>
          <w:p w14:paraId="261250BD" w14:textId="77777777" w:rsidR="00CE1BDB" w:rsidRPr="002A5D35" w:rsidRDefault="00CE1BDB" w:rsidP="00EF49A7">
            <w:pPr>
              <w:rPr>
                <w:rFonts w:cs="Arial"/>
                <w:color w:val="000000"/>
                <w:sz w:val="22"/>
                <w:szCs w:val="22"/>
              </w:rPr>
            </w:pPr>
            <w:r w:rsidRPr="002A5D35">
              <w:rPr>
                <w:rFonts w:cs="Arial"/>
                <w:color w:val="000000"/>
                <w:sz w:val="22"/>
                <w:szCs w:val="22"/>
              </w:rPr>
              <w:t>Market Rent – median</w:t>
            </w:r>
          </w:p>
        </w:tc>
        <w:tc>
          <w:tcPr>
            <w:tcW w:w="1858" w:type="pct"/>
            <w:shd w:val="clear" w:color="auto" w:fill="auto"/>
            <w:hideMark/>
          </w:tcPr>
          <w:p w14:paraId="27B02559" w14:textId="77777777" w:rsidR="00CE1BDB" w:rsidRPr="002A5D35" w:rsidRDefault="00CE1BDB" w:rsidP="00EF49A7">
            <w:pPr>
              <w:rPr>
                <w:rFonts w:cs="Arial"/>
                <w:color w:val="000000"/>
                <w:sz w:val="22"/>
                <w:szCs w:val="22"/>
              </w:rPr>
            </w:pPr>
            <w:r w:rsidRPr="002A5D35">
              <w:rPr>
                <w:rFonts w:cs="Arial"/>
                <w:color w:val="000000"/>
                <w:sz w:val="22"/>
                <w:szCs w:val="22"/>
              </w:rPr>
              <w:t xml:space="preserve">2020 prices </w:t>
            </w:r>
          </w:p>
        </w:tc>
        <w:tc>
          <w:tcPr>
            <w:tcW w:w="1050" w:type="pct"/>
          </w:tcPr>
          <w:p w14:paraId="2B959423" w14:textId="77777777" w:rsidR="00CE1BDB" w:rsidRPr="002A5D35" w:rsidRDefault="00CE1BDB" w:rsidP="00EF49A7">
            <w:pPr>
              <w:rPr>
                <w:rFonts w:cs="Arial"/>
                <w:sz w:val="22"/>
                <w:szCs w:val="22"/>
              </w:rPr>
            </w:pPr>
            <w:r w:rsidRPr="002A5D35">
              <w:rPr>
                <w:rFonts w:cs="Arial"/>
                <w:color w:val="000000"/>
                <w:sz w:val="22"/>
                <w:szCs w:val="22"/>
              </w:rPr>
              <w:t>25% of income</w:t>
            </w:r>
          </w:p>
        </w:tc>
        <w:tc>
          <w:tcPr>
            <w:tcW w:w="1039" w:type="pct"/>
          </w:tcPr>
          <w:p w14:paraId="2460BD29" w14:textId="77777777" w:rsidR="00CE1BDB" w:rsidRPr="002A5D35" w:rsidRDefault="00CE1BDB" w:rsidP="00EF49A7">
            <w:pPr>
              <w:rPr>
                <w:rFonts w:cs="Arial"/>
                <w:color w:val="000000"/>
                <w:sz w:val="22"/>
                <w:szCs w:val="22"/>
              </w:rPr>
            </w:pPr>
            <w:r w:rsidRPr="002A5D35">
              <w:rPr>
                <w:rFonts w:cs="Arial"/>
                <w:sz w:val="22"/>
                <w:szCs w:val="22"/>
              </w:rPr>
              <w:t>Zoopla 2020</w:t>
            </w:r>
          </w:p>
        </w:tc>
      </w:tr>
      <w:tr w:rsidR="00CE1BDB" w:rsidRPr="002A5D35" w14:paraId="374B7165" w14:textId="77777777" w:rsidTr="002A5D35">
        <w:tc>
          <w:tcPr>
            <w:tcW w:w="1053" w:type="pct"/>
            <w:shd w:val="clear" w:color="auto" w:fill="auto"/>
            <w:noWrap/>
            <w:hideMark/>
          </w:tcPr>
          <w:p w14:paraId="3F693E2E" w14:textId="77777777" w:rsidR="00CE1BDB" w:rsidRPr="002A5D35" w:rsidRDefault="00CE1BDB" w:rsidP="00EF49A7">
            <w:pPr>
              <w:rPr>
                <w:rFonts w:cs="Arial"/>
                <w:color w:val="000000"/>
                <w:sz w:val="22"/>
                <w:szCs w:val="22"/>
              </w:rPr>
            </w:pPr>
            <w:r w:rsidRPr="002A5D35">
              <w:rPr>
                <w:rFonts w:cs="Arial"/>
                <w:color w:val="000000"/>
                <w:sz w:val="22"/>
                <w:szCs w:val="22"/>
              </w:rPr>
              <w:t>Market Sale – lower quartile</w:t>
            </w:r>
          </w:p>
        </w:tc>
        <w:tc>
          <w:tcPr>
            <w:tcW w:w="1858" w:type="pct"/>
            <w:shd w:val="clear" w:color="auto" w:fill="auto"/>
            <w:hideMark/>
          </w:tcPr>
          <w:p w14:paraId="4383356A" w14:textId="77777777" w:rsidR="00CE1BDB" w:rsidRPr="002A5D35" w:rsidRDefault="00CE1BDB" w:rsidP="00EF49A7">
            <w:pPr>
              <w:rPr>
                <w:rFonts w:cs="Arial"/>
                <w:color w:val="000000"/>
                <w:sz w:val="22"/>
                <w:szCs w:val="22"/>
              </w:rPr>
            </w:pPr>
            <w:r w:rsidRPr="002A5D35">
              <w:rPr>
                <w:rFonts w:cs="Arial"/>
                <w:color w:val="000000"/>
                <w:sz w:val="22"/>
                <w:szCs w:val="22"/>
              </w:rPr>
              <w:t xml:space="preserve">2020 prices </w:t>
            </w:r>
          </w:p>
        </w:tc>
        <w:tc>
          <w:tcPr>
            <w:tcW w:w="1050" w:type="pct"/>
          </w:tcPr>
          <w:p w14:paraId="1BA50105" w14:textId="77777777" w:rsidR="00CE1BDB" w:rsidRPr="002A5D35" w:rsidRDefault="00CE1BDB" w:rsidP="00EF49A7">
            <w:pPr>
              <w:rPr>
                <w:rFonts w:cs="Arial"/>
                <w:color w:val="000000"/>
                <w:sz w:val="22"/>
                <w:szCs w:val="22"/>
              </w:rPr>
            </w:pPr>
            <w:r w:rsidRPr="002A5D35">
              <w:rPr>
                <w:rFonts w:cs="Arial"/>
                <w:color w:val="000000"/>
                <w:sz w:val="22"/>
                <w:szCs w:val="22"/>
              </w:rPr>
              <w:t xml:space="preserve">90% </w:t>
            </w:r>
            <w:proofErr w:type="gramStart"/>
            <w:r w:rsidRPr="002A5D35">
              <w:rPr>
                <w:rFonts w:cs="Arial"/>
                <w:color w:val="000000"/>
                <w:sz w:val="22"/>
                <w:szCs w:val="22"/>
              </w:rPr>
              <w:t>LTV,  3.5x</w:t>
            </w:r>
            <w:proofErr w:type="gramEnd"/>
            <w:r w:rsidRPr="002A5D35">
              <w:rPr>
                <w:rFonts w:cs="Arial"/>
                <w:color w:val="000000"/>
                <w:sz w:val="22"/>
                <w:szCs w:val="22"/>
              </w:rPr>
              <w:t xml:space="preserve"> income</w:t>
            </w:r>
          </w:p>
        </w:tc>
        <w:tc>
          <w:tcPr>
            <w:tcW w:w="1039" w:type="pct"/>
          </w:tcPr>
          <w:p w14:paraId="2424EAAB" w14:textId="77777777" w:rsidR="00CE1BDB" w:rsidRPr="002A5D35" w:rsidRDefault="00CE1BDB" w:rsidP="00EF49A7">
            <w:pPr>
              <w:rPr>
                <w:rFonts w:cs="Arial"/>
                <w:color w:val="000000"/>
                <w:sz w:val="22"/>
                <w:szCs w:val="22"/>
              </w:rPr>
            </w:pPr>
            <w:r w:rsidRPr="002A5D35">
              <w:rPr>
                <w:rFonts w:cs="Arial"/>
                <w:color w:val="000000"/>
                <w:sz w:val="22"/>
                <w:szCs w:val="22"/>
              </w:rPr>
              <w:t>Land Registry Price Paid</w:t>
            </w:r>
          </w:p>
        </w:tc>
      </w:tr>
      <w:tr w:rsidR="00CE1BDB" w:rsidRPr="002A5D35" w14:paraId="542785F0" w14:textId="77777777" w:rsidTr="002A5D35">
        <w:tc>
          <w:tcPr>
            <w:tcW w:w="1053" w:type="pct"/>
            <w:shd w:val="clear" w:color="auto" w:fill="auto"/>
            <w:noWrap/>
            <w:hideMark/>
          </w:tcPr>
          <w:p w14:paraId="644A1046" w14:textId="77777777" w:rsidR="00CE1BDB" w:rsidRPr="002A5D35" w:rsidRDefault="00CE1BDB" w:rsidP="00EF49A7">
            <w:pPr>
              <w:rPr>
                <w:rFonts w:cs="Arial"/>
                <w:color w:val="000000"/>
                <w:sz w:val="22"/>
                <w:szCs w:val="22"/>
              </w:rPr>
            </w:pPr>
            <w:r w:rsidRPr="002A5D35">
              <w:rPr>
                <w:rFonts w:cs="Arial"/>
                <w:color w:val="000000"/>
                <w:sz w:val="22"/>
                <w:szCs w:val="22"/>
              </w:rPr>
              <w:t>Market Sale – median</w:t>
            </w:r>
          </w:p>
        </w:tc>
        <w:tc>
          <w:tcPr>
            <w:tcW w:w="1858" w:type="pct"/>
            <w:shd w:val="clear" w:color="auto" w:fill="auto"/>
            <w:hideMark/>
          </w:tcPr>
          <w:p w14:paraId="085F2C71" w14:textId="77777777" w:rsidR="00CE1BDB" w:rsidRPr="002A5D35" w:rsidRDefault="00CE1BDB" w:rsidP="00EF49A7">
            <w:pPr>
              <w:rPr>
                <w:rFonts w:cs="Arial"/>
                <w:color w:val="000000"/>
                <w:sz w:val="22"/>
                <w:szCs w:val="22"/>
              </w:rPr>
            </w:pPr>
            <w:r w:rsidRPr="002A5D35">
              <w:rPr>
                <w:rFonts w:cs="Arial"/>
                <w:color w:val="000000"/>
                <w:sz w:val="22"/>
                <w:szCs w:val="22"/>
              </w:rPr>
              <w:t xml:space="preserve">2020 prices </w:t>
            </w:r>
          </w:p>
        </w:tc>
        <w:tc>
          <w:tcPr>
            <w:tcW w:w="1050" w:type="pct"/>
          </w:tcPr>
          <w:p w14:paraId="4638AAD1" w14:textId="77777777" w:rsidR="00CE1BDB" w:rsidRPr="002A5D35" w:rsidRDefault="00CE1BDB" w:rsidP="00EF49A7">
            <w:pPr>
              <w:rPr>
                <w:rFonts w:cs="Arial"/>
                <w:color w:val="000000"/>
                <w:sz w:val="22"/>
                <w:szCs w:val="22"/>
              </w:rPr>
            </w:pPr>
            <w:r w:rsidRPr="002A5D35">
              <w:rPr>
                <w:rFonts w:cs="Arial"/>
                <w:color w:val="000000"/>
                <w:sz w:val="22"/>
                <w:szCs w:val="22"/>
              </w:rPr>
              <w:t xml:space="preserve">90% </w:t>
            </w:r>
            <w:proofErr w:type="gramStart"/>
            <w:r w:rsidRPr="002A5D35">
              <w:rPr>
                <w:rFonts w:cs="Arial"/>
                <w:color w:val="000000"/>
                <w:sz w:val="22"/>
                <w:szCs w:val="22"/>
              </w:rPr>
              <w:t>LTV,  3.5x</w:t>
            </w:r>
            <w:proofErr w:type="gramEnd"/>
            <w:r w:rsidRPr="002A5D35">
              <w:rPr>
                <w:rFonts w:cs="Arial"/>
                <w:color w:val="000000"/>
                <w:sz w:val="22"/>
                <w:szCs w:val="22"/>
              </w:rPr>
              <w:t xml:space="preserve"> income</w:t>
            </w:r>
          </w:p>
        </w:tc>
        <w:tc>
          <w:tcPr>
            <w:tcW w:w="1039" w:type="pct"/>
          </w:tcPr>
          <w:p w14:paraId="06FDDD82" w14:textId="77777777" w:rsidR="00CE1BDB" w:rsidRPr="002A5D35" w:rsidRDefault="00CE1BDB" w:rsidP="00EF49A7">
            <w:pPr>
              <w:rPr>
                <w:rFonts w:cs="Arial"/>
                <w:color w:val="000000"/>
                <w:sz w:val="22"/>
                <w:szCs w:val="22"/>
              </w:rPr>
            </w:pPr>
            <w:r w:rsidRPr="002A5D35">
              <w:rPr>
                <w:rFonts w:cs="Arial"/>
                <w:color w:val="000000"/>
                <w:sz w:val="22"/>
                <w:szCs w:val="22"/>
              </w:rPr>
              <w:t>Land Registry Price Paid</w:t>
            </w:r>
          </w:p>
        </w:tc>
      </w:tr>
      <w:tr w:rsidR="00CE1BDB" w:rsidRPr="002A5D35" w14:paraId="0E0B9EDF" w14:textId="77777777" w:rsidTr="002A5D35">
        <w:tc>
          <w:tcPr>
            <w:tcW w:w="1053" w:type="pct"/>
            <w:shd w:val="clear" w:color="auto" w:fill="auto"/>
            <w:noWrap/>
            <w:hideMark/>
          </w:tcPr>
          <w:p w14:paraId="0B4A2D7E" w14:textId="77777777" w:rsidR="00CE1BDB" w:rsidRPr="002A5D35" w:rsidRDefault="00CE1BDB" w:rsidP="00EF49A7">
            <w:pPr>
              <w:rPr>
                <w:rFonts w:cs="Arial"/>
                <w:color w:val="000000"/>
                <w:sz w:val="22"/>
                <w:szCs w:val="22"/>
              </w:rPr>
            </w:pPr>
            <w:r w:rsidRPr="002A5D35">
              <w:rPr>
                <w:rFonts w:cs="Arial"/>
                <w:color w:val="000000"/>
                <w:sz w:val="22"/>
                <w:szCs w:val="22"/>
              </w:rPr>
              <w:t>Market Sale – average</w:t>
            </w:r>
          </w:p>
        </w:tc>
        <w:tc>
          <w:tcPr>
            <w:tcW w:w="1858" w:type="pct"/>
            <w:shd w:val="clear" w:color="auto" w:fill="auto"/>
            <w:hideMark/>
          </w:tcPr>
          <w:p w14:paraId="37C0046E" w14:textId="77777777" w:rsidR="00CE1BDB" w:rsidRPr="002A5D35" w:rsidRDefault="00CE1BDB" w:rsidP="00EF49A7">
            <w:pPr>
              <w:rPr>
                <w:rFonts w:cs="Arial"/>
                <w:color w:val="000000"/>
                <w:sz w:val="22"/>
                <w:szCs w:val="22"/>
              </w:rPr>
            </w:pPr>
            <w:r w:rsidRPr="002A5D35">
              <w:rPr>
                <w:rFonts w:cs="Arial"/>
                <w:color w:val="000000"/>
                <w:sz w:val="22"/>
                <w:szCs w:val="22"/>
              </w:rPr>
              <w:t xml:space="preserve">2020 prices </w:t>
            </w:r>
          </w:p>
        </w:tc>
        <w:tc>
          <w:tcPr>
            <w:tcW w:w="1050" w:type="pct"/>
          </w:tcPr>
          <w:p w14:paraId="5C76B8A4" w14:textId="77777777" w:rsidR="00CE1BDB" w:rsidRPr="002A5D35" w:rsidRDefault="00CE1BDB" w:rsidP="00EF49A7">
            <w:pPr>
              <w:rPr>
                <w:rFonts w:cs="Arial"/>
                <w:color w:val="000000"/>
                <w:sz w:val="22"/>
                <w:szCs w:val="22"/>
              </w:rPr>
            </w:pPr>
            <w:r w:rsidRPr="002A5D35">
              <w:rPr>
                <w:rFonts w:cs="Arial"/>
                <w:color w:val="000000"/>
                <w:sz w:val="22"/>
                <w:szCs w:val="22"/>
              </w:rPr>
              <w:t xml:space="preserve">90% </w:t>
            </w:r>
            <w:proofErr w:type="gramStart"/>
            <w:r w:rsidRPr="002A5D35">
              <w:rPr>
                <w:rFonts w:cs="Arial"/>
                <w:color w:val="000000"/>
                <w:sz w:val="22"/>
                <w:szCs w:val="22"/>
              </w:rPr>
              <w:t>LTV,  3.5x</w:t>
            </w:r>
            <w:proofErr w:type="gramEnd"/>
            <w:r w:rsidRPr="002A5D35">
              <w:rPr>
                <w:rFonts w:cs="Arial"/>
                <w:color w:val="000000"/>
                <w:sz w:val="22"/>
                <w:szCs w:val="22"/>
              </w:rPr>
              <w:t xml:space="preserve"> income</w:t>
            </w:r>
          </w:p>
        </w:tc>
        <w:tc>
          <w:tcPr>
            <w:tcW w:w="1039" w:type="pct"/>
          </w:tcPr>
          <w:p w14:paraId="51964CC2" w14:textId="77777777" w:rsidR="00CE1BDB" w:rsidRPr="002A5D35" w:rsidRDefault="00CE1BDB" w:rsidP="00EF49A7">
            <w:pPr>
              <w:rPr>
                <w:rFonts w:cs="Arial"/>
                <w:color w:val="000000"/>
                <w:sz w:val="22"/>
                <w:szCs w:val="22"/>
              </w:rPr>
            </w:pPr>
            <w:r w:rsidRPr="002A5D35">
              <w:rPr>
                <w:rFonts w:cs="Arial"/>
                <w:color w:val="000000"/>
                <w:sz w:val="22"/>
                <w:szCs w:val="22"/>
              </w:rPr>
              <w:t>Land Registry Price Paid</w:t>
            </w:r>
          </w:p>
        </w:tc>
      </w:tr>
      <w:tr w:rsidR="00CE1BDB" w:rsidRPr="002A5D35" w14:paraId="0AFC229E" w14:textId="77777777" w:rsidTr="002A5D35">
        <w:tc>
          <w:tcPr>
            <w:tcW w:w="1053" w:type="pct"/>
            <w:shd w:val="clear" w:color="auto" w:fill="auto"/>
            <w:noWrap/>
            <w:hideMark/>
          </w:tcPr>
          <w:p w14:paraId="6EDA962B" w14:textId="77777777" w:rsidR="00CE1BDB" w:rsidRPr="002A5D35" w:rsidRDefault="00CE1BDB" w:rsidP="00EF49A7">
            <w:pPr>
              <w:rPr>
                <w:rFonts w:cs="Arial"/>
                <w:color w:val="000000"/>
                <w:sz w:val="22"/>
                <w:szCs w:val="22"/>
              </w:rPr>
            </w:pPr>
            <w:r w:rsidRPr="002A5D35">
              <w:rPr>
                <w:rFonts w:cs="Arial"/>
                <w:color w:val="000000"/>
                <w:sz w:val="22"/>
                <w:szCs w:val="22"/>
              </w:rPr>
              <w:t>Shared ownership (50%)</w:t>
            </w:r>
          </w:p>
        </w:tc>
        <w:tc>
          <w:tcPr>
            <w:tcW w:w="1858" w:type="pct"/>
            <w:shd w:val="clear" w:color="auto" w:fill="auto"/>
            <w:hideMark/>
          </w:tcPr>
          <w:p w14:paraId="52BFE28F" w14:textId="77777777" w:rsidR="00CE1BDB" w:rsidRPr="002A5D35" w:rsidRDefault="00CE1BDB" w:rsidP="00EF49A7">
            <w:pPr>
              <w:rPr>
                <w:rFonts w:cs="Arial"/>
                <w:color w:val="000000"/>
                <w:sz w:val="22"/>
                <w:szCs w:val="22"/>
              </w:rPr>
            </w:pPr>
            <w:r w:rsidRPr="002A5D35">
              <w:rPr>
                <w:rFonts w:cs="Arial"/>
                <w:color w:val="000000"/>
                <w:sz w:val="22"/>
                <w:szCs w:val="22"/>
              </w:rPr>
              <w:t>Total price based on median price and 50% ownership. Mortgage based on 40%. 10% deposit required; annual service charge £395, Annual rent based on 2.75% of remaining equity</w:t>
            </w:r>
          </w:p>
        </w:tc>
        <w:tc>
          <w:tcPr>
            <w:tcW w:w="1050" w:type="pct"/>
          </w:tcPr>
          <w:p w14:paraId="26637A5E" w14:textId="77777777" w:rsidR="00CE1BDB" w:rsidRPr="002A5D35" w:rsidRDefault="00CE1BDB" w:rsidP="00EF49A7">
            <w:pPr>
              <w:rPr>
                <w:rFonts w:cs="Arial"/>
                <w:color w:val="000000"/>
                <w:sz w:val="22"/>
                <w:szCs w:val="22"/>
              </w:rPr>
            </w:pPr>
            <w:r w:rsidRPr="002A5D35">
              <w:rPr>
                <w:rFonts w:cs="Arial"/>
                <w:color w:val="000000"/>
                <w:sz w:val="22"/>
                <w:szCs w:val="22"/>
              </w:rPr>
              <w:t xml:space="preserve">90% </w:t>
            </w:r>
            <w:proofErr w:type="gramStart"/>
            <w:r w:rsidRPr="002A5D35">
              <w:rPr>
                <w:rFonts w:cs="Arial"/>
                <w:color w:val="000000"/>
                <w:sz w:val="22"/>
                <w:szCs w:val="22"/>
              </w:rPr>
              <w:t>LTV,  3.5x</w:t>
            </w:r>
            <w:proofErr w:type="gramEnd"/>
            <w:r w:rsidRPr="002A5D35">
              <w:rPr>
                <w:rFonts w:cs="Arial"/>
                <w:color w:val="000000"/>
                <w:sz w:val="22"/>
                <w:szCs w:val="22"/>
              </w:rPr>
              <w:t xml:space="preserve"> income for equity and 25% of income for rental element</w:t>
            </w:r>
          </w:p>
        </w:tc>
        <w:tc>
          <w:tcPr>
            <w:tcW w:w="1039" w:type="pct"/>
          </w:tcPr>
          <w:p w14:paraId="515A29A3" w14:textId="77777777" w:rsidR="00CE1BDB" w:rsidRPr="002A5D35" w:rsidRDefault="00CE1BDB" w:rsidP="00EF49A7">
            <w:pPr>
              <w:rPr>
                <w:rFonts w:cs="Arial"/>
                <w:color w:val="000000"/>
                <w:sz w:val="22"/>
                <w:szCs w:val="22"/>
              </w:rPr>
            </w:pPr>
            <w:r w:rsidRPr="002A5D35">
              <w:rPr>
                <w:rFonts w:cs="Arial"/>
                <w:color w:val="000000"/>
                <w:sz w:val="22"/>
                <w:szCs w:val="22"/>
              </w:rPr>
              <w:t>Assumptions applied to Land Registry Price Paid data</w:t>
            </w:r>
          </w:p>
        </w:tc>
      </w:tr>
      <w:tr w:rsidR="00CE1BDB" w:rsidRPr="002A5D35" w14:paraId="165A2625" w14:textId="77777777" w:rsidTr="002A5D35">
        <w:tc>
          <w:tcPr>
            <w:tcW w:w="1053" w:type="pct"/>
            <w:shd w:val="clear" w:color="auto" w:fill="auto"/>
            <w:noWrap/>
            <w:hideMark/>
          </w:tcPr>
          <w:p w14:paraId="05C8B70F" w14:textId="77777777" w:rsidR="00CE1BDB" w:rsidRPr="002A5D35" w:rsidRDefault="00CE1BDB" w:rsidP="00EF49A7">
            <w:pPr>
              <w:rPr>
                <w:rFonts w:cs="Arial"/>
                <w:color w:val="000000"/>
                <w:sz w:val="22"/>
                <w:szCs w:val="22"/>
              </w:rPr>
            </w:pPr>
            <w:r w:rsidRPr="002A5D35">
              <w:rPr>
                <w:rFonts w:cs="Arial"/>
                <w:color w:val="000000"/>
                <w:sz w:val="22"/>
                <w:szCs w:val="22"/>
              </w:rPr>
              <w:t>Shared ownership (25%)</w:t>
            </w:r>
          </w:p>
        </w:tc>
        <w:tc>
          <w:tcPr>
            <w:tcW w:w="1858" w:type="pct"/>
            <w:shd w:val="clear" w:color="auto" w:fill="auto"/>
            <w:hideMark/>
          </w:tcPr>
          <w:p w14:paraId="00235BA6" w14:textId="77777777" w:rsidR="00CE1BDB" w:rsidRPr="002A5D35" w:rsidRDefault="00CE1BDB" w:rsidP="00EF49A7">
            <w:pPr>
              <w:rPr>
                <w:rFonts w:cs="Arial"/>
                <w:color w:val="000000"/>
                <w:sz w:val="22"/>
                <w:szCs w:val="22"/>
              </w:rPr>
            </w:pPr>
            <w:r w:rsidRPr="002A5D35">
              <w:rPr>
                <w:rFonts w:cs="Arial"/>
                <w:color w:val="000000"/>
                <w:sz w:val="22"/>
                <w:szCs w:val="22"/>
              </w:rPr>
              <w:t>Total price based on median price and 25% ownership. Mortgage based on 20%, 5% deposit required, annual service charge £395. Annual rent based on 2.75% of remaining equity</w:t>
            </w:r>
          </w:p>
        </w:tc>
        <w:tc>
          <w:tcPr>
            <w:tcW w:w="1050" w:type="pct"/>
          </w:tcPr>
          <w:p w14:paraId="677F8E53" w14:textId="77777777" w:rsidR="00CE1BDB" w:rsidRPr="002A5D35" w:rsidRDefault="00CE1BDB" w:rsidP="00EF49A7">
            <w:pPr>
              <w:rPr>
                <w:rFonts w:cs="Arial"/>
                <w:color w:val="000000"/>
                <w:sz w:val="22"/>
                <w:szCs w:val="22"/>
              </w:rPr>
            </w:pPr>
            <w:r w:rsidRPr="002A5D35">
              <w:rPr>
                <w:rFonts w:cs="Arial"/>
                <w:color w:val="000000"/>
                <w:sz w:val="22"/>
                <w:szCs w:val="22"/>
              </w:rPr>
              <w:t xml:space="preserve">90% </w:t>
            </w:r>
            <w:proofErr w:type="gramStart"/>
            <w:r w:rsidRPr="002A5D35">
              <w:rPr>
                <w:rFonts w:cs="Arial"/>
                <w:color w:val="000000"/>
                <w:sz w:val="22"/>
                <w:szCs w:val="22"/>
              </w:rPr>
              <w:t>LTV,  3.5x</w:t>
            </w:r>
            <w:proofErr w:type="gramEnd"/>
            <w:r w:rsidRPr="002A5D35">
              <w:rPr>
                <w:rFonts w:cs="Arial"/>
                <w:color w:val="000000"/>
                <w:sz w:val="22"/>
                <w:szCs w:val="22"/>
              </w:rPr>
              <w:t xml:space="preserve"> income for equity and 25% of income for rental element</w:t>
            </w:r>
          </w:p>
        </w:tc>
        <w:tc>
          <w:tcPr>
            <w:tcW w:w="1039" w:type="pct"/>
          </w:tcPr>
          <w:p w14:paraId="2383E7A3" w14:textId="77777777" w:rsidR="00CE1BDB" w:rsidRPr="002A5D35" w:rsidRDefault="00CE1BDB" w:rsidP="00EF49A7">
            <w:pPr>
              <w:rPr>
                <w:rFonts w:cs="Arial"/>
                <w:color w:val="000000"/>
                <w:sz w:val="22"/>
                <w:szCs w:val="22"/>
              </w:rPr>
            </w:pPr>
            <w:r w:rsidRPr="002A5D35">
              <w:rPr>
                <w:rFonts w:cs="Arial"/>
                <w:color w:val="000000"/>
                <w:sz w:val="22"/>
                <w:szCs w:val="22"/>
              </w:rPr>
              <w:t>Assumptions applied to Land Registry Price Paid data</w:t>
            </w:r>
          </w:p>
        </w:tc>
      </w:tr>
      <w:tr w:rsidR="00CE1BDB" w:rsidRPr="002A5D35" w14:paraId="679F05D7" w14:textId="77777777" w:rsidTr="002A5D35">
        <w:tc>
          <w:tcPr>
            <w:tcW w:w="1053" w:type="pct"/>
            <w:shd w:val="clear" w:color="auto" w:fill="auto"/>
            <w:noWrap/>
            <w:hideMark/>
          </w:tcPr>
          <w:p w14:paraId="1B760953" w14:textId="77777777" w:rsidR="00CE1BDB" w:rsidRPr="002A5D35" w:rsidRDefault="00CE1BDB" w:rsidP="00EF49A7">
            <w:pPr>
              <w:rPr>
                <w:rFonts w:cs="Arial"/>
                <w:color w:val="000000"/>
                <w:sz w:val="22"/>
                <w:szCs w:val="22"/>
              </w:rPr>
            </w:pPr>
            <w:r w:rsidRPr="002A5D35">
              <w:rPr>
                <w:rFonts w:cs="Arial"/>
                <w:color w:val="000000"/>
                <w:sz w:val="22"/>
                <w:szCs w:val="22"/>
              </w:rPr>
              <w:t>Help to buy</w:t>
            </w:r>
          </w:p>
        </w:tc>
        <w:tc>
          <w:tcPr>
            <w:tcW w:w="1858" w:type="pct"/>
            <w:shd w:val="clear" w:color="auto" w:fill="auto"/>
            <w:hideMark/>
          </w:tcPr>
          <w:p w14:paraId="1A506B41" w14:textId="77777777" w:rsidR="00CE1BDB" w:rsidRPr="002A5D35" w:rsidRDefault="00CE1BDB" w:rsidP="00EF49A7">
            <w:pPr>
              <w:rPr>
                <w:rFonts w:cs="Arial"/>
                <w:color w:val="000000"/>
                <w:sz w:val="22"/>
                <w:szCs w:val="22"/>
              </w:rPr>
            </w:pPr>
            <w:r w:rsidRPr="002A5D35">
              <w:rPr>
                <w:rFonts w:cs="Arial"/>
                <w:color w:val="000000"/>
                <w:sz w:val="22"/>
                <w:szCs w:val="22"/>
              </w:rPr>
              <w:t>Total price based on median price. Mortgage based on 75% equity. 20% loan and deposit of 5%. Loan fee of 1.75% in year 6 of outstanding equity loan increasing annually from yr7 at RPI+1%</w:t>
            </w:r>
          </w:p>
        </w:tc>
        <w:tc>
          <w:tcPr>
            <w:tcW w:w="1050" w:type="pct"/>
          </w:tcPr>
          <w:p w14:paraId="1A2F55A3" w14:textId="77777777" w:rsidR="00CE1BDB" w:rsidRPr="002A5D35" w:rsidRDefault="00CE1BDB" w:rsidP="00EF49A7">
            <w:pPr>
              <w:rPr>
                <w:rFonts w:cs="Arial"/>
                <w:color w:val="000000"/>
                <w:sz w:val="22"/>
                <w:szCs w:val="22"/>
              </w:rPr>
            </w:pPr>
            <w:r w:rsidRPr="002A5D35">
              <w:rPr>
                <w:rFonts w:cs="Arial"/>
                <w:color w:val="000000"/>
                <w:sz w:val="22"/>
                <w:szCs w:val="22"/>
              </w:rPr>
              <w:t xml:space="preserve">70% </w:t>
            </w:r>
            <w:proofErr w:type="gramStart"/>
            <w:r w:rsidRPr="002A5D35">
              <w:rPr>
                <w:rFonts w:cs="Arial"/>
                <w:color w:val="000000"/>
                <w:sz w:val="22"/>
                <w:szCs w:val="22"/>
              </w:rPr>
              <w:t>LTV,  3.5x</w:t>
            </w:r>
            <w:proofErr w:type="gramEnd"/>
            <w:r w:rsidRPr="002A5D35">
              <w:rPr>
                <w:rFonts w:cs="Arial"/>
                <w:color w:val="000000"/>
                <w:sz w:val="22"/>
                <w:szCs w:val="22"/>
              </w:rPr>
              <w:t xml:space="preserve"> income</w:t>
            </w:r>
          </w:p>
        </w:tc>
        <w:tc>
          <w:tcPr>
            <w:tcW w:w="1039" w:type="pct"/>
          </w:tcPr>
          <w:p w14:paraId="24F50A76" w14:textId="77777777" w:rsidR="00CE1BDB" w:rsidRPr="002A5D35" w:rsidRDefault="00CE1BDB" w:rsidP="00EF49A7">
            <w:pPr>
              <w:rPr>
                <w:rFonts w:cs="Arial"/>
                <w:color w:val="000000"/>
                <w:sz w:val="22"/>
                <w:szCs w:val="22"/>
              </w:rPr>
            </w:pPr>
            <w:r w:rsidRPr="002A5D35">
              <w:rPr>
                <w:rFonts w:cs="Arial"/>
                <w:color w:val="000000"/>
                <w:sz w:val="22"/>
                <w:szCs w:val="22"/>
              </w:rPr>
              <w:t>Assumptions applied to Land Registry Price Paid data</w:t>
            </w:r>
          </w:p>
        </w:tc>
      </w:tr>
      <w:tr w:rsidR="00CE1BDB" w:rsidRPr="002A5D35" w14:paraId="0690D49B" w14:textId="77777777" w:rsidTr="002A5D35">
        <w:tc>
          <w:tcPr>
            <w:tcW w:w="1053" w:type="pct"/>
            <w:shd w:val="clear" w:color="auto" w:fill="auto"/>
            <w:noWrap/>
          </w:tcPr>
          <w:p w14:paraId="5AAFF30E" w14:textId="77777777" w:rsidR="00CE1BDB" w:rsidRPr="002A5D35" w:rsidRDefault="00CE1BDB" w:rsidP="00EF49A7">
            <w:pPr>
              <w:rPr>
                <w:rFonts w:cs="Arial"/>
                <w:color w:val="000000"/>
                <w:sz w:val="22"/>
                <w:szCs w:val="22"/>
              </w:rPr>
            </w:pPr>
            <w:r w:rsidRPr="002A5D35">
              <w:rPr>
                <w:rFonts w:cs="Arial"/>
                <w:color w:val="000000"/>
                <w:sz w:val="22"/>
                <w:szCs w:val="22"/>
              </w:rPr>
              <w:t>Discounted home ownership 30%</w:t>
            </w:r>
          </w:p>
        </w:tc>
        <w:tc>
          <w:tcPr>
            <w:tcW w:w="1858" w:type="pct"/>
            <w:shd w:val="clear" w:color="auto" w:fill="auto"/>
            <w:vAlign w:val="center"/>
          </w:tcPr>
          <w:p w14:paraId="2B0C33C8" w14:textId="77777777" w:rsidR="00CE1BDB" w:rsidRPr="002A5D35" w:rsidRDefault="00CE1BDB" w:rsidP="00EF49A7">
            <w:pPr>
              <w:rPr>
                <w:rFonts w:cs="Arial"/>
                <w:color w:val="000000"/>
                <w:sz w:val="22"/>
                <w:szCs w:val="22"/>
              </w:rPr>
            </w:pPr>
            <w:r w:rsidRPr="002A5D35">
              <w:rPr>
                <w:rFonts w:cs="Arial"/>
                <w:color w:val="000000"/>
                <w:sz w:val="22"/>
                <w:szCs w:val="22"/>
              </w:rPr>
              <w:t xml:space="preserve">70% of median price (note this is comparable to the proposed government </w:t>
            </w:r>
            <w:r w:rsidRPr="002A5D35">
              <w:rPr>
                <w:rFonts w:cs="Arial"/>
                <w:color w:val="000000"/>
                <w:sz w:val="22"/>
                <w:szCs w:val="22"/>
                <w:u w:val="single"/>
              </w:rPr>
              <w:t>First Home</w:t>
            </w:r>
            <w:r w:rsidRPr="002A5D35">
              <w:rPr>
                <w:rFonts w:cs="Arial"/>
                <w:color w:val="000000"/>
                <w:sz w:val="22"/>
                <w:szCs w:val="22"/>
              </w:rPr>
              <w:t xml:space="preserve"> tenure option). Mortgage based on discounted price, minus 10% deposit on discounted price.</w:t>
            </w:r>
          </w:p>
        </w:tc>
        <w:tc>
          <w:tcPr>
            <w:tcW w:w="1050" w:type="pct"/>
          </w:tcPr>
          <w:p w14:paraId="0E2B5561" w14:textId="77777777" w:rsidR="00CE1BDB" w:rsidRPr="002A5D35" w:rsidRDefault="00CE1BDB" w:rsidP="00EF49A7">
            <w:pPr>
              <w:rPr>
                <w:rFonts w:cs="Arial"/>
                <w:color w:val="000000"/>
                <w:sz w:val="22"/>
                <w:szCs w:val="22"/>
              </w:rPr>
            </w:pPr>
            <w:r w:rsidRPr="002A5D35">
              <w:rPr>
                <w:rFonts w:cs="Arial"/>
                <w:color w:val="000000"/>
                <w:sz w:val="22"/>
                <w:szCs w:val="22"/>
              </w:rPr>
              <w:t>Discounted home ownership 30%</w:t>
            </w:r>
          </w:p>
        </w:tc>
        <w:tc>
          <w:tcPr>
            <w:tcW w:w="1039" w:type="pct"/>
          </w:tcPr>
          <w:p w14:paraId="2F7715EC" w14:textId="77777777" w:rsidR="00CE1BDB" w:rsidRPr="002A5D35" w:rsidRDefault="00CE1BDB" w:rsidP="00EF49A7">
            <w:pPr>
              <w:rPr>
                <w:rFonts w:cs="Arial"/>
                <w:color w:val="000000"/>
                <w:sz w:val="22"/>
                <w:szCs w:val="22"/>
              </w:rPr>
            </w:pPr>
            <w:r w:rsidRPr="002A5D35">
              <w:rPr>
                <w:rFonts w:cs="Arial"/>
                <w:color w:val="000000"/>
                <w:sz w:val="22"/>
                <w:szCs w:val="22"/>
              </w:rPr>
              <w:t>Assumptions applied to Land Registry Price Paid data</w:t>
            </w:r>
          </w:p>
        </w:tc>
      </w:tr>
      <w:tr w:rsidR="00CE1BDB" w:rsidRPr="002A5D35" w14:paraId="5A3E8F0D" w14:textId="77777777" w:rsidTr="002A5D35">
        <w:tc>
          <w:tcPr>
            <w:tcW w:w="1053" w:type="pct"/>
            <w:shd w:val="clear" w:color="auto" w:fill="auto"/>
            <w:noWrap/>
          </w:tcPr>
          <w:p w14:paraId="7D38F7ED" w14:textId="77777777" w:rsidR="00CE1BDB" w:rsidRPr="002A5D35" w:rsidRDefault="00CE1BDB" w:rsidP="00EF49A7">
            <w:pPr>
              <w:rPr>
                <w:rFonts w:cs="Arial"/>
                <w:color w:val="000000"/>
                <w:sz w:val="22"/>
                <w:szCs w:val="22"/>
              </w:rPr>
            </w:pPr>
            <w:r w:rsidRPr="002A5D35">
              <w:rPr>
                <w:rFonts w:cs="Arial"/>
                <w:color w:val="000000"/>
                <w:sz w:val="22"/>
                <w:szCs w:val="22"/>
              </w:rPr>
              <w:t>Discounted home ownership 25%</w:t>
            </w:r>
          </w:p>
        </w:tc>
        <w:tc>
          <w:tcPr>
            <w:tcW w:w="1858" w:type="pct"/>
            <w:shd w:val="clear" w:color="auto" w:fill="auto"/>
            <w:vAlign w:val="center"/>
          </w:tcPr>
          <w:p w14:paraId="0D8C3317" w14:textId="77777777" w:rsidR="00CE1BDB" w:rsidRPr="002A5D35" w:rsidRDefault="00CE1BDB" w:rsidP="00EF49A7">
            <w:pPr>
              <w:rPr>
                <w:rFonts w:cs="Arial"/>
                <w:color w:val="000000"/>
                <w:sz w:val="22"/>
                <w:szCs w:val="22"/>
              </w:rPr>
            </w:pPr>
            <w:r w:rsidRPr="002A5D35">
              <w:rPr>
                <w:rFonts w:cs="Arial"/>
                <w:color w:val="000000"/>
                <w:sz w:val="22"/>
                <w:szCs w:val="22"/>
              </w:rPr>
              <w:t>75% of median price mortgage based on discounted price, minus 10% deposit on discounted price.</w:t>
            </w:r>
          </w:p>
        </w:tc>
        <w:tc>
          <w:tcPr>
            <w:tcW w:w="1050" w:type="pct"/>
          </w:tcPr>
          <w:p w14:paraId="5690B3B9" w14:textId="77777777" w:rsidR="00CE1BDB" w:rsidRPr="002A5D35" w:rsidRDefault="00CE1BDB" w:rsidP="00EF49A7">
            <w:pPr>
              <w:rPr>
                <w:rFonts w:cs="Arial"/>
                <w:color w:val="000000"/>
                <w:sz w:val="22"/>
                <w:szCs w:val="22"/>
              </w:rPr>
            </w:pPr>
            <w:r w:rsidRPr="002A5D35">
              <w:rPr>
                <w:rFonts w:cs="Arial"/>
                <w:color w:val="000000"/>
                <w:sz w:val="22"/>
                <w:szCs w:val="22"/>
              </w:rPr>
              <w:t>Discounted home ownership 25%</w:t>
            </w:r>
          </w:p>
        </w:tc>
        <w:tc>
          <w:tcPr>
            <w:tcW w:w="1039" w:type="pct"/>
          </w:tcPr>
          <w:p w14:paraId="084BAD28" w14:textId="77777777" w:rsidR="00CE1BDB" w:rsidRPr="002A5D35" w:rsidRDefault="00CE1BDB" w:rsidP="00EF49A7">
            <w:pPr>
              <w:rPr>
                <w:rFonts w:cs="Arial"/>
                <w:color w:val="000000"/>
                <w:sz w:val="22"/>
                <w:szCs w:val="22"/>
              </w:rPr>
            </w:pPr>
            <w:r w:rsidRPr="002A5D35">
              <w:rPr>
                <w:rFonts w:cs="Arial"/>
                <w:color w:val="000000"/>
                <w:sz w:val="22"/>
                <w:szCs w:val="22"/>
              </w:rPr>
              <w:t>Assumptions applied to Land Registry Price Paid data</w:t>
            </w:r>
          </w:p>
        </w:tc>
      </w:tr>
      <w:tr w:rsidR="00CE1BDB" w:rsidRPr="002A5D35" w14:paraId="1A463ACE" w14:textId="77777777" w:rsidTr="002A5D35">
        <w:tc>
          <w:tcPr>
            <w:tcW w:w="1053" w:type="pct"/>
            <w:shd w:val="clear" w:color="auto" w:fill="auto"/>
            <w:noWrap/>
          </w:tcPr>
          <w:p w14:paraId="2D02D66B" w14:textId="77777777" w:rsidR="00CE1BDB" w:rsidRPr="002A5D35" w:rsidRDefault="00CE1BDB" w:rsidP="00EF49A7">
            <w:pPr>
              <w:rPr>
                <w:rFonts w:cs="Arial"/>
                <w:color w:val="000000"/>
                <w:sz w:val="22"/>
                <w:szCs w:val="22"/>
              </w:rPr>
            </w:pPr>
            <w:r w:rsidRPr="002A5D35">
              <w:rPr>
                <w:rFonts w:cs="Arial"/>
                <w:color w:val="000000"/>
                <w:sz w:val="22"/>
                <w:szCs w:val="22"/>
              </w:rPr>
              <w:t>Discounted home ownership 20%</w:t>
            </w:r>
          </w:p>
        </w:tc>
        <w:tc>
          <w:tcPr>
            <w:tcW w:w="1858" w:type="pct"/>
            <w:shd w:val="clear" w:color="auto" w:fill="auto"/>
            <w:vAlign w:val="center"/>
          </w:tcPr>
          <w:p w14:paraId="60E8818A" w14:textId="77777777" w:rsidR="00CE1BDB" w:rsidRPr="002A5D35" w:rsidRDefault="00CE1BDB" w:rsidP="00EF49A7">
            <w:pPr>
              <w:rPr>
                <w:rFonts w:cs="Arial"/>
                <w:color w:val="000000"/>
                <w:sz w:val="22"/>
                <w:szCs w:val="22"/>
              </w:rPr>
            </w:pPr>
            <w:r w:rsidRPr="002A5D35">
              <w:rPr>
                <w:rFonts w:cs="Arial"/>
                <w:color w:val="000000"/>
                <w:sz w:val="22"/>
                <w:szCs w:val="22"/>
              </w:rPr>
              <w:t>80% of median price mortgage based on discounted price, minus 10% deposit on discounted price.</w:t>
            </w:r>
          </w:p>
        </w:tc>
        <w:tc>
          <w:tcPr>
            <w:tcW w:w="1050" w:type="pct"/>
          </w:tcPr>
          <w:p w14:paraId="52BE6D96" w14:textId="77777777" w:rsidR="00CE1BDB" w:rsidRPr="002A5D35" w:rsidRDefault="00CE1BDB" w:rsidP="00EF49A7">
            <w:pPr>
              <w:rPr>
                <w:rFonts w:cs="Arial"/>
                <w:color w:val="000000"/>
                <w:sz w:val="22"/>
                <w:szCs w:val="22"/>
              </w:rPr>
            </w:pPr>
            <w:r w:rsidRPr="002A5D35">
              <w:rPr>
                <w:rFonts w:cs="Arial"/>
                <w:color w:val="000000"/>
                <w:sz w:val="22"/>
                <w:szCs w:val="22"/>
              </w:rPr>
              <w:t>Discounted home ownership 20%</w:t>
            </w:r>
          </w:p>
        </w:tc>
        <w:tc>
          <w:tcPr>
            <w:tcW w:w="1039" w:type="pct"/>
          </w:tcPr>
          <w:p w14:paraId="6E7F0741" w14:textId="77777777" w:rsidR="00CE1BDB" w:rsidRPr="002A5D35" w:rsidRDefault="00CE1BDB" w:rsidP="00EF49A7">
            <w:pPr>
              <w:rPr>
                <w:rFonts w:cs="Arial"/>
                <w:color w:val="000000"/>
                <w:sz w:val="22"/>
                <w:szCs w:val="22"/>
              </w:rPr>
            </w:pPr>
            <w:r w:rsidRPr="002A5D35">
              <w:rPr>
                <w:rFonts w:cs="Arial"/>
                <w:color w:val="000000"/>
                <w:sz w:val="22"/>
                <w:szCs w:val="22"/>
              </w:rPr>
              <w:t>Assumptions applied to Land Registry Price Paid data</w:t>
            </w:r>
          </w:p>
        </w:tc>
      </w:tr>
    </w:tbl>
    <w:p w14:paraId="3645AC6B" w14:textId="59B13821" w:rsidR="00CE1BDB" w:rsidRPr="00F808DF" w:rsidRDefault="00CE1BDB" w:rsidP="00F808DF">
      <w:pPr>
        <w:pStyle w:val="Tableheading1"/>
        <w:rPr>
          <w:color w:val="009999"/>
          <w:lang w:val="en-US"/>
        </w:rPr>
      </w:pPr>
      <w:bookmarkStart w:id="249" w:name="_Toc83036085"/>
      <w:bookmarkStart w:id="250" w:name="_Toc10209758"/>
      <w:r w:rsidRPr="00F808DF">
        <w:rPr>
          <w:color w:val="009999"/>
        </w:rPr>
        <w:lastRenderedPageBreak/>
        <w:t>Table 3.9a</w:t>
      </w:r>
      <w:r w:rsidRPr="00F808DF">
        <w:rPr>
          <w:color w:val="009999"/>
        </w:rPr>
        <w:tab/>
        <w:t>Cost</w:t>
      </w:r>
      <w:r w:rsidRPr="00F808DF">
        <w:rPr>
          <w:color w:val="009999"/>
          <w:lang w:val="en-US"/>
        </w:rPr>
        <w:t xml:space="preserve"> of alternative tenures by ward</w:t>
      </w:r>
      <w:bookmarkEnd w:id="249"/>
    </w:p>
    <w:p w14:paraId="7EC33535" w14:textId="26933861" w:rsidR="00EF49A7" w:rsidRPr="00FA4DC7" w:rsidRDefault="008868E0" w:rsidP="000957EE">
      <w:pPr>
        <w:rPr>
          <w:highlight w:val="yellow"/>
        </w:rPr>
      </w:pPr>
      <w:r w:rsidRPr="008868E0">
        <w:rPr>
          <w:noProof/>
        </w:rPr>
        <w:drawing>
          <wp:inline distT="0" distB="0" distL="0" distR="0" wp14:anchorId="78E6A99E" wp14:editId="5694462B">
            <wp:extent cx="9001125" cy="4892040"/>
            <wp:effectExtent l="0" t="0" r="9525" b="3810"/>
            <wp:docPr id="4" name="Picture 4" descr="Table showing cost of alternative tenures b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showing cost of alternative tenures by ward"/>
                    <pic:cNvPicPr/>
                  </pic:nvPicPr>
                  <pic:blipFill>
                    <a:blip r:embed="rId48"/>
                    <a:stretch>
                      <a:fillRect/>
                    </a:stretch>
                  </pic:blipFill>
                  <pic:spPr>
                    <a:xfrm>
                      <a:off x="0" y="0"/>
                      <a:ext cx="9005592" cy="4894468"/>
                    </a:xfrm>
                    <a:prstGeom prst="rect">
                      <a:avLst/>
                    </a:prstGeom>
                  </pic:spPr>
                </pic:pic>
              </a:graphicData>
            </a:graphic>
          </wp:inline>
        </w:drawing>
      </w:r>
    </w:p>
    <w:p w14:paraId="1E248654" w14:textId="77777777" w:rsidR="00CE1BDB" w:rsidRPr="00FA4DC7" w:rsidRDefault="00CE1BDB" w:rsidP="00CE1BDB">
      <w:pPr>
        <w:pStyle w:val="Reporttext"/>
        <w:numPr>
          <w:ilvl w:val="0"/>
          <w:numId w:val="0"/>
        </w:numPr>
        <w:rPr>
          <w:rFonts w:cs="Arial"/>
          <w:sz w:val="22"/>
          <w:szCs w:val="22"/>
        </w:rPr>
      </w:pPr>
      <w:r w:rsidRPr="00FA4DC7">
        <w:rPr>
          <w:rFonts w:cs="Arial"/>
          <w:sz w:val="22"/>
          <w:szCs w:val="22"/>
        </w:rPr>
        <w:t>Source: Data produced by Land Registry © Crown copyright 2020, Zoopla PPD 2020, MHCLG, RSH SDR 2020</w:t>
      </w:r>
    </w:p>
    <w:p w14:paraId="7A41FAFC" w14:textId="2E1E4489" w:rsidR="00F808DF" w:rsidRDefault="00F808DF">
      <w:pPr>
        <w:rPr>
          <w:rFonts w:cs="Arial"/>
          <w:b/>
          <w:bCs/>
          <w:color w:val="000000" w:themeColor="text1"/>
          <w:sz w:val="22"/>
          <w:lang w:eastAsia="en-US"/>
        </w:rPr>
      </w:pPr>
      <w:r>
        <w:rPr>
          <w:rFonts w:cs="Arial"/>
          <w:color w:val="000000" w:themeColor="text1"/>
        </w:rPr>
        <w:br w:type="page"/>
      </w:r>
    </w:p>
    <w:p w14:paraId="1581CB6A" w14:textId="38E4FD86" w:rsidR="00CE1BDB" w:rsidRPr="00F808DF" w:rsidRDefault="00CE1BDB" w:rsidP="00F808DF">
      <w:pPr>
        <w:pStyle w:val="Tableheading1"/>
        <w:rPr>
          <w:color w:val="009999"/>
          <w:lang w:val="en-US"/>
        </w:rPr>
      </w:pPr>
      <w:bookmarkStart w:id="251" w:name="_Toc83036086"/>
      <w:r w:rsidRPr="00F808DF">
        <w:rPr>
          <w:color w:val="009999"/>
        </w:rPr>
        <w:lastRenderedPageBreak/>
        <w:t>Table 3.9b</w:t>
      </w:r>
      <w:r w:rsidRPr="00F808DF">
        <w:rPr>
          <w:color w:val="009999"/>
        </w:rPr>
        <w:tab/>
      </w:r>
      <w:r w:rsidRPr="00F808DF">
        <w:rPr>
          <w:color w:val="009999"/>
          <w:lang w:val="en-US"/>
        </w:rPr>
        <w:t>Cost of alternative tenures by Key Development Locations and Neighbourhood Planning Areas</w:t>
      </w:r>
      <w:bookmarkEnd w:id="251"/>
    </w:p>
    <w:p w14:paraId="2F65719C" w14:textId="3CDC1E68" w:rsidR="00CE1BDB" w:rsidRPr="00FA4DC7" w:rsidRDefault="008868E0" w:rsidP="000957EE">
      <w:pPr>
        <w:rPr>
          <w:highlight w:val="yellow"/>
        </w:rPr>
      </w:pPr>
      <w:r w:rsidRPr="008868E0">
        <w:rPr>
          <w:noProof/>
        </w:rPr>
        <w:drawing>
          <wp:inline distT="0" distB="0" distL="0" distR="0" wp14:anchorId="63875757" wp14:editId="75CE0506">
            <wp:extent cx="8967470" cy="3190875"/>
            <wp:effectExtent l="0" t="0" r="5080" b="9525"/>
            <wp:docPr id="5" name="Picture 5" descr="Table showing cost of alternative tenures by key development locations and neighbourhood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cost of alternative tenures by key development locations and neighbourhood planning areas"/>
                    <pic:cNvPicPr/>
                  </pic:nvPicPr>
                  <pic:blipFill>
                    <a:blip r:embed="rId49"/>
                    <a:stretch>
                      <a:fillRect/>
                    </a:stretch>
                  </pic:blipFill>
                  <pic:spPr>
                    <a:xfrm>
                      <a:off x="0" y="0"/>
                      <a:ext cx="8967470" cy="3190875"/>
                    </a:xfrm>
                    <a:prstGeom prst="rect">
                      <a:avLst/>
                    </a:prstGeom>
                  </pic:spPr>
                </pic:pic>
              </a:graphicData>
            </a:graphic>
          </wp:inline>
        </w:drawing>
      </w:r>
    </w:p>
    <w:p w14:paraId="61C427D1" w14:textId="77777777" w:rsidR="00CE1BDB" w:rsidRPr="00FA4DC7" w:rsidRDefault="00CE1BDB" w:rsidP="00CE1BDB">
      <w:pPr>
        <w:pStyle w:val="Reporttext"/>
        <w:numPr>
          <w:ilvl w:val="0"/>
          <w:numId w:val="0"/>
        </w:numPr>
        <w:rPr>
          <w:rFonts w:cs="Arial"/>
          <w:sz w:val="22"/>
          <w:szCs w:val="22"/>
        </w:rPr>
      </w:pPr>
      <w:r w:rsidRPr="00FA4DC7">
        <w:rPr>
          <w:rFonts w:cs="Arial"/>
          <w:sz w:val="22"/>
          <w:szCs w:val="22"/>
        </w:rPr>
        <w:t>Source: Data produced by Land Registry © Crown copyright 2020, Zoopla PPD 2020, MHCLG, RSH SDR 2020</w:t>
      </w:r>
    </w:p>
    <w:p w14:paraId="3D3854F8" w14:textId="77777777" w:rsidR="00CE1BDB" w:rsidRPr="00FA4DC7" w:rsidRDefault="00CE1BDB" w:rsidP="00CE1BDB">
      <w:pPr>
        <w:rPr>
          <w:rFonts w:cs="Arial"/>
          <w:highlight w:val="yellow"/>
        </w:rPr>
      </w:pPr>
    </w:p>
    <w:p w14:paraId="352071FB" w14:textId="77777777" w:rsidR="00CE1BDB" w:rsidRPr="00FA4DC7" w:rsidRDefault="00CE1BDB" w:rsidP="00CE1BDB">
      <w:pPr>
        <w:rPr>
          <w:rFonts w:cs="Arial"/>
          <w:highlight w:val="yellow"/>
        </w:rPr>
      </w:pPr>
      <w:r w:rsidRPr="00FA4DC7">
        <w:rPr>
          <w:rFonts w:cs="Arial"/>
          <w:highlight w:val="yellow"/>
        </w:rPr>
        <w:br w:type="page"/>
      </w:r>
    </w:p>
    <w:p w14:paraId="780CEE28" w14:textId="0357E8A2" w:rsidR="00EF49A7" w:rsidRPr="00F808DF" w:rsidRDefault="00CE1BDB" w:rsidP="00F808DF">
      <w:pPr>
        <w:pStyle w:val="Tableheading1"/>
        <w:rPr>
          <w:color w:val="009999"/>
          <w:lang w:val="en-US"/>
        </w:rPr>
      </w:pPr>
      <w:bookmarkStart w:id="252" w:name="_Toc83036087"/>
      <w:r w:rsidRPr="00F808DF">
        <w:rPr>
          <w:color w:val="009999"/>
        </w:rPr>
        <w:lastRenderedPageBreak/>
        <w:t>Table 3.10a</w:t>
      </w:r>
      <w:r w:rsidRPr="00F808DF">
        <w:rPr>
          <w:color w:val="009999"/>
        </w:rPr>
        <w:tab/>
      </w:r>
      <w:r w:rsidRPr="00F808DF">
        <w:rPr>
          <w:color w:val="009999"/>
          <w:lang w:val="en-US"/>
        </w:rPr>
        <w:t>Household income required for tenure to be affordable (based on 25% of income for rents and 3.5x income for buying) by ward</w:t>
      </w:r>
      <w:bookmarkEnd w:id="252"/>
      <w:r w:rsidR="00EF49A7" w:rsidRPr="00F808DF">
        <w:rPr>
          <w:color w:val="009999"/>
          <w:lang w:val="en-US"/>
        </w:rPr>
        <w:t xml:space="preserve"> </w:t>
      </w:r>
    </w:p>
    <w:p w14:paraId="7074888F" w14:textId="31BB9F3B" w:rsidR="00CE1BDB" w:rsidRPr="00FA4DC7" w:rsidRDefault="008868E0" w:rsidP="00CE1BDB">
      <w:pPr>
        <w:rPr>
          <w:rFonts w:cs="Arial"/>
          <w:highlight w:val="yellow"/>
        </w:rPr>
      </w:pPr>
      <w:r w:rsidRPr="008868E0">
        <w:rPr>
          <w:rFonts w:cs="Arial"/>
          <w:noProof/>
        </w:rPr>
        <w:drawing>
          <wp:inline distT="0" distB="0" distL="0" distR="0" wp14:anchorId="05D86345" wp14:editId="0C076C87">
            <wp:extent cx="8172450" cy="4909820"/>
            <wp:effectExtent l="0" t="0" r="0" b="5080"/>
            <wp:docPr id="6" name="Picture 6" descr="Table showing household income required for tenure to be affordable (based on 25% of income for rents and 3.5x income for buying) b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howing household income required for tenure to be affordable (based on 25% of income for rents and 3.5x income for buying) by ward"/>
                    <pic:cNvPicPr/>
                  </pic:nvPicPr>
                  <pic:blipFill>
                    <a:blip r:embed="rId50"/>
                    <a:stretch>
                      <a:fillRect/>
                    </a:stretch>
                  </pic:blipFill>
                  <pic:spPr>
                    <a:xfrm>
                      <a:off x="0" y="0"/>
                      <a:ext cx="8172708" cy="4909975"/>
                    </a:xfrm>
                    <a:prstGeom prst="rect">
                      <a:avLst/>
                    </a:prstGeom>
                  </pic:spPr>
                </pic:pic>
              </a:graphicData>
            </a:graphic>
          </wp:inline>
        </w:drawing>
      </w:r>
    </w:p>
    <w:p w14:paraId="41A7CFDC" w14:textId="77777777" w:rsidR="00CE1BDB" w:rsidRPr="00FA4DC7" w:rsidRDefault="00CE1BDB" w:rsidP="000957EE">
      <w:pPr>
        <w:rPr>
          <w:b/>
          <w:bCs/>
        </w:rPr>
      </w:pPr>
      <w:bookmarkStart w:id="253" w:name="_Toc74902493"/>
      <w:bookmarkStart w:id="254" w:name="_Toc74905151"/>
      <w:bookmarkStart w:id="255" w:name="_Toc81323350"/>
      <w:bookmarkStart w:id="256" w:name="_Toc81323476"/>
      <w:bookmarkStart w:id="257" w:name="_Toc81334869"/>
      <w:r w:rsidRPr="00FA4DC7">
        <w:t>Note: Lower Quartile and Median incomes are sometimes the same. This is because the data is a mid-point of the band in which incomes fall – for instance both lower quartile and median incomes fall within the £20k to less than £30k</w:t>
      </w:r>
      <w:bookmarkEnd w:id="253"/>
      <w:bookmarkEnd w:id="254"/>
      <w:bookmarkEnd w:id="255"/>
      <w:bookmarkEnd w:id="256"/>
      <w:bookmarkEnd w:id="257"/>
    </w:p>
    <w:p w14:paraId="5DDDF2C7" w14:textId="77777777" w:rsidR="00CE1BDB" w:rsidRPr="00F808DF" w:rsidRDefault="00CE1BDB" w:rsidP="00F808DF">
      <w:pPr>
        <w:pStyle w:val="Tableheading1"/>
        <w:rPr>
          <w:color w:val="009999"/>
          <w:lang w:val="en-US"/>
        </w:rPr>
      </w:pPr>
      <w:bookmarkStart w:id="258" w:name="_Toc83036088"/>
      <w:r w:rsidRPr="00F808DF">
        <w:rPr>
          <w:color w:val="009999"/>
        </w:rPr>
        <w:lastRenderedPageBreak/>
        <w:t>Table 3.10b</w:t>
      </w:r>
      <w:r w:rsidRPr="00F808DF">
        <w:rPr>
          <w:color w:val="009999"/>
        </w:rPr>
        <w:tab/>
      </w:r>
      <w:r w:rsidRPr="00F808DF">
        <w:rPr>
          <w:color w:val="009999"/>
          <w:lang w:val="en-US"/>
        </w:rPr>
        <w:t xml:space="preserve">Household </w:t>
      </w:r>
      <w:r w:rsidRPr="00F808DF">
        <w:rPr>
          <w:color w:val="009999"/>
        </w:rPr>
        <w:t>income</w:t>
      </w:r>
      <w:r w:rsidRPr="00F808DF">
        <w:rPr>
          <w:color w:val="009999"/>
          <w:lang w:val="en-US"/>
        </w:rPr>
        <w:t xml:space="preserve"> required for tenure to be affordable (based on 25% of income for rents and 3.5x income for buying) by Key Development Locations and Neighbourhood Planning Area</w:t>
      </w:r>
      <w:bookmarkEnd w:id="258"/>
    </w:p>
    <w:p w14:paraId="26B79D8D" w14:textId="317BE86A" w:rsidR="00CE1BDB" w:rsidRPr="00FA4DC7" w:rsidRDefault="008868E0" w:rsidP="000957EE">
      <w:pPr>
        <w:rPr>
          <w:highlight w:val="yellow"/>
        </w:rPr>
      </w:pPr>
      <w:r w:rsidRPr="008868E0">
        <w:rPr>
          <w:noProof/>
        </w:rPr>
        <w:drawing>
          <wp:inline distT="0" distB="0" distL="0" distR="0" wp14:anchorId="7990083D" wp14:editId="7462DADD">
            <wp:extent cx="8982075" cy="3632050"/>
            <wp:effectExtent l="0" t="0" r="0" b="6985"/>
            <wp:docPr id="7" name="Picture 7" descr="Table showing Household income required for tenure to be affordable (based on 25% of income for rents and 3.5x income for buying) by Key Development Locations and Neighbourhood Plann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showing Household income required for tenure to be affordable (based on 25% of income for rents and 3.5x income for buying) by Key Development Locations and Neighbourhood Planning Area"/>
                    <pic:cNvPicPr/>
                  </pic:nvPicPr>
                  <pic:blipFill>
                    <a:blip r:embed="rId51"/>
                    <a:stretch>
                      <a:fillRect/>
                    </a:stretch>
                  </pic:blipFill>
                  <pic:spPr>
                    <a:xfrm>
                      <a:off x="0" y="0"/>
                      <a:ext cx="8989223" cy="3634940"/>
                    </a:xfrm>
                    <a:prstGeom prst="rect">
                      <a:avLst/>
                    </a:prstGeom>
                  </pic:spPr>
                </pic:pic>
              </a:graphicData>
            </a:graphic>
          </wp:inline>
        </w:drawing>
      </w:r>
    </w:p>
    <w:p w14:paraId="18697ABF" w14:textId="77777777" w:rsidR="00CE1BDB" w:rsidRPr="00FA4DC7" w:rsidRDefault="00CE1BDB" w:rsidP="000957EE">
      <w:pPr>
        <w:rPr>
          <w:b/>
          <w:bCs/>
        </w:rPr>
      </w:pPr>
      <w:bookmarkStart w:id="259" w:name="_Toc77187457"/>
      <w:bookmarkStart w:id="260" w:name="_Toc77592257"/>
      <w:bookmarkStart w:id="261" w:name="_Toc81317432"/>
      <w:bookmarkStart w:id="262" w:name="_Toc81323353"/>
      <w:bookmarkStart w:id="263" w:name="_Toc81323479"/>
      <w:bookmarkStart w:id="264" w:name="_Toc81334872"/>
      <w:r w:rsidRPr="00FA4DC7">
        <w:t>Note: Lower Quartile and Median incomes are sometimes the same. This is because the data is a mid-point of the band in which incomes fall – for instance both lower quartile and median incomes fall within the £20k to less than £30k</w:t>
      </w:r>
      <w:bookmarkEnd w:id="259"/>
      <w:bookmarkEnd w:id="260"/>
      <w:bookmarkEnd w:id="261"/>
      <w:bookmarkEnd w:id="262"/>
      <w:bookmarkEnd w:id="263"/>
      <w:bookmarkEnd w:id="264"/>
    </w:p>
    <w:p w14:paraId="2196BE57" w14:textId="77777777" w:rsidR="00CE1BDB" w:rsidRPr="00FA4DC7" w:rsidRDefault="00CE1BDB" w:rsidP="00CE1BDB">
      <w:pPr>
        <w:pStyle w:val="Tableheading1"/>
        <w:rPr>
          <w:rFonts w:cs="Arial"/>
          <w:b w:val="0"/>
          <w:bCs w:val="0"/>
          <w:color w:val="000000" w:themeColor="text1"/>
          <w:sz w:val="18"/>
          <w:szCs w:val="18"/>
          <w:highlight w:val="yellow"/>
        </w:rPr>
      </w:pPr>
    </w:p>
    <w:p w14:paraId="2F10D7FD" w14:textId="77777777" w:rsidR="00CE1BDB" w:rsidRPr="00FA4DC7" w:rsidRDefault="00CE1BDB" w:rsidP="00CE1BDB">
      <w:pPr>
        <w:pStyle w:val="Tableheading1"/>
        <w:rPr>
          <w:rFonts w:cs="Arial"/>
          <w:color w:val="009193"/>
          <w:sz w:val="18"/>
          <w:szCs w:val="18"/>
          <w:highlight w:val="yellow"/>
        </w:rPr>
      </w:pPr>
    </w:p>
    <w:p w14:paraId="343ACA38" w14:textId="77777777" w:rsidR="00CE1BDB" w:rsidRPr="00FA4DC7" w:rsidRDefault="00CE1BDB" w:rsidP="00CE1BDB">
      <w:pPr>
        <w:rPr>
          <w:rFonts w:cs="Arial"/>
          <w:color w:val="009193"/>
          <w:highlight w:val="yellow"/>
        </w:rPr>
        <w:sectPr w:rsidR="00CE1BDB" w:rsidRPr="00FA4DC7" w:rsidSect="00EF49A7">
          <w:headerReference w:type="default" r:id="rId52"/>
          <w:pgSz w:w="16838" w:h="11906" w:orient="landscape" w:code="9"/>
          <w:pgMar w:top="1440" w:right="1276" w:bottom="1134" w:left="1440" w:header="709" w:footer="567" w:gutter="0"/>
          <w:cols w:space="708"/>
          <w:docGrid w:linePitch="360"/>
        </w:sect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285"/>
        <w:gridCol w:w="1234"/>
        <w:gridCol w:w="1146"/>
        <w:gridCol w:w="1184"/>
        <w:gridCol w:w="1139"/>
        <w:gridCol w:w="1194"/>
      </w:tblGrid>
      <w:tr w:rsidR="00CE1BDB" w:rsidRPr="00FA4DC7" w14:paraId="3863DB95" w14:textId="77777777" w:rsidTr="00EF49A7">
        <w:trPr>
          <w:trHeight w:val="272"/>
        </w:trPr>
        <w:tc>
          <w:tcPr>
            <w:tcW w:w="5000" w:type="pct"/>
            <w:gridSpan w:val="6"/>
            <w:shd w:val="clear" w:color="auto" w:fill="006666"/>
            <w:noWrap/>
            <w:vAlign w:val="center"/>
          </w:tcPr>
          <w:p w14:paraId="4E6CA0DB" w14:textId="77777777" w:rsidR="00CE1BDB" w:rsidRPr="00FA4DC7" w:rsidRDefault="00CE1BDB" w:rsidP="00EF49A7">
            <w:pPr>
              <w:pStyle w:val="Tableheading1"/>
              <w:rPr>
                <w:rFonts w:cs="Arial"/>
                <w:szCs w:val="22"/>
              </w:rPr>
            </w:pPr>
            <w:bookmarkStart w:id="265" w:name="_Toc83036089"/>
            <w:bookmarkEnd w:id="250"/>
            <w:r w:rsidRPr="00FA4DC7">
              <w:rPr>
                <w:rFonts w:cs="Arial"/>
                <w:szCs w:val="22"/>
              </w:rPr>
              <w:lastRenderedPageBreak/>
              <w:t>Table 3.11</w:t>
            </w:r>
            <w:r w:rsidRPr="00FA4DC7">
              <w:rPr>
                <w:rFonts w:cs="Arial"/>
                <w:szCs w:val="22"/>
              </w:rPr>
              <w:tab/>
              <w:t>Impact of alternative deposits on sale price and income required for open market properties</w:t>
            </w:r>
            <w:bookmarkEnd w:id="265"/>
          </w:p>
        </w:tc>
      </w:tr>
      <w:tr w:rsidR="00CE1BDB" w:rsidRPr="00FA4DC7" w14:paraId="18191EAD" w14:textId="77777777" w:rsidTr="00EF49A7">
        <w:trPr>
          <w:trHeight w:val="272"/>
        </w:trPr>
        <w:tc>
          <w:tcPr>
            <w:tcW w:w="1789" w:type="pct"/>
            <w:vMerge w:val="restart"/>
            <w:shd w:val="clear" w:color="auto" w:fill="006666"/>
            <w:noWrap/>
            <w:vAlign w:val="center"/>
            <w:hideMark/>
          </w:tcPr>
          <w:p w14:paraId="69EBBDCA" w14:textId="77777777" w:rsidR="00CE1BDB" w:rsidRPr="00FA4DC7" w:rsidRDefault="00CE1BDB" w:rsidP="00EF49A7">
            <w:pPr>
              <w:rPr>
                <w:rFonts w:cs="Arial"/>
                <w:b/>
                <w:bCs/>
                <w:color w:val="FFFFFF"/>
                <w:sz w:val="22"/>
                <w:szCs w:val="22"/>
              </w:rPr>
            </w:pPr>
            <w:r w:rsidRPr="00FA4DC7">
              <w:rPr>
                <w:rFonts w:cs="Arial"/>
                <w:b/>
                <w:bCs/>
                <w:color w:val="FFFFFF"/>
                <w:sz w:val="22"/>
                <w:szCs w:val="22"/>
              </w:rPr>
              <w:t>Market sale price</w:t>
            </w:r>
          </w:p>
        </w:tc>
        <w:tc>
          <w:tcPr>
            <w:tcW w:w="2561" w:type="pct"/>
            <w:gridSpan w:val="4"/>
            <w:shd w:val="clear" w:color="auto" w:fill="006666"/>
            <w:noWrap/>
            <w:vAlign w:val="center"/>
            <w:hideMark/>
          </w:tcPr>
          <w:p w14:paraId="13DCE659"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Amount of deposit</w:t>
            </w:r>
          </w:p>
        </w:tc>
        <w:tc>
          <w:tcPr>
            <w:tcW w:w="650" w:type="pct"/>
            <w:vMerge w:val="restart"/>
            <w:shd w:val="clear" w:color="auto" w:fill="006666"/>
            <w:noWrap/>
            <w:vAlign w:val="center"/>
            <w:hideMark/>
          </w:tcPr>
          <w:p w14:paraId="1C7D9064"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Borough Average Price</w:t>
            </w:r>
          </w:p>
        </w:tc>
      </w:tr>
      <w:tr w:rsidR="00CE1BDB" w:rsidRPr="00FA4DC7" w14:paraId="3D2807A0" w14:textId="77777777" w:rsidTr="00EF49A7">
        <w:trPr>
          <w:trHeight w:val="272"/>
        </w:trPr>
        <w:tc>
          <w:tcPr>
            <w:tcW w:w="1789" w:type="pct"/>
            <w:vMerge/>
            <w:shd w:val="clear" w:color="auto" w:fill="006666"/>
            <w:noWrap/>
            <w:vAlign w:val="center"/>
            <w:hideMark/>
          </w:tcPr>
          <w:p w14:paraId="16BA9E3A" w14:textId="77777777" w:rsidR="00CE1BDB" w:rsidRPr="00FA4DC7" w:rsidRDefault="00CE1BDB" w:rsidP="00EF49A7">
            <w:pPr>
              <w:rPr>
                <w:rFonts w:cs="Arial"/>
                <w:color w:val="FFFFFF"/>
                <w:sz w:val="22"/>
                <w:szCs w:val="22"/>
              </w:rPr>
            </w:pPr>
          </w:p>
        </w:tc>
        <w:tc>
          <w:tcPr>
            <w:tcW w:w="672" w:type="pct"/>
            <w:shd w:val="clear" w:color="auto" w:fill="006666"/>
            <w:noWrap/>
            <w:vAlign w:val="center"/>
            <w:hideMark/>
          </w:tcPr>
          <w:p w14:paraId="1054E693" w14:textId="77777777" w:rsidR="00CE1BDB" w:rsidRPr="00FA4DC7" w:rsidRDefault="00CE1BDB" w:rsidP="00EF49A7">
            <w:pPr>
              <w:jc w:val="center"/>
              <w:rPr>
                <w:rFonts w:cs="Arial"/>
                <w:color w:val="FFFFFF"/>
                <w:sz w:val="22"/>
                <w:szCs w:val="22"/>
              </w:rPr>
            </w:pPr>
            <w:r w:rsidRPr="00FA4DC7">
              <w:rPr>
                <w:rFonts w:cs="Arial"/>
                <w:color w:val="FFFFFF"/>
                <w:sz w:val="22"/>
                <w:szCs w:val="22"/>
              </w:rPr>
              <w:t>10%</w:t>
            </w:r>
          </w:p>
        </w:tc>
        <w:tc>
          <w:tcPr>
            <w:tcW w:w="624" w:type="pct"/>
            <w:shd w:val="clear" w:color="auto" w:fill="006666"/>
            <w:noWrap/>
            <w:vAlign w:val="center"/>
            <w:hideMark/>
          </w:tcPr>
          <w:p w14:paraId="241E3E2A" w14:textId="77777777" w:rsidR="00CE1BDB" w:rsidRPr="00FA4DC7" w:rsidRDefault="00CE1BDB" w:rsidP="00EF49A7">
            <w:pPr>
              <w:jc w:val="center"/>
              <w:rPr>
                <w:rFonts w:cs="Arial"/>
                <w:color w:val="FFFFFF"/>
                <w:sz w:val="22"/>
                <w:szCs w:val="22"/>
              </w:rPr>
            </w:pPr>
            <w:r w:rsidRPr="00FA4DC7">
              <w:rPr>
                <w:rFonts w:cs="Arial"/>
                <w:color w:val="FFFFFF"/>
                <w:sz w:val="22"/>
                <w:szCs w:val="22"/>
              </w:rPr>
              <w:t>20%</w:t>
            </w:r>
          </w:p>
        </w:tc>
        <w:tc>
          <w:tcPr>
            <w:tcW w:w="645" w:type="pct"/>
            <w:shd w:val="clear" w:color="auto" w:fill="006666"/>
            <w:noWrap/>
            <w:vAlign w:val="center"/>
            <w:hideMark/>
          </w:tcPr>
          <w:p w14:paraId="3743A3E8" w14:textId="77777777" w:rsidR="00CE1BDB" w:rsidRPr="00FA4DC7" w:rsidRDefault="00CE1BDB" w:rsidP="00EF49A7">
            <w:pPr>
              <w:jc w:val="center"/>
              <w:rPr>
                <w:rFonts w:cs="Arial"/>
                <w:color w:val="FFFFFF"/>
                <w:sz w:val="22"/>
                <w:szCs w:val="22"/>
              </w:rPr>
            </w:pPr>
            <w:r w:rsidRPr="00FA4DC7">
              <w:rPr>
                <w:rFonts w:cs="Arial"/>
                <w:color w:val="FFFFFF"/>
                <w:sz w:val="22"/>
                <w:szCs w:val="22"/>
              </w:rPr>
              <w:t>30%</w:t>
            </w:r>
          </w:p>
        </w:tc>
        <w:tc>
          <w:tcPr>
            <w:tcW w:w="620" w:type="pct"/>
            <w:shd w:val="clear" w:color="auto" w:fill="006666"/>
            <w:noWrap/>
            <w:vAlign w:val="center"/>
            <w:hideMark/>
          </w:tcPr>
          <w:p w14:paraId="38F3BC2B" w14:textId="77777777" w:rsidR="00CE1BDB" w:rsidRPr="00FA4DC7" w:rsidRDefault="00CE1BDB" w:rsidP="00EF49A7">
            <w:pPr>
              <w:jc w:val="center"/>
              <w:rPr>
                <w:rFonts w:cs="Arial"/>
                <w:color w:val="FFFFFF"/>
                <w:sz w:val="22"/>
                <w:szCs w:val="22"/>
              </w:rPr>
            </w:pPr>
            <w:r w:rsidRPr="00FA4DC7">
              <w:rPr>
                <w:rFonts w:cs="Arial"/>
                <w:color w:val="FFFFFF"/>
                <w:sz w:val="22"/>
                <w:szCs w:val="22"/>
              </w:rPr>
              <w:t>40%</w:t>
            </w:r>
          </w:p>
        </w:tc>
        <w:tc>
          <w:tcPr>
            <w:tcW w:w="650" w:type="pct"/>
            <w:vMerge/>
            <w:shd w:val="clear" w:color="auto" w:fill="006666"/>
            <w:noWrap/>
            <w:vAlign w:val="center"/>
            <w:hideMark/>
          </w:tcPr>
          <w:p w14:paraId="7986A2FF" w14:textId="77777777" w:rsidR="00CE1BDB" w:rsidRPr="00FA4DC7" w:rsidRDefault="00CE1BDB" w:rsidP="00EF49A7">
            <w:pPr>
              <w:jc w:val="center"/>
              <w:rPr>
                <w:rFonts w:cs="Arial"/>
                <w:color w:val="FFFFFF"/>
                <w:sz w:val="22"/>
                <w:szCs w:val="22"/>
              </w:rPr>
            </w:pPr>
          </w:p>
        </w:tc>
      </w:tr>
      <w:tr w:rsidR="00CE1BDB" w:rsidRPr="00FA4DC7" w14:paraId="0563D281" w14:textId="77777777" w:rsidTr="00EF49A7">
        <w:trPr>
          <w:trHeight w:val="272"/>
        </w:trPr>
        <w:tc>
          <w:tcPr>
            <w:tcW w:w="1789" w:type="pct"/>
            <w:shd w:val="clear" w:color="000000" w:fill="FFFFFF"/>
            <w:noWrap/>
            <w:vAlign w:val="center"/>
            <w:hideMark/>
          </w:tcPr>
          <w:p w14:paraId="43B949AF" w14:textId="77777777" w:rsidR="00CE1BDB" w:rsidRPr="00FA4DC7" w:rsidRDefault="00CE1BDB" w:rsidP="00EF49A7">
            <w:pPr>
              <w:rPr>
                <w:rFonts w:cs="Arial"/>
                <w:sz w:val="22"/>
                <w:szCs w:val="22"/>
              </w:rPr>
            </w:pPr>
            <w:r w:rsidRPr="00FA4DC7">
              <w:rPr>
                <w:rFonts w:cs="Arial"/>
                <w:sz w:val="22"/>
                <w:szCs w:val="22"/>
              </w:rPr>
              <w:t xml:space="preserve">Market sale - lower quartile </w:t>
            </w:r>
          </w:p>
        </w:tc>
        <w:tc>
          <w:tcPr>
            <w:tcW w:w="672" w:type="pct"/>
            <w:shd w:val="clear" w:color="auto" w:fill="auto"/>
            <w:noWrap/>
            <w:vAlign w:val="center"/>
            <w:hideMark/>
          </w:tcPr>
          <w:p w14:paraId="364CA022" w14:textId="77777777" w:rsidR="00CE1BDB" w:rsidRPr="00FA4DC7" w:rsidRDefault="00CE1BDB" w:rsidP="00EF49A7">
            <w:pPr>
              <w:jc w:val="right"/>
              <w:rPr>
                <w:rFonts w:cs="Arial"/>
                <w:color w:val="000000"/>
                <w:sz w:val="22"/>
                <w:szCs w:val="22"/>
              </w:rPr>
            </w:pPr>
            <w:r w:rsidRPr="00FA4DC7">
              <w:rPr>
                <w:rFonts w:cs="Arial"/>
                <w:color w:val="000000"/>
                <w:sz w:val="22"/>
                <w:szCs w:val="22"/>
              </w:rPr>
              <w:t>£180,000</w:t>
            </w:r>
          </w:p>
        </w:tc>
        <w:tc>
          <w:tcPr>
            <w:tcW w:w="624" w:type="pct"/>
            <w:shd w:val="clear" w:color="auto" w:fill="auto"/>
            <w:noWrap/>
            <w:vAlign w:val="center"/>
            <w:hideMark/>
          </w:tcPr>
          <w:p w14:paraId="34A7FEDC" w14:textId="77777777" w:rsidR="00CE1BDB" w:rsidRPr="00FA4DC7" w:rsidRDefault="00CE1BDB" w:rsidP="00EF49A7">
            <w:pPr>
              <w:jc w:val="right"/>
              <w:rPr>
                <w:rFonts w:cs="Arial"/>
                <w:color w:val="000000"/>
                <w:sz w:val="22"/>
                <w:szCs w:val="22"/>
              </w:rPr>
            </w:pPr>
            <w:r w:rsidRPr="00FA4DC7">
              <w:rPr>
                <w:rFonts w:cs="Arial"/>
                <w:color w:val="000000"/>
                <w:sz w:val="22"/>
                <w:szCs w:val="22"/>
              </w:rPr>
              <w:t>£160,000</w:t>
            </w:r>
          </w:p>
        </w:tc>
        <w:tc>
          <w:tcPr>
            <w:tcW w:w="645" w:type="pct"/>
            <w:shd w:val="clear" w:color="auto" w:fill="auto"/>
            <w:noWrap/>
            <w:vAlign w:val="center"/>
          </w:tcPr>
          <w:p w14:paraId="2BE914D7" w14:textId="77777777" w:rsidR="00CE1BDB" w:rsidRPr="00FA4DC7" w:rsidRDefault="00CE1BDB" w:rsidP="00EF49A7">
            <w:pPr>
              <w:jc w:val="right"/>
              <w:rPr>
                <w:rFonts w:cs="Arial"/>
                <w:color w:val="000000"/>
                <w:sz w:val="22"/>
                <w:szCs w:val="22"/>
              </w:rPr>
            </w:pPr>
            <w:r w:rsidRPr="00FA4DC7">
              <w:rPr>
                <w:rFonts w:cs="Arial"/>
                <w:color w:val="000000"/>
                <w:sz w:val="22"/>
                <w:szCs w:val="22"/>
              </w:rPr>
              <w:t>£140,000</w:t>
            </w:r>
          </w:p>
        </w:tc>
        <w:tc>
          <w:tcPr>
            <w:tcW w:w="620" w:type="pct"/>
            <w:shd w:val="clear" w:color="auto" w:fill="auto"/>
            <w:noWrap/>
            <w:vAlign w:val="center"/>
            <w:hideMark/>
          </w:tcPr>
          <w:p w14:paraId="27D14A8F" w14:textId="77777777" w:rsidR="00CE1BDB" w:rsidRPr="00FA4DC7" w:rsidRDefault="00CE1BDB" w:rsidP="00EF49A7">
            <w:pPr>
              <w:jc w:val="right"/>
              <w:rPr>
                <w:rFonts w:cs="Arial"/>
                <w:color w:val="000000"/>
                <w:sz w:val="22"/>
                <w:szCs w:val="22"/>
              </w:rPr>
            </w:pPr>
            <w:r w:rsidRPr="00FA4DC7">
              <w:rPr>
                <w:rFonts w:cs="Arial"/>
                <w:color w:val="000000"/>
                <w:sz w:val="22"/>
                <w:szCs w:val="22"/>
              </w:rPr>
              <w:t>£120,000</w:t>
            </w:r>
          </w:p>
        </w:tc>
        <w:tc>
          <w:tcPr>
            <w:tcW w:w="650" w:type="pct"/>
            <w:shd w:val="clear" w:color="auto" w:fill="auto"/>
            <w:noWrap/>
            <w:vAlign w:val="center"/>
            <w:hideMark/>
          </w:tcPr>
          <w:p w14:paraId="23260A3F" w14:textId="77777777" w:rsidR="00CE1BDB" w:rsidRPr="00FA4DC7" w:rsidRDefault="00CE1BDB" w:rsidP="00EF49A7">
            <w:pPr>
              <w:jc w:val="right"/>
              <w:rPr>
                <w:rFonts w:cs="Arial"/>
                <w:color w:val="000000"/>
                <w:sz w:val="22"/>
                <w:szCs w:val="22"/>
              </w:rPr>
            </w:pPr>
            <w:r w:rsidRPr="00FA4DC7">
              <w:rPr>
                <w:rFonts w:cs="Arial"/>
                <w:color w:val="000000"/>
                <w:sz w:val="22"/>
                <w:szCs w:val="22"/>
              </w:rPr>
              <w:t>£200,000</w:t>
            </w:r>
          </w:p>
        </w:tc>
      </w:tr>
      <w:tr w:rsidR="00CE1BDB" w:rsidRPr="00FA4DC7" w14:paraId="28C19394" w14:textId="77777777" w:rsidTr="00EF49A7">
        <w:trPr>
          <w:trHeight w:val="272"/>
        </w:trPr>
        <w:tc>
          <w:tcPr>
            <w:tcW w:w="1789" w:type="pct"/>
            <w:shd w:val="clear" w:color="auto" w:fill="auto"/>
            <w:noWrap/>
            <w:vAlign w:val="center"/>
            <w:hideMark/>
          </w:tcPr>
          <w:p w14:paraId="618F5A81" w14:textId="77777777" w:rsidR="00CE1BDB" w:rsidRPr="00FA4DC7" w:rsidRDefault="00CE1BDB" w:rsidP="00EF49A7">
            <w:pPr>
              <w:rPr>
                <w:rFonts w:cs="Arial"/>
                <w:color w:val="000000"/>
                <w:sz w:val="22"/>
                <w:szCs w:val="22"/>
              </w:rPr>
            </w:pPr>
            <w:r w:rsidRPr="00FA4DC7">
              <w:rPr>
                <w:rFonts w:cs="Arial"/>
                <w:color w:val="000000"/>
                <w:sz w:val="22"/>
                <w:szCs w:val="22"/>
              </w:rPr>
              <w:t xml:space="preserve">Market sale - median </w:t>
            </w:r>
          </w:p>
        </w:tc>
        <w:tc>
          <w:tcPr>
            <w:tcW w:w="672" w:type="pct"/>
            <w:shd w:val="clear" w:color="auto" w:fill="auto"/>
            <w:noWrap/>
            <w:vAlign w:val="center"/>
            <w:hideMark/>
          </w:tcPr>
          <w:p w14:paraId="538FF72E" w14:textId="77777777" w:rsidR="00CE1BDB" w:rsidRPr="00FA4DC7" w:rsidRDefault="00CE1BDB" w:rsidP="00EF49A7">
            <w:pPr>
              <w:jc w:val="right"/>
              <w:rPr>
                <w:rFonts w:cs="Arial"/>
                <w:color w:val="000000"/>
                <w:sz w:val="22"/>
                <w:szCs w:val="22"/>
              </w:rPr>
            </w:pPr>
            <w:r w:rsidRPr="00FA4DC7">
              <w:rPr>
                <w:rFonts w:cs="Arial"/>
                <w:color w:val="000000"/>
                <w:sz w:val="22"/>
                <w:szCs w:val="22"/>
              </w:rPr>
              <w:t>£225,000</w:t>
            </w:r>
          </w:p>
        </w:tc>
        <w:tc>
          <w:tcPr>
            <w:tcW w:w="624" w:type="pct"/>
            <w:shd w:val="clear" w:color="auto" w:fill="auto"/>
            <w:noWrap/>
            <w:vAlign w:val="center"/>
            <w:hideMark/>
          </w:tcPr>
          <w:p w14:paraId="550A8444" w14:textId="77777777" w:rsidR="00CE1BDB" w:rsidRPr="00FA4DC7" w:rsidRDefault="00CE1BDB" w:rsidP="00EF49A7">
            <w:pPr>
              <w:jc w:val="right"/>
              <w:rPr>
                <w:rFonts w:cs="Arial"/>
                <w:color w:val="000000"/>
                <w:sz w:val="22"/>
                <w:szCs w:val="22"/>
              </w:rPr>
            </w:pPr>
            <w:r w:rsidRPr="00FA4DC7">
              <w:rPr>
                <w:rFonts w:cs="Arial"/>
                <w:color w:val="000000"/>
                <w:sz w:val="22"/>
                <w:szCs w:val="22"/>
              </w:rPr>
              <w:t>£200,000</w:t>
            </w:r>
          </w:p>
        </w:tc>
        <w:tc>
          <w:tcPr>
            <w:tcW w:w="645" w:type="pct"/>
            <w:shd w:val="clear" w:color="auto" w:fill="auto"/>
            <w:noWrap/>
            <w:vAlign w:val="center"/>
            <w:hideMark/>
          </w:tcPr>
          <w:p w14:paraId="0F80F567" w14:textId="77777777" w:rsidR="00CE1BDB" w:rsidRPr="00FA4DC7" w:rsidRDefault="00CE1BDB" w:rsidP="00EF49A7">
            <w:pPr>
              <w:jc w:val="right"/>
              <w:rPr>
                <w:rFonts w:cs="Arial"/>
                <w:color w:val="000000"/>
                <w:sz w:val="22"/>
                <w:szCs w:val="22"/>
              </w:rPr>
            </w:pPr>
            <w:r w:rsidRPr="00FA4DC7">
              <w:rPr>
                <w:rFonts w:cs="Arial"/>
                <w:color w:val="000000"/>
                <w:sz w:val="22"/>
                <w:szCs w:val="22"/>
              </w:rPr>
              <w:t>£175,000</w:t>
            </w:r>
          </w:p>
        </w:tc>
        <w:tc>
          <w:tcPr>
            <w:tcW w:w="620" w:type="pct"/>
            <w:shd w:val="clear" w:color="auto" w:fill="auto"/>
            <w:noWrap/>
            <w:vAlign w:val="center"/>
            <w:hideMark/>
          </w:tcPr>
          <w:p w14:paraId="61533BF2" w14:textId="77777777" w:rsidR="00CE1BDB" w:rsidRPr="00FA4DC7" w:rsidRDefault="00CE1BDB" w:rsidP="00EF49A7">
            <w:pPr>
              <w:jc w:val="right"/>
              <w:rPr>
                <w:rFonts w:cs="Arial"/>
                <w:color w:val="000000"/>
                <w:sz w:val="22"/>
                <w:szCs w:val="22"/>
              </w:rPr>
            </w:pPr>
            <w:r w:rsidRPr="00FA4DC7">
              <w:rPr>
                <w:rFonts w:cs="Arial"/>
                <w:color w:val="000000"/>
                <w:sz w:val="22"/>
                <w:szCs w:val="22"/>
              </w:rPr>
              <w:t>£150,000</w:t>
            </w:r>
          </w:p>
        </w:tc>
        <w:tc>
          <w:tcPr>
            <w:tcW w:w="650" w:type="pct"/>
            <w:shd w:val="clear" w:color="auto" w:fill="auto"/>
            <w:noWrap/>
            <w:vAlign w:val="center"/>
            <w:hideMark/>
          </w:tcPr>
          <w:p w14:paraId="512F9059" w14:textId="77777777" w:rsidR="00CE1BDB" w:rsidRPr="00FA4DC7" w:rsidRDefault="00CE1BDB" w:rsidP="00EF49A7">
            <w:pPr>
              <w:jc w:val="right"/>
              <w:rPr>
                <w:rFonts w:cs="Arial"/>
                <w:color w:val="000000"/>
                <w:sz w:val="22"/>
                <w:szCs w:val="22"/>
              </w:rPr>
            </w:pPr>
            <w:r w:rsidRPr="00FA4DC7">
              <w:rPr>
                <w:rFonts w:cs="Arial"/>
                <w:color w:val="000000"/>
                <w:sz w:val="22"/>
                <w:szCs w:val="22"/>
              </w:rPr>
              <w:t>£250,000</w:t>
            </w:r>
          </w:p>
        </w:tc>
      </w:tr>
      <w:tr w:rsidR="00CE1BDB" w:rsidRPr="00FA4DC7" w14:paraId="7B393818" w14:textId="77777777" w:rsidTr="00EF49A7">
        <w:trPr>
          <w:trHeight w:val="272"/>
        </w:trPr>
        <w:tc>
          <w:tcPr>
            <w:tcW w:w="1789" w:type="pct"/>
            <w:shd w:val="clear" w:color="auto" w:fill="auto"/>
            <w:noWrap/>
            <w:vAlign w:val="center"/>
            <w:hideMark/>
          </w:tcPr>
          <w:p w14:paraId="2547682A" w14:textId="77777777" w:rsidR="00CE1BDB" w:rsidRPr="00FA4DC7" w:rsidRDefault="00CE1BDB" w:rsidP="00EF49A7">
            <w:pPr>
              <w:rPr>
                <w:rFonts w:cs="Arial"/>
                <w:color w:val="000000"/>
                <w:sz w:val="22"/>
                <w:szCs w:val="22"/>
              </w:rPr>
            </w:pPr>
            <w:r w:rsidRPr="00FA4DC7">
              <w:rPr>
                <w:rFonts w:cs="Arial"/>
                <w:color w:val="000000"/>
                <w:sz w:val="22"/>
                <w:szCs w:val="22"/>
              </w:rPr>
              <w:t xml:space="preserve">Market sale - average </w:t>
            </w:r>
          </w:p>
        </w:tc>
        <w:tc>
          <w:tcPr>
            <w:tcW w:w="672" w:type="pct"/>
            <w:shd w:val="clear" w:color="auto" w:fill="auto"/>
            <w:noWrap/>
            <w:vAlign w:val="center"/>
            <w:hideMark/>
          </w:tcPr>
          <w:p w14:paraId="3F73CD1A" w14:textId="77777777" w:rsidR="00CE1BDB" w:rsidRPr="00FA4DC7" w:rsidRDefault="00CE1BDB" w:rsidP="00EF49A7">
            <w:pPr>
              <w:jc w:val="right"/>
              <w:rPr>
                <w:rFonts w:cs="Arial"/>
                <w:color w:val="000000"/>
                <w:sz w:val="22"/>
                <w:szCs w:val="22"/>
              </w:rPr>
            </w:pPr>
            <w:r w:rsidRPr="00FA4DC7">
              <w:rPr>
                <w:rFonts w:cs="Arial"/>
                <w:color w:val="000000"/>
                <w:sz w:val="22"/>
                <w:szCs w:val="22"/>
              </w:rPr>
              <w:t>£293,329</w:t>
            </w:r>
          </w:p>
        </w:tc>
        <w:tc>
          <w:tcPr>
            <w:tcW w:w="624" w:type="pct"/>
            <w:shd w:val="clear" w:color="auto" w:fill="auto"/>
            <w:noWrap/>
            <w:vAlign w:val="center"/>
            <w:hideMark/>
          </w:tcPr>
          <w:p w14:paraId="589040FA" w14:textId="77777777" w:rsidR="00CE1BDB" w:rsidRPr="00FA4DC7" w:rsidRDefault="00CE1BDB" w:rsidP="00EF49A7">
            <w:pPr>
              <w:jc w:val="right"/>
              <w:rPr>
                <w:rFonts w:cs="Arial"/>
                <w:color w:val="000000"/>
                <w:sz w:val="22"/>
                <w:szCs w:val="22"/>
              </w:rPr>
            </w:pPr>
            <w:r w:rsidRPr="00FA4DC7">
              <w:rPr>
                <w:rFonts w:cs="Arial"/>
                <w:color w:val="000000"/>
                <w:sz w:val="22"/>
                <w:szCs w:val="22"/>
              </w:rPr>
              <w:t>£260,737</w:t>
            </w:r>
          </w:p>
        </w:tc>
        <w:tc>
          <w:tcPr>
            <w:tcW w:w="645" w:type="pct"/>
            <w:shd w:val="clear" w:color="auto" w:fill="auto"/>
            <w:noWrap/>
            <w:vAlign w:val="center"/>
            <w:hideMark/>
          </w:tcPr>
          <w:p w14:paraId="31198B31" w14:textId="77777777" w:rsidR="00CE1BDB" w:rsidRPr="00FA4DC7" w:rsidRDefault="00CE1BDB" w:rsidP="00EF49A7">
            <w:pPr>
              <w:jc w:val="right"/>
              <w:rPr>
                <w:rFonts w:cs="Arial"/>
                <w:color w:val="000000"/>
                <w:sz w:val="22"/>
                <w:szCs w:val="22"/>
              </w:rPr>
            </w:pPr>
            <w:r w:rsidRPr="00FA4DC7">
              <w:rPr>
                <w:rFonts w:cs="Arial"/>
                <w:color w:val="000000"/>
                <w:sz w:val="22"/>
                <w:szCs w:val="22"/>
              </w:rPr>
              <w:t>£228,145</w:t>
            </w:r>
          </w:p>
        </w:tc>
        <w:tc>
          <w:tcPr>
            <w:tcW w:w="620" w:type="pct"/>
            <w:shd w:val="clear" w:color="auto" w:fill="auto"/>
            <w:noWrap/>
            <w:vAlign w:val="center"/>
            <w:hideMark/>
          </w:tcPr>
          <w:p w14:paraId="3BFD9E82" w14:textId="77777777" w:rsidR="00CE1BDB" w:rsidRPr="00FA4DC7" w:rsidRDefault="00CE1BDB" w:rsidP="00EF49A7">
            <w:pPr>
              <w:jc w:val="right"/>
              <w:rPr>
                <w:rFonts w:cs="Arial"/>
                <w:color w:val="000000"/>
                <w:sz w:val="22"/>
                <w:szCs w:val="22"/>
              </w:rPr>
            </w:pPr>
            <w:r w:rsidRPr="00FA4DC7">
              <w:rPr>
                <w:rFonts w:cs="Arial"/>
                <w:color w:val="000000"/>
                <w:sz w:val="22"/>
                <w:szCs w:val="22"/>
              </w:rPr>
              <w:t>£195,552</w:t>
            </w:r>
          </w:p>
        </w:tc>
        <w:tc>
          <w:tcPr>
            <w:tcW w:w="650" w:type="pct"/>
            <w:shd w:val="clear" w:color="auto" w:fill="auto"/>
            <w:noWrap/>
            <w:vAlign w:val="center"/>
            <w:hideMark/>
          </w:tcPr>
          <w:p w14:paraId="0BB6B48D" w14:textId="77777777" w:rsidR="00CE1BDB" w:rsidRPr="00FA4DC7" w:rsidRDefault="00CE1BDB" w:rsidP="00EF49A7">
            <w:pPr>
              <w:jc w:val="right"/>
              <w:rPr>
                <w:rFonts w:cs="Arial"/>
                <w:color w:val="000000"/>
                <w:sz w:val="22"/>
                <w:szCs w:val="22"/>
              </w:rPr>
            </w:pPr>
            <w:r w:rsidRPr="00FA4DC7">
              <w:rPr>
                <w:rFonts w:cs="Arial"/>
                <w:color w:val="000000"/>
                <w:sz w:val="22"/>
                <w:szCs w:val="22"/>
              </w:rPr>
              <w:t>£325,921</w:t>
            </w:r>
          </w:p>
        </w:tc>
      </w:tr>
      <w:tr w:rsidR="00CE1BDB" w:rsidRPr="00FA4DC7" w14:paraId="00188F1A" w14:textId="77777777" w:rsidTr="00EF49A7">
        <w:trPr>
          <w:gridAfter w:val="1"/>
          <w:wAfter w:w="650" w:type="pct"/>
          <w:trHeight w:val="272"/>
        </w:trPr>
        <w:tc>
          <w:tcPr>
            <w:tcW w:w="1789" w:type="pct"/>
            <w:shd w:val="clear" w:color="auto" w:fill="006666"/>
            <w:noWrap/>
            <w:vAlign w:val="center"/>
            <w:hideMark/>
          </w:tcPr>
          <w:p w14:paraId="5D29FDBB"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Household income required (3.5x multiple)</w:t>
            </w:r>
          </w:p>
        </w:tc>
        <w:tc>
          <w:tcPr>
            <w:tcW w:w="672" w:type="pct"/>
            <w:shd w:val="clear" w:color="auto" w:fill="006666"/>
            <w:noWrap/>
            <w:vAlign w:val="center"/>
            <w:hideMark/>
          </w:tcPr>
          <w:p w14:paraId="2EF7E971"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10%</w:t>
            </w:r>
          </w:p>
        </w:tc>
        <w:tc>
          <w:tcPr>
            <w:tcW w:w="624" w:type="pct"/>
            <w:shd w:val="clear" w:color="auto" w:fill="006666"/>
            <w:noWrap/>
            <w:vAlign w:val="center"/>
            <w:hideMark/>
          </w:tcPr>
          <w:p w14:paraId="77C36D36"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20%</w:t>
            </w:r>
          </w:p>
        </w:tc>
        <w:tc>
          <w:tcPr>
            <w:tcW w:w="645" w:type="pct"/>
            <w:shd w:val="clear" w:color="auto" w:fill="006666"/>
            <w:noWrap/>
            <w:vAlign w:val="center"/>
            <w:hideMark/>
          </w:tcPr>
          <w:p w14:paraId="1F41B6AB"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30%</w:t>
            </w:r>
          </w:p>
        </w:tc>
        <w:tc>
          <w:tcPr>
            <w:tcW w:w="620" w:type="pct"/>
            <w:shd w:val="clear" w:color="auto" w:fill="006666"/>
            <w:noWrap/>
            <w:vAlign w:val="center"/>
            <w:hideMark/>
          </w:tcPr>
          <w:p w14:paraId="37096FF3"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40%</w:t>
            </w:r>
          </w:p>
        </w:tc>
      </w:tr>
      <w:tr w:rsidR="00CE1BDB" w:rsidRPr="00FA4DC7" w14:paraId="7A2CDE8C" w14:textId="77777777" w:rsidTr="00EF49A7">
        <w:trPr>
          <w:gridAfter w:val="1"/>
          <w:wAfter w:w="650" w:type="pct"/>
          <w:trHeight w:val="272"/>
        </w:trPr>
        <w:tc>
          <w:tcPr>
            <w:tcW w:w="1789" w:type="pct"/>
            <w:shd w:val="clear" w:color="000000" w:fill="FFFFFF"/>
            <w:noWrap/>
            <w:vAlign w:val="center"/>
            <w:hideMark/>
          </w:tcPr>
          <w:p w14:paraId="49369968" w14:textId="77777777" w:rsidR="00CE1BDB" w:rsidRPr="00FA4DC7" w:rsidRDefault="00CE1BDB" w:rsidP="00EF49A7">
            <w:pPr>
              <w:rPr>
                <w:rFonts w:cs="Arial"/>
                <w:sz w:val="22"/>
                <w:szCs w:val="22"/>
              </w:rPr>
            </w:pPr>
            <w:r w:rsidRPr="00FA4DC7">
              <w:rPr>
                <w:rFonts w:cs="Arial"/>
                <w:sz w:val="22"/>
                <w:szCs w:val="22"/>
              </w:rPr>
              <w:t xml:space="preserve">Market sale - lower quartile </w:t>
            </w:r>
          </w:p>
        </w:tc>
        <w:tc>
          <w:tcPr>
            <w:tcW w:w="672" w:type="pct"/>
            <w:shd w:val="clear" w:color="auto" w:fill="auto"/>
            <w:noWrap/>
            <w:vAlign w:val="center"/>
            <w:hideMark/>
          </w:tcPr>
          <w:p w14:paraId="4EA81721" w14:textId="77777777" w:rsidR="00CE1BDB" w:rsidRPr="00FA4DC7" w:rsidRDefault="00CE1BDB" w:rsidP="00EF49A7">
            <w:pPr>
              <w:jc w:val="right"/>
              <w:rPr>
                <w:rFonts w:cs="Arial"/>
                <w:color w:val="000000"/>
                <w:sz w:val="22"/>
                <w:szCs w:val="22"/>
              </w:rPr>
            </w:pPr>
            <w:r w:rsidRPr="00FA4DC7">
              <w:rPr>
                <w:rFonts w:cs="Arial"/>
                <w:color w:val="000000"/>
                <w:sz w:val="22"/>
                <w:szCs w:val="22"/>
              </w:rPr>
              <w:t>£51,429</w:t>
            </w:r>
          </w:p>
        </w:tc>
        <w:tc>
          <w:tcPr>
            <w:tcW w:w="624" w:type="pct"/>
            <w:shd w:val="clear" w:color="auto" w:fill="auto"/>
            <w:noWrap/>
            <w:vAlign w:val="center"/>
            <w:hideMark/>
          </w:tcPr>
          <w:p w14:paraId="218C2721" w14:textId="77777777" w:rsidR="00CE1BDB" w:rsidRPr="00FA4DC7" w:rsidRDefault="00CE1BDB" w:rsidP="00EF49A7">
            <w:pPr>
              <w:jc w:val="right"/>
              <w:rPr>
                <w:rFonts w:cs="Arial"/>
                <w:color w:val="000000"/>
                <w:sz w:val="22"/>
                <w:szCs w:val="22"/>
              </w:rPr>
            </w:pPr>
            <w:r w:rsidRPr="00FA4DC7">
              <w:rPr>
                <w:rFonts w:cs="Arial"/>
                <w:color w:val="000000"/>
                <w:sz w:val="22"/>
                <w:szCs w:val="22"/>
              </w:rPr>
              <w:t>£45,714</w:t>
            </w:r>
          </w:p>
        </w:tc>
        <w:tc>
          <w:tcPr>
            <w:tcW w:w="645" w:type="pct"/>
            <w:shd w:val="clear" w:color="auto" w:fill="auto"/>
            <w:noWrap/>
            <w:vAlign w:val="center"/>
            <w:hideMark/>
          </w:tcPr>
          <w:p w14:paraId="18C5E42C" w14:textId="77777777" w:rsidR="00CE1BDB" w:rsidRPr="00FA4DC7" w:rsidRDefault="00CE1BDB" w:rsidP="00EF49A7">
            <w:pPr>
              <w:jc w:val="right"/>
              <w:rPr>
                <w:rFonts w:cs="Arial"/>
                <w:color w:val="000000"/>
                <w:sz w:val="22"/>
                <w:szCs w:val="22"/>
              </w:rPr>
            </w:pPr>
            <w:r w:rsidRPr="00FA4DC7">
              <w:rPr>
                <w:rFonts w:cs="Arial"/>
                <w:color w:val="000000"/>
                <w:sz w:val="22"/>
                <w:szCs w:val="22"/>
              </w:rPr>
              <w:t>£40,000</w:t>
            </w:r>
          </w:p>
        </w:tc>
        <w:tc>
          <w:tcPr>
            <w:tcW w:w="620" w:type="pct"/>
            <w:shd w:val="clear" w:color="auto" w:fill="auto"/>
            <w:noWrap/>
            <w:vAlign w:val="center"/>
            <w:hideMark/>
          </w:tcPr>
          <w:p w14:paraId="7ACF34E3" w14:textId="77777777" w:rsidR="00CE1BDB" w:rsidRPr="00FA4DC7" w:rsidRDefault="00CE1BDB" w:rsidP="00EF49A7">
            <w:pPr>
              <w:jc w:val="right"/>
              <w:rPr>
                <w:rFonts w:cs="Arial"/>
                <w:color w:val="000000"/>
                <w:sz w:val="22"/>
                <w:szCs w:val="22"/>
              </w:rPr>
            </w:pPr>
            <w:r w:rsidRPr="00FA4DC7">
              <w:rPr>
                <w:rFonts w:cs="Arial"/>
                <w:color w:val="000000"/>
                <w:sz w:val="22"/>
                <w:szCs w:val="22"/>
              </w:rPr>
              <w:t>£34,286</w:t>
            </w:r>
          </w:p>
        </w:tc>
      </w:tr>
      <w:tr w:rsidR="00CE1BDB" w:rsidRPr="00FA4DC7" w14:paraId="5AC73376" w14:textId="77777777" w:rsidTr="00EF49A7">
        <w:trPr>
          <w:gridAfter w:val="1"/>
          <w:wAfter w:w="650" w:type="pct"/>
          <w:trHeight w:val="272"/>
        </w:trPr>
        <w:tc>
          <w:tcPr>
            <w:tcW w:w="1789" w:type="pct"/>
            <w:shd w:val="clear" w:color="auto" w:fill="auto"/>
            <w:noWrap/>
            <w:vAlign w:val="center"/>
            <w:hideMark/>
          </w:tcPr>
          <w:p w14:paraId="2662AB41" w14:textId="77777777" w:rsidR="00CE1BDB" w:rsidRPr="00FA4DC7" w:rsidRDefault="00CE1BDB" w:rsidP="00EF49A7">
            <w:pPr>
              <w:rPr>
                <w:rFonts w:cs="Arial"/>
                <w:color w:val="000000"/>
                <w:sz w:val="22"/>
                <w:szCs w:val="22"/>
              </w:rPr>
            </w:pPr>
            <w:r w:rsidRPr="00FA4DC7">
              <w:rPr>
                <w:rFonts w:cs="Arial"/>
                <w:color w:val="000000"/>
                <w:sz w:val="22"/>
                <w:szCs w:val="22"/>
              </w:rPr>
              <w:t xml:space="preserve">Market sale - median </w:t>
            </w:r>
          </w:p>
        </w:tc>
        <w:tc>
          <w:tcPr>
            <w:tcW w:w="672" w:type="pct"/>
            <w:shd w:val="clear" w:color="auto" w:fill="auto"/>
            <w:noWrap/>
            <w:vAlign w:val="center"/>
            <w:hideMark/>
          </w:tcPr>
          <w:p w14:paraId="3250A2F9" w14:textId="77777777" w:rsidR="00CE1BDB" w:rsidRPr="00FA4DC7" w:rsidRDefault="00CE1BDB" w:rsidP="00EF49A7">
            <w:pPr>
              <w:jc w:val="right"/>
              <w:rPr>
                <w:rFonts w:cs="Arial"/>
                <w:color w:val="000000"/>
                <w:sz w:val="22"/>
                <w:szCs w:val="22"/>
              </w:rPr>
            </w:pPr>
            <w:r w:rsidRPr="00FA4DC7">
              <w:rPr>
                <w:rFonts w:cs="Arial"/>
                <w:color w:val="000000"/>
                <w:sz w:val="22"/>
                <w:szCs w:val="22"/>
              </w:rPr>
              <w:t>£64,286</w:t>
            </w:r>
          </w:p>
        </w:tc>
        <w:tc>
          <w:tcPr>
            <w:tcW w:w="624" w:type="pct"/>
            <w:shd w:val="clear" w:color="auto" w:fill="auto"/>
            <w:noWrap/>
            <w:vAlign w:val="center"/>
            <w:hideMark/>
          </w:tcPr>
          <w:p w14:paraId="5A88F370" w14:textId="77777777" w:rsidR="00CE1BDB" w:rsidRPr="00FA4DC7" w:rsidRDefault="00CE1BDB" w:rsidP="00EF49A7">
            <w:pPr>
              <w:jc w:val="right"/>
              <w:rPr>
                <w:rFonts w:cs="Arial"/>
                <w:color w:val="000000"/>
                <w:sz w:val="22"/>
                <w:szCs w:val="22"/>
              </w:rPr>
            </w:pPr>
            <w:r w:rsidRPr="00FA4DC7">
              <w:rPr>
                <w:rFonts w:cs="Arial"/>
                <w:color w:val="000000"/>
                <w:sz w:val="22"/>
                <w:szCs w:val="22"/>
              </w:rPr>
              <w:t>£57,143</w:t>
            </w:r>
          </w:p>
        </w:tc>
        <w:tc>
          <w:tcPr>
            <w:tcW w:w="645" w:type="pct"/>
            <w:shd w:val="clear" w:color="auto" w:fill="auto"/>
            <w:noWrap/>
            <w:vAlign w:val="center"/>
            <w:hideMark/>
          </w:tcPr>
          <w:p w14:paraId="52EFE661" w14:textId="77777777" w:rsidR="00CE1BDB" w:rsidRPr="00FA4DC7" w:rsidRDefault="00CE1BDB" w:rsidP="00EF49A7">
            <w:pPr>
              <w:jc w:val="right"/>
              <w:rPr>
                <w:rFonts w:cs="Arial"/>
                <w:color w:val="000000"/>
                <w:sz w:val="22"/>
                <w:szCs w:val="22"/>
              </w:rPr>
            </w:pPr>
            <w:r w:rsidRPr="00FA4DC7">
              <w:rPr>
                <w:rFonts w:cs="Arial"/>
                <w:color w:val="000000"/>
                <w:sz w:val="22"/>
                <w:szCs w:val="22"/>
              </w:rPr>
              <w:t>£50,000</w:t>
            </w:r>
          </w:p>
        </w:tc>
        <w:tc>
          <w:tcPr>
            <w:tcW w:w="620" w:type="pct"/>
            <w:shd w:val="clear" w:color="auto" w:fill="auto"/>
            <w:noWrap/>
            <w:vAlign w:val="center"/>
            <w:hideMark/>
          </w:tcPr>
          <w:p w14:paraId="5865F725" w14:textId="77777777" w:rsidR="00CE1BDB" w:rsidRPr="00FA4DC7" w:rsidRDefault="00CE1BDB" w:rsidP="00EF49A7">
            <w:pPr>
              <w:jc w:val="right"/>
              <w:rPr>
                <w:rFonts w:cs="Arial"/>
                <w:color w:val="000000"/>
                <w:sz w:val="22"/>
                <w:szCs w:val="22"/>
              </w:rPr>
            </w:pPr>
            <w:r w:rsidRPr="00FA4DC7">
              <w:rPr>
                <w:rFonts w:cs="Arial"/>
                <w:color w:val="000000"/>
                <w:sz w:val="22"/>
                <w:szCs w:val="22"/>
              </w:rPr>
              <w:t>£42,857</w:t>
            </w:r>
          </w:p>
        </w:tc>
      </w:tr>
      <w:tr w:rsidR="00CE1BDB" w:rsidRPr="00FA4DC7" w14:paraId="0DAAB6B1" w14:textId="77777777" w:rsidTr="00EF49A7">
        <w:trPr>
          <w:gridAfter w:val="1"/>
          <w:wAfter w:w="650" w:type="pct"/>
          <w:trHeight w:val="272"/>
        </w:trPr>
        <w:tc>
          <w:tcPr>
            <w:tcW w:w="1789" w:type="pct"/>
            <w:shd w:val="clear" w:color="auto" w:fill="auto"/>
            <w:noWrap/>
            <w:vAlign w:val="center"/>
            <w:hideMark/>
          </w:tcPr>
          <w:p w14:paraId="270E1AB9" w14:textId="77777777" w:rsidR="00CE1BDB" w:rsidRPr="00FA4DC7" w:rsidRDefault="00CE1BDB" w:rsidP="00EF49A7">
            <w:pPr>
              <w:rPr>
                <w:rFonts w:cs="Arial"/>
                <w:color w:val="000000"/>
                <w:sz w:val="22"/>
                <w:szCs w:val="22"/>
              </w:rPr>
            </w:pPr>
            <w:r w:rsidRPr="00FA4DC7">
              <w:rPr>
                <w:rFonts w:cs="Arial"/>
                <w:color w:val="000000"/>
                <w:sz w:val="22"/>
                <w:szCs w:val="22"/>
              </w:rPr>
              <w:t xml:space="preserve">Market sale - average </w:t>
            </w:r>
          </w:p>
        </w:tc>
        <w:tc>
          <w:tcPr>
            <w:tcW w:w="672" w:type="pct"/>
            <w:shd w:val="clear" w:color="auto" w:fill="auto"/>
            <w:noWrap/>
            <w:vAlign w:val="center"/>
            <w:hideMark/>
          </w:tcPr>
          <w:p w14:paraId="6323F16A" w14:textId="77777777" w:rsidR="00CE1BDB" w:rsidRPr="00FA4DC7" w:rsidRDefault="00CE1BDB" w:rsidP="00EF49A7">
            <w:pPr>
              <w:jc w:val="right"/>
              <w:rPr>
                <w:rFonts w:cs="Arial"/>
                <w:color w:val="000000"/>
                <w:sz w:val="22"/>
                <w:szCs w:val="22"/>
              </w:rPr>
            </w:pPr>
            <w:r w:rsidRPr="00FA4DC7">
              <w:rPr>
                <w:rFonts w:cs="Arial"/>
                <w:color w:val="000000"/>
                <w:sz w:val="22"/>
                <w:szCs w:val="22"/>
              </w:rPr>
              <w:t>£83,808</w:t>
            </w:r>
          </w:p>
        </w:tc>
        <w:tc>
          <w:tcPr>
            <w:tcW w:w="624" w:type="pct"/>
            <w:shd w:val="clear" w:color="auto" w:fill="auto"/>
            <w:noWrap/>
            <w:vAlign w:val="center"/>
            <w:hideMark/>
          </w:tcPr>
          <w:p w14:paraId="74F150E9" w14:textId="77777777" w:rsidR="00CE1BDB" w:rsidRPr="00FA4DC7" w:rsidRDefault="00CE1BDB" w:rsidP="00EF49A7">
            <w:pPr>
              <w:jc w:val="right"/>
              <w:rPr>
                <w:rFonts w:cs="Arial"/>
                <w:color w:val="000000"/>
                <w:sz w:val="22"/>
                <w:szCs w:val="22"/>
              </w:rPr>
            </w:pPr>
            <w:r w:rsidRPr="00FA4DC7">
              <w:rPr>
                <w:rFonts w:cs="Arial"/>
                <w:color w:val="000000"/>
                <w:sz w:val="22"/>
                <w:szCs w:val="22"/>
              </w:rPr>
              <w:t>£74,496</w:t>
            </w:r>
          </w:p>
        </w:tc>
        <w:tc>
          <w:tcPr>
            <w:tcW w:w="645" w:type="pct"/>
            <w:shd w:val="clear" w:color="auto" w:fill="auto"/>
            <w:noWrap/>
            <w:vAlign w:val="center"/>
            <w:hideMark/>
          </w:tcPr>
          <w:p w14:paraId="68B9FFF1" w14:textId="77777777" w:rsidR="00CE1BDB" w:rsidRPr="00FA4DC7" w:rsidRDefault="00CE1BDB" w:rsidP="00EF49A7">
            <w:pPr>
              <w:jc w:val="right"/>
              <w:rPr>
                <w:rFonts w:cs="Arial"/>
                <w:color w:val="000000"/>
                <w:sz w:val="22"/>
                <w:szCs w:val="22"/>
              </w:rPr>
            </w:pPr>
            <w:r w:rsidRPr="00FA4DC7">
              <w:rPr>
                <w:rFonts w:cs="Arial"/>
                <w:color w:val="000000"/>
                <w:sz w:val="22"/>
                <w:szCs w:val="22"/>
              </w:rPr>
              <w:t>£65,184</w:t>
            </w:r>
          </w:p>
        </w:tc>
        <w:tc>
          <w:tcPr>
            <w:tcW w:w="620" w:type="pct"/>
            <w:shd w:val="clear" w:color="auto" w:fill="auto"/>
            <w:noWrap/>
            <w:vAlign w:val="center"/>
            <w:hideMark/>
          </w:tcPr>
          <w:p w14:paraId="429C9FC9" w14:textId="77777777" w:rsidR="00CE1BDB" w:rsidRPr="00FA4DC7" w:rsidRDefault="00CE1BDB" w:rsidP="00EF49A7">
            <w:pPr>
              <w:jc w:val="right"/>
              <w:rPr>
                <w:rFonts w:cs="Arial"/>
                <w:color w:val="000000"/>
                <w:sz w:val="22"/>
                <w:szCs w:val="22"/>
              </w:rPr>
            </w:pPr>
            <w:r w:rsidRPr="00FA4DC7">
              <w:rPr>
                <w:rFonts w:cs="Arial"/>
                <w:color w:val="000000"/>
                <w:sz w:val="22"/>
                <w:szCs w:val="22"/>
              </w:rPr>
              <w:t>£55,872</w:t>
            </w:r>
          </w:p>
        </w:tc>
      </w:tr>
      <w:tr w:rsidR="00CE1BDB" w:rsidRPr="00FA4DC7" w14:paraId="76D65612" w14:textId="77777777" w:rsidTr="00EF49A7">
        <w:trPr>
          <w:gridAfter w:val="1"/>
          <w:wAfter w:w="650" w:type="pct"/>
          <w:trHeight w:val="272"/>
        </w:trPr>
        <w:tc>
          <w:tcPr>
            <w:tcW w:w="1789" w:type="pct"/>
            <w:shd w:val="clear" w:color="auto" w:fill="006666"/>
            <w:noWrap/>
            <w:vAlign w:val="center"/>
            <w:hideMark/>
          </w:tcPr>
          <w:p w14:paraId="692F6184"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Household income required (5x multiple)</w:t>
            </w:r>
          </w:p>
        </w:tc>
        <w:tc>
          <w:tcPr>
            <w:tcW w:w="672" w:type="pct"/>
            <w:shd w:val="clear" w:color="auto" w:fill="006666"/>
            <w:noWrap/>
            <w:vAlign w:val="center"/>
            <w:hideMark/>
          </w:tcPr>
          <w:p w14:paraId="59BCEE27"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10%</w:t>
            </w:r>
          </w:p>
        </w:tc>
        <w:tc>
          <w:tcPr>
            <w:tcW w:w="624" w:type="pct"/>
            <w:shd w:val="clear" w:color="auto" w:fill="006666"/>
            <w:noWrap/>
            <w:vAlign w:val="center"/>
            <w:hideMark/>
          </w:tcPr>
          <w:p w14:paraId="400928E8"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20%</w:t>
            </w:r>
          </w:p>
        </w:tc>
        <w:tc>
          <w:tcPr>
            <w:tcW w:w="645" w:type="pct"/>
            <w:shd w:val="clear" w:color="auto" w:fill="006666"/>
            <w:noWrap/>
            <w:vAlign w:val="center"/>
            <w:hideMark/>
          </w:tcPr>
          <w:p w14:paraId="3A7324D9"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30%</w:t>
            </w:r>
          </w:p>
        </w:tc>
        <w:tc>
          <w:tcPr>
            <w:tcW w:w="620" w:type="pct"/>
            <w:shd w:val="clear" w:color="auto" w:fill="006666"/>
            <w:noWrap/>
            <w:vAlign w:val="center"/>
            <w:hideMark/>
          </w:tcPr>
          <w:p w14:paraId="6E596721" w14:textId="77777777" w:rsidR="00CE1BDB" w:rsidRPr="00FA4DC7" w:rsidRDefault="00CE1BDB" w:rsidP="00EF49A7">
            <w:pPr>
              <w:jc w:val="center"/>
              <w:rPr>
                <w:rFonts w:cs="Arial"/>
                <w:color w:val="FFFFFF" w:themeColor="background1"/>
                <w:sz w:val="22"/>
                <w:szCs w:val="22"/>
              </w:rPr>
            </w:pPr>
            <w:r w:rsidRPr="00FA4DC7">
              <w:rPr>
                <w:rFonts w:cs="Arial"/>
                <w:color w:val="FFFFFF"/>
                <w:sz w:val="22"/>
                <w:szCs w:val="22"/>
              </w:rPr>
              <w:t>40%</w:t>
            </w:r>
          </w:p>
        </w:tc>
      </w:tr>
      <w:tr w:rsidR="00CE1BDB" w:rsidRPr="00FA4DC7" w14:paraId="1F696583" w14:textId="77777777" w:rsidTr="00EF49A7">
        <w:trPr>
          <w:gridAfter w:val="1"/>
          <w:wAfter w:w="650" w:type="pct"/>
          <w:trHeight w:val="272"/>
        </w:trPr>
        <w:tc>
          <w:tcPr>
            <w:tcW w:w="1789" w:type="pct"/>
            <w:shd w:val="clear" w:color="000000" w:fill="FFFFFF"/>
            <w:noWrap/>
            <w:vAlign w:val="center"/>
            <w:hideMark/>
          </w:tcPr>
          <w:p w14:paraId="17B0DEC3" w14:textId="77777777" w:rsidR="00CE1BDB" w:rsidRPr="00FA4DC7" w:rsidRDefault="00CE1BDB" w:rsidP="00EF49A7">
            <w:pPr>
              <w:rPr>
                <w:rFonts w:cs="Arial"/>
                <w:sz w:val="22"/>
                <w:szCs w:val="22"/>
              </w:rPr>
            </w:pPr>
            <w:r w:rsidRPr="00FA4DC7">
              <w:rPr>
                <w:rFonts w:cs="Arial"/>
                <w:sz w:val="22"/>
                <w:szCs w:val="22"/>
              </w:rPr>
              <w:t xml:space="preserve">Market sale - lower quartile </w:t>
            </w:r>
          </w:p>
        </w:tc>
        <w:tc>
          <w:tcPr>
            <w:tcW w:w="672" w:type="pct"/>
            <w:shd w:val="clear" w:color="auto" w:fill="auto"/>
            <w:noWrap/>
            <w:vAlign w:val="center"/>
            <w:hideMark/>
          </w:tcPr>
          <w:p w14:paraId="775E99CE" w14:textId="77777777" w:rsidR="00CE1BDB" w:rsidRPr="00FA4DC7" w:rsidRDefault="00CE1BDB" w:rsidP="00EF49A7">
            <w:pPr>
              <w:jc w:val="right"/>
              <w:rPr>
                <w:rFonts w:cs="Arial"/>
                <w:color w:val="000000"/>
                <w:sz w:val="22"/>
                <w:szCs w:val="22"/>
              </w:rPr>
            </w:pPr>
            <w:r w:rsidRPr="00FA4DC7">
              <w:rPr>
                <w:rFonts w:cs="Arial"/>
                <w:color w:val="000000"/>
                <w:sz w:val="22"/>
                <w:szCs w:val="22"/>
              </w:rPr>
              <w:t>£36,000</w:t>
            </w:r>
          </w:p>
        </w:tc>
        <w:tc>
          <w:tcPr>
            <w:tcW w:w="624" w:type="pct"/>
            <w:shd w:val="clear" w:color="auto" w:fill="auto"/>
            <w:noWrap/>
            <w:vAlign w:val="center"/>
            <w:hideMark/>
          </w:tcPr>
          <w:p w14:paraId="033F722B" w14:textId="77777777" w:rsidR="00CE1BDB" w:rsidRPr="00FA4DC7" w:rsidRDefault="00CE1BDB" w:rsidP="00EF49A7">
            <w:pPr>
              <w:jc w:val="right"/>
              <w:rPr>
                <w:rFonts w:cs="Arial"/>
                <w:color w:val="000000"/>
                <w:sz w:val="22"/>
                <w:szCs w:val="22"/>
              </w:rPr>
            </w:pPr>
            <w:r w:rsidRPr="00FA4DC7">
              <w:rPr>
                <w:rFonts w:cs="Arial"/>
                <w:color w:val="000000"/>
                <w:sz w:val="22"/>
                <w:szCs w:val="22"/>
              </w:rPr>
              <w:t>£32,000</w:t>
            </w:r>
          </w:p>
        </w:tc>
        <w:tc>
          <w:tcPr>
            <w:tcW w:w="645" w:type="pct"/>
            <w:shd w:val="clear" w:color="auto" w:fill="auto"/>
            <w:noWrap/>
            <w:vAlign w:val="center"/>
            <w:hideMark/>
          </w:tcPr>
          <w:p w14:paraId="340B98B0" w14:textId="77777777" w:rsidR="00CE1BDB" w:rsidRPr="00FA4DC7" w:rsidRDefault="00CE1BDB" w:rsidP="00EF49A7">
            <w:pPr>
              <w:jc w:val="right"/>
              <w:rPr>
                <w:rFonts w:cs="Arial"/>
                <w:color w:val="000000"/>
                <w:sz w:val="22"/>
                <w:szCs w:val="22"/>
              </w:rPr>
            </w:pPr>
            <w:r w:rsidRPr="00FA4DC7">
              <w:rPr>
                <w:rFonts w:cs="Arial"/>
                <w:color w:val="000000"/>
                <w:sz w:val="22"/>
                <w:szCs w:val="22"/>
              </w:rPr>
              <w:t>£28,000</w:t>
            </w:r>
          </w:p>
        </w:tc>
        <w:tc>
          <w:tcPr>
            <w:tcW w:w="620" w:type="pct"/>
            <w:shd w:val="clear" w:color="auto" w:fill="auto"/>
            <w:noWrap/>
            <w:vAlign w:val="center"/>
            <w:hideMark/>
          </w:tcPr>
          <w:p w14:paraId="3BED7334" w14:textId="77777777" w:rsidR="00CE1BDB" w:rsidRPr="00FA4DC7" w:rsidRDefault="00CE1BDB" w:rsidP="00EF49A7">
            <w:pPr>
              <w:jc w:val="right"/>
              <w:rPr>
                <w:rFonts w:cs="Arial"/>
                <w:color w:val="000000"/>
                <w:sz w:val="22"/>
                <w:szCs w:val="22"/>
              </w:rPr>
            </w:pPr>
            <w:r w:rsidRPr="00FA4DC7">
              <w:rPr>
                <w:rFonts w:cs="Arial"/>
                <w:color w:val="000000"/>
                <w:sz w:val="22"/>
                <w:szCs w:val="22"/>
              </w:rPr>
              <w:t>£24,000</w:t>
            </w:r>
          </w:p>
        </w:tc>
      </w:tr>
      <w:tr w:rsidR="00CE1BDB" w:rsidRPr="00FA4DC7" w14:paraId="791330AF" w14:textId="77777777" w:rsidTr="00EF49A7">
        <w:trPr>
          <w:gridAfter w:val="1"/>
          <w:wAfter w:w="650" w:type="pct"/>
          <w:trHeight w:val="272"/>
        </w:trPr>
        <w:tc>
          <w:tcPr>
            <w:tcW w:w="1789" w:type="pct"/>
            <w:shd w:val="clear" w:color="auto" w:fill="auto"/>
            <w:noWrap/>
            <w:vAlign w:val="center"/>
            <w:hideMark/>
          </w:tcPr>
          <w:p w14:paraId="29682157" w14:textId="77777777" w:rsidR="00CE1BDB" w:rsidRPr="00FA4DC7" w:rsidRDefault="00CE1BDB" w:rsidP="00EF49A7">
            <w:pPr>
              <w:rPr>
                <w:rFonts w:cs="Arial"/>
                <w:color w:val="000000"/>
                <w:sz w:val="22"/>
                <w:szCs w:val="22"/>
              </w:rPr>
            </w:pPr>
            <w:r w:rsidRPr="00FA4DC7">
              <w:rPr>
                <w:rFonts w:cs="Arial"/>
                <w:color w:val="000000"/>
                <w:sz w:val="22"/>
                <w:szCs w:val="22"/>
              </w:rPr>
              <w:t xml:space="preserve">Market sale - median </w:t>
            </w:r>
          </w:p>
        </w:tc>
        <w:tc>
          <w:tcPr>
            <w:tcW w:w="672" w:type="pct"/>
            <w:shd w:val="clear" w:color="auto" w:fill="auto"/>
            <w:noWrap/>
            <w:vAlign w:val="center"/>
            <w:hideMark/>
          </w:tcPr>
          <w:p w14:paraId="1AD3DCC7" w14:textId="77777777" w:rsidR="00CE1BDB" w:rsidRPr="00FA4DC7" w:rsidRDefault="00CE1BDB" w:rsidP="00EF49A7">
            <w:pPr>
              <w:jc w:val="right"/>
              <w:rPr>
                <w:rFonts w:cs="Arial"/>
                <w:color w:val="000000"/>
                <w:sz w:val="22"/>
                <w:szCs w:val="22"/>
              </w:rPr>
            </w:pPr>
            <w:r w:rsidRPr="00FA4DC7">
              <w:rPr>
                <w:rFonts w:cs="Arial"/>
                <w:color w:val="000000"/>
                <w:sz w:val="22"/>
                <w:szCs w:val="22"/>
              </w:rPr>
              <w:t>£45,000</w:t>
            </w:r>
          </w:p>
        </w:tc>
        <w:tc>
          <w:tcPr>
            <w:tcW w:w="624" w:type="pct"/>
            <w:shd w:val="clear" w:color="auto" w:fill="auto"/>
            <w:noWrap/>
            <w:vAlign w:val="center"/>
            <w:hideMark/>
          </w:tcPr>
          <w:p w14:paraId="4CC96D6C" w14:textId="77777777" w:rsidR="00CE1BDB" w:rsidRPr="00FA4DC7" w:rsidRDefault="00CE1BDB" w:rsidP="00EF49A7">
            <w:pPr>
              <w:jc w:val="right"/>
              <w:rPr>
                <w:rFonts w:cs="Arial"/>
                <w:color w:val="000000"/>
                <w:sz w:val="22"/>
                <w:szCs w:val="22"/>
              </w:rPr>
            </w:pPr>
            <w:r w:rsidRPr="00FA4DC7">
              <w:rPr>
                <w:rFonts w:cs="Arial"/>
                <w:color w:val="000000"/>
                <w:sz w:val="22"/>
                <w:szCs w:val="22"/>
              </w:rPr>
              <w:t>£40,000</w:t>
            </w:r>
          </w:p>
        </w:tc>
        <w:tc>
          <w:tcPr>
            <w:tcW w:w="645" w:type="pct"/>
            <w:shd w:val="clear" w:color="auto" w:fill="auto"/>
            <w:noWrap/>
            <w:vAlign w:val="center"/>
            <w:hideMark/>
          </w:tcPr>
          <w:p w14:paraId="6677ABBD" w14:textId="77777777" w:rsidR="00CE1BDB" w:rsidRPr="00FA4DC7" w:rsidRDefault="00CE1BDB" w:rsidP="00EF49A7">
            <w:pPr>
              <w:jc w:val="right"/>
              <w:rPr>
                <w:rFonts w:cs="Arial"/>
                <w:color w:val="000000"/>
                <w:sz w:val="22"/>
                <w:szCs w:val="22"/>
              </w:rPr>
            </w:pPr>
            <w:r w:rsidRPr="00FA4DC7">
              <w:rPr>
                <w:rFonts w:cs="Arial"/>
                <w:color w:val="000000"/>
                <w:sz w:val="22"/>
                <w:szCs w:val="22"/>
              </w:rPr>
              <w:t>£35,000</w:t>
            </w:r>
          </w:p>
        </w:tc>
        <w:tc>
          <w:tcPr>
            <w:tcW w:w="620" w:type="pct"/>
            <w:shd w:val="clear" w:color="auto" w:fill="auto"/>
            <w:noWrap/>
            <w:vAlign w:val="center"/>
            <w:hideMark/>
          </w:tcPr>
          <w:p w14:paraId="180453E5" w14:textId="77777777" w:rsidR="00CE1BDB" w:rsidRPr="00FA4DC7" w:rsidRDefault="00CE1BDB" w:rsidP="00EF49A7">
            <w:pPr>
              <w:jc w:val="right"/>
              <w:rPr>
                <w:rFonts w:cs="Arial"/>
                <w:color w:val="000000"/>
                <w:sz w:val="22"/>
                <w:szCs w:val="22"/>
              </w:rPr>
            </w:pPr>
            <w:r w:rsidRPr="00FA4DC7">
              <w:rPr>
                <w:rFonts w:cs="Arial"/>
                <w:color w:val="000000"/>
                <w:sz w:val="22"/>
                <w:szCs w:val="22"/>
              </w:rPr>
              <w:t>£30,000</w:t>
            </w:r>
          </w:p>
        </w:tc>
      </w:tr>
      <w:tr w:rsidR="00CE1BDB" w:rsidRPr="00FA4DC7" w14:paraId="465FADDD" w14:textId="77777777" w:rsidTr="00EF49A7">
        <w:trPr>
          <w:gridAfter w:val="1"/>
          <w:wAfter w:w="650" w:type="pct"/>
          <w:trHeight w:val="272"/>
        </w:trPr>
        <w:tc>
          <w:tcPr>
            <w:tcW w:w="1789" w:type="pct"/>
            <w:shd w:val="clear" w:color="auto" w:fill="auto"/>
            <w:noWrap/>
            <w:vAlign w:val="center"/>
            <w:hideMark/>
          </w:tcPr>
          <w:p w14:paraId="703FA820" w14:textId="77777777" w:rsidR="00CE1BDB" w:rsidRPr="00FA4DC7" w:rsidRDefault="00CE1BDB" w:rsidP="00EF49A7">
            <w:pPr>
              <w:rPr>
                <w:rFonts w:cs="Arial"/>
                <w:color w:val="000000"/>
                <w:sz w:val="22"/>
                <w:szCs w:val="22"/>
              </w:rPr>
            </w:pPr>
            <w:r w:rsidRPr="00FA4DC7">
              <w:rPr>
                <w:rFonts w:cs="Arial"/>
                <w:color w:val="000000"/>
                <w:sz w:val="22"/>
                <w:szCs w:val="22"/>
              </w:rPr>
              <w:t xml:space="preserve">Market sale - average </w:t>
            </w:r>
          </w:p>
        </w:tc>
        <w:tc>
          <w:tcPr>
            <w:tcW w:w="672" w:type="pct"/>
            <w:shd w:val="clear" w:color="auto" w:fill="auto"/>
            <w:noWrap/>
            <w:vAlign w:val="center"/>
            <w:hideMark/>
          </w:tcPr>
          <w:p w14:paraId="5521CBE2" w14:textId="77777777" w:rsidR="00CE1BDB" w:rsidRPr="00FA4DC7" w:rsidRDefault="00CE1BDB" w:rsidP="00EF49A7">
            <w:pPr>
              <w:jc w:val="right"/>
              <w:rPr>
                <w:rFonts w:cs="Arial"/>
                <w:color w:val="000000"/>
                <w:sz w:val="22"/>
                <w:szCs w:val="22"/>
              </w:rPr>
            </w:pPr>
            <w:r w:rsidRPr="00FA4DC7">
              <w:rPr>
                <w:rFonts w:cs="Arial"/>
                <w:color w:val="000000"/>
                <w:sz w:val="22"/>
                <w:szCs w:val="22"/>
              </w:rPr>
              <w:t>£58,666</w:t>
            </w:r>
          </w:p>
        </w:tc>
        <w:tc>
          <w:tcPr>
            <w:tcW w:w="624" w:type="pct"/>
            <w:shd w:val="clear" w:color="auto" w:fill="auto"/>
            <w:noWrap/>
            <w:vAlign w:val="center"/>
            <w:hideMark/>
          </w:tcPr>
          <w:p w14:paraId="0C978B79" w14:textId="77777777" w:rsidR="00CE1BDB" w:rsidRPr="00FA4DC7" w:rsidRDefault="00CE1BDB" w:rsidP="00EF49A7">
            <w:pPr>
              <w:jc w:val="right"/>
              <w:rPr>
                <w:rFonts w:cs="Arial"/>
                <w:color w:val="000000"/>
                <w:sz w:val="22"/>
                <w:szCs w:val="22"/>
              </w:rPr>
            </w:pPr>
            <w:r w:rsidRPr="00FA4DC7">
              <w:rPr>
                <w:rFonts w:cs="Arial"/>
                <w:color w:val="000000"/>
                <w:sz w:val="22"/>
                <w:szCs w:val="22"/>
              </w:rPr>
              <w:t>£52,147</w:t>
            </w:r>
          </w:p>
        </w:tc>
        <w:tc>
          <w:tcPr>
            <w:tcW w:w="645" w:type="pct"/>
            <w:shd w:val="clear" w:color="auto" w:fill="auto"/>
            <w:noWrap/>
            <w:vAlign w:val="center"/>
            <w:hideMark/>
          </w:tcPr>
          <w:p w14:paraId="2CCE69CA" w14:textId="77777777" w:rsidR="00CE1BDB" w:rsidRPr="00FA4DC7" w:rsidRDefault="00CE1BDB" w:rsidP="00EF49A7">
            <w:pPr>
              <w:jc w:val="right"/>
              <w:rPr>
                <w:rFonts w:cs="Arial"/>
                <w:color w:val="000000"/>
                <w:sz w:val="22"/>
                <w:szCs w:val="22"/>
              </w:rPr>
            </w:pPr>
            <w:r w:rsidRPr="00FA4DC7">
              <w:rPr>
                <w:rFonts w:cs="Arial"/>
                <w:color w:val="000000"/>
                <w:sz w:val="22"/>
                <w:szCs w:val="22"/>
              </w:rPr>
              <w:t>£45,629</w:t>
            </w:r>
          </w:p>
        </w:tc>
        <w:tc>
          <w:tcPr>
            <w:tcW w:w="620" w:type="pct"/>
            <w:shd w:val="clear" w:color="auto" w:fill="auto"/>
            <w:noWrap/>
            <w:vAlign w:val="center"/>
            <w:hideMark/>
          </w:tcPr>
          <w:p w14:paraId="05BD3324" w14:textId="77777777" w:rsidR="00CE1BDB" w:rsidRPr="00FA4DC7" w:rsidRDefault="00CE1BDB" w:rsidP="00EF49A7">
            <w:pPr>
              <w:jc w:val="right"/>
              <w:rPr>
                <w:rFonts w:cs="Arial"/>
                <w:color w:val="000000"/>
                <w:sz w:val="22"/>
                <w:szCs w:val="22"/>
              </w:rPr>
            </w:pPr>
            <w:r w:rsidRPr="00FA4DC7">
              <w:rPr>
                <w:rFonts w:cs="Arial"/>
                <w:color w:val="000000"/>
                <w:sz w:val="22"/>
                <w:szCs w:val="22"/>
              </w:rPr>
              <w:t>£39,110</w:t>
            </w:r>
          </w:p>
        </w:tc>
      </w:tr>
    </w:tbl>
    <w:p w14:paraId="5F9DE38E" w14:textId="77777777" w:rsidR="00CE1BDB" w:rsidRPr="00FA4DC7" w:rsidRDefault="00CE1BDB" w:rsidP="00CE1BDB">
      <w:pPr>
        <w:rPr>
          <w:rFonts w:cs="Arial"/>
          <w:highlight w:val="yellow"/>
          <w:lang w:val="en-US"/>
        </w:rPr>
      </w:pPr>
    </w:p>
    <w:p w14:paraId="472FAA7C" w14:textId="77777777" w:rsidR="00CE1BDB" w:rsidRPr="00FA4DC7" w:rsidRDefault="00CE1BDB" w:rsidP="00CE1BDB">
      <w:pPr>
        <w:pStyle w:val="Reporttext"/>
        <w:rPr>
          <w:rFonts w:cs="Arial"/>
        </w:rPr>
      </w:pPr>
      <w:r w:rsidRPr="00FA4DC7">
        <w:rPr>
          <w:rFonts w:cs="Arial"/>
        </w:rPr>
        <w:t xml:space="preserve">Figure 3.2 summarises in graphical form the relative affordability of alternative tenures at the borough level, setting out the incomes and deposits required for different options set against prevailing lower quartile and median earnings derived from 2021 CAMEO data. </w:t>
      </w:r>
    </w:p>
    <w:p w14:paraId="0AAC201B" w14:textId="77777777" w:rsidR="00CE1BDB" w:rsidRPr="00FA4DC7" w:rsidRDefault="00CE1BDB" w:rsidP="00CE1BDB">
      <w:pPr>
        <w:pStyle w:val="Reporttext"/>
        <w:rPr>
          <w:rFonts w:cs="Arial"/>
        </w:rPr>
      </w:pPr>
      <w:r w:rsidRPr="00FA4DC7">
        <w:rPr>
          <w:rFonts w:cs="Arial"/>
        </w:rPr>
        <w:t xml:space="preserve">This indicates that households on lower quartile incomes cannot afford any tenure option/product at the current prices except for social renting. This equates to around 25% of households. For households on median incomes, social/affordable and lower quartile market rents are affordable, along with shared ownership at 25%. By comparison, households on median incomes </w:t>
      </w:r>
      <w:proofErr w:type="gramStart"/>
      <w:r w:rsidRPr="00FA4DC7">
        <w:rPr>
          <w:rFonts w:cs="Arial"/>
        </w:rPr>
        <w:t>cannot  afford</w:t>
      </w:r>
      <w:proofErr w:type="gramEnd"/>
      <w:r w:rsidRPr="00FA4DC7">
        <w:rPr>
          <w:rFonts w:cs="Arial"/>
        </w:rPr>
        <w:t xml:space="preserve"> market sales at any of the price points or affordable home ownership products.</w:t>
      </w:r>
    </w:p>
    <w:p w14:paraId="0858631C" w14:textId="77777777" w:rsidR="00CE1BDB" w:rsidRPr="00FA4DC7" w:rsidRDefault="00CE1BDB" w:rsidP="00CE1BDB">
      <w:pPr>
        <w:pStyle w:val="Reporttext"/>
        <w:rPr>
          <w:rFonts w:cs="Arial"/>
        </w:rPr>
      </w:pPr>
      <w:r w:rsidRPr="00FA4DC7">
        <w:rPr>
          <w:rFonts w:cs="Arial"/>
        </w:rPr>
        <w:t>This comparison of local incomes with the cost of local house prices and rents illustrates the affordability challenge faced by residents within Medway. It shows the particular challenge faced by households who do not have either existing equity or savings.</w:t>
      </w:r>
    </w:p>
    <w:p w14:paraId="41DEDE99" w14:textId="77777777" w:rsidR="00CE1BDB" w:rsidRPr="00FA4DC7" w:rsidRDefault="00CE1BDB" w:rsidP="00CE1BDB">
      <w:pPr>
        <w:rPr>
          <w:rFonts w:cs="Arial"/>
          <w:highlight w:val="yellow"/>
        </w:rPr>
      </w:pPr>
      <w:bookmarkStart w:id="266" w:name="_Toc10209881"/>
    </w:p>
    <w:p w14:paraId="1E0E5A9E" w14:textId="77777777" w:rsidR="00CE1BDB" w:rsidRPr="00FA4DC7" w:rsidRDefault="00CE1BDB" w:rsidP="00CE1BDB">
      <w:pPr>
        <w:rPr>
          <w:rFonts w:cs="Arial"/>
          <w:highlight w:val="yellow"/>
        </w:rPr>
        <w:sectPr w:rsidR="00CE1BDB" w:rsidRPr="00FA4DC7" w:rsidSect="00EF49A7">
          <w:headerReference w:type="default" r:id="rId53"/>
          <w:pgSz w:w="11907" w:h="16840" w:code="9"/>
          <w:pgMar w:top="1440" w:right="1275" w:bottom="1134" w:left="1440" w:header="720" w:footer="567" w:gutter="0"/>
          <w:cols w:space="708"/>
          <w:noEndnote/>
          <w:docGrid w:linePitch="326"/>
        </w:sectPr>
      </w:pPr>
    </w:p>
    <w:p w14:paraId="27B71A5E" w14:textId="77777777" w:rsidR="00CE1BDB" w:rsidRPr="00FA4DC7" w:rsidRDefault="00CE1BDB" w:rsidP="00CE1BDB">
      <w:pPr>
        <w:pStyle w:val="figureheading"/>
        <w:rPr>
          <w:rFonts w:ascii="Arial" w:hAnsi="Arial" w:cs="Arial"/>
          <w:sz w:val="32"/>
          <w:szCs w:val="32"/>
        </w:rPr>
      </w:pPr>
      <w:r w:rsidRPr="00FA4DC7">
        <w:rPr>
          <w:rFonts w:ascii="Arial" w:hAnsi="Arial" w:cs="Arial"/>
        </w:rPr>
        <w:lastRenderedPageBreak/>
        <w:t>Figure 3.2</w:t>
      </w:r>
      <w:r w:rsidRPr="00FA4DC7">
        <w:rPr>
          <w:rFonts w:ascii="Arial" w:hAnsi="Arial" w:cs="Arial"/>
        </w:rPr>
        <w:tab/>
        <w:t>Medway household income and housing costs</w:t>
      </w:r>
      <w:bookmarkEnd w:id="266"/>
      <w:r w:rsidRPr="00FA4DC7">
        <w:rPr>
          <w:rFonts w:ascii="Arial" w:hAnsi="Arial" w:cs="Arial"/>
        </w:rPr>
        <w:t xml:space="preserve"> </w:t>
      </w:r>
    </w:p>
    <w:p w14:paraId="367B601D" w14:textId="77777777" w:rsidR="00CE1BDB" w:rsidRPr="00FA4DC7" w:rsidRDefault="00CE1BDB" w:rsidP="00CE1BDB">
      <w:pPr>
        <w:rPr>
          <w:rFonts w:cs="Arial"/>
          <w:highlight w:val="yellow"/>
        </w:rPr>
      </w:pPr>
      <w:r w:rsidRPr="00FA4DC7">
        <w:rPr>
          <w:rFonts w:cs="Arial"/>
          <w:noProof/>
        </w:rPr>
        <w:drawing>
          <wp:inline distT="0" distB="0" distL="0" distR="0" wp14:anchorId="32C8D751" wp14:editId="64BF6F77">
            <wp:extent cx="9486900" cy="4367060"/>
            <wp:effectExtent l="0" t="0" r="0" b="1905"/>
            <wp:docPr id="63" name="Picture 63" descr="Chart showing Medway housebold income and hous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howing Medway housebold income and housing costs"/>
                    <pic:cNvPicPr/>
                  </pic:nvPicPr>
                  <pic:blipFill>
                    <a:blip r:embed="rId54"/>
                    <a:stretch>
                      <a:fillRect/>
                    </a:stretch>
                  </pic:blipFill>
                  <pic:spPr>
                    <a:xfrm>
                      <a:off x="0" y="0"/>
                      <a:ext cx="9490456" cy="4368697"/>
                    </a:xfrm>
                    <a:prstGeom prst="rect">
                      <a:avLst/>
                    </a:prstGeom>
                  </pic:spPr>
                </pic:pic>
              </a:graphicData>
            </a:graphic>
          </wp:inline>
        </w:drawing>
      </w:r>
    </w:p>
    <w:p w14:paraId="36231BD1" w14:textId="77777777" w:rsidR="00CE1BDB" w:rsidRPr="00FA4DC7" w:rsidRDefault="00CE1BDB" w:rsidP="00CE1BDB">
      <w:pPr>
        <w:rPr>
          <w:rFonts w:cs="Arial"/>
        </w:rPr>
        <w:sectPr w:rsidR="00CE1BDB" w:rsidRPr="00FA4DC7" w:rsidSect="00EF49A7">
          <w:headerReference w:type="default" r:id="rId55"/>
          <w:pgSz w:w="16840" w:h="11907" w:orient="landscape" w:code="9"/>
          <w:pgMar w:top="1440" w:right="1440" w:bottom="1276" w:left="1134" w:header="720" w:footer="567" w:gutter="0"/>
          <w:cols w:space="708"/>
          <w:noEndnote/>
          <w:docGrid w:linePitch="326"/>
        </w:sectPr>
      </w:pPr>
      <w:r w:rsidRPr="00FA4DC7">
        <w:rPr>
          <w:rFonts w:cs="Arial"/>
          <w:sz w:val="20"/>
          <w:szCs w:val="20"/>
        </w:rPr>
        <w:t>Source: Data produced by Land Registry © Crown copyright 2020, RSH SDR 2020, Zoopla PPD 2020</w:t>
      </w:r>
    </w:p>
    <w:p w14:paraId="7BEEEE40" w14:textId="77777777" w:rsidR="00CE1BDB" w:rsidRPr="00FA4DC7" w:rsidRDefault="00CE1BDB" w:rsidP="00CE1BDB">
      <w:pPr>
        <w:pStyle w:val="Heading3"/>
        <w:rPr>
          <w:rFonts w:cs="Arial"/>
          <w:lang w:val="en-US"/>
        </w:rPr>
      </w:pPr>
      <w:r w:rsidRPr="00FA4DC7">
        <w:rPr>
          <w:rFonts w:cs="Arial"/>
          <w:lang w:val="en-US"/>
        </w:rPr>
        <w:lastRenderedPageBreak/>
        <w:t>What is genuinely affordable housing in the Medway context?</w:t>
      </w:r>
    </w:p>
    <w:p w14:paraId="1836F87A" w14:textId="77777777" w:rsidR="00CE1BDB" w:rsidRPr="00FA4DC7" w:rsidRDefault="00CE1BDB" w:rsidP="00CE1BDB">
      <w:pPr>
        <w:pStyle w:val="Reporttext"/>
        <w:tabs>
          <w:tab w:val="left" w:pos="0"/>
          <w:tab w:val="left" w:pos="709"/>
          <w:tab w:val="left" w:pos="1418"/>
        </w:tabs>
        <w:rPr>
          <w:rFonts w:cs="Arial"/>
        </w:rPr>
      </w:pPr>
      <w:r w:rsidRPr="00FA4DC7">
        <w:rPr>
          <w:rFonts w:cs="Arial"/>
        </w:rPr>
        <w:t>Having</w:t>
      </w:r>
      <w:r w:rsidRPr="00FA4DC7">
        <w:rPr>
          <w:rFonts w:cs="Arial"/>
          <w:lang w:val="en-US"/>
        </w:rPr>
        <w:t xml:space="preserve"> considered what a household needs to earn to afford alternative tenures, consideration is now given to the actual incomes of households across the borough and how this relates to prevailing prices. This analysis helps to establish what is genuinely affordable based on reasonable income multipliers for renting and buying. The analysis </w:t>
      </w:r>
      <w:proofErr w:type="gramStart"/>
      <w:r w:rsidRPr="00FA4DC7">
        <w:rPr>
          <w:rFonts w:cs="Arial"/>
          <w:lang w:val="en-US"/>
        </w:rPr>
        <w:t>takes into account</w:t>
      </w:r>
      <w:proofErr w:type="gramEnd"/>
      <w:r w:rsidRPr="00FA4DC7">
        <w:rPr>
          <w:rFonts w:cs="Arial"/>
          <w:lang w:val="en-US"/>
        </w:rPr>
        <w:t xml:space="preserve">: </w:t>
      </w:r>
    </w:p>
    <w:p w14:paraId="0FE7111A" w14:textId="77777777" w:rsidR="00CE1BDB" w:rsidRPr="00FA4DC7" w:rsidRDefault="00CE1BDB" w:rsidP="00CE1BDB">
      <w:pPr>
        <w:pStyle w:val="bullet"/>
        <w:rPr>
          <w:rFonts w:cs="Arial"/>
        </w:rPr>
      </w:pPr>
      <w:r w:rsidRPr="00FA4DC7">
        <w:rPr>
          <w:rFonts w:cs="Arial"/>
          <w:lang w:val="en-US"/>
        </w:rPr>
        <w:t>Lower</w:t>
      </w:r>
      <w:r w:rsidRPr="00FA4DC7">
        <w:rPr>
          <w:rFonts w:cs="Arial"/>
        </w:rPr>
        <w:t xml:space="preserve"> quartile and median household incomes from the 2020 CAMEO </w:t>
      </w:r>
      <w:proofErr w:type="gramStart"/>
      <w:r w:rsidRPr="00FA4DC7">
        <w:rPr>
          <w:rFonts w:cs="Arial"/>
        </w:rPr>
        <w:t>data;</w:t>
      </w:r>
      <w:proofErr w:type="gramEnd"/>
    </w:p>
    <w:p w14:paraId="2E87CF70" w14:textId="77777777" w:rsidR="00CE1BDB" w:rsidRPr="00FA4DC7" w:rsidRDefault="00CE1BDB" w:rsidP="00CE1BDB">
      <w:pPr>
        <w:pStyle w:val="bullet"/>
        <w:rPr>
          <w:rFonts w:cs="Arial"/>
        </w:rPr>
      </w:pPr>
      <w:r w:rsidRPr="00FA4DC7">
        <w:rPr>
          <w:rFonts w:cs="Arial"/>
        </w:rPr>
        <w:t xml:space="preserve">2020 entry-level incomes from a range of key worker </w:t>
      </w:r>
      <w:proofErr w:type="gramStart"/>
      <w:r w:rsidRPr="00FA4DC7">
        <w:rPr>
          <w:rFonts w:cs="Arial"/>
        </w:rPr>
        <w:t>occupations;</w:t>
      </w:r>
      <w:proofErr w:type="gramEnd"/>
    </w:p>
    <w:p w14:paraId="2B2DCFFC" w14:textId="77777777" w:rsidR="00CE1BDB" w:rsidRPr="00FA4DC7" w:rsidRDefault="00CE1BDB" w:rsidP="00CE1BDB">
      <w:pPr>
        <w:pStyle w:val="bullet"/>
        <w:rPr>
          <w:rFonts w:cs="Arial"/>
        </w:rPr>
      </w:pPr>
      <w:r w:rsidRPr="00FA4DC7">
        <w:rPr>
          <w:rFonts w:cs="Arial"/>
        </w:rPr>
        <w:t>incomes associated with 2020 minimum and living wages (using single, dual income and 1.5x income measures</w:t>
      </w:r>
      <w:proofErr w:type="gramStart"/>
      <w:r w:rsidRPr="00FA4DC7">
        <w:rPr>
          <w:rFonts w:cs="Arial"/>
        </w:rPr>
        <w:t>);</w:t>
      </w:r>
      <w:proofErr w:type="gramEnd"/>
    </w:p>
    <w:p w14:paraId="1790B74A" w14:textId="77777777" w:rsidR="00CE1BDB" w:rsidRPr="00FA4DC7" w:rsidRDefault="00CE1BDB" w:rsidP="00CE1BDB">
      <w:pPr>
        <w:pStyle w:val="bullet"/>
        <w:rPr>
          <w:rFonts w:cs="Arial"/>
        </w:rPr>
      </w:pPr>
      <w:r w:rsidRPr="00FA4DC7">
        <w:rPr>
          <w:rFonts w:cs="Arial"/>
        </w:rPr>
        <w:t xml:space="preserve">the proportion of income a household would need to spend on </w:t>
      </w:r>
      <w:proofErr w:type="gramStart"/>
      <w:r w:rsidRPr="00FA4DC7">
        <w:rPr>
          <w:rFonts w:cs="Arial"/>
        </w:rPr>
        <w:t>rent;</w:t>
      </w:r>
      <w:proofErr w:type="gramEnd"/>
    </w:p>
    <w:p w14:paraId="25D442F6" w14:textId="77777777" w:rsidR="00CE1BDB" w:rsidRPr="00FA4DC7" w:rsidRDefault="00CE1BDB" w:rsidP="00CE1BDB">
      <w:pPr>
        <w:pStyle w:val="bullet"/>
        <w:rPr>
          <w:rFonts w:cs="Arial"/>
        </w:rPr>
      </w:pPr>
      <w:r w:rsidRPr="00FA4DC7">
        <w:rPr>
          <w:rFonts w:cs="Arial"/>
        </w:rPr>
        <w:t>the extent to which affordable rental options are genuinely affordable to households; and</w:t>
      </w:r>
    </w:p>
    <w:p w14:paraId="5B19B03B" w14:textId="77777777" w:rsidR="00CE1BDB" w:rsidRPr="00FA4DC7" w:rsidRDefault="00CE1BDB" w:rsidP="00CE1BDB">
      <w:pPr>
        <w:pStyle w:val="bullet"/>
        <w:rPr>
          <w:rFonts w:cs="Arial"/>
        </w:rPr>
      </w:pPr>
      <w:r w:rsidRPr="00FA4DC7">
        <w:rPr>
          <w:rFonts w:cs="Arial"/>
        </w:rPr>
        <w:t>the extent to which households could afford home ownership based on multiples of household income, with up to 3.5x being affordable.</w:t>
      </w:r>
    </w:p>
    <w:p w14:paraId="038AB19C" w14:textId="77777777" w:rsidR="00CE1BDB" w:rsidRPr="00FA4DC7" w:rsidRDefault="00CE1BDB" w:rsidP="00CE1BDB">
      <w:pPr>
        <w:pStyle w:val="bullet"/>
        <w:numPr>
          <w:ilvl w:val="0"/>
          <w:numId w:val="0"/>
        </w:numPr>
        <w:ind w:left="1069"/>
        <w:rPr>
          <w:rFonts w:cs="Arial"/>
          <w:highlight w:val="yellow"/>
        </w:rPr>
      </w:pPr>
    </w:p>
    <w:p w14:paraId="7ACC6FE8" w14:textId="77777777" w:rsidR="00CE1BDB" w:rsidRPr="00FA4DC7" w:rsidRDefault="00CE1BDB" w:rsidP="00CE1BDB">
      <w:pPr>
        <w:pStyle w:val="Heading4"/>
        <w:rPr>
          <w:rFonts w:cs="Arial"/>
          <w:lang w:val="en-US"/>
        </w:rPr>
      </w:pPr>
      <w:r w:rsidRPr="00FA4DC7">
        <w:rPr>
          <w:rFonts w:cs="Arial"/>
        </w:rPr>
        <w:t>Genuinely affordable rents</w:t>
      </w:r>
      <w:r w:rsidRPr="00FA4DC7">
        <w:rPr>
          <w:rFonts w:cs="Arial"/>
          <w:lang w:val="en-US"/>
        </w:rPr>
        <w:t xml:space="preserve"> </w:t>
      </w:r>
    </w:p>
    <w:p w14:paraId="0FEE0701" w14:textId="77777777" w:rsidR="00CE1BDB" w:rsidRPr="00FA4DC7" w:rsidRDefault="00CE1BDB" w:rsidP="00CE1BDB">
      <w:pPr>
        <w:pStyle w:val="Reporttext"/>
        <w:rPr>
          <w:rFonts w:cs="Arial"/>
        </w:rPr>
      </w:pPr>
      <w:r w:rsidRPr="00FA4DC7">
        <w:rPr>
          <w:rFonts w:cs="Arial"/>
        </w:rPr>
        <w:t>Having</w:t>
      </w:r>
      <w:r w:rsidRPr="00FA4DC7">
        <w:rPr>
          <w:rFonts w:cs="Arial"/>
          <w:lang w:val="en-US"/>
        </w:rPr>
        <w:t xml:space="preserve"> considered what a household needs to earn to afford alternative tenures, consideration is now given to the actual incomes of households across Medway and how this relates to current market prices and rents. The analysis helps to establish the extent to which different tenures are affordable and what are genuinely affordable prices and rents based on local incomes. </w:t>
      </w:r>
    </w:p>
    <w:p w14:paraId="398F5E3F" w14:textId="77777777" w:rsidR="00CE1BDB" w:rsidRPr="00FA4DC7" w:rsidRDefault="00CE1BDB" w:rsidP="00CE1BDB">
      <w:pPr>
        <w:pStyle w:val="Reporttext"/>
        <w:tabs>
          <w:tab w:val="left" w:pos="709"/>
          <w:tab w:val="left" w:pos="1418"/>
        </w:tabs>
        <w:rPr>
          <w:rFonts w:cs="Arial"/>
        </w:rPr>
      </w:pPr>
      <w:r w:rsidRPr="00FA4DC7">
        <w:rPr>
          <w:rFonts w:cs="Arial"/>
        </w:rPr>
        <w:t>Table 3.12 focuses on the affordability of market renting and shows the cost of renting a lower quartile and median priced property by ward, key development locations and neighbourhood planning area; how this compares with incomes; and what would be genuinely affordable based on local incomes. For example, lower quartile rents are £724 across Medway where the lower quartile income is £2,083. This means that a household is spending 34.8% of income on rent. To be genuinely affordable, that is, costing no more than 25% of gross income, a lower quartile should be £521 each month and median rent should be £729 each month.</w:t>
      </w:r>
    </w:p>
    <w:p w14:paraId="4C1F6928" w14:textId="77777777" w:rsidR="00CE1BDB" w:rsidRPr="00FA4DC7" w:rsidRDefault="00CE1BDB" w:rsidP="00CE1BDB">
      <w:pPr>
        <w:pStyle w:val="Reporttext"/>
        <w:tabs>
          <w:tab w:val="left" w:pos="709"/>
          <w:tab w:val="left" w:pos="1418"/>
        </w:tabs>
        <w:rPr>
          <w:rFonts w:cs="Arial"/>
        </w:rPr>
      </w:pPr>
      <w:r w:rsidRPr="00FA4DC7">
        <w:rPr>
          <w:rFonts w:cs="Arial"/>
        </w:rPr>
        <w:t xml:space="preserve">Table 3.13 focuses on the affordability of home ownership and shows the cost of buying a lower quartile and median-priced property. This shows that prices are in excess of 3.5x household incomes and Medway-wide a property should cost no more than £87,500 to be affordable to households on lower quartile and £122,500 to households and median incomes. </w:t>
      </w:r>
    </w:p>
    <w:p w14:paraId="6C120E4D" w14:textId="77777777" w:rsidR="00CE1BDB" w:rsidRPr="00FA4DC7" w:rsidRDefault="00CE1BDB" w:rsidP="00CE1BDB">
      <w:pPr>
        <w:pStyle w:val="Reporttext"/>
        <w:numPr>
          <w:ilvl w:val="0"/>
          <w:numId w:val="0"/>
        </w:numPr>
        <w:tabs>
          <w:tab w:val="left" w:pos="0"/>
          <w:tab w:val="left" w:pos="1418"/>
        </w:tabs>
        <w:rPr>
          <w:rFonts w:cs="Arial"/>
          <w:highlight w:val="yellow"/>
        </w:rPr>
        <w:sectPr w:rsidR="00CE1BDB" w:rsidRPr="00FA4DC7" w:rsidSect="00EF49A7">
          <w:pgSz w:w="11907" w:h="16840" w:code="9"/>
          <w:pgMar w:top="1134" w:right="1230" w:bottom="1440" w:left="1075" w:header="720" w:footer="567" w:gutter="0"/>
          <w:cols w:space="708"/>
          <w:noEndnote/>
          <w:docGrid w:linePitch="326"/>
        </w:sectPr>
      </w:pPr>
    </w:p>
    <w:p w14:paraId="0BBB99F6" w14:textId="77777777" w:rsidR="00CE1BDB" w:rsidRPr="00F808DF" w:rsidRDefault="00CE1BDB" w:rsidP="00CE1BDB">
      <w:pPr>
        <w:pStyle w:val="Tableheading1"/>
        <w:tabs>
          <w:tab w:val="left" w:pos="0"/>
          <w:tab w:val="left" w:pos="709"/>
          <w:tab w:val="left" w:pos="1418"/>
        </w:tabs>
        <w:rPr>
          <w:rFonts w:cs="Arial"/>
          <w:color w:val="009999"/>
          <w:szCs w:val="22"/>
        </w:rPr>
      </w:pPr>
      <w:bookmarkStart w:id="267" w:name="_Toc83036090"/>
      <w:r w:rsidRPr="00F808DF">
        <w:rPr>
          <w:rFonts w:cs="Arial"/>
          <w:color w:val="009999"/>
          <w:szCs w:val="22"/>
        </w:rPr>
        <w:lastRenderedPageBreak/>
        <w:t>Table 3.12a</w:t>
      </w:r>
      <w:r w:rsidRPr="00F808DF">
        <w:rPr>
          <w:rFonts w:cs="Arial"/>
          <w:color w:val="009999"/>
          <w:szCs w:val="22"/>
        </w:rPr>
        <w:tab/>
        <w:t>Affordability of private rents by ward</w:t>
      </w:r>
      <w:bookmarkEnd w:id="267"/>
      <w:r w:rsidRPr="00F808DF">
        <w:rPr>
          <w:rFonts w:cs="Arial"/>
          <w:color w:val="009999"/>
          <w:szCs w:val="22"/>
        </w:rPr>
        <w:t xml:space="preserve">  </w:t>
      </w:r>
    </w:p>
    <w:p w14:paraId="370E1AC1" w14:textId="77777777" w:rsidR="00CE1BDB" w:rsidRPr="00FA4DC7" w:rsidRDefault="00CE1BDB" w:rsidP="000957EE">
      <w:pPr>
        <w:rPr>
          <w:highlight w:val="yellow"/>
        </w:rPr>
      </w:pPr>
      <w:bookmarkStart w:id="268" w:name="_Toc77186736"/>
      <w:bookmarkStart w:id="269" w:name="_Toc77187460"/>
      <w:bookmarkStart w:id="270" w:name="_Toc77592260"/>
      <w:bookmarkStart w:id="271" w:name="_Toc81317435"/>
      <w:bookmarkStart w:id="272" w:name="_Toc81323356"/>
      <w:bookmarkStart w:id="273" w:name="_Toc81323482"/>
      <w:bookmarkStart w:id="274" w:name="_Toc81334875"/>
      <w:r w:rsidRPr="00FA4DC7">
        <w:rPr>
          <w:noProof/>
        </w:rPr>
        <w:drawing>
          <wp:inline distT="0" distB="0" distL="0" distR="0" wp14:anchorId="37728265" wp14:editId="612411A0">
            <wp:extent cx="6915150" cy="4650105"/>
            <wp:effectExtent l="0" t="0" r="0" b="0"/>
            <wp:docPr id="7488" name="Picture 7488" descr="Table showing affordability of private rents b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 name="Picture 7488" descr="Table showing affordability of private rents by ward"/>
                    <pic:cNvPicPr/>
                  </pic:nvPicPr>
                  <pic:blipFill>
                    <a:blip r:embed="rId56"/>
                    <a:stretch>
                      <a:fillRect/>
                    </a:stretch>
                  </pic:blipFill>
                  <pic:spPr>
                    <a:xfrm>
                      <a:off x="0" y="0"/>
                      <a:ext cx="6919998" cy="4653365"/>
                    </a:xfrm>
                    <a:prstGeom prst="rect">
                      <a:avLst/>
                    </a:prstGeom>
                  </pic:spPr>
                </pic:pic>
              </a:graphicData>
            </a:graphic>
          </wp:inline>
        </w:drawing>
      </w:r>
      <w:bookmarkEnd w:id="268"/>
      <w:bookmarkEnd w:id="269"/>
      <w:bookmarkEnd w:id="270"/>
      <w:bookmarkEnd w:id="271"/>
      <w:bookmarkEnd w:id="272"/>
      <w:bookmarkEnd w:id="273"/>
      <w:bookmarkEnd w:id="274"/>
    </w:p>
    <w:p w14:paraId="33253448" w14:textId="77777777" w:rsidR="00CE1BDB" w:rsidRPr="00FA4DC7" w:rsidRDefault="00CE1BDB" w:rsidP="000957EE">
      <w:bookmarkStart w:id="275" w:name="_Toc77186737"/>
      <w:bookmarkStart w:id="276" w:name="_Toc77187461"/>
      <w:bookmarkStart w:id="277" w:name="_Toc77592261"/>
      <w:bookmarkStart w:id="278" w:name="_Toc81317436"/>
      <w:bookmarkStart w:id="279" w:name="_Toc81323357"/>
      <w:bookmarkStart w:id="280" w:name="_Toc81323483"/>
      <w:bookmarkStart w:id="281" w:name="_Toc81334876"/>
      <w:r w:rsidRPr="000957EE">
        <w:rPr>
          <w:b/>
          <w:bCs/>
        </w:rPr>
        <w:t>Key</w:t>
      </w:r>
      <w:bookmarkEnd w:id="275"/>
      <w:bookmarkEnd w:id="276"/>
      <w:bookmarkEnd w:id="277"/>
      <w:bookmarkEnd w:id="278"/>
      <w:bookmarkEnd w:id="279"/>
      <w:bookmarkEnd w:id="280"/>
      <w:bookmarkEnd w:id="281"/>
    </w:p>
    <w:p w14:paraId="355383A7" w14:textId="77777777" w:rsidR="00CE1BDB" w:rsidRPr="00FA4DC7" w:rsidRDefault="00CE1BDB" w:rsidP="000957EE">
      <w:bookmarkStart w:id="282" w:name="_Toc77186738"/>
      <w:bookmarkStart w:id="283" w:name="_Toc77187462"/>
      <w:bookmarkStart w:id="284" w:name="_Toc77592262"/>
      <w:bookmarkStart w:id="285" w:name="_Toc81317437"/>
      <w:bookmarkStart w:id="286" w:name="_Toc81323358"/>
      <w:bookmarkStart w:id="287" w:name="_Toc81323484"/>
      <w:bookmarkStart w:id="288" w:name="_Toc81334877"/>
      <w:r w:rsidRPr="00FA4DC7">
        <w:rPr>
          <w:noProof/>
        </w:rPr>
        <w:drawing>
          <wp:inline distT="0" distB="0" distL="0" distR="0" wp14:anchorId="2A90685C" wp14:editId="3FC5029D">
            <wp:extent cx="1915886" cy="398782"/>
            <wp:effectExtent l="0" t="0" r="1905" b="0"/>
            <wp:docPr id="7493" name="Picture 7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 name="Picture 7493">
                      <a:extLst>
                        <a:ext uri="{C183D7F6-B498-43B3-948B-1728B52AA6E4}">
                          <adec:decorative xmlns:adec="http://schemas.microsoft.com/office/drawing/2017/decorative" val="1"/>
                        </a:ext>
                      </a:extLst>
                    </pic:cNvPr>
                    <pic:cNvPicPr/>
                  </pic:nvPicPr>
                  <pic:blipFill>
                    <a:blip r:embed="rId57"/>
                    <a:stretch>
                      <a:fillRect/>
                    </a:stretch>
                  </pic:blipFill>
                  <pic:spPr>
                    <a:xfrm>
                      <a:off x="0" y="0"/>
                      <a:ext cx="1931156" cy="401960"/>
                    </a:xfrm>
                    <a:prstGeom prst="rect">
                      <a:avLst/>
                    </a:prstGeom>
                  </pic:spPr>
                </pic:pic>
              </a:graphicData>
            </a:graphic>
          </wp:inline>
        </w:drawing>
      </w:r>
      <w:bookmarkEnd w:id="282"/>
      <w:bookmarkEnd w:id="283"/>
      <w:bookmarkEnd w:id="284"/>
      <w:bookmarkEnd w:id="285"/>
      <w:bookmarkEnd w:id="286"/>
      <w:bookmarkEnd w:id="287"/>
      <w:bookmarkEnd w:id="288"/>
    </w:p>
    <w:p w14:paraId="5FEE5ACF" w14:textId="442BA6AD" w:rsidR="00CE1BDB" w:rsidRPr="00FA4DC7" w:rsidRDefault="00CE1BDB" w:rsidP="000957EE">
      <w:pPr>
        <w:rPr>
          <w:b/>
          <w:bCs/>
        </w:rPr>
      </w:pPr>
      <w:bookmarkStart w:id="289" w:name="_Toc77186739"/>
      <w:bookmarkStart w:id="290" w:name="_Toc77187463"/>
      <w:bookmarkStart w:id="291" w:name="_Toc77592263"/>
      <w:bookmarkStart w:id="292" w:name="_Toc81317438"/>
      <w:bookmarkStart w:id="293" w:name="_Toc81323359"/>
      <w:bookmarkStart w:id="294" w:name="_Toc81323485"/>
      <w:bookmarkStart w:id="295" w:name="_Toc81334878"/>
      <w:r w:rsidRPr="00FA4DC7">
        <w:t>Sources: Zoopla PPD 2020, household income from 2021 CAMEO</w:t>
      </w:r>
      <w:bookmarkEnd w:id="289"/>
      <w:bookmarkEnd w:id="290"/>
      <w:bookmarkEnd w:id="291"/>
      <w:bookmarkEnd w:id="292"/>
      <w:bookmarkEnd w:id="293"/>
      <w:bookmarkEnd w:id="294"/>
      <w:bookmarkEnd w:id="295"/>
    </w:p>
    <w:p w14:paraId="683BE89E" w14:textId="77777777" w:rsidR="00D849C3" w:rsidRDefault="00CE1BDB" w:rsidP="00D849C3">
      <w:pPr>
        <w:pStyle w:val="Tableheading1"/>
        <w:tabs>
          <w:tab w:val="left" w:pos="0"/>
          <w:tab w:val="left" w:pos="709"/>
          <w:tab w:val="left" w:pos="1418"/>
        </w:tabs>
        <w:rPr>
          <w:rFonts w:cs="Arial"/>
          <w:color w:val="006666"/>
        </w:rPr>
      </w:pPr>
      <w:bookmarkStart w:id="296" w:name="_Toc83036091"/>
      <w:bookmarkStart w:id="297" w:name="_Toc81323360"/>
      <w:r w:rsidRPr="00D849C3">
        <w:rPr>
          <w:rFonts w:cs="Arial"/>
          <w:color w:val="006666"/>
          <w:szCs w:val="22"/>
        </w:rPr>
        <w:lastRenderedPageBreak/>
        <w:t>Table</w:t>
      </w:r>
      <w:r w:rsidRPr="00FA4DC7">
        <w:rPr>
          <w:rFonts w:cs="Arial"/>
          <w:color w:val="006666"/>
        </w:rPr>
        <w:t xml:space="preserve"> 3.12b</w:t>
      </w:r>
      <w:r w:rsidRPr="00FA4DC7">
        <w:rPr>
          <w:rFonts w:cs="Arial"/>
        </w:rPr>
        <w:tab/>
      </w:r>
      <w:r w:rsidRPr="00FA4DC7">
        <w:rPr>
          <w:rFonts w:cs="Arial"/>
          <w:color w:val="006666"/>
        </w:rPr>
        <w:t>Affordability of private rents by Key Development Location and Neighbourhood Planning Areas</w:t>
      </w:r>
      <w:bookmarkStart w:id="298" w:name="_Toc81317440"/>
      <w:bookmarkEnd w:id="296"/>
    </w:p>
    <w:p w14:paraId="6EF0EFD1" w14:textId="6FC5D1AA" w:rsidR="00CE1BDB" w:rsidRPr="00FA4DC7" w:rsidRDefault="007D604B" w:rsidP="000957EE">
      <w:pPr>
        <w:rPr>
          <w:highlight w:val="yellow"/>
        </w:rPr>
      </w:pPr>
      <w:bookmarkStart w:id="299" w:name="_Toc81334880"/>
      <w:bookmarkEnd w:id="297"/>
      <w:bookmarkEnd w:id="298"/>
      <w:r w:rsidRPr="007D604B">
        <w:rPr>
          <w:noProof/>
        </w:rPr>
        <w:drawing>
          <wp:inline distT="0" distB="0" distL="0" distR="0" wp14:anchorId="1309568E" wp14:editId="38CC6FB3">
            <wp:extent cx="8864600" cy="4311015"/>
            <wp:effectExtent l="0" t="0" r="0" b="0"/>
            <wp:docPr id="7500" name="Picture 7500" descr="Table showing Affordability of private rents by Key Development Location and Neighbourhood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 name="Picture 7500" descr="Table showing Affordability of private rents by Key Development Location and Neighbourhood Planning Areas"/>
                    <pic:cNvPicPr/>
                  </pic:nvPicPr>
                  <pic:blipFill>
                    <a:blip r:embed="rId58"/>
                    <a:stretch>
                      <a:fillRect/>
                    </a:stretch>
                  </pic:blipFill>
                  <pic:spPr>
                    <a:xfrm>
                      <a:off x="0" y="0"/>
                      <a:ext cx="8864600" cy="4311015"/>
                    </a:xfrm>
                    <a:prstGeom prst="rect">
                      <a:avLst/>
                    </a:prstGeom>
                  </pic:spPr>
                </pic:pic>
              </a:graphicData>
            </a:graphic>
          </wp:inline>
        </w:drawing>
      </w:r>
      <w:bookmarkEnd w:id="299"/>
    </w:p>
    <w:p w14:paraId="2C2D237B" w14:textId="77777777" w:rsidR="00CE1BDB" w:rsidRPr="00FA4DC7" w:rsidRDefault="00CE1BDB" w:rsidP="000957EE">
      <w:bookmarkStart w:id="300" w:name="_Toc77186742"/>
      <w:bookmarkStart w:id="301" w:name="_Toc77187466"/>
      <w:bookmarkStart w:id="302" w:name="_Toc77592266"/>
      <w:bookmarkStart w:id="303" w:name="_Toc81317441"/>
      <w:bookmarkStart w:id="304" w:name="_Toc81323361"/>
      <w:bookmarkStart w:id="305" w:name="_Toc81323488"/>
      <w:bookmarkStart w:id="306" w:name="_Toc81334881"/>
      <w:r w:rsidRPr="000957EE">
        <w:rPr>
          <w:b/>
          <w:bCs/>
        </w:rPr>
        <w:t>Key</w:t>
      </w:r>
      <w:bookmarkEnd w:id="300"/>
      <w:bookmarkEnd w:id="301"/>
      <w:bookmarkEnd w:id="302"/>
      <w:bookmarkEnd w:id="303"/>
      <w:bookmarkEnd w:id="304"/>
      <w:bookmarkEnd w:id="305"/>
      <w:bookmarkEnd w:id="306"/>
    </w:p>
    <w:p w14:paraId="5AB6F794" w14:textId="77777777" w:rsidR="00CE1BDB" w:rsidRPr="00FA4DC7" w:rsidRDefault="00CE1BDB" w:rsidP="000957EE">
      <w:bookmarkStart w:id="307" w:name="_Toc77186743"/>
      <w:bookmarkStart w:id="308" w:name="_Toc77187467"/>
      <w:bookmarkStart w:id="309" w:name="_Toc77592267"/>
      <w:bookmarkStart w:id="310" w:name="_Toc81317442"/>
      <w:bookmarkStart w:id="311" w:name="_Toc81323362"/>
      <w:bookmarkStart w:id="312" w:name="_Toc81323489"/>
      <w:bookmarkStart w:id="313" w:name="_Toc81334882"/>
      <w:r w:rsidRPr="00FA4DC7">
        <w:rPr>
          <w:noProof/>
        </w:rPr>
        <w:drawing>
          <wp:inline distT="0" distB="0" distL="0" distR="0" wp14:anchorId="46105140" wp14:editId="15E602CB">
            <wp:extent cx="2206171" cy="459203"/>
            <wp:effectExtent l="0" t="0" r="3810" b="0"/>
            <wp:docPr id="7490" name="Picture 7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 name="Picture 7490">
                      <a:extLst>
                        <a:ext uri="{C183D7F6-B498-43B3-948B-1728B52AA6E4}">
                          <adec:decorative xmlns:adec="http://schemas.microsoft.com/office/drawing/2017/decorative" val="1"/>
                        </a:ext>
                      </a:extLst>
                    </pic:cNvPr>
                    <pic:cNvPicPr/>
                  </pic:nvPicPr>
                  <pic:blipFill>
                    <a:blip r:embed="rId59"/>
                    <a:stretch>
                      <a:fillRect/>
                    </a:stretch>
                  </pic:blipFill>
                  <pic:spPr>
                    <a:xfrm>
                      <a:off x="0" y="0"/>
                      <a:ext cx="2223446" cy="462799"/>
                    </a:xfrm>
                    <a:prstGeom prst="rect">
                      <a:avLst/>
                    </a:prstGeom>
                  </pic:spPr>
                </pic:pic>
              </a:graphicData>
            </a:graphic>
          </wp:inline>
        </w:drawing>
      </w:r>
      <w:bookmarkEnd w:id="307"/>
      <w:bookmarkEnd w:id="308"/>
      <w:bookmarkEnd w:id="309"/>
      <w:bookmarkEnd w:id="310"/>
      <w:bookmarkEnd w:id="311"/>
      <w:bookmarkEnd w:id="312"/>
      <w:bookmarkEnd w:id="313"/>
    </w:p>
    <w:p w14:paraId="3844D710" w14:textId="77777777" w:rsidR="00CE1BDB" w:rsidRPr="00FA4DC7" w:rsidRDefault="00CE1BDB" w:rsidP="000957EE">
      <w:pPr>
        <w:rPr>
          <w:b/>
          <w:bCs/>
          <w:color w:val="006666"/>
          <w:szCs w:val="22"/>
        </w:rPr>
      </w:pPr>
      <w:r w:rsidRPr="00FA4DC7">
        <w:t xml:space="preserve"> </w:t>
      </w:r>
      <w:bookmarkStart w:id="314" w:name="_Toc77186744"/>
      <w:bookmarkStart w:id="315" w:name="_Toc77187468"/>
      <w:bookmarkStart w:id="316" w:name="_Toc77592268"/>
      <w:bookmarkStart w:id="317" w:name="_Toc81317443"/>
      <w:bookmarkStart w:id="318" w:name="_Toc81323363"/>
      <w:bookmarkStart w:id="319" w:name="_Toc81323490"/>
      <w:bookmarkStart w:id="320" w:name="_Toc81334883"/>
      <w:r w:rsidRPr="00FA4DC7">
        <w:t>Sources: Zoopla PPD 2020, household income from 2021 CAMEO</w:t>
      </w:r>
      <w:bookmarkEnd w:id="314"/>
      <w:bookmarkEnd w:id="315"/>
      <w:bookmarkEnd w:id="316"/>
      <w:bookmarkEnd w:id="317"/>
      <w:bookmarkEnd w:id="318"/>
      <w:bookmarkEnd w:id="319"/>
      <w:bookmarkEnd w:id="320"/>
      <w:r w:rsidRPr="00FA4DC7">
        <w:t xml:space="preserve"> </w:t>
      </w:r>
    </w:p>
    <w:p w14:paraId="43FB42AD" w14:textId="77777777" w:rsidR="00CE1BDB" w:rsidRPr="00FA4DC7" w:rsidRDefault="00CE1BDB" w:rsidP="00CE1BDB">
      <w:pPr>
        <w:ind w:left="720"/>
        <w:rPr>
          <w:rFonts w:cs="Arial"/>
        </w:rPr>
      </w:pPr>
    </w:p>
    <w:p w14:paraId="59F83E93" w14:textId="77777777" w:rsidR="000957EE" w:rsidRDefault="000957EE">
      <w:pPr>
        <w:rPr>
          <w:rFonts w:cs="Arial"/>
          <w:b/>
          <w:bCs/>
          <w:color w:val="006666"/>
          <w:sz w:val="22"/>
          <w:szCs w:val="22"/>
          <w:lang w:eastAsia="en-US"/>
        </w:rPr>
      </w:pPr>
      <w:r>
        <w:rPr>
          <w:rFonts w:cs="Arial"/>
          <w:color w:val="006666"/>
          <w:szCs w:val="22"/>
        </w:rPr>
        <w:br w:type="page"/>
      </w:r>
    </w:p>
    <w:p w14:paraId="1939B3BA" w14:textId="7CA4D124" w:rsidR="00CE1BDB" w:rsidRPr="00FA4DC7" w:rsidRDefault="00CE1BDB" w:rsidP="00CE1BDB">
      <w:pPr>
        <w:pStyle w:val="Tableheading1"/>
        <w:tabs>
          <w:tab w:val="left" w:pos="0"/>
          <w:tab w:val="left" w:pos="709"/>
          <w:tab w:val="left" w:pos="1418"/>
        </w:tabs>
        <w:rPr>
          <w:rFonts w:cs="Arial"/>
          <w:color w:val="006666"/>
          <w:sz w:val="12"/>
          <w:szCs w:val="14"/>
          <w:lang w:val="en-US"/>
        </w:rPr>
      </w:pPr>
      <w:bookmarkStart w:id="321" w:name="_Toc83036092"/>
      <w:r w:rsidRPr="00FA4DC7">
        <w:rPr>
          <w:rFonts w:cs="Arial"/>
          <w:color w:val="006666"/>
          <w:szCs w:val="22"/>
        </w:rPr>
        <w:lastRenderedPageBreak/>
        <w:t>Table 3.13a</w:t>
      </w:r>
      <w:r w:rsidRPr="00FA4DC7">
        <w:rPr>
          <w:rFonts w:cs="Arial"/>
          <w:color w:val="006666"/>
          <w:szCs w:val="22"/>
        </w:rPr>
        <w:tab/>
        <w:t>Affordability of owner occupation by ward</w:t>
      </w:r>
      <w:bookmarkEnd w:id="321"/>
      <w:r w:rsidRPr="00FA4DC7">
        <w:rPr>
          <w:rFonts w:cs="Arial"/>
          <w:color w:val="006666"/>
          <w:szCs w:val="22"/>
        </w:rPr>
        <w:t xml:space="preserve"> </w:t>
      </w:r>
    </w:p>
    <w:p w14:paraId="55B0A7FB" w14:textId="77777777" w:rsidR="00CE1BDB" w:rsidRPr="00FA4DC7" w:rsidRDefault="00CE1BDB" w:rsidP="00CE1BDB">
      <w:pPr>
        <w:rPr>
          <w:rFonts w:cs="Arial"/>
          <w:highlight w:val="yellow"/>
        </w:rPr>
      </w:pPr>
      <w:r w:rsidRPr="00FA4DC7">
        <w:rPr>
          <w:rFonts w:cs="Arial"/>
          <w:noProof/>
        </w:rPr>
        <w:drawing>
          <wp:inline distT="0" distB="0" distL="0" distR="0" wp14:anchorId="422D05F6" wp14:editId="6715D65E">
            <wp:extent cx="8896350" cy="4286250"/>
            <wp:effectExtent l="0" t="0" r="0" b="0"/>
            <wp:docPr id="50" name="Picture 50" descr="Table showing affordability of owner occupation by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showing affordability of owner occupation by ward"/>
                    <pic:cNvPicPr/>
                  </pic:nvPicPr>
                  <pic:blipFill>
                    <a:blip r:embed="rId60"/>
                    <a:stretch>
                      <a:fillRect/>
                    </a:stretch>
                  </pic:blipFill>
                  <pic:spPr>
                    <a:xfrm>
                      <a:off x="0" y="0"/>
                      <a:ext cx="8905615" cy="4290714"/>
                    </a:xfrm>
                    <a:prstGeom prst="rect">
                      <a:avLst/>
                    </a:prstGeom>
                  </pic:spPr>
                </pic:pic>
              </a:graphicData>
            </a:graphic>
          </wp:inline>
        </w:drawing>
      </w:r>
    </w:p>
    <w:p w14:paraId="752937F9" w14:textId="77777777" w:rsidR="00CE1BDB" w:rsidRPr="00FA4DC7" w:rsidRDefault="00CE1BDB" w:rsidP="00F808DF">
      <w:pPr>
        <w:rPr>
          <w:rFonts w:cs="Arial"/>
          <w:sz w:val="22"/>
          <w:szCs w:val="22"/>
        </w:rPr>
      </w:pPr>
      <w:r w:rsidRPr="00F808DF">
        <w:rPr>
          <w:rFonts w:cs="Arial"/>
          <w:b/>
          <w:bCs/>
          <w:sz w:val="22"/>
          <w:szCs w:val="22"/>
        </w:rPr>
        <w:t>Key</w:t>
      </w:r>
      <w:r w:rsidRPr="00FA4DC7">
        <w:rPr>
          <w:rFonts w:cs="Arial"/>
          <w:sz w:val="22"/>
          <w:szCs w:val="22"/>
        </w:rPr>
        <w:t xml:space="preserve">: </w:t>
      </w:r>
    </w:p>
    <w:tbl>
      <w:tblPr>
        <w:tblW w:w="0" w:type="auto"/>
        <w:tblLook w:val="04A0" w:firstRow="1" w:lastRow="0" w:firstColumn="1" w:lastColumn="0" w:noHBand="0" w:noVBand="1"/>
      </w:tblPr>
      <w:tblGrid>
        <w:gridCol w:w="522"/>
        <w:gridCol w:w="7481"/>
      </w:tblGrid>
      <w:tr w:rsidR="00CE1BDB" w:rsidRPr="00FA4DC7" w14:paraId="5BDC40FF" w14:textId="77777777" w:rsidTr="00F808DF">
        <w:tc>
          <w:tcPr>
            <w:tcW w:w="0" w:type="auto"/>
            <w:tcBorders>
              <w:top w:val="single" w:sz="4" w:space="0" w:color="006666"/>
              <w:left w:val="single" w:sz="4" w:space="0" w:color="006666"/>
              <w:bottom w:val="single" w:sz="4" w:space="0" w:color="006666"/>
              <w:right w:val="single" w:sz="4" w:space="0" w:color="006666"/>
            </w:tcBorders>
            <w:shd w:val="clear" w:color="000000" w:fill="FFC7CE"/>
            <w:noWrap/>
            <w:vAlign w:val="bottom"/>
            <w:hideMark/>
          </w:tcPr>
          <w:p w14:paraId="49554BF5" w14:textId="77777777" w:rsidR="00CE1BDB" w:rsidRPr="00FA4DC7" w:rsidRDefault="00CE1BDB" w:rsidP="00EF49A7">
            <w:pPr>
              <w:jc w:val="right"/>
              <w:rPr>
                <w:rFonts w:cs="Arial"/>
                <w:color w:val="9C0006"/>
                <w:sz w:val="22"/>
                <w:szCs w:val="22"/>
              </w:rPr>
            </w:pPr>
            <w:r w:rsidRPr="00FA4DC7">
              <w:rPr>
                <w:rFonts w:cs="Arial"/>
                <w:color w:val="9C0006"/>
                <w:sz w:val="22"/>
                <w:szCs w:val="22"/>
              </w:rPr>
              <w:t>5.2</w:t>
            </w:r>
          </w:p>
        </w:tc>
        <w:tc>
          <w:tcPr>
            <w:tcW w:w="0" w:type="auto"/>
            <w:tcBorders>
              <w:top w:val="single" w:sz="4" w:space="0" w:color="006666"/>
              <w:left w:val="single" w:sz="4" w:space="0" w:color="006666"/>
              <w:bottom w:val="single" w:sz="4" w:space="0" w:color="006666"/>
              <w:right w:val="single" w:sz="4" w:space="0" w:color="006666"/>
            </w:tcBorders>
            <w:shd w:val="clear" w:color="000000" w:fill="FFC7CE"/>
          </w:tcPr>
          <w:p w14:paraId="684FE39F" w14:textId="77777777" w:rsidR="00CE1BDB" w:rsidRPr="00FA4DC7" w:rsidRDefault="00CE1BDB" w:rsidP="00EF49A7">
            <w:pPr>
              <w:jc w:val="right"/>
              <w:rPr>
                <w:rFonts w:cs="Arial"/>
                <w:color w:val="9C0006"/>
                <w:sz w:val="22"/>
                <w:szCs w:val="22"/>
              </w:rPr>
            </w:pPr>
            <w:r w:rsidRPr="00FA4DC7">
              <w:rPr>
                <w:rFonts w:cs="Arial"/>
                <w:color w:val="9C0006"/>
                <w:sz w:val="22"/>
                <w:szCs w:val="22"/>
              </w:rPr>
              <w:t xml:space="preserve">Price is more than 4.5x household income (assuming 10% deposit </w:t>
            </w:r>
          </w:p>
        </w:tc>
      </w:tr>
      <w:tr w:rsidR="00CE1BDB" w:rsidRPr="00FA4DC7" w14:paraId="62FAFF74" w14:textId="77777777" w:rsidTr="00F808DF">
        <w:tc>
          <w:tcPr>
            <w:tcW w:w="0" w:type="auto"/>
            <w:tcBorders>
              <w:top w:val="single" w:sz="4" w:space="0" w:color="006666"/>
              <w:left w:val="single" w:sz="4" w:space="0" w:color="006666"/>
              <w:bottom w:val="single" w:sz="4" w:space="0" w:color="006666"/>
              <w:right w:val="single" w:sz="4" w:space="0" w:color="006666"/>
            </w:tcBorders>
            <w:shd w:val="clear" w:color="000000" w:fill="FFC000"/>
            <w:noWrap/>
            <w:vAlign w:val="bottom"/>
            <w:hideMark/>
          </w:tcPr>
          <w:p w14:paraId="2BB6689B" w14:textId="77777777" w:rsidR="00CE1BDB" w:rsidRPr="00FA4DC7" w:rsidRDefault="00CE1BDB" w:rsidP="00EF49A7">
            <w:pPr>
              <w:jc w:val="right"/>
              <w:rPr>
                <w:rFonts w:cs="Arial"/>
                <w:color w:val="000000"/>
                <w:sz w:val="22"/>
                <w:szCs w:val="22"/>
              </w:rPr>
            </w:pPr>
            <w:r w:rsidRPr="00FA4DC7">
              <w:rPr>
                <w:rFonts w:cs="Arial"/>
                <w:color w:val="000000"/>
                <w:sz w:val="22"/>
                <w:szCs w:val="22"/>
              </w:rPr>
              <w:t>3.9</w:t>
            </w:r>
          </w:p>
        </w:tc>
        <w:tc>
          <w:tcPr>
            <w:tcW w:w="0" w:type="auto"/>
            <w:tcBorders>
              <w:top w:val="single" w:sz="4" w:space="0" w:color="006666"/>
              <w:left w:val="single" w:sz="4" w:space="0" w:color="006666"/>
              <w:bottom w:val="single" w:sz="4" w:space="0" w:color="006666"/>
              <w:right w:val="single" w:sz="4" w:space="0" w:color="006666"/>
            </w:tcBorders>
            <w:shd w:val="clear" w:color="000000" w:fill="FFC000"/>
          </w:tcPr>
          <w:p w14:paraId="0FD7C05A" w14:textId="77777777" w:rsidR="00CE1BDB" w:rsidRPr="00FA4DC7" w:rsidRDefault="00CE1BDB" w:rsidP="00EF49A7">
            <w:pPr>
              <w:jc w:val="right"/>
              <w:rPr>
                <w:rFonts w:cs="Arial"/>
                <w:color w:val="000000"/>
                <w:sz w:val="22"/>
                <w:szCs w:val="22"/>
              </w:rPr>
            </w:pPr>
            <w:r w:rsidRPr="00FA4DC7">
              <w:rPr>
                <w:rFonts w:cs="Arial"/>
                <w:color w:val="000000"/>
                <w:sz w:val="22"/>
                <w:szCs w:val="22"/>
              </w:rPr>
              <w:t>Price is between 3.5x and 4.5x household income (assuming 10% deposit)</w:t>
            </w:r>
          </w:p>
        </w:tc>
      </w:tr>
      <w:tr w:rsidR="00CE1BDB" w:rsidRPr="00FA4DC7" w14:paraId="75CA35D2" w14:textId="77777777" w:rsidTr="00F808DF">
        <w:tc>
          <w:tcPr>
            <w:tcW w:w="0" w:type="auto"/>
            <w:tcBorders>
              <w:top w:val="single" w:sz="4" w:space="0" w:color="006666"/>
              <w:left w:val="single" w:sz="4" w:space="0" w:color="006666"/>
              <w:bottom w:val="single" w:sz="4" w:space="0" w:color="006666"/>
              <w:right w:val="single" w:sz="4" w:space="0" w:color="006666"/>
            </w:tcBorders>
            <w:shd w:val="clear" w:color="000000" w:fill="DBDBDB" w:themeFill="accent3" w:themeFillTint="66"/>
            <w:noWrap/>
            <w:vAlign w:val="bottom"/>
          </w:tcPr>
          <w:p w14:paraId="5226FF46" w14:textId="77777777" w:rsidR="00CE1BDB" w:rsidRPr="00FA4DC7" w:rsidRDefault="00CE1BDB" w:rsidP="00EF49A7">
            <w:pPr>
              <w:jc w:val="right"/>
              <w:rPr>
                <w:rFonts w:cs="Arial"/>
                <w:color w:val="000000"/>
                <w:sz w:val="22"/>
                <w:szCs w:val="22"/>
              </w:rPr>
            </w:pPr>
            <w:r w:rsidRPr="00FA4DC7">
              <w:rPr>
                <w:rFonts w:cs="Arial"/>
                <w:color w:val="000000"/>
                <w:sz w:val="22"/>
                <w:szCs w:val="22"/>
              </w:rPr>
              <w:t>2.9</w:t>
            </w:r>
          </w:p>
        </w:tc>
        <w:tc>
          <w:tcPr>
            <w:tcW w:w="0" w:type="auto"/>
            <w:tcBorders>
              <w:top w:val="single" w:sz="4" w:space="0" w:color="006666"/>
              <w:left w:val="single" w:sz="4" w:space="0" w:color="006666"/>
              <w:bottom w:val="single" w:sz="4" w:space="0" w:color="006666"/>
              <w:right w:val="single" w:sz="4" w:space="0" w:color="006666"/>
            </w:tcBorders>
            <w:shd w:val="clear" w:color="000000" w:fill="DBDBDB" w:themeFill="accent3" w:themeFillTint="66"/>
          </w:tcPr>
          <w:p w14:paraId="3D1BFD1E" w14:textId="77777777" w:rsidR="00CE1BDB" w:rsidRPr="00FA4DC7" w:rsidRDefault="00CE1BDB" w:rsidP="00EF49A7">
            <w:pPr>
              <w:jc w:val="right"/>
              <w:rPr>
                <w:rFonts w:cs="Arial"/>
                <w:color w:val="000000"/>
                <w:sz w:val="22"/>
                <w:szCs w:val="22"/>
              </w:rPr>
            </w:pPr>
            <w:r w:rsidRPr="00FA4DC7">
              <w:rPr>
                <w:rFonts w:cs="Arial"/>
                <w:color w:val="000000"/>
                <w:sz w:val="22"/>
                <w:szCs w:val="22"/>
              </w:rPr>
              <w:t>Price is less than 3.5x household income (assuming 10% deposit)</w:t>
            </w:r>
          </w:p>
        </w:tc>
      </w:tr>
    </w:tbl>
    <w:p w14:paraId="697FB5E5" w14:textId="77777777" w:rsidR="00CE1BDB" w:rsidRPr="00FA4DC7" w:rsidRDefault="00CE1BDB" w:rsidP="00F808DF">
      <w:pPr>
        <w:rPr>
          <w:rFonts w:cs="Arial"/>
        </w:rPr>
      </w:pPr>
      <w:r w:rsidRPr="00FA4DC7">
        <w:rPr>
          <w:rFonts w:cs="Arial"/>
        </w:rPr>
        <w:t>Sources:</w:t>
      </w:r>
      <w:r w:rsidRPr="00FA4DC7">
        <w:rPr>
          <w:rFonts w:cs="Arial"/>
          <w:b/>
          <w:bCs/>
        </w:rPr>
        <w:t xml:space="preserve"> </w:t>
      </w:r>
      <w:r w:rsidRPr="00FA4DC7">
        <w:rPr>
          <w:rFonts w:cs="Arial"/>
          <w:sz w:val="22"/>
          <w:szCs w:val="28"/>
        </w:rPr>
        <w:t>Land Registry © Crown copyright 2020</w:t>
      </w:r>
      <w:r w:rsidRPr="00FA4DC7">
        <w:rPr>
          <w:rFonts w:cs="Arial"/>
        </w:rPr>
        <w:t>, household income from 2021 CAMEO</w:t>
      </w:r>
    </w:p>
    <w:p w14:paraId="6371EEBA" w14:textId="6BCD9F08" w:rsidR="00F808DF" w:rsidRDefault="00F808DF">
      <w:pPr>
        <w:rPr>
          <w:rFonts w:cs="Arial"/>
        </w:rPr>
      </w:pPr>
      <w:r>
        <w:rPr>
          <w:rFonts w:cs="Arial"/>
        </w:rPr>
        <w:br w:type="page"/>
      </w:r>
    </w:p>
    <w:p w14:paraId="29205F0F" w14:textId="77777777" w:rsidR="00CE1BDB" w:rsidRPr="00FA4DC7" w:rsidRDefault="00CE1BDB" w:rsidP="00CE1BDB">
      <w:pPr>
        <w:pStyle w:val="Tableheading1"/>
        <w:tabs>
          <w:tab w:val="left" w:pos="709"/>
          <w:tab w:val="left" w:pos="1418"/>
        </w:tabs>
        <w:rPr>
          <w:rFonts w:cs="Arial"/>
          <w:color w:val="006666"/>
          <w:sz w:val="12"/>
          <w:szCs w:val="12"/>
          <w:lang w:val="en-US"/>
        </w:rPr>
      </w:pPr>
      <w:bookmarkStart w:id="322" w:name="_Toc83036093"/>
      <w:r w:rsidRPr="00FA4DC7">
        <w:rPr>
          <w:rFonts w:cs="Arial"/>
          <w:color w:val="006666"/>
        </w:rPr>
        <w:lastRenderedPageBreak/>
        <w:t>Table 3.13b</w:t>
      </w:r>
      <w:r w:rsidRPr="00FA4DC7">
        <w:rPr>
          <w:rFonts w:cs="Arial"/>
        </w:rPr>
        <w:tab/>
      </w:r>
      <w:r w:rsidRPr="00FA4DC7">
        <w:rPr>
          <w:rFonts w:cs="Arial"/>
          <w:color w:val="006666"/>
        </w:rPr>
        <w:t xml:space="preserve">Affordability of owner </w:t>
      </w:r>
      <w:proofErr w:type="gramStart"/>
      <w:r w:rsidRPr="00FA4DC7">
        <w:rPr>
          <w:rFonts w:cs="Arial"/>
          <w:color w:val="006666"/>
        </w:rPr>
        <w:t>occupation  by</w:t>
      </w:r>
      <w:proofErr w:type="gramEnd"/>
      <w:r w:rsidRPr="00FA4DC7">
        <w:rPr>
          <w:rFonts w:cs="Arial"/>
          <w:color w:val="006666"/>
        </w:rPr>
        <w:t xml:space="preserve"> Key Development Location and Neighbourhood Planning Area</w:t>
      </w:r>
      <w:bookmarkEnd w:id="322"/>
      <w:r w:rsidRPr="00FA4DC7">
        <w:rPr>
          <w:rFonts w:cs="Arial"/>
          <w:color w:val="006666"/>
        </w:rPr>
        <w:t xml:space="preserve"> </w:t>
      </w:r>
    </w:p>
    <w:p w14:paraId="59EB8283" w14:textId="23F86A28" w:rsidR="00CE1BDB" w:rsidRPr="00FA4DC7" w:rsidRDefault="007D604B" w:rsidP="00CE1BDB">
      <w:pPr>
        <w:rPr>
          <w:rFonts w:cs="Arial"/>
        </w:rPr>
      </w:pPr>
      <w:r w:rsidRPr="007D604B">
        <w:rPr>
          <w:rFonts w:cs="Arial"/>
          <w:noProof/>
        </w:rPr>
        <w:drawing>
          <wp:inline distT="0" distB="0" distL="0" distR="0" wp14:anchorId="0C0D47F1" wp14:editId="4BCDD4F3">
            <wp:extent cx="8905875" cy="3076575"/>
            <wp:effectExtent l="0" t="0" r="9525" b="9525"/>
            <wp:docPr id="7502" name="Picture 7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 name="Picture 7502">
                      <a:extLst>
                        <a:ext uri="{C183D7F6-B498-43B3-948B-1728B52AA6E4}">
                          <adec:decorative xmlns:adec="http://schemas.microsoft.com/office/drawing/2017/decorative" val="1"/>
                        </a:ext>
                      </a:extLst>
                    </pic:cNvPr>
                    <pic:cNvPicPr/>
                  </pic:nvPicPr>
                  <pic:blipFill>
                    <a:blip r:embed="rId61"/>
                    <a:stretch>
                      <a:fillRect/>
                    </a:stretch>
                  </pic:blipFill>
                  <pic:spPr>
                    <a:xfrm>
                      <a:off x="0" y="0"/>
                      <a:ext cx="8914910" cy="3079696"/>
                    </a:xfrm>
                    <a:prstGeom prst="rect">
                      <a:avLst/>
                    </a:prstGeom>
                  </pic:spPr>
                </pic:pic>
              </a:graphicData>
            </a:graphic>
          </wp:inline>
        </w:drawing>
      </w:r>
    </w:p>
    <w:p w14:paraId="3AFAC10B" w14:textId="77777777" w:rsidR="00CE1BDB" w:rsidRPr="00FA4DC7" w:rsidRDefault="00CE1BDB" w:rsidP="00CE1BDB">
      <w:pPr>
        <w:rPr>
          <w:rFonts w:cs="Arial"/>
        </w:rPr>
      </w:pPr>
    </w:p>
    <w:p w14:paraId="40CC9A96" w14:textId="77777777" w:rsidR="00CE1BDB" w:rsidRPr="00FA4DC7" w:rsidRDefault="00CE1BDB" w:rsidP="00F808DF">
      <w:pPr>
        <w:rPr>
          <w:rFonts w:cs="Arial"/>
          <w:sz w:val="22"/>
          <w:szCs w:val="22"/>
        </w:rPr>
      </w:pPr>
      <w:r w:rsidRPr="00F808DF">
        <w:rPr>
          <w:rFonts w:cs="Arial"/>
          <w:b/>
          <w:bCs/>
          <w:sz w:val="22"/>
          <w:szCs w:val="22"/>
        </w:rPr>
        <w:t>Key</w:t>
      </w:r>
      <w:r w:rsidRPr="00FA4DC7">
        <w:rPr>
          <w:rFonts w:cs="Arial"/>
          <w:sz w:val="22"/>
          <w:szCs w:val="22"/>
        </w:rPr>
        <w:t xml:space="preserve">: </w:t>
      </w:r>
    </w:p>
    <w:tbl>
      <w:tblPr>
        <w:tblW w:w="0" w:type="auto"/>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22"/>
        <w:gridCol w:w="7481"/>
      </w:tblGrid>
      <w:tr w:rsidR="00CE1BDB" w:rsidRPr="00FA4DC7" w14:paraId="5E2415B2" w14:textId="77777777" w:rsidTr="00F808DF">
        <w:tc>
          <w:tcPr>
            <w:tcW w:w="0" w:type="auto"/>
            <w:shd w:val="clear" w:color="000000" w:fill="FFC7CE"/>
            <w:noWrap/>
            <w:vAlign w:val="bottom"/>
            <w:hideMark/>
          </w:tcPr>
          <w:p w14:paraId="0453534C" w14:textId="77777777" w:rsidR="00CE1BDB" w:rsidRPr="00FA4DC7" w:rsidRDefault="00CE1BDB" w:rsidP="00EF49A7">
            <w:pPr>
              <w:jc w:val="right"/>
              <w:rPr>
                <w:rFonts w:cs="Arial"/>
                <w:color w:val="9C0006"/>
                <w:sz w:val="22"/>
                <w:szCs w:val="22"/>
              </w:rPr>
            </w:pPr>
            <w:r w:rsidRPr="00FA4DC7">
              <w:rPr>
                <w:rFonts w:cs="Arial"/>
                <w:color w:val="9C0006"/>
                <w:sz w:val="22"/>
                <w:szCs w:val="22"/>
              </w:rPr>
              <w:t>5.2</w:t>
            </w:r>
          </w:p>
        </w:tc>
        <w:tc>
          <w:tcPr>
            <w:tcW w:w="0" w:type="auto"/>
            <w:shd w:val="clear" w:color="000000" w:fill="FFC7CE"/>
          </w:tcPr>
          <w:p w14:paraId="0BAF462E" w14:textId="77777777" w:rsidR="00CE1BDB" w:rsidRPr="00FA4DC7" w:rsidRDefault="00CE1BDB" w:rsidP="00EF49A7">
            <w:pPr>
              <w:jc w:val="right"/>
              <w:rPr>
                <w:rFonts w:cs="Arial"/>
                <w:color w:val="9C0006"/>
                <w:sz w:val="22"/>
                <w:szCs w:val="22"/>
              </w:rPr>
            </w:pPr>
            <w:r w:rsidRPr="00FA4DC7">
              <w:rPr>
                <w:rFonts w:cs="Arial"/>
                <w:color w:val="9C0006"/>
                <w:sz w:val="22"/>
                <w:szCs w:val="22"/>
              </w:rPr>
              <w:t xml:space="preserve">Price is more than 4.5x household income (assuming 10% deposit </w:t>
            </w:r>
          </w:p>
        </w:tc>
      </w:tr>
      <w:tr w:rsidR="00CE1BDB" w:rsidRPr="00FA4DC7" w14:paraId="55FBB482" w14:textId="77777777" w:rsidTr="00F808DF">
        <w:tc>
          <w:tcPr>
            <w:tcW w:w="0" w:type="auto"/>
            <w:shd w:val="clear" w:color="000000" w:fill="FFC000"/>
            <w:noWrap/>
            <w:vAlign w:val="bottom"/>
            <w:hideMark/>
          </w:tcPr>
          <w:p w14:paraId="29613657" w14:textId="77777777" w:rsidR="00CE1BDB" w:rsidRPr="00FA4DC7" w:rsidRDefault="00CE1BDB" w:rsidP="00EF49A7">
            <w:pPr>
              <w:jc w:val="right"/>
              <w:rPr>
                <w:rFonts w:cs="Arial"/>
                <w:color w:val="000000"/>
                <w:sz w:val="22"/>
                <w:szCs w:val="22"/>
              </w:rPr>
            </w:pPr>
            <w:r w:rsidRPr="00FA4DC7">
              <w:rPr>
                <w:rFonts w:cs="Arial"/>
                <w:color w:val="000000"/>
                <w:sz w:val="22"/>
                <w:szCs w:val="22"/>
              </w:rPr>
              <w:t>3.9</w:t>
            </w:r>
          </w:p>
        </w:tc>
        <w:tc>
          <w:tcPr>
            <w:tcW w:w="0" w:type="auto"/>
            <w:shd w:val="clear" w:color="000000" w:fill="FFC000"/>
          </w:tcPr>
          <w:p w14:paraId="116E77EF" w14:textId="77777777" w:rsidR="00CE1BDB" w:rsidRPr="00FA4DC7" w:rsidRDefault="00CE1BDB" w:rsidP="00EF49A7">
            <w:pPr>
              <w:jc w:val="right"/>
              <w:rPr>
                <w:rFonts w:cs="Arial"/>
                <w:color w:val="000000"/>
                <w:sz w:val="22"/>
                <w:szCs w:val="22"/>
              </w:rPr>
            </w:pPr>
            <w:r w:rsidRPr="00FA4DC7">
              <w:rPr>
                <w:rFonts w:cs="Arial"/>
                <w:color w:val="000000"/>
                <w:sz w:val="22"/>
                <w:szCs w:val="22"/>
              </w:rPr>
              <w:t>Price is between 3.5x and 4.5x household income (assuming 10% deposit)</w:t>
            </w:r>
          </w:p>
        </w:tc>
      </w:tr>
      <w:tr w:rsidR="00CE1BDB" w:rsidRPr="00FA4DC7" w14:paraId="1F1602E8" w14:textId="77777777" w:rsidTr="00F808DF">
        <w:tc>
          <w:tcPr>
            <w:tcW w:w="0" w:type="auto"/>
            <w:shd w:val="clear" w:color="000000" w:fill="DBDBDB" w:themeFill="accent3" w:themeFillTint="66"/>
            <w:noWrap/>
            <w:vAlign w:val="bottom"/>
          </w:tcPr>
          <w:p w14:paraId="3448D145" w14:textId="77777777" w:rsidR="00CE1BDB" w:rsidRPr="00FA4DC7" w:rsidRDefault="00CE1BDB" w:rsidP="00EF49A7">
            <w:pPr>
              <w:jc w:val="right"/>
              <w:rPr>
                <w:rFonts w:cs="Arial"/>
                <w:color w:val="000000"/>
                <w:sz w:val="22"/>
                <w:szCs w:val="22"/>
              </w:rPr>
            </w:pPr>
            <w:r w:rsidRPr="00FA4DC7">
              <w:rPr>
                <w:rFonts w:cs="Arial"/>
                <w:color w:val="000000"/>
                <w:sz w:val="22"/>
                <w:szCs w:val="22"/>
              </w:rPr>
              <w:t>2.9</w:t>
            </w:r>
          </w:p>
        </w:tc>
        <w:tc>
          <w:tcPr>
            <w:tcW w:w="0" w:type="auto"/>
            <w:shd w:val="clear" w:color="000000" w:fill="DBDBDB" w:themeFill="accent3" w:themeFillTint="66"/>
          </w:tcPr>
          <w:p w14:paraId="68910913" w14:textId="77777777" w:rsidR="00CE1BDB" w:rsidRPr="00FA4DC7" w:rsidRDefault="00CE1BDB" w:rsidP="00EF49A7">
            <w:pPr>
              <w:jc w:val="right"/>
              <w:rPr>
                <w:rFonts w:cs="Arial"/>
                <w:color w:val="000000"/>
                <w:sz w:val="22"/>
                <w:szCs w:val="22"/>
              </w:rPr>
            </w:pPr>
            <w:r w:rsidRPr="00FA4DC7">
              <w:rPr>
                <w:rFonts w:cs="Arial"/>
                <w:color w:val="000000"/>
                <w:sz w:val="22"/>
                <w:szCs w:val="22"/>
              </w:rPr>
              <w:t>Price is less than 3.5x household income (assuming 10% deposit)</w:t>
            </w:r>
          </w:p>
        </w:tc>
      </w:tr>
    </w:tbl>
    <w:p w14:paraId="2A7A526D" w14:textId="77777777" w:rsidR="00CE1BDB" w:rsidRPr="00FA4DC7" w:rsidRDefault="00CE1BDB" w:rsidP="00F808DF">
      <w:pPr>
        <w:rPr>
          <w:rFonts w:cs="Arial"/>
        </w:rPr>
      </w:pPr>
      <w:r w:rsidRPr="00FA4DC7">
        <w:rPr>
          <w:rFonts w:cs="Arial"/>
        </w:rPr>
        <w:t>Sources:</w:t>
      </w:r>
      <w:r w:rsidRPr="00FA4DC7">
        <w:rPr>
          <w:rFonts w:cs="Arial"/>
          <w:b/>
          <w:bCs/>
        </w:rPr>
        <w:t xml:space="preserve"> </w:t>
      </w:r>
      <w:r w:rsidRPr="00FA4DC7">
        <w:rPr>
          <w:rFonts w:cs="Arial"/>
          <w:sz w:val="22"/>
          <w:szCs w:val="28"/>
        </w:rPr>
        <w:t>Land Registry © Crown copyright 2020</w:t>
      </w:r>
      <w:r w:rsidRPr="00FA4DC7">
        <w:rPr>
          <w:rFonts w:cs="Arial"/>
        </w:rPr>
        <w:t>, household income from 2021 CAMEO</w:t>
      </w:r>
    </w:p>
    <w:p w14:paraId="31B8F8C3" w14:textId="77777777" w:rsidR="00CE1BDB" w:rsidRPr="00FA4DC7" w:rsidRDefault="00CE1BDB" w:rsidP="00CE1BDB">
      <w:pPr>
        <w:rPr>
          <w:rFonts w:cs="Arial"/>
        </w:rPr>
      </w:pPr>
    </w:p>
    <w:p w14:paraId="202C3087" w14:textId="77777777" w:rsidR="00CE1BDB" w:rsidRPr="00FA4DC7" w:rsidRDefault="00CE1BDB" w:rsidP="00CE1BDB">
      <w:pPr>
        <w:rPr>
          <w:rFonts w:cs="Arial"/>
          <w:highlight w:val="yellow"/>
        </w:rPr>
      </w:pPr>
    </w:p>
    <w:p w14:paraId="5A4E5CCB" w14:textId="77777777" w:rsidR="00CE1BDB" w:rsidRPr="00FA4DC7" w:rsidRDefault="00CE1BDB" w:rsidP="00CE1BDB">
      <w:pPr>
        <w:ind w:left="720"/>
        <w:rPr>
          <w:rFonts w:cs="Arial"/>
          <w:highlight w:val="yellow"/>
        </w:rPr>
        <w:sectPr w:rsidR="00CE1BDB" w:rsidRPr="00FA4DC7" w:rsidSect="00EF49A7">
          <w:pgSz w:w="16840" w:h="11900" w:orient="landscape"/>
          <w:pgMar w:top="1104" w:right="1440" w:bottom="1440" w:left="1440" w:header="708" w:footer="708" w:gutter="0"/>
          <w:cols w:space="708"/>
          <w:docGrid w:linePitch="360"/>
        </w:sectPr>
      </w:pPr>
    </w:p>
    <w:p w14:paraId="4F0C70D0" w14:textId="77777777" w:rsidR="00CE1BDB" w:rsidRPr="00FA4DC7" w:rsidRDefault="00CE1BDB" w:rsidP="00CE1BDB">
      <w:pPr>
        <w:pStyle w:val="Heading2"/>
        <w:ind w:left="720" w:hanging="11"/>
        <w:rPr>
          <w:rFonts w:cs="Arial"/>
        </w:rPr>
      </w:pPr>
      <w:bookmarkStart w:id="323" w:name="_Toc44623050"/>
      <w:bookmarkStart w:id="324" w:name="_Toc46497076"/>
      <w:bookmarkStart w:id="325" w:name="_Toc83035660"/>
      <w:r w:rsidRPr="00FA4DC7">
        <w:rPr>
          <w:rFonts w:cs="Arial"/>
        </w:rPr>
        <w:lastRenderedPageBreak/>
        <w:t>Affordability of prices and rents to selected key workers and households on minimum/living wages</w:t>
      </w:r>
      <w:bookmarkEnd w:id="323"/>
      <w:bookmarkEnd w:id="324"/>
      <w:bookmarkEnd w:id="325"/>
    </w:p>
    <w:p w14:paraId="2B50C789" w14:textId="77777777" w:rsidR="00CE1BDB" w:rsidRPr="00FA4DC7" w:rsidRDefault="00CE1BDB" w:rsidP="00CE1BDB">
      <w:pPr>
        <w:pStyle w:val="Reporttext"/>
        <w:rPr>
          <w:rFonts w:cs="Arial"/>
        </w:rPr>
      </w:pPr>
      <w:r w:rsidRPr="00FA4DC7">
        <w:rPr>
          <w:rFonts w:cs="Arial"/>
          <w:lang w:val="en-US"/>
        </w:rPr>
        <w:t xml:space="preserve">The extent to which borough-wide open market rents are affordable to selected keyworkers and households on minimum and living wages are explored in Table 3.14. Key workers on entry-level grades are generally having to spend more than 25% of their income on rent. </w:t>
      </w:r>
    </w:p>
    <w:p w14:paraId="5503A2CB" w14:textId="77777777" w:rsidR="00CE1BDB" w:rsidRPr="00FA4DC7" w:rsidRDefault="00CE1BDB" w:rsidP="00CE1BDB">
      <w:pPr>
        <w:pStyle w:val="Reporttext"/>
        <w:rPr>
          <w:rFonts w:cs="Arial"/>
        </w:rPr>
      </w:pPr>
      <w:r w:rsidRPr="00FA4DC7">
        <w:rPr>
          <w:rFonts w:cs="Arial"/>
          <w:lang w:val="en-US"/>
        </w:rPr>
        <w:t xml:space="preserve">Table 3.15 considers the income multiples needed to buy a property based on the incomes of selected key workers and households on minimum/living wages. Analysis assumed that a 10% deposit was available and indicates that multiples </w:t>
      </w:r>
      <w:proofErr w:type="gramStart"/>
      <w:r w:rsidRPr="00FA4DC7">
        <w:rPr>
          <w:rFonts w:cs="Arial"/>
          <w:lang w:val="en-US"/>
        </w:rPr>
        <w:t>in excess of</w:t>
      </w:r>
      <w:proofErr w:type="gramEnd"/>
      <w:r w:rsidRPr="00FA4DC7">
        <w:rPr>
          <w:rFonts w:cs="Arial"/>
          <w:lang w:val="en-US"/>
        </w:rPr>
        <w:t xml:space="preserve"> 3.5x were generally needed when buying a property. Prices that are genuinely affordable were also considered based on a 3.5x income multiple.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5"/>
        <w:gridCol w:w="1228"/>
        <w:gridCol w:w="1228"/>
        <w:gridCol w:w="1224"/>
        <w:gridCol w:w="1435"/>
        <w:gridCol w:w="1220"/>
      </w:tblGrid>
      <w:tr w:rsidR="00CE1BDB" w:rsidRPr="00FA4DC7" w14:paraId="1FF8C8B9" w14:textId="77777777" w:rsidTr="00461114">
        <w:tc>
          <w:tcPr>
            <w:tcW w:w="5000" w:type="pct"/>
            <w:gridSpan w:val="6"/>
            <w:tcBorders>
              <w:bottom w:val="single" w:sz="4" w:space="0" w:color="000000" w:themeColor="text1"/>
            </w:tcBorders>
            <w:shd w:val="clear" w:color="auto" w:fill="006666"/>
            <w:vAlign w:val="center"/>
          </w:tcPr>
          <w:p w14:paraId="42A07016" w14:textId="77777777" w:rsidR="00CE1BDB" w:rsidRPr="00FA4DC7" w:rsidRDefault="00CE1BDB" w:rsidP="00461114">
            <w:pPr>
              <w:pStyle w:val="Tableheading1"/>
              <w:spacing w:before="0" w:after="0"/>
              <w:rPr>
                <w:rFonts w:cs="Arial"/>
                <w:color w:val="FFFFFF"/>
                <w:szCs w:val="22"/>
              </w:rPr>
            </w:pPr>
            <w:bookmarkStart w:id="326" w:name="_Toc83036094"/>
            <w:r w:rsidRPr="00FA4DC7">
              <w:rPr>
                <w:rFonts w:cs="Arial"/>
                <w:szCs w:val="22"/>
              </w:rPr>
              <w:t>Table</w:t>
            </w:r>
            <w:r w:rsidRPr="00FA4DC7">
              <w:rPr>
                <w:rFonts w:cs="Arial"/>
              </w:rPr>
              <w:t xml:space="preserve"> 3.14 </w:t>
            </w:r>
            <w:r w:rsidRPr="00FA4DC7">
              <w:rPr>
                <w:rFonts w:cs="Arial"/>
              </w:rPr>
              <w:tab/>
              <w:t>Incomes of key workers and households on minimum/living wage and rental affordability</w:t>
            </w:r>
            <w:bookmarkEnd w:id="326"/>
          </w:p>
        </w:tc>
      </w:tr>
      <w:tr w:rsidR="00CE1BDB" w:rsidRPr="00FA4DC7" w14:paraId="7F21B820" w14:textId="77777777" w:rsidTr="00461114">
        <w:tc>
          <w:tcPr>
            <w:tcW w:w="1484" w:type="pct"/>
            <w:vMerge w:val="restart"/>
            <w:tcBorders>
              <w:bottom w:val="single" w:sz="4" w:space="0" w:color="000000" w:themeColor="text1"/>
            </w:tcBorders>
            <w:shd w:val="clear" w:color="auto" w:fill="006666"/>
            <w:vAlign w:val="bottom"/>
            <w:hideMark/>
          </w:tcPr>
          <w:p w14:paraId="263914AF" w14:textId="77777777" w:rsidR="00CE1BDB" w:rsidRPr="00FA4DC7" w:rsidRDefault="00CE1BDB" w:rsidP="00461114">
            <w:pPr>
              <w:rPr>
                <w:rFonts w:cs="Arial"/>
                <w:b/>
                <w:bCs/>
                <w:color w:val="FFFFFF"/>
                <w:sz w:val="22"/>
                <w:szCs w:val="22"/>
              </w:rPr>
            </w:pPr>
            <w:r w:rsidRPr="00FA4DC7">
              <w:rPr>
                <w:rFonts w:cs="Arial"/>
                <w:b/>
                <w:bCs/>
                <w:color w:val="FFFFFF"/>
                <w:sz w:val="22"/>
                <w:szCs w:val="22"/>
              </w:rPr>
              <w:t>Income/Occupation/</w:t>
            </w:r>
          </w:p>
          <w:p w14:paraId="76DB4F3E" w14:textId="77777777" w:rsidR="00CE1BDB" w:rsidRPr="00FA4DC7" w:rsidRDefault="00CE1BDB" w:rsidP="00461114">
            <w:pPr>
              <w:rPr>
                <w:rFonts w:cs="Arial"/>
                <w:b/>
                <w:bCs/>
                <w:color w:val="FFFFFF"/>
                <w:sz w:val="22"/>
                <w:szCs w:val="22"/>
              </w:rPr>
            </w:pPr>
            <w:r w:rsidRPr="00FA4DC7">
              <w:rPr>
                <w:rFonts w:cs="Arial"/>
                <w:b/>
                <w:bCs/>
                <w:color w:val="FFFFFF"/>
                <w:sz w:val="22"/>
                <w:szCs w:val="22"/>
              </w:rPr>
              <w:t>Wage</w:t>
            </w:r>
          </w:p>
        </w:tc>
        <w:tc>
          <w:tcPr>
            <w:tcW w:w="681" w:type="pct"/>
            <w:vMerge w:val="restart"/>
            <w:shd w:val="clear" w:color="auto" w:fill="006666"/>
            <w:vAlign w:val="bottom"/>
            <w:hideMark/>
          </w:tcPr>
          <w:p w14:paraId="567BFD46"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Gross household income 2020 (Annual £)</w:t>
            </w:r>
          </w:p>
        </w:tc>
        <w:tc>
          <w:tcPr>
            <w:tcW w:w="681" w:type="pct"/>
            <w:vMerge w:val="restart"/>
            <w:shd w:val="clear" w:color="auto" w:fill="006666"/>
            <w:vAlign w:val="bottom"/>
            <w:hideMark/>
          </w:tcPr>
          <w:p w14:paraId="6DB05B17"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Gross household income 2020 (Monthly £)</w:t>
            </w:r>
          </w:p>
        </w:tc>
        <w:tc>
          <w:tcPr>
            <w:tcW w:w="680" w:type="pct"/>
            <w:tcBorders>
              <w:bottom w:val="single" w:sz="4" w:space="0" w:color="000000" w:themeColor="text1"/>
            </w:tcBorders>
            <w:shd w:val="clear" w:color="auto" w:fill="006666"/>
            <w:vAlign w:val="bottom"/>
            <w:hideMark/>
          </w:tcPr>
          <w:p w14:paraId="21A37A71"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 xml:space="preserve">% </w:t>
            </w:r>
            <w:proofErr w:type="gramStart"/>
            <w:r w:rsidRPr="00461114">
              <w:rPr>
                <w:rFonts w:cs="Arial"/>
                <w:b/>
                <w:bCs/>
                <w:color w:val="FFFFFF"/>
                <w:sz w:val="20"/>
                <w:szCs w:val="20"/>
              </w:rPr>
              <w:t>income</w:t>
            </w:r>
            <w:proofErr w:type="gramEnd"/>
            <w:r w:rsidRPr="00461114">
              <w:rPr>
                <w:rFonts w:cs="Arial"/>
                <w:b/>
                <w:bCs/>
                <w:color w:val="FFFFFF"/>
                <w:sz w:val="20"/>
                <w:szCs w:val="20"/>
              </w:rPr>
              <w:t xml:space="preserve"> needed to afford LQ rent</w:t>
            </w:r>
          </w:p>
        </w:tc>
        <w:tc>
          <w:tcPr>
            <w:tcW w:w="797" w:type="pct"/>
            <w:tcBorders>
              <w:bottom w:val="single" w:sz="4" w:space="0" w:color="000000" w:themeColor="text1"/>
            </w:tcBorders>
            <w:shd w:val="clear" w:color="auto" w:fill="006666"/>
            <w:vAlign w:val="bottom"/>
            <w:hideMark/>
          </w:tcPr>
          <w:p w14:paraId="179D08E9"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 xml:space="preserve">% </w:t>
            </w:r>
            <w:proofErr w:type="gramStart"/>
            <w:r w:rsidRPr="00461114">
              <w:rPr>
                <w:rFonts w:cs="Arial"/>
                <w:b/>
                <w:bCs/>
                <w:color w:val="FFFFFF"/>
                <w:sz w:val="20"/>
                <w:szCs w:val="20"/>
              </w:rPr>
              <w:t>income</w:t>
            </w:r>
            <w:proofErr w:type="gramEnd"/>
            <w:r w:rsidRPr="00461114">
              <w:rPr>
                <w:rFonts w:cs="Arial"/>
                <w:b/>
                <w:bCs/>
                <w:color w:val="FFFFFF"/>
                <w:sz w:val="20"/>
                <w:szCs w:val="20"/>
              </w:rPr>
              <w:t xml:space="preserve"> needed to afford median rent</w:t>
            </w:r>
          </w:p>
        </w:tc>
        <w:tc>
          <w:tcPr>
            <w:tcW w:w="676" w:type="pct"/>
            <w:vMerge w:val="restart"/>
            <w:shd w:val="clear" w:color="auto" w:fill="006666"/>
            <w:vAlign w:val="bottom"/>
            <w:hideMark/>
          </w:tcPr>
          <w:p w14:paraId="7E6B8D89"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Genuinely affordable rent</w:t>
            </w:r>
          </w:p>
        </w:tc>
      </w:tr>
      <w:tr w:rsidR="00CE1BDB" w:rsidRPr="00FA4DC7" w14:paraId="3A0326F8" w14:textId="77777777" w:rsidTr="00461114">
        <w:tc>
          <w:tcPr>
            <w:tcW w:w="1484" w:type="pct"/>
            <w:vMerge/>
            <w:shd w:val="clear" w:color="auto" w:fill="006666"/>
            <w:vAlign w:val="center"/>
            <w:hideMark/>
          </w:tcPr>
          <w:p w14:paraId="4BA1B177" w14:textId="77777777" w:rsidR="00CE1BDB" w:rsidRPr="00FA4DC7" w:rsidRDefault="00CE1BDB" w:rsidP="00461114">
            <w:pPr>
              <w:jc w:val="center"/>
              <w:rPr>
                <w:rFonts w:cs="Arial"/>
                <w:b/>
                <w:bCs/>
                <w:color w:val="FFFFFF"/>
                <w:sz w:val="22"/>
                <w:szCs w:val="22"/>
              </w:rPr>
            </w:pPr>
          </w:p>
        </w:tc>
        <w:tc>
          <w:tcPr>
            <w:tcW w:w="681" w:type="pct"/>
            <w:vMerge/>
            <w:shd w:val="clear" w:color="auto" w:fill="006666"/>
            <w:vAlign w:val="center"/>
            <w:hideMark/>
          </w:tcPr>
          <w:p w14:paraId="1521F63A" w14:textId="77777777" w:rsidR="00CE1BDB" w:rsidRPr="00FA4DC7" w:rsidRDefault="00CE1BDB" w:rsidP="00461114">
            <w:pPr>
              <w:jc w:val="center"/>
              <w:rPr>
                <w:rFonts w:cs="Arial"/>
                <w:b/>
                <w:bCs/>
                <w:color w:val="FFFFFF"/>
                <w:sz w:val="22"/>
                <w:szCs w:val="22"/>
              </w:rPr>
            </w:pPr>
          </w:p>
        </w:tc>
        <w:tc>
          <w:tcPr>
            <w:tcW w:w="681" w:type="pct"/>
            <w:vMerge/>
            <w:shd w:val="clear" w:color="auto" w:fill="006666"/>
            <w:vAlign w:val="center"/>
            <w:hideMark/>
          </w:tcPr>
          <w:p w14:paraId="52EFDA4C" w14:textId="77777777" w:rsidR="00CE1BDB" w:rsidRPr="00FA4DC7" w:rsidRDefault="00CE1BDB" w:rsidP="00461114">
            <w:pPr>
              <w:jc w:val="center"/>
              <w:rPr>
                <w:rFonts w:cs="Arial"/>
                <w:b/>
                <w:bCs/>
                <w:color w:val="FFFFFF"/>
                <w:sz w:val="22"/>
                <w:szCs w:val="22"/>
              </w:rPr>
            </w:pPr>
          </w:p>
        </w:tc>
        <w:tc>
          <w:tcPr>
            <w:tcW w:w="680" w:type="pct"/>
            <w:shd w:val="clear" w:color="auto" w:fill="006666"/>
            <w:vAlign w:val="bottom"/>
            <w:hideMark/>
          </w:tcPr>
          <w:p w14:paraId="56967D89" w14:textId="77777777" w:rsidR="00CE1BDB" w:rsidRPr="00461114" w:rsidRDefault="00CE1BDB" w:rsidP="00461114">
            <w:pPr>
              <w:jc w:val="center"/>
              <w:rPr>
                <w:rFonts w:cs="Arial"/>
                <w:color w:val="FFFFFF"/>
                <w:sz w:val="20"/>
                <w:szCs w:val="20"/>
              </w:rPr>
            </w:pPr>
            <w:r w:rsidRPr="00461114">
              <w:rPr>
                <w:rFonts w:cs="Arial"/>
                <w:color w:val="FFFFFF"/>
                <w:sz w:val="20"/>
                <w:szCs w:val="20"/>
              </w:rPr>
              <w:t>Monthly LQ Rent=</w:t>
            </w:r>
          </w:p>
        </w:tc>
        <w:tc>
          <w:tcPr>
            <w:tcW w:w="797" w:type="pct"/>
            <w:shd w:val="clear" w:color="auto" w:fill="006666"/>
            <w:vAlign w:val="bottom"/>
            <w:hideMark/>
          </w:tcPr>
          <w:p w14:paraId="665AC822" w14:textId="77777777" w:rsidR="00CE1BDB" w:rsidRPr="00461114" w:rsidRDefault="00CE1BDB" w:rsidP="00461114">
            <w:pPr>
              <w:jc w:val="center"/>
              <w:rPr>
                <w:rFonts w:cs="Arial"/>
                <w:color w:val="FFFFFF"/>
                <w:sz w:val="20"/>
                <w:szCs w:val="20"/>
              </w:rPr>
            </w:pPr>
            <w:r w:rsidRPr="00461114">
              <w:rPr>
                <w:rFonts w:cs="Arial"/>
                <w:color w:val="FFFFFF"/>
                <w:sz w:val="20"/>
                <w:szCs w:val="20"/>
              </w:rPr>
              <w:t>Monthly Median Rent=</w:t>
            </w:r>
          </w:p>
        </w:tc>
        <w:tc>
          <w:tcPr>
            <w:tcW w:w="676" w:type="pct"/>
            <w:vMerge/>
            <w:shd w:val="clear" w:color="auto" w:fill="006666"/>
            <w:vAlign w:val="center"/>
            <w:hideMark/>
          </w:tcPr>
          <w:p w14:paraId="43BCB89D" w14:textId="77777777" w:rsidR="00CE1BDB" w:rsidRPr="00FA4DC7" w:rsidRDefault="00CE1BDB" w:rsidP="00461114">
            <w:pPr>
              <w:jc w:val="center"/>
              <w:rPr>
                <w:rFonts w:cs="Arial"/>
                <w:b/>
                <w:bCs/>
                <w:color w:val="FFFFFF"/>
                <w:sz w:val="22"/>
                <w:szCs w:val="22"/>
              </w:rPr>
            </w:pPr>
          </w:p>
        </w:tc>
      </w:tr>
      <w:tr w:rsidR="00CE1BDB" w:rsidRPr="00FA4DC7" w14:paraId="571E8728" w14:textId="77777777" w:rsidTr="00461114">
        <w:tc>
          <w:tcPr>
            <w:tcW w:w="1484" w:type="pct"/>
            <w:vMerge/>
            <w:shd w:val="clear" w:color="auto" w:fill="006666"/>
            <w:vAlign w:val="center"/>
            <w:hideMark/>
          </w:tcPr>
          <w:p w14:paraId="25FAB9F5" w14:textId="77777777" w:rsidR="00CE1BDB" w:rsidRPr="00FA4DC7" w:rsidRDefault="00CE1BDB" w:rsidP="00461114">
            <w:pPr>
              <w:jc w:val="center"/>
              <w:rPr>
                <w:rFonts w:cs="Arial"/>
                <w:b/>
                <w:bCs/>
                <w:color w:val="FFFFFF"/>
                <w:sz w:val="22"/>
                <w:szCs w:val="22"/>
              </w:rPr>
            </w:pPr>
          </w:p>
        </w:tc>
        <w:tc>
          <w:tcPr>
            <w:tcW w:w="681" w:type="pct"/>
            <w:vMerge/>
            <w:shd w:val="clear" w:color="auto" w:fill="006666"/>
            <w:vAlign w:val="center"/>
            <w:hideMark/>
          </w:tcPr>
          <w:p w14:paraId="1EBCB8E2" w14:textId="77777777" w:rsidR="00CE1BDB" w:rsidRPr="00FA4DC7" w:rsidRDefault="00CE1BDB" w:rsidP="00461114">
            <w:pPr>
              <w:jc w:val="center"/>
              <w:rPr>
                <w:rFonts w:cs="Arial"/>
                <w:b/>
                <w:bCs/>
                <w:color w:val="FFFFFF"/>
                <w:sz w:val="22"/>
                <w:szCs w:val="22"/>
              </w:rPr>
            </w:pPr>
          </w:p>
        </w:tc>
        <w:tc>
          <w:tcPr>
            <w:tcW w:w="681" w:type="pct"/>
            <w:vMerge/>
            <w:shd w:val="clear" w:color="auto" w:fill="006666"/>
            <w:vAlign w:val="center"/>
            <w:hideMark/>
          </w:tcPr>
          <w:p w14:paraId="490D7784" w14:textId="77777777" w:rsidR="00CE1BDB" w:rsidRPr="00FA4DC7" w:rsidRDefault="00CE1BDB" w:rsidP="00461114">
            <w:pPr>
              <w:jc w:val="center"/>
              <w:rPr>
                <w:rFonts w:cs="Arial"/>
                <w:b/>
                <w:bCs/>
                <w:color w:val="FFFFFF"/>
                <w:sz w:val="22"/>
                <w:szCs w:val="22"/>
              </w:rPr>
            </w:pPr>
          </w:p>
        </w:tc>
        <w:tc>
          <w:tcPr>
            <w:tcW w:w="680" w:type="pct"/>
            <w:shd w:val="clear" w:color="auto" w:fill="006666"/>
            <w:vAlign w:val="bottom"/>
            <w:hideMark/>
          </w:tcPr>
          <w:p w14:paraId="24AECC63"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£724</w:t>
            </w:r>
          </w:p>
        </w:tc>
        <w:tc>
          <w:tcPr>
            <w:tcW w:w="797" w:type="pct"/>
            <w:shd w:val="clear" w:color="auto" w:fill="006666"/>
            <w:vAlign w:val="bottom"/>
            <w:hideMark/>
          </w:tcPr>
          <w:p w14:paraId="60E3A5BD" w14:textId="77777777" w:rsidR="00CE1BDB" w:rsidRPr="00461114" w:rsidRDefault="00CE1BDB" w:rsidP="00461114">
            <w:pPr>
              <w:jc w:val="center"/>
              <w:rPr>
                <w:rFonts w:cs="Arial"/>
                <w:b/>
                <w:bCs/>
                <w:color w:val="FFFFFF"/>
                <w:sz w:val="20"/>
                <w:szCs w:val="20"/>
              </w:rPr>
            </w:pPr>
            <w:r w:rsidRPr="00461114">
              <w:rPr>
                <w:rFonts w:cs="Arial"/>
                <w:b/>
                <w:bCs/>
                <w:color w:val="FFFFFF"/>
                <w:sz w:val="20"/>
                <w:szCs w:val="20"/>
              </w:rPr>
              <w:t>£871</w:t>
            </w:r>
          </w:p>
        </w:tc>
        <w:tc>
          <w:tcPr>
            <w:tcW w:w="676" w:type="pct"/>
            <w:vMerge/>
            <w:shd w:val="clear" w:color="auto" w:fill="006666"/>
            <w:vAlign w:val="center"/>
            <w:hideMark/>
          </w:tcPr>
          <w:p w14:paraId="185A3135" w14:textId="77777777" w:rsidR="00CE1BDB" w:rsidRPr="00FA4DC7" w:rsidRDefault="00CE1BDB" w:rsidP="00461114">
            <w:pPr>
              <w:jc w:val="center"/>
              <w:rPr>
                <w:rFonts w:cs="Arial"/>
                <w:b/>
                <w:bCs/>
                <w:color w:val="FFFFFF"/>
                <w:sz w:val="22"/>
                <w:szCs w:val="22"/>
              </w:rPr>
            </w:pPr>
          </w:p>
        </w:tc>
      </w:tr>
      <w:tr w:rsidR="00CE1BDB" w:rsidRPr="00FA4DC7" w14:paraId="6AE2346D" w14:textId="77777777" w:rsidTr="00461114">
        <w:tc>
          <w:tcPr>
            <w:tcW w:w="5000" w:type="pct"/>
            <w:gridSpan w:val="6"/>
            <w:shd w:val="clear" w:color="auto" w:fill="auto"/>
            <w:noWrap/>
            <w:vAlign w:val="center"/>
          </w:tcPr>
          <w:p w14:paraId="4933FF9E" w14:textId="77777777" w:rsidR="00CE1BDB" w:rsidRPr="00FA4DC7" w:rsidRDefault="00CE1BDB" w:rsidP="00461114">
            <w:pPr>
              <w:rPr>
                <w:rFonts w:cs="Arial"/>
                <w:b/>
                <w:bCs/>
                <w:color w:val="000000"/>
                <w:sz w:val="22"/>
                <w:szCs w:val="22"/>
              </w:rPr>
            </w:pPr>
            <w:r w:rsidRPr="00FA4DC7">
              <w:rPr>
                <w:rFonts w:cs="Arial"/>
                <w:b/>
                <w:bCs/>
                <w:color w:val="000000"/>
                <w:sz w:val="22"/>
                <w:szCs w:val="22"/>
              </w:rPr>
              <w:t>Police officer</w:t>
            </w:r>
          </w:p>
        </w:tc>
      </w:tr>
      <w:tr w:rsidR="00CE1BDB" w:rsidRPr="00FA4DC7" w14:paraId="6241DAF8" w14:textId="77777777" w:rsidTr="00461114">
        <w:tc>
          <w:tcPr>
            <w:tcW w:w="1484" w:type="pct"/>
            <w:shd w:val="clear" w:color="auto" w:fill="auto"/>
            <w:noWrap/>
            <w:vAlign w:val="center"/>
            <w:hideMark/>
          </w:tcPr>
          <w:p w14:paraId="0302263F" w14:textId="77777777" w:rsidR="00CE1BDB" w:rsidRPr="00FA4DC7" w:rsidRDefault="00CE1BDB" w:rsidP="00461114">
            <w:pPr>
              <w:rPr>
                <w:rFonts w:cs="Arial"/>
                <w:color w:val="000000"/>
                <w:sz w:val="22"/>
                <w:szCs w:val="22"/>
              </w:rPr>
            </w:pPr>
            <w:r w:rsidRPr="00FA4DC7">
              <w:rPr>
                <w:rFonts w:cs="Arial"/>
                <w:color w:val="000000"/>
                <w:sz w:val="22"/>
                <w:szCs w:val="22"/>
              </w:rPr>
              <w:t>Pay Point 0</w:t>
            </w:r>
          </w:p>
        </w:tc>
        <w:tc>
          <w:tcPr>
            <w:tcW w:w="681" w:type="pct"/>
            <w:shd w:val="clear" w:color="auto" w:fill="auto"/>
            <w:noWrap/>
            <w:vAlign w:val="center"/>
            <w:hideMark/>
          </w:tcPr>
          <w:p w14:paraId="0482010D"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£21,402 </w:t>
            </w:r>
          </w:p>
        </w:tc>
        <w:tc>
          <w:tcPr>
            <w:tcW w:w="681" w:type="pct"/>
            <w:shd w:val="clear" w:color="auto" w:fill="FFFFFF" w:themeFill="background1"/>
            <w:noWrap/>
            <w:vAlign w:val="center"/>
            <w:hideMark/>
          </w:tcPr>
          <w:p w14:paraId="0A6F121D"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£1,784 </w:t>
            </w:r>
          </w:p>
        </w:tc>
        <w:tc>
          <w:tcPr>
            <w:tcW w:w="680" w:type="pct"/>
            <w:tcBorders>
              <w:bottom w:val="single" w:sz="4" w:space="0" w:color="000000" w:themeColor="text1"/>
            </w:tcBorders>
            <w:shd w:val="clear" w:color="000000" w:fill="F7CAAC" w:themeFill="accent2" w:themeFillTint="66"/>
            <w:noWrap/>
            <w:vAlign w:val="bottom"/>
          </w:tcPr>
          <w:p w14:paraId="6216AA75" w14:textId="77777777" w:rsidR="00CE1BDB" w:rsidRPr="00FA4DC7" w:rsidRDefault="00CE1BDB" w:rsidP="00461114">
            <w:pPr>
              <w:jc w:val="center"/>
              <w:rPr>
                <w:rFonts w:cs="Arial"/>
              </w:rPr>
            </w:pPr>
            <w:r w:rsidRPr="00FA4DC7">
              <w:rPr>
                <w:rFonts w:cs="Arial"/>
                <w:color w:val="9C0006"/>
                <w:sz w:val="22"/>
                <w:szCs w:val="22"/>
              </w:rPr>
              <w:t xml:space="preserve">40.6 </w:t>
            </w:r>
          </w:p>
        </w:tc>
        <w:tc>
          <w:tcPr>
            <w:tcW w:w="797" w:type="pct"/>
            <w:tcBorders>
              <w:bottom w:val="single" w:sz="4" w:space="0" w:color="000000" w:themeColor="text1"/>
            </w:tcBorders>
            <w:shd w:val="clear" w:color="000000" w:fill="F7CAAC" w:themeFill="accent2" w:themeFillTint="66"/>
            <w:noWrap/>
            <w:vAlign w:val="bottom"/>
          </w:tcPr>
          <w:p w14:paraId="1A962379" w14:textId="77777777" w:rsidR="00CE1BDB" w:rsidRPr="00FA4DC7" w:rsidRDefault="00CE1BDB" w:rsidP="00461114">
            <w:pPr>
              <w:jc w:val="center"/>
              <w:rPr>
                <w:rFonts w:cs="Arial"/>
              </w:rPr>
            </w:pPr>
            <w:r w:rsidRPr="00FA4DC7">
              <w:rPr>
                <w:rFonts w:cs="Arial"/>
                <w:color w:val="9C0006"/>
                <w:sz w:val="22"/>
                <w:szCs w:val="22"/>
              </w:rPr>
              <w:t xml:space="preserve">48.8 </w:t>
            </w:r>
          </w:p>
        </w:tc>
        <w:tc>
          <w:tcPr>
            <w:tcW w:w="676" w:type="pct"/>
            <w:shd w:val="clear" w:color="auto" w:fill="auto"/>
            <w:noWrap/>
            <w:vAlign w:val="bottom"/>
            <w:hideMark/>
          </w:tcPr>
          <w:p w14:paraId="0CDBAB28" w14:textId="77777777" w:rsidR="00CE1BDB" w:rsidRPr="00FA4DC7" w:rsidRDefault="00CE1BDB" w:rsidP="00461114">
            <w:pPr>
              <w:jc w:val="right"/>
              <w:rPr>
                <w:rFonts w:cs="Arial"/>
                <w:color w:val="000000"/>
                <w:sz w:val="22"/>
                <w:szCs w:val="22"/>
              </w:rPr>
            </w:pPr>
            <w:r w:rsidRPr="00FA4DC7">
              <w:rPr>
                <w:rFonts w:cs="Arial"/>
                <w:color w:val="000000"/>
                <w:sz w:val="22"/>
                <w:szCs w:val="22"/>
              </w:rPr>
              <w:t>£446</w:t>
            </w:r>
          </w:p>
        </w:tc>
      </w:tr>
      <w:tr w:rsidR="00CE1BDB" w:rsidRPr="00FA4DC7" w14:paraId="0AFAC759" w14:textId="77777777" w:rsidTr="00461114">
        <w:tc>
          <w:tcPr>
            <w:tcW w:w="1484" w:type="pct"/>
            <w:shd w:val="clear" w:color="auto" w:fill="auto"/>
            <w:noWrap/>
            <w:vAlign w:val="center"/>
            <w:hideMark/>
          </w:tcPr>
          <w:p w14:paraId="137A5A33" w14:textId="77777777" w:rsidR="00CE1BDB" w:rsidRPr="00FA4DC7" w:rsidRDefault="00CE1BDB" w:rsidP="00461114">
            <w:pPr>
              <w:rPr>
                <w:rFonts w:cs="Arial"/>
                <w:color w:val="000000"/>
                <w:sz w:val="22"/>
                <w:szCs w:val="22"/>
              </w:rPr>
            </w:pPr>
            <w:r w:rsidRPr="00FA4DC7">
              <w:rPr>
                <w:rFonts w:cs="Arial"/>
                <w:color w:val="000000"/>
                <w:sz w:val="22"/>
                <w:szCs w:val="22"/>
              </w:rPr>
              <w:t>Pay Point 2</w:t>
            </w:r>
          </w:p>
        </w:tc>
        <w:tc>
          <w:tcPr>
            <w:tcW w:w="681" w:type="pct"/>
            <w:shd w:val="clear" w:color="auto" w:fill="auto"/>
            <w:noWrap/>
            <w:vAlign w:val="center"/>
            <w:hideMark/>
          </w:tcPr>
          <w:p w14:paraId="57E324E7"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£25,902 </w:t>
            </w:r>
          </w:p>
        </w:tc>
        <w:tc>
          <w:tcPr>
            <w:tcW w:w="681" w:type="pct"/>
            <w:shd w:val="clear" w:color="auto" w:fill="FFFFFF" w:themeFill="background1"/>
            <w:noWrap/>
            <w:vAlign w:val="center"/>
            <w:hideMark/>
          </w:tcPr>
          <w:p w14:paraId="400B8B9C"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£2,159 </w:t>
            </w:r>
          </w:p>
        </w:tc>
        <w:tc>
          <w:tcPr>
            <w:tcW w:w="680" w:type="pct"/>
            <w:tcBorders>
              <w:bottom w:val="single" w:sz="4" w:space="0" w:color="000000" w:themeColor="text1"/>
            </w:tcBorders>
            <w:shd w:val="clear" w:color="auto" w:fill="FFD579"/>
            <w:noWrap/>
            <w:vAlign w:val="bottom"/>
          </w:tcPr>
          <w:p w14:paraId="15F7A369" w14:textId="77777777" w:rsidR="00CE1BDB" w:rsidRPr="00FA4DC7" w:rsidRDefault="00CE1BDB" w:rsidP="00461114">
            <w:pPr>
              <w:jc w:val="center"/>
              <w:rPr>
                <w:rFonts w:cs="Arial"/>
              </w:rPr>
            </w:pPr>
            <w:r w:rsidRPr="00FA4DC7">
              <w:rPr>
                <w:rFonts w:cs="Arial"/>
                <w:color w:val="9C5700"/>
                <w:sz w:val="22"/>
                <w:szCs w:val="22"/>
              </w:rPr>
              <w:t xml:space="preserve">33.5 </w:t>
            </w:r>
          </w:p>
        </w:tc>
        <w:tc>
          <w:tcPr>
            <w:tcW w:w="797" w:type="pct"/>
            <w:tcBorders>
              <w:bottom w:val="single" w:sz="4" w:space="0" w:color="000000" w:themeColor="text1"/>
            </w:tcBorders>
            <w:shd w:val="clear" w:color="000000" w:fill="F7CAAC" w:themeFill="accent2" w:themeFillTint="66"/>
            <w:noWrap/>
            <w:vAlign w:val="bottom"/>
          </w:tcPr>
          <w:p w14:paraId="5844AE69" w14:textId="77777777" w:rsidR="00CE1BDB" w:rsidRPr="00FA4DC7" w:rsidRDefault="00CE1BDB" w:rsidP="00461114">
            <w:pPr>
              <w:jc w:val="center"/>
              <w:rPr>
                <w:rFonts w:cs="Arial"/>
              </w:rPr>
            </w:pPr>
            <w:r w:rsidRPr="00FA4DC7">
              <w:rPr>
                <w:rFonts w:cs="Arial"/>
                <w:color w:val="9C0006"/>
                <w:sz w:val="22"/>
                <w:szCs w:val="22"/>
              </w:rPr>
              <w:t xml:space="preserve">40.4 </w:t>
            </w:r>
          </w:p>
        </w:tc>
        <w:tc>
          <w:tcPr>
            <w:tcW w:w="676" w:type="pct"/>
            <w:shd w:val="clear" w:color="auto" w:fill="auto"/>
            <w:noWrap/>
            <w:vAlign w:val="bottom"/>
            <w:hideMark/>
          </w:tcPr>
          <w:p w14:paraId="5DE3E5FB" w14:textId="77777777" w:rsidR="00CE1BDB" w:rsidRPr="00FA4DC7" w:rsidRDefault="00CE1BDB" w:rsidP="00461114">
            <w:pPr>
              <w:jc w:val="right"/>
              <w:rPr>
                <w:rFonts w:cs="Arial"/>
                <w:color w:val="000000"/>
                <w:sz w:val="22"/>
                <w:szCs w:val="22"/>
              </w:rPr>
            </w:pPr>
            <w:r w:rsidRPr="00FA4DC7">
              <w:rPr>
                <w:rFonts w:cs="Arial"/>
                <w:color w:val="000000"/>
                <w:sz w:val="22"/>
                <w:szCs w:val="22"/>
              </w:rPr>
              <w:t>£540</w:t>
            </w:r>
          </w:p>
        </w:tc>
      </w:tr>
      <w:tr w:rsidR="00CE1BDB" w:rsidRPr="00FA4DC7" w14:paraId="22F229C2" w14:textId="77777777" w:rsidTr="00461114">
        <w:tc>
          <w:tcPr>
            <w:tcW w:w="1484" w:type="pct"/>
            <w:shd w:val="clear" w:color="auto" w:fill="auto"/>
            <w:noWrap/>
            <w:vAlign w:val="center"/>
            <w:hideMark/>
          </w:tcPr>
          <w:p w14:paraId="51BE49CB" w14:textId="77777777" w:rsidR="00CE1BDB" w:rsidRPr="00FA4DC7" w:rsidRDefault="00CE1BDB" w:rsidP="00461114">
            <w:pPr>
              <w:rPr>
                <w:rFonts w:cs="Arial"/>
                <w:color w:val="000000"/>
                <w:sz w:val="22"/>
                <w:szCs w:val="22"/>
              </w:rPr>
            </w:pPr>
            <w:r w:rsidRPr="00FA4DC7">
              <w:rPr>
                <w:rFonts w:cs="Arial"/>
                <w:color w:val="000000"/>
                <w:sz w:val="22"/>
                <w:szCs w:val="22"/>
              </w:rPr>
              <w:t>Pay Point 4</w:t>
            </w:r>
          </w:p>
        </w:tc>
        <w:tc>
          <w:tcPr>
            <w:tcW w:w="681" w:type="pct"/>
            <w:shd w:val="clear" w:color="auto" w:fill="auto"/>
            <w:noWrap/>
            <w:vAlign w:val="center"/>
            <w:hideMark/>
          </w:tcPr>
          <w:p w14:paraId="0C21CDE3"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£28,158 </w:t>
            </w:r>
          </w:p>
        </w:tc>
        <w:tc>
          <w:tcPr>
            <w:tcW w:w="681" w:type="pct"/>
            <w:shd w:val="clear" w:color="auto" w:fill="FFFFFF" w:themeFill="background1"/>
            <w:noWrap/>
            <w:vAlign w:val="center"/>
            <w:hideMark/>
          </w:tcPr>
          <w:p w14:paraId="07E4287A"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£2,347 </w:t>
            </w:r>
          </w:p>
        </w:tc>
        <w:tc>
          <w:tcPr>
            <w:tcW w:w="680" w:type="pct"/>
            <w:shd w:val="clear" w:color="auto" w:fill="FFD579"/>
            <w:noWrap/>
            <w:vAlign w:val="bottom"/>
          </w:tcPr>
          <w:p w14:paraId="56F18DD6" w14:textId="77777777" w:rsidR="00CE1BDB" w:rsidRPr="00FA4DC7" w:rsidRDefault="00CE1BDB" w:rsidP="00461114">
            <w:pPr>
              <w:jc w:val="center"/>
              <w:rPr>
                <w:rFonts w:cs="Arial"/>
              </w:rPr>
            </w:pPr>
            <w:r w:rsidRPr="00FA4DC7">
              <w:rPr>
                <w:rFonts w:cs="Arial"/>
                <w:color w:val="9C5700"/>
                <w:sz w:val="22"/>
                <w:szCs w:val="22"/>
              </w:rPr>
              <w:t xml:space="preserve">30.9 </w:t>
            </w:r>
          </w:p>
        </w:tc>
        <w:tc>
          <w:tcPr>
            <w:tcW w:w="797" w:type="pct"/>
            <w:shd w:val="clear" w:color="auto" w:fill="F7CAAC" w:themeFill="accent2" w:themeFillTint="66"/>
            <w:noWrap/>
            <w:vAlign w:val="bottom"/>
          </w:tcPr>
          <w:p w14:paraId="0BDB2974" w14:textId="77777777" w:rsidR="00CE1BDB" w:rsidRPr="00FA4DC7" w:rsidRDefault="00CE1BDB" w:rsidP="00461114">
            <w:pPr>
              <w:jc w:val="center"/>
              <w:rPr>
                <w:rFonts w:cs="Arial"/>
              </w:rPr>
            </w:pPr>
            <w:r w:rsidRPr="00FA4DC7">
              <w:rPr>
                <w:rFonts w:cs="Arial"/>
                <w:color w:val="9C0006"/>
                <w:sz w:val="22"/>
                <w:szCs w:val="22"/>
              </w:rPr>
              <w:t xml:space="preserve">37.1 </w:t>
            </w:r>
          </w:p>
        </w:tc>
        <w:tc>
          <w:tcPr>
            <w:tcW w:w="676" w:type="pct"/>
            <w:shd w:val="clear" w:color="auto" w:fill="auto"/>
            <w:noWrap/>
            <w:vAlign w:val="bottom"/>
            <w:hideMark/>
          </w:tcPr>
          <w:p w14:paraId="71D21164" w14:textId="77777777" w:rsidR="00CE1BDB" w:rsidRPr="00FA4DC7" w:rsidRDefault="00CE1BDB" w:rsidP="00461114">
            <w:pPr>
              <w:jc w:val="right"/>
              <w:rPr>
                <w:rFonts w:cs="Arial"/>
                <w:color w:val="000000"/>
                <w:sz w:val="22"/>
                <w:szCs w:val="22"/>
              </w:rPr>
            </w:pPr>
            <w:r w:rsidRPr="00FA4DC7">
              <w:rPr>
                <w:rFonts w:cs="Arial"/>
                <w:color w:val="000000"/>
                <w:sz w:val="22"/>
                <w:szCs w:val="22"/>
              </w:rPr>
              <w:t>£587</w:t>
            </w:r>
          </w:p>
        </w:tc>
      </w:tr>
      <w:tr w:rsidR="00CE1BDB" w:rsidRPr="00FA4DC7" w14:paraId="7DF18E11" w14:textId="77777777" w:rsidTr="00461114">
        <w:tc>
          <w:tcPr>
            <w:tcW w:w="5000" w:type="pct"/>
            <w:gridSpan w:val="6"/>
            <w:shd w:val="clear" w:color="auto" w:fill="auto"/>
            <w:noWrap/>
            <w:vAlign w:val="center"/>
          </w:tcPr>
          <w:p w14:paraId="3F38B7D7" w14:textId="77777777" w:rsidR="00CE1BDB" w:rsidRPr="00FA4DC7" w:rsidRDefault="00CE1BDB" w:rsidP="00461114">
            <w:pPr>
              <w:rPr>
                <w:rFonts w:cs="Arial"/>
                <w:b/>
                <w:bCs/>
                <w:color w:val="000000"/>
                <w:sz w:val="22"/>
                <w:szCs w:val="22"/>
              </w:rPr>
            </w:pPr>
            <w:r w:rsidRPr="00FA4DC7">
              <w:rPr>
                <w:rFonts w:cs="Arial"/>
                <w:b/>
                <w:bCs/>
                <w:color w:val="000000"/>
                <w:sz w:val="22"/>
                <w:szCs w:val="22"/>
              </w:rPr>
              <w:t>Nurse</w:t>
            </w:r>
          </w:p>
        </w:tc>
      </w:tr>
      <w:tr w:rsidR="00CE1BDB" w:rsidRPr="00FA4DC7" w14:paraId="2290D003" w14:textId="77777777" w:rsidTr="00461114">
        <w:tc>
          <w:tcPr>
            <w:tcW w:w="1484" w:type="pct"/>
            <w:shd w:val="clear" w:color="auto" w:fill="auto"/>
            <w:noWrap/>
            <w:vAlign w:val="center"/>
            <w:hideMark/>
          </w:tcPr>
          <w:p w14:paraId="36E40FA6" w14:textId="77777777" w:rsidR="00CE1BDB" w:rsidRPr="00FA4DC7" w:rsidRDefault="00CE1BDB" w:rsidP="00461114">
            <w:pPr>
              <w:rPr>
                <w:rFonts w:cs="Arial"/>
                <w:color w:val="000000"/>
                <w:sz w:val="22"/>
                <w:szCs w:val="22"/>
              </w:rPr>
            </w:pPr>
            <w:r w:rsidRPr="00FA4DC7">
              <w:rPr>
                <w:rFonts w:cs="Arial"/>
                <w:color w:val="000000"/>
                <w:sz w:val="22"/>
                <w:szCs w:val="22"/>
              </w:rPr>
              <w:t>Band 1</w:t>
            </w:r>
          </w:p>
        </w:tc>
        <w:tc>
          <w:tcPr>
            <w:tcW w:w="681" w:type="pct"/>
            <w:shd w:val="clear" w:color="auto" w:fill="auto"/>
            <w:noWrap/>
            <w:vAlign w:val="center"/>
            <w:hideMark/>
          </w:tcPr>
          <w:p w14:paraId="66391551"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£18,005 </w:t>
            </w:r>
          </w:p>
        </w:tc>
        <w:tc>
          <w:tcPr>
            <w:tcW w:w="681" w:type="pct"/>
            <w:shd w:val="clear" w:color="auto" w:fill="auto"/>
            <w:noWrap/>
            <w:vAlign w:val="center"/>
            <w:hideMark/>
          </w:tcPr>
          <w:p w14:paraId="36F39F3D"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£1,500 </w:t>
            </w:r>
          </w:p>
        </w:tc>
        <w:tc>
          <w:tcPr>
            <w:tcW w:w="680" w:type="pct"/>
            <w:shd w:val="clear" w:color="000000" w:fill="F7CAAC" w:themeFill="accent2" w:themeFillTint="66"/>
            <w:noWrap/>
            <w:vAlign w:val="bottom"/>
            <w:hideMark/>
          </w:tcPr>
          <w:p w14:paraId="3B30C6B2"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48.3 </w:t>
            </w:r>
          </w:p>
        </w:tc>
        <w:tc>
          <w:tcPr>
            <w:tcW w:w="797" w:type="pct"/>
            <w:shd w:val="clear" w:color="000000" w:fill="F7CAAC" w:themeFill="accent2" w:themeFillTint="66"/>
            <w:noWrap/>
            <w:vAlign w:val="bottom"/>
            <w:hideMark/>
          </w:tcPr>
          <w:p w14:paraId="594364D8"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58.1 </w:t>
            </w:r>
          </w:p>
        </w:tc>
        <w:tc>
          <w:tcPr>
            <w:tcW w:w="676" w:type="pct"/>
            <w:shd w:val="clear" w:color="auto" w:fill="auto"/>
            <w:noWrap/>
            <w:vAlign w:val="bottom"/>
            <w:hideMark/>
          </w:tcPr>
          <w:p w14:paraId="09808591" w14:textId="77777777" w:rsidR="00CE1BDB" w:rsidRPr="00FA4DC7" w:rsidRDefault="00CE1BDB" w:rsidP="00461114">
            <w:pPr>
              <w:jc w:val="right"/>
              <w:rPr>
                <w:rFonts w:cs="Arial"/>
                <w:color w:val="000000"/>
                <w:sz w:val="22"/>
                <w:szCs w:val="22"/>
              </w:rPr>
            </w:pPr>
            <w:r w:rsidRPr="00FA4DC7">
              <w:rPr>
                <w:rFonts w:cs="Arial"/>
                <w:color w:val="000000"/>
                <w:sz w:val="22"/>
                <w:szCs w:val="22"/>
              </w:rPr>
              <w:t>£375</w:t>
            </w:r>
          </w:p>
        </w:tc>
      </w:tr>
      <w:tr w:rsidR="00CE1BDB" w:rsidRPr="00FA4DC7" w14:paraId="2613E04E" w14:textId="77777777" w:rsidTr="00461114">
        <w:tc>
          <w:tcPr>
            <w:tcW w:w="1484" w:type="pct"/>
            <w:shd w:val="clear" w:color="auto" w:fill="auto"/>
            <w:noWrap/>
            <w:vAlign w:val="center"/>
            <w:hideMark/>
          </w:tcPr>
          <w:p w14:paraId="2888CFBE" w14:textId="77777777" w:rsidR="00CE1BDB" w:rsidRPr="00FA4DC7" w:rsidRDefault="00CE1BDB" w:rsidP="00461114">
            <w:pPr>
              <w:rPr>
                <w:rFonts w:cs="Arial"/>
                <w:color w:val="000000"/>
                <w:sz w:val="22"/>
                <w:szCs w:val="22"/>
              </w:rPr>
            </w:pPr>
            <w:r w:rsidRPr="00FA4DC7">
              <w:rPr>
                <w:rFonts w:cs="Arial"/>
                <w:color w:val="000000"/>
                <w:sz w:val="22"/>
                <w:szCs w:val="22"/>
              </w:rPr>
              <w:t>Band 3</w:t>
            </w:r>
          </w:p>
        </w:tc>
        <w:tc>
          <w:tcPr>
            <w:tcW w:w="681" w:type="pct"/>
            <w:shd w:val="clear" w:color="auto" w:fill="auto"/>
            <w:noWrap/>
            <w:vAlign w:val="center"/>
            <w:hideMark/>
          </w:tcPr>
          <w:p w14:paraId="23967EE5"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£19,337 </w:t>
            </w:r>
          </w:p>
        </w:tc>
        <w:tc>
          <w:tcPr>
            <w:tcW w:w="681" w:type="pct"/>
            <w:shd w:val="clear" w:color="auto" w:fill="auto"/>
            <w:noWrap/>
            <w:vAlign w:val="center"/>
            <w:hideMark/>
          </w:tcPr>
          <w:p w14:paraId="5F8EECFC"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£1,611 </w:t>
            </w:r>
          </w:p>
        </w:tc>
        <w:tc>
          <w:tcPr>
            <w:tcW w:w="680" w:type="pct"/>
            <w:tcBorders>
              <w:bottom w:val="single" w:sz="4" w:space="0" w:color="000000" w:themeColor="text1"/>
            </w:tcBorders>
            <w:shd w:val="clear" w:color="000000" w:fill="F7CAAC" w:themeFill="accent2" w:themeFillTint="66"/>
            <w:noWrap/>
            <w:vAlign w:val="bottom"/>
            <w:hideMark/>
          </w:tcPr>
          <w:p w14:paraId="09265891"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44.9 </w:t>
            </w:r>
          </w:p>
        </w:tc>
        <w:tc>
          <w:tcPr>
            <w:tcW w:w="797" w:type="pct"/>
            <w:tcBorders>
              <w:bottom w:val="single" w:sz="4" w:space="0" w:color="000000" w:themeColor="text1"/>
            </w:tcBorders>
            <w:shd w:val="clear" w:color="000000" w:fill="F7CAAC" w:themeFill="accent2" w:themeFillTint="66"/>
            <w:noWrap/>
            <w:vAlign w:val="bottom"/>
            <w:hideMark/>
          </w:tcPr>
          <w:p w14:paraId="1F205E10"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54.1 </w:t>
            </w:r>
          </w:p>
        </w:tc>
        <w:tc>
          <w:tcPr>
            <w:tcW w:w="676" w:type="pct"/>
            <w:shd w:val="clear" w:color="auto" w:fill="auto"/>
            <w:noWrap/>
            <w:vAlign w:val="bottom"/>
            <w:hideMark/>
          </w:tcPr>
          <w:p w14:paraId="37C545CF" w14:textId="77777777" w:rsidR="00CE1BDB" w:rsidRPr="00FA4DC7" w:rsidRDefault="00CE1BDB" w:rsidP="00461114">
            <w:pPr>
              <w:jc w:val="right"/>
              <w:rPr>
                <w:rFonts w:cs="Arial"/>
                <w:color w:val="000000"/>
                <w:sz w:val="22"/>
                <w:szCs w:val="22"/>
              </w:rPr>
            </w:pPr>
            <w:r w:rsidRPr="00FA4DC7">
              <w:rPr>
                <w:rFonts w:cs="Arial"/>
                <w:color w:val="000000"/>
                <w:sz w:val="22"/>
                <w:szCs w:val="22"/>
              </w:rPr>
              <w:t>£403</w:t>
            </w:r>
          </w:p>
        </w:tc>
      </w:tr>
      <w:tr w:rsidR="00CE1BDB" w:rsidRPr="00FA4DC7" w14:paraId="2CCA1A60" w14:textId="77777777" w:rsidTr="00461114">
        <w:tc>
          <w:tcPr>
            <w:tcW w:w="1484" w:type="pct"/>
            <w:shd w:val="clear" w:color="auto" w:fill="auto"/>
            <w:noWrap/>
            <w:vAlign w:val="center"/>
            <w:hideMark/>
          </w:tcPr>
          <w:p w14:paraId="6390DC76" w14:textId="77777777" w:rsidR="00CE1BDB" w:rsidRPr="00FA4DC7" w:rsidRDefault="00CE1BDB" w:rsidP="00461114">
            <w:pPr>
              <w:rPr>
                <w:rFonts w:cs="Arial"/>
                <w:color w:val="000000"/>
                <w:sz w:val="22"/>
                <w:szCs w:val="22"/>
              </w:rPr>
            </w:pPr>
            <w:r w:rsidRPr="00FA4DC7">
              <w:rPr>
                <w:rFonts w:cs="Arial"/>
                <w:color w:val="000000"/>
                <w:sz w:val="22"/>
                <w:szCs w:val="22"/>
              </w:rPr>
              <w:t>Band 5</w:t>
            </w:r>
          </w:p>
        </w:tc>
        <w:tc>
          <w:tcPr>
            <w:tcW w:w="681" w:type="pct"/>
            <w:shd w:val="clear" w:color="auto" w:fill="auto"/>
            <w:noWrap/>
            <w:vAlign w:val="center"/>
            <w:hideMark/>
          </w:tcPr>
          <w:p w14:paraId="476689B0"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£24,907 </w:t>
            </w:r>
          </w:p>
        </w:tc>
        <w:tc>
          <w:tcPr>
            <w:tcW w:w="681" w:type="pct"/>
            <w:shd w:val="clear" w:color="auto" w:fill="auto"/>
            <w:noWrap/>
            <w:vAlign w:val="center"/>
            <w:hideMark/>
          </w:tcPr>
          <w:p w14:paraId="43BCF137"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£2,076 </w:t>
            </w:r>
          </w:p>
        </w:tc>
        <w:tc>
          <w:tcPr>
            <w:tcW w:w="680" w:type="pct"/>
            <w:shd w:val="clear" w:color="auto" w:fill="FFD579"/>
            <w:noWrap/>
            <w:vAlign w:val="bottom"/>
            <w:hideMark/>
          </w:tcPr>
          <w:p w14:paraId="427EA15F" w14:textId="77777777" w:rsidR="00CE1BDB" w:rsidRPr="00FA4DC7" w:rsidRDefault="00CE1BDB" w:rsidP="00461114">
            <w:pPr>
              <w:jc w:val="center"/>
              <w:rPr>
                <w:rFonts w:cs="Arial"/>
                <w:color w:val="9C5700"/>
                <w:sz w:val="22"/>
                <w:szCs w:val="22"/>
              </w:rPr>
            </w:pPr>
            <w:r w:rsidRPr="00FA4DC7">
              <w:rPr>
                <w:rFonts w:cs="Arial"/>
                <w:color w:val="9C5700"/>
                <w:sz w:val="22"/>
                <w:szCs w:val="22"/>
              </w:rPr>
              <w:t xml:space="preserve">34.9 </w:t>
            </w:r>
          </w:p>
        </w:tc>
        <w:tc>
          <w:tcPr>
            <w:tcW w:w="797" w:type="pct"/>
            <w:shd w:val="clear" w:color="000000" w:fill="F7CAAC" w:themeFill="accent2" w:themeFillTint="66"/>
            <w:noWrap/>
            <w:vAlign w:val="bottom"/>
            <w:hideMark/>
          </w:tcPr>
          <w:p w14:paraId="0F01A3EA"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42.0 </w:t>
            </w:r>
          </w:p>
        </w:tc>
        <w:tc>
          <w:tcPr>
            <w:tcW w:w="676" w:type="pct"/>
            <w:shd w:val="clear" w:color="auto" w:fill="auto"/>
            <w:noWrap/>
            <w:vAlign w:val="bottom"/>
            <w:hideMark/>
          </w:tcPr>
          <w:p w14:paraId="4CF9F8C9" w14:textId="77777777" w:rsidR="00CE1BDB" w:rsidRPr="00FA4DC7" w:rsidRDefault="00CE1BDB" w:rsidP="00461114">
            <w:pPr>
              <w:jc w:val="right"/>
              <w:rPr>
                <w:rFonts w:cs="Arial"/>
                <w:color w:val="000000"/>
                <w:sz w:val="22"/>
                <w:szCs w:val="22"/>
              </w:rPr>
            </w:pPr>
            <w:r w:rsidRPr="00FA4DC7">
              <w:rPr>
                <w:rFonts w:cs="Arial"/>
                <w:color w:val="000000"/>
                <w:sz w:val="22"/>
                <w:szCs w:val="22"/>
              </w:rPr>
              <w:t>£519</w:t>
            </w:r>
          </w:p>
        </w:tc>
      </w:tr>
      <w:tr w:rsidR="00CE1BDB" w:rsidRPr="00FA4DC7" w14:paraId="4400BDB9" w14:textId="77777777" w:rsidTr="00461114">
        <w:tc>
          <w:tcPr>
            <w:tcW w:w="5000" w:type="pct"/>
            <w:gridSpan w:val="6"/>
            <w:shd w:val="clear" w:color="auto" w:fill="auto"/>
            <w:noWrap/>
            <w:vAlign w:val="center"/>
            <w:hideMark/>
          </w:tcPr>
          <w:p w14:paraId="6062A92B" w14:textId="77777777" w:rsidR="00CE1BDB" w:rsidRPr="00FA4DC7" w:rsidRDefault="00CE1BDB" w:rsidP="00461114">
            <w:pPr>
              <w:rPr>
                <w:rFonts w:cs="Arial"/>
                <w:color w:val="000000"/>
                <w:sz w:val="22"/>
                <w:szCs w:val="22"/>
              </w:rPr>
            </w:pPr>
            <w:r w:rsidRPr="00FA4DC7">
              <w:rPr>
                <w:rFonts w:cs="Arial"/>
                <w:b/>
                <w:bCs/>
                <w:color w:val="000000"/>
                <w:sz w:val="22"/>
                <w:szCs w:val="22"/>
              </w:rPr>
              <w:t>Fire officer</w:t>
            </w:r>
            <w:r w:rsidRPr="00FA4DC7">
              <w:rPr>
                <w:rFonts w:cs="Arial"/>
                <w:color w:val="000000"/>
                <w:sz w:val="22"/>
                <w:szCs w:val="22"/>
              </w:rPr>
              <w:t> </w:t>
            </w:r>
          </w:p>
        </w:tc>
      </w:tr>
      <w:tr w:rsidR="00CE1BDB" w:rsidRPr="00FA4DC7" w14:paraId="2A1E094F" w14:textId="77777777" w:rsidTr="00461114">
        <w:tc>
          <w:tcPr>
            <w:tcW w:w="1484" w:type="pct"/>
            <w:shd w:val="clear" w:color="auto" w:fill="auto"/>
            <w:noWrap/>
            <w:vAlign w:val="center"/>
            <w:hideMark/>
          </w:tcPr>
          <w:p w14:paraId="6B7B39A5" w14:textId="77777777" w:rsidR="00CE1BDB" w:rsidRPr="00FA4DC7" w:rsidRDefault="00CE1BDB" w:rsidP="00461114">
            <w:pPr>
              <w:rPr>
                <w:rFonts w:cs="Arial"/>
                <w:color w:val="000000"/>
                <w:sz w:val="22"/>
                <w:szCs w:val="22"/>
              </w:rPr>
            </w:pPr>
            <w:r w:rsidRPr="00FA4DC7">
              <w:rPr>
                <w:rFonts w:cs="Arial"/>
                <w:color w:val="000000"/>
                <w:sz w:val="22"/>
                <w:szCs w:val="22"/>
              </w:rPr>
              <w:t>Trainee</w:t>
            </w:r>
          </w:p>
        </w:tc>
        <w:tc>
          <w:tcPr>
            <w:tcW w:w="681" w:type="pct"/>
            <w:shd w:val="clear" w:color="auto" w:fill="auto"/>
            <w:noWrap/>
            <w:vAlign w:val="center"/>
            <w:hideMark/>
          </w:tcPr>
          <w:p w14:paraId="715F6E2B"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£23,366 </w:t>
            </w:r>
          </w:p>
        </w:tc>
        <w:tc>
          <w:tcPr>
            <w:tcW w:w="681" w:type="pct"/>
            <w:shd w:val="clear" w:color="auto" w:fill="auto"/>
            <w:noWrap/>
            <w:vAlign w:val="center"/>
            <w:hideMark/>
          </w:tcPr>
          <w:p w14:paraId="751251F1"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£1,947 </w:t>
            </w:r>
          </w:p>
        </w:tc>
        <w:tc>
          <w:tcPr>
            <w:tcW w:w="680" w:type="pct"/>
            <w:tcBorders>
              <w:bottom w:val="single" w:sz="4" w:space="0" w:color="000000" w:themeColor="text1"/>
            </w:tcBorders>
            <w:shd w:val="clear" w:color="000000" w:fill="F7CAAC" w:themeFill="accent2" w:themeFillTint="66"/>
            <w:noWrap/>
            <w:vAlign w:val="bottom"/>
            <w:hideMark/>
          </w:tcPr>
          <w:p w14:paraId="5ADE8129"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37.2 </w:t>
            </w:r>
          </w:p>
        </w:tc>
        <w:tc>
          <w:tcPr>
            <w:tcW w:w="797" w:type="pct"/>
            <w:tcBorders>
              <w:bottom w:val="single" w:sz="4" w:space="0" w:color="000000" w:themeColor="text1"/>
            </w:tcBorders>
            <w:shd w:val="clear" w:color="000000" w:fill="F7CAAC" w:themeFill="accent2" w:themeFillTint="66"/>
            <w:noWrap/>
            <w:vAlign w:val="bottom"/>
            <w:hideMark/>
          </w:tcPr>
          <w:p w14:paraId="250DF06A"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44.7 </w:t>
            </w:r>
          </w:p>
        </w:tc>
        <w:tc>
          <w:tcPr>
            <w:tcW w:w="676" w:type="pct"/>
            <w:shd w:val="clear" w:color="auto" w:fill="auto"/>
            <w:noWrap/>
            <w:vAlign w:val="bottom"/>
            <w:hideMark/>
          </w:tcPr>
          <w:p w14:paraId="22CCE947" w14:textId="77777777" w:rsidR="00CE1BDB" w:rsidRPr="00FA4DC7" w:rsidRDefault="00CE1BDB" w:rsidP="00461114">
            <w:pPr>
              <w:jc w:val="right"/>
              <w:rPr>
                <w:rFonts w:cs="Arial"/>
                <w:color w:val="000000"/>
                <w:sz w:val="22"/>
                <w:szCs w:val="22"/>
              </w:rPr>
            </w:pPr>
            <w:r w:rsidRPr="00FA4DC7">
              <w:rPr>
                <w:rFonts w:cs="Arial"/>
                <w:color w:val="000000"/>
                <w:sz w:val="22"/>
                <w:szCs w:val="22"/>
              </w:rPr>
              <w:t>£487</w:t>
            </w:r>
          </w:p>
        </w:tc>
      </w:tr>
      <w:tr w:rsidR="00CE1BDB" w:rsidRPr="00FA4DC7" w14:paraId="31AD1C94" w14:textId="77777777" w:rsidTr="00461114">
        <w:tc>
          <w:tcPr>
            <w:tcW w:w="1484" w:type="pct"/>
            <w:shd w:val="clear" w:color="auto" w:fill="auto"/>
            <w:noWrap/>
            <w:vAlign w:val="center"/>
            <w:hideMark/>
          </w:tcPr>
          <w:p w14:paraId="5D57DE3C" w14:textId="77777777" w:rsidR="00CE1BDB" w:rsidRPr="00FA4DC7" w:rsidRDefault="00CE1BDB" w:rsidP="00461114">
            <w:pPr>
              <w:rPr>
                <w:rFonts w:cs="Arial"/>
                <w:color w:val="000000"/>
                <w:sz w:val="22"/>
                <w:szCs w:val="22"/>
              </w:rPr>
            </w:pPr>
            <w:r w:rsidRPr="00FA4DC7">
              <w:rPr>
                <w:rFonts w:cs="Arial"/>
                <w:color w:val="000000"/>
                <w:sz w:val="22"/>
                <w:szCs w:val="22"/>
              </w:rPr>
              <w:t>Competent</w:t>
            </w:r>
          </w:p>
        </w:tc>
        <w:tc>
          <w:tcPr>
            <w:tcW w:w="681" w:type="pct"/>
            <w:shd w:val="clear" w:color="auto" w:fill="auto"/>
            <w:noWrap/>
            <w:vAlign w:val="center"/>
            <w:hideMark/>
          </w:tcPr>
          <w:p w14:paraId="0EF58907"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£31,144 </w:t>
            </w:r>
          </w:p>
        </w:tc>
        <w:tc>
          <w:tcPr>
            <w:tcW w:w="681" w:type="pct"/>
            <w:shd w:val="clear" w:color="auto" w:fill="auto"/>
            <w:noWrap/>
            <w:vAlign w:val="center"/>
            <w:hideMark/>
          </w:tcPr>
          <w:p w14:paraId="7C96943A"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£2,595 </w:t>
            </w:r>
          </w:p>
        </w:tc>
        <w:tc>
          <w:tcPr>
            <w:tcW w:w="680" w:type="pct"/>
            <w:shd w:val="clear" w:color="auto" w:fill="FFD579"/>
            <w:noWrap/>
            <w:vAlign w:val="bottom"/>
            <w:hideMark/>
          </w:tcPr>
          <w:p w14:paraId="37C1683C" w14:textId="77777777" w:rsidR="00CE1BDB" w:rsidRPr="00FA4DC7" w:rsidRDefault="00CE1BDB" w:rsidP="00461114">
            <w:pPr>
              <w:jc w:val="center"/>
              <w:rPr>
                <w:rFonts w:cs="Arial"/>
                <w:b/>
                <w:bCs/>
                <w:color w:val="009193"/>
                <w:sz w:val="22"/>
                <w:szCs w:val="22"/>
              </w:rPr>
            </w:pPr>
            <w:r w:rsidRPr="00FA4DC7">
              <w:rPr>
                <w:rFonts w:cs="Arial"/>
                <w:color w:val="9C5700"/>
                <w:sz w:val="22"/>
                <w:szCs w:val="22"/>
              </w:rPr>
              <w:t xml:space="preserve">27.9 </w:t>
            </w:r>
          </w:p>
        </w:tc>
        <w:tc>
          <w:tcPr>
            <w:tcW w:w="797" w:type="pct"/>
            <w:shd w:val="clear" w:color="auto" w:fill="FFD579"/>
            <w:noWrap/>
            <w:vAlign w:val="bottom"/>
            <w:hideMark/>
          </w:tcPr>
          <w:p w14:paraId="11C8A6AF" w14:textId="77777777" w:rsidR="00CE1BDB" w:rsidRPr="00FA4DC7" w:rsidRDefault="00CE1BDB" w:rsidP="00461114">
            <w:pPr>
              <w:jc w:val="center"/>
              <w:rPr>
                <w:rFonts w:cs="Arial"/>
                <w:color w:val="006100"/>
                <w:sz w:val="22"/>
                <w:szCs w:val="22"/>
              </w:rPr>
            </w:pPr>
            <w:r w:rsidRPr="00FA4DC7">
              <w:rPr>
                <w:rFonts w:cs="Arial"/>
                <w:color w:val="9C5700"/>
                <w:sz w:val="22"/>
                <w:szCs w:val="22"/>
              </w:rPr>
              <w:t xml:space="preserve">33.6 </w:t>
            </w:r>
          </w:p>
        </w:tc>
        <w:tc>
          <w:tcPr>
            <w:tcW w:w="676" w:type="pct"/>
            <w:shd w:val="clear" w:color="auto" w:fill="auto"/>
            <w:noWrap/>
            <w:vAlign w:val="bottom"/>
            <w:hideMark/>
          </w:tcPr>
          <w:p w14:paraId="59AF35BB" w14:textId="77777777" w:rsidR="00CE1BDB" w:rsidRPr="00FA4DC7" w:rsidRDefault="00CE1BDB" w:rsidP="00461114">
            <w:pPr>
              <w:jc w:val="right"/>
              <w:rPr>
                <w:rFonts w:cs="Arial"/>
                <w:color w:val="000000"/>
                <w:sz w:val="22"/>
                <w:szCs w:val="22"/>
              </w:rPr>
            </w:pPr>
            <w:r w:rsidRPr="00FA4DC7">
              <w:rPr>
                <w:rFonts w:cs="Arial"/>
                <w:color w:val="000000"/>
                <w:sz w:val="22"/>
                <w:szCs w:val="22"/>
              </w:rPr>
              <w:t>£649</w:t>
            </w:r>
          </w:p>
        </w:tc>
      </w:tr>
      <w:tr w:rsidR="00CE1BDB" w:rsidRPr="00FA4DC7" w14:paraId="5A484C75" w14:textId="77777777" w:rsidTr="00461114">
        <w:tc>
          <w:tcPr>
            <w:tcW w:w="5000" w:type="pct"/>
            <w:gridSpan w:val="6"/>
            <w:shd w:val="clear" w:color="auto" w:fill="auto"/>
            <w:noWrap/>
            <w:vAlign w:val="center"/>
            <w:hideMark/>
          </w:tcPr>
          <w:p w14:paraId="592E24D8" w14:textId="77777777" w:rsidR="00CE1BDB" w:rsidRPr="00FA4DC7" w:rsidRDefault="00CE1BDB" w:rsidP="00461114">
            <w:pPr>
              <w:rPr>
                <w:rFonts w:cs="Arial"/>
                <w:color w:val="000000"/>
                <w:sz w:val="22"/>
                <w:szCs w:val="22"/>
              </w:rPr>
            </w:pPr>
            <w:r w:rsidRPr="00FA4DC7">
              <w:rPr>
                <w:rFonts w:cs="Arial"/>
                <w:b/>
                <w:bCs/>
                <w:color w:val="000000"/>
                <w:sz w:val="22"/>
                <w:szCs w:val="22"/>
              </w:rPr>
              <w:t>Teacher</w:t>
            </w:r>
            <w:r w:rsidRPr="00FA4DC7">
              <w:rPr>
                <w:rFonts w:cs="Arial"/>
                <w:color w:val="000000"/>
                <w:sz w:val="22"/>
                <w:szCs w:val="22"/>
              </w:rPr>
              <w:t> </w:t>
            </w:r>
          </w:p>
        </w:tc>
      </w:tr>
      <w:tr w:rsidR="00CE1BDB" w:rsidRPr="00FA4DC7" w14:paraId="7CA2CB22" w14:textId="77777777" w:rsidTr="00461114">
        <w:tc>
          <w:tcPr>
            <w:tcW w:w="1484" w:type="pct"/>
            <w:shd w:val="clear" w:color="auto" w:fill="auto"/>
            <w:noWrap/>
            <w:vAlign w:val="center"/>
            <w:hideMark/>
          </w:tcPr>
          <w:p w14:paraId="22AA041D" w14:textId="77777777" w:rsidR="00CE1BDB" w:rsidRPr="00FA4DC7" w:rsidRDefault="00CE1BDB" w:rsidP="00461114">
            <w:pPr>
              <w:rPr>
                <w:rFonts w:cs="Arial"/>
                <w:color w:val="000000"/>
                <w:sz w:val="22"/>
                <w:szCs w:val="22"/>
              </w:rPr>
            </w:pPr>
            <w:r w:rsidRPr="00FA4DC7">
              <w:rPr>
                <w:rFonts w:cs="Arial"/>
                <w:color w:val="000000"/>
                <w:sz w:val="22"/>
                <w:szCs w:val="22"/>
              </w:rPr>
              <w:t>Unqualified (min)</w:t>
            </w:r>
          </w:p>
        </w:tc>
        <w:tc>
          <w:tcPr>
            <w:tcW w:w="681" w:type="pct"/>
            <w:shd w:val="clear" w:color="auto" w:fill="auto"/>
            <w:noWrap/>
            <w:vAlign w:val="center"/>
            <w:hideMark/>
          </w:tcPr>
          <w:p w14:paraId="6F6C9DAE"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£18,169 </w:t>
            </w:r>
          </w:p>
        </w:tc>
        <w:tc>
          <w:tcPr>
            <w:tcW w:w="681" w:type="pct"/>
            <w:shd w:val="clear" w:color="auto" w:fill="auto"/>
            <w:noWrap/>
            <w:vAlign w:val="center"/>
            <w:hideMark/>
          </w:tcPr>
          <w:p w14:paraId="34EA118D"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£1,514 </w:t>
            </w:r>
          </w:p>
        </w:tc>
        <w:tc>
          <w:tcPr>
            <w:tcW w:w="680" w:type="pct"/>
            <w:tcBorders>
              <w:bottom w:val="single" w:sz="4" w:space="0" w:color="000000" w:themeColor="text1"/>
            </w:tcBorders>
            <w:shd w:val="clear" w:color="000000" w:fill="F7CAAC" w:themeFill="accent2" w:themeFillTint="66"/>
            <w:noWrap/>
            <w:vAlign w:val="bottom"/>
            <w:hideMark/>
          </w:tcPr>
          <w:p w14:paraId="12B01316"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47.8 </w:t>
            </w:r>
          </w:p>
        </w:tc>
        <w:tc>
          <w:tcPr>
            <w:tcW w:w="797" w:type="pct"/>
            <w:tcBorders>
              <w:bottom w:val="single" w:sz="4" w:space="0" w:color="000000" w:themeColor="text1"/>
            </w:tcBorders>
            <w:shd w:val="clear" w:color="000000" w:fill="F7CAAC" w:themeFill="accent2" w:themeFillTint="66"/>
            <w:noWrap/>
            <w:vAlign w:val="bottom"/>
            <w:hideMark/>
          </w:tcPr>
          <w:p w14:paraId="07D8E3B3"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57.5 </w:t>
            </w:r>
          </w:p>
        </w:tc>
        <w:tc>
          <w:tcPr>
            <w:tcW w:w="676" w:type="pct"/>
            <w:shd w:val="clear" w:color="auto" w:fill="auto"/>
            <w:noWrap/>
            <w:vAlign w:val="bottom"/>
            <w:hideMark/>
          </w:tcPr>
          <w:p w14:paraId="26A4000D" w14:textId="77777777" w:rsidR="00CE1BDB" w:rsidRPr="00FA4DC7" w:rsidRDefault="00CE1BDB" w:rsidP="00461114">
            <w:pPr>
              <w:jc w:val="right"/>
              <w:rPr>
                <w:rFonts w:cs="Arial"/>
                <w:color w:val="000000"/>
                <w:sz w:val="22"/>
                <w:szCs w:val="22"/>
              </w:rPr>
            </w:pPr>
            <w:r w:rsidRPr="00FA4DC7">
              <w:rPr>
                <w:rFonts w:cs="Arial"/>
                <w:color w:val="000000"/>
                <w:sz w:val="22"/>
                <w:szCs w:val="22"/>
              </w:rPr>
              <w:t>£379</w:t>
            </w:r>
          </w:p>
        </w:tc>
      </w:tr>
      <w:tr w:rsidR="00CE1BDB" w:rsidRPr="00FA4DC7" w14:paraId="5EA7D296" w14:textId="77777777" w:rsidTr="00461114">
        <w:tc>
          <w:tcPr>
            <w:tcW w:w="1484" w:type="pct"/>
            <w:shd w:val="clear" w:color="auto" w:fill="auto"/>
            <w:noWrap/>
            <w:vAlign w:val="center"/>
            <w:hideMark/>
          </w:tcPr>
          <w:p w14:paraId="0C57E472" w14:textId="77777777" w:rsidR="00CE1BDB" w:rsidRPr="00FA4DC7" w:rsidRDefault="00CE1BDB" w:rsidP="00461114">
            <w:pPr>
              <w:rPr>
                <w:rFonts w:cs="Arial"/>
                <w:color w:val="000000"/>
                <w:sz w:val="22"/>
                <w:szCs w:val="22"/>
              </w:rPr>
            </w:pPr>
            <w:r w:rsidRPr="00FA4DC7">
              <w:rPr>
                <w:rFonts w:cs="Arial"/>
                <w:color w:val="000000"/>
                <w:sz w:val="22"/>
                <w:szCs w:val="22"/>
              </w:rPr>
              <w:t>Main pay range (min)</w:t>
            </w:r>
          </w:p>
        </w:tc>
        <w:tc>
          <w:tcPr>
            <w:tcW w:w="681" w:type="pct"/>
            <w:shd w:val="clear" w:color="auto" w:fill="auto"/>
            <w:noWrap/>
            <w:vAlign w:val="center"/>
            <w:hideMark/>
          </w:tcPr>
          <w:p w14:paraId="22E39E17"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£25,714 </w:t>
            </w:r>
          </w:p>
        </w:tc>
        <w:tc>
          <w:tcPr>
            <w:tcW w:w="681" w:type="pct"/>
            <w:shd w:val="clear" w:color="auto" w:fill="auto"/>
            <w:noWrap/>
            <w:vAlign w:val="center"/>
            <w:hideMark/>
          </w:tcPr>
          <w:p w14:paraId="1134A66F"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£2,143 </w:t>
            </w:r>
          </w:p>
        </w:tc>
        <w:tc>
          <w:tcPr>
            <w:tcW w:w="680" w:type="pct"/>
            <w:shd w:val="clear" w:color="auto" w:fill="FFD579"/>
            <w:noWrap/>
            <w:vAlign w:val="bottom"/>
            <w:hideMark/>
          </w:tcPr>
          <w:p w14:paraId="2BE1AE24" w14:textId="77777777" w:rsidR="00CE1BDB" w:rsidRPr="00FA4DC7" w:rsidRDefault="00CE1BDB" w:rsidP="00461114">
            <w:pPr>
              <w:jc w:val="center"/>
              <w:rPr>
                <w:rFonts w:cs="Arial"/>
                <w:color w:val="9C5700"/>
                <w:sz w:val="22"/>
                <w:szCs w:val="22"/>
              </w:rPr>
            </w:pPr>
            <w:r w:rsidRPr="00FA4DC7">
              <w:rPr>
                <w:rFonts w:cs="Arial"/>
                <w:color w:val="9C5700"/>
                <w:sz w:val="22"/>
                <w:szCs w:val="22"/>
              </w:rPr>
              <w:t xml:space="preserve">33.8 </w:t>
            </w:r>
          </w:p>
        </w:tc>
        <w:tc>
          <w:tcPr>
            <w:tcW w:w="797" w:type="pct"/>
            <w:shd w:val="clear" w:color="000000" w:fill="F7CAAC" w:themeFill="accent2" w:themeFillTint="66"/>
            <w:noWrap/>
            <w:vAlign w:val="bottom"/>
            <w:hideMark/>
          </w:tcPr>
          <w:p w14:paraId="0BE26F4D"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40.6 </w:t>
            </w:r>
          </w:p>
        </w:tc>
        <w:tc>
          <w:tcPr>
            <w:tcW w:w="676" w:type="pct"/>
            <w:shd w:val="clear" w:color="auto" w:fill="auto"/>
            <w:noWrap/>
            <w:vAlign w:val="bottom"/>
            <w:hideMark/>
          </w:tcPr>
          <w:p w14:paraId="08D496BF" w14:textId="77777777" w:rsidR="00CE1BDB" w:rsidRPr="00FA4DC7" w:rsidRDefault="00CE1BDB" w:rsidP="00461114">
            <w:pPr>
              <w:jc w:val="right"/>
              <w:rPr>
                <w:rFonts w:cs="Arial"/>
                <w:color w:val="000000"/>
                <w:sz w:val="22"/>
                <w:szCs w:val="22"/>
              </w:rPr>
            </w:pPr>
            <w:r w:rsidRPr="00FA4DC7">
              <w:rPr>
                <w:rFonts w:cs="Arial"/>
                <w:color w:val="000000"/>
                <w:sz w:val="22"/>
                <w:szCs w:val="22"/>
              </w:rPr>
              <w:t>£536</w:t>
            </w:r>
          </w:p>
        </w:tc>
      </w:tr>
      <w:tr w:rsidR="00CE1BDB" w:rsidRPr="00FA4DC7" w14:paraId="1B0136E2" w14:textId="77777777" w:rsidTr="00461114">
        <w:tc>
          <w:tcPr>
            <w:tcW w:w="5000" w:type="pct"/>
            <w:gridSpan w:val="6"/>
            <w:shd w:val="clear" w:color="auto" w:fill="auto"/>
            <w:noWrap/>
            <w:vAlign w:val="center"/>
            <w:hideMark/>
          </w:tcPr>
          <w:p w14:paraId="67469CFB" w14:textId="77777777" w:rsidR="00CE1BDB" w:rsidRPr="00FA4DC7" w:rsidRDefault="00CE1BDB" w:rsidP="00461114">
            <w:pPr>
              <w:rPr>
                <w:rFonts w:cs="Arial"/>
                <w:color w:val="000000"/>
                <w:sz w:val="22"/>
                <w:szCs w:val="22"/>
              </w:rPr>
            </w:pPr>
            <w:r w:rsidRPr="00FA4DC7">
              <w:rPr>
                <w:rFonts w:cs="Arial"/>
                <w:b/>
                <w:bCs/>
                <w:color w:val="000000"/>
                <w:sz w:val="22"/>
                <w:szCs w:val="22"/>
              </w:rPr>
              <w:t>Minimum/Living Wage</w:t>
            </w:r>
            <w:r w:rsidRPr="00FA4DC7">
              <w:rPr>
                <w:rFonts w:cs="Arial"/>
                <w:color w:val="000000"/>
                <w:sz w:val="22"/>
                <w:szCs w:val="22"/>
              </w:rPr>
              <w:t> </w:t>
            </w:r>
          </w:p>
        </w:tc>
      </w:tr>
      <w:tr w:rsidR="00CE1BDB" w:rsidRPr="00FA4DC7" w14:paraId="46F2179C" w14:textId="77777777" w:rsidTr="00461114">
        <w:tc>
          <w:tcPr>
            <w:tcW w:w="5000" w:type="pct"/>
            <w:gridSpan w:val="6"/>
            <w:shd w:val="clear" w:color="auto" w:fill="auto"/>
            <w:noWrap/>
            <w:vAlign w:val="center"/>
            <w:hideMark/>
          </w:tcPr>
          <w:p w14:paraId="18A32C95" w14:textId="77777777" w:rsidR="00CE1BDB" w:rsidRPr="00FA4DC7" w:rsidRDefault="00CE1BDB" w:rsidP="00461114">
            <w:pPr>
              <w:rPr>
                <w:rFonts w:cs="Arial"/>
                <w:color w:val="000000"/>
                <w:sz w:val="22"/>
                <w:szCs w:val="22"/>
              </w:rPr>
            </w:pPr>
            <w:r w:rsidRPr="00FA4DC7">
              <w:rPr>
                <w:rFonts w:cs="Arial"/>
                <w:b/>
                <w:bCs/>
                <w:color w:val="000000"/>
                <w:sz w:val="22"/>
                <w:szCs w:val="22"/>
              </w:rPr>
              <w:t>Age 25 and over</w:t>
            </w:r>
            <w:r w:rsidRPr="00FA4DC7">
              <w:rPr>
                <w:rFonts w:cs="Arial"/>
                <w:color w:val="000000"/>
                <w:sz w:val="22"/>
                <w:szCs w:val="22"/>
              </w:rPr>
              <w:t> </w:t>
            </w:r>
          </w:p>
        </w:tc>
      </w:tr>
      <w:tr w:rsidR="00CE1BDB" w:rsidRPr="00FA4DC7" w14:paraId="365362AF" w14:textId="77777777" w:rsidTr="00461114">
        <w:tc>
          <w:tcPr>
            <w:tcW w:w="1484" w:type="pct"/>
            <w:shd w:val="clear" w:color="auto" w:fill="auto"/>
            <w:noWrap/>
            <w:vAlign w:val="center"/>
            <w:hideMark/>
          </w:tcPr>
          <w:p w14:paraId="5080A073" w14:textId="77777777" w:rsidR="00CE1BDB" w:rsidRPr="00FA4DC7" w:rsidRDefault="00CE1BDB" w:rsidP="00461114">
            <w:pPr>
              <w:rPr>
                <w:rFonts w:cs="Arial"/>
                <w:color w:val="000000"/>
                <w:sz w:val="22"/>
                <w:szCs w:val="22"/>
              </w:rPr>
            </w:pPr>
            <w:r w:rsidRPr="00FA4DC7">
              <w:rPr>
                <w:rFonts w:cs="Arial"/>
                <w:color w:val="000000"/>
                <w:sz w:val="22"/>
                <w:szCs w:val="22"/>
              </w:rPr>
              <w:t xml:space="preserve">Single household </w:t>
            </w:r>
          </w:p>
        </w:tc>
        <w:tc>
          <w:tcPr>
            <w:tcW w:w="681" w:type="pct"/>
            <w:shd w:val="clear" w:color="auto" w:fill="auto"/>
            <w:noWrap/>
            <w:vAlign w:val="center"/>
            <w:hideMark/>
          </w:tcPr>
          <w:p w14:paraId="71984161"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£15,696 </w:t>
            </w:r>
          </w:p>
        </w:tc>
        <w:tc>
          <w:tcPr>
            <w:tcW w:w="681" w:type="pct"/>
            <w:shd w:val="clear" w:color="auto" w:fill="auto"/>
            <w:noWrap/>
            <w:vAlign w:val="center"/>
            <w:hideMark/>
          </w:tcPr>
          <w:p w14:paraId="79110BC3"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£1,308 </w:t>
            </w:r>
          </w:p>
        </w:tc>
        <w:tc>
          <w:tcPr>
            <w:tcW w:w="680" w:type="pct"/>
            <w:tcBorders>
              <w:bottom w:val="single" w:sz="4" w:space="0" w:color="000000" w:themeColor="text1"/>
            </w:tcBorders>
            <w:shd w:val="clear" w:color="000000" w:fill="F7CAAC" w:themeFill="accent2" w:themeFillTint="66"/>
            <w:noWrap/>
            <w:vAlign w:val="bottom"/>
            <w:hideMark/>
          </w:tcPr>
          <w:p w14:paraId="1DFD3CD7"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55.4 </w:t>
            </w:r>
          </w:p>
        </w:tc>
        <w:tc>
          <w:tcPr>
            <w:tcW w:w="797" w:type="pct"/>
            <w:tcBorders>
              <w:bottom w:val="single" w:sz="4" w:space="0" w:color="000000" w:themeColor="text1"/>
            </w:tcBorders>
            <w:shd w:val="clear" w:color="000000" w:fill="F7CAAC" w:themeFill="accent2" w:themeFillTint="66"/>
            <w:noWrap/>
            <w:vAlign w:val="bottom"/>
            <w:hideMark/>
          </w:tcPr>
          <w:p w14:paraId="1713C778"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66.6 </w:t>
            </w:r>
          </w:p>
        </w:tc>
        <w:tc>
          <w:tcPr>
            <w:tcW w:w="676" w:type="pct"/>
            <w:shd w:val="clear" w:color="auto" w:fill="auto"/>
            <w:noWrap/>
            <w:vAlign w:val="bottom"/>
            <w:hideMark/>
          </w:tcPr>
          <w:p w14:paraId="6CD80562" w14:textId="77777777" w:rsidR="00CE1BDB" w:rsidRPr="00FA4DC7" w:rsidRDefault="00CE1BDB" w:rsidP="00461114">
            <w:pPr>
              <w:jc w:val="right"/>
              <w:rPr>
                <w:rFonts w:cs="Arial"/>
                <w:color w:val="000000"/>
                <w:sz w:val="22"/>
                <w:szCs w:val="22"/>
              </w:rPr>
            </w:pPr>
            <w:r w:rsidRPr="00FA4DC7">
              <w:rPr>
                <w:rFonts w:cs="Arial"/>
                <w:color w:val="000000"/>
                <w:sz w:val="22"/>
                <w:szCs w:val="22"/>
              </w:rPr>
              <w:t>£327</w:t>
            </w:r>
          </w:p>
        </w:tc>
      </w:tr>
      <w:tr w:rsidR="00CE1BDB" w:rsidRPr="00FA4DC7" w14:paraId="1503653F" w14:textId="77777777" w:rsidTr="00461114">
        <w:tc>
          <w:tcPr>
            <w:tcW w:w="1484" w:type="pct"/>
            <w:shd w:val="clear" w:color="auto" w:fill="auto"/>
            <w:noWrap/>
            <w:vAlign w:val="center"/>
            <w:hideMark/>
          </w:tcPr>
          <w:p w14:paraId="37FDA493" w14:textId="77777777" w:rsidR="00CE1BDB" w:rsidRPr="00FA4DC7" w:rsidRDefault="00CE1BDB" w:rsidP="00461114">
            <w:pPr>
              <w:rPr>
                <w:rFonts w:cs="Arial"/>
                <w:color w:val="000000"/>
                <w:sz w:val="22"/>
                <w:szCs w:val="22"/>
              </w:rPr>
            </w:pPr>
            <w:r w:rsidRPr="00FA4DC7">
              <w:rPr>
                <w:rFonts w:cs="Arial"/>
                <w:color w:val="000000"/>
                <w:sz w:val="22"/>
                <w:szCs w:val="22"/>
              </w:rPr>
              <w:t>1xFull-time, 1xPart-time</w:t>
            </w:r>
          </w:p>
        </w:tc>
        <w:tc>
          <w:tcPr>
            <w:tcW w:w="681" w:type="pct"/>
            <w:shd w:val="clear" w:color="auto" w:fill="auto"/>
            <w:noWrap/>
            <w:vAlign w:val="center"/>
            <w:hideMark/>
          </w:tcPr>
          <w:p w14:paraId="189F5C71"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£23,544 </w:t>
            </w:r>
          </w:p>
        </w:tc>
        <w:tc>
          <w:tcPr>
            <w:tcW w:w="681" w:type="pct"/>
            <w:shd w:val="clear" w:color="auto" w:fill="auto"/>
            <w:noWrap/>
            <w:vAlign w:val="center"/>
            <w:hideMark/>
          </w:tcPr>
          <w:p w14:paraId="34AA2801"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£1,962 </w:t>
            </w:r>
          </w:p>
        </w:tc>
        <w:tc>
          <w:tcPr>
            <w:tcW w:w="680" w:type="pct"/>
            <w:tcBorders>
              <w:bottom w:val="single" w:sz="4" w:space="0" w:color="000000" w:themeColor="text1"/>
            </w:tcBorders>
            <w:shd w:val="clear" w:color="000000" w:fill="F7CAAC" w:themeFill="accent2" w:themeFillTint="66"/>
            <w:noWrap/>
            <w:vAlign w:val="bottom"/>
            <w:hideMark/>
          </w:tcPr>
          <w:p w14:paraId="7ECD76BE"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36.9 </w:t>
            </w:r>
          </w:p>
        </w:tc>
        <w:tc>
          <w:tcPr>
            <w:tcW w:w="797" w:type="pct"/>
            <w:tcBorders>
              <w:bottom w:val="single" w:sz="4" w:space="0" w:color="000000" w:themeColor="text1"/>
            </w:tcBorders>
            <w:shd w:val="clear" w:color="000000" w:fill="F7CAAC" w:themeFill="accent2" w:themeFillTint="66"/>
            <w:noWrap/>
            <w:vAlign w:val="bottom"/>
            <w:hideMark/>
          </w:tcPr>
          <w:p w14:paraId="2B5142B2"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44.4 </w:t>
            </w:r>
          </w:p>
        </w:tc>
        <w:tc>
          <w:tcPr>
            <w:tcW w:w="676" w:type="pct"/>
            <w:shd w:val="clear" w:color="auto" w:fill="auto"/>
            <w:noWrap/>
            <w:vAlign w:val="bottom"/>
            <w:hideMark/>
          </w:tcPr>
          <w:p w14:paraId="67788140" w14:textId="77777777" w:rsidR="00CE1BDB" w:rsidRPr="00FA4DC7" w:rsidRDefault="00CE1BDB" w:rsidP="00461114">
            <w:pPr>
              <w:jc w:val="right"/>
              <w:rPr>
                <w:rFonts w:cs="Arial"/>
                <w:color w:val="000000"/>
                <w:sz w:val="22"/>
                <w:szCs w:val="22"/>
              </w:rPr>
            </w:pPr>
            <w:r w:rsidRPr="00FA4DC7">
              <w:rPr>
                <w:rFonts w:cs="Arial"/>
                <w:color w:val="000000"/>
                <w:sz w:val="22"/>
                <w:szCs w:val="22"/>
              </w:rPr>
              <w:t>£491</w:t>
            </w:r>
          </w:p>
        </w:tc>
      </w:tr>
      <w:tr w:rsidR="00CE1BDB" w:rsidRPr="00FA4DC7" w14:paraId="6CBA6787" w14:textId="77777777" w:rsidTr="00461114">
        <w:tc>
          <w:tcPr>
            <w:tcW w:w="1484" w:type="pct"/>
            <w:shd w:val="clear" w:color="auto" w:fill="auto"/>
            <w:noWrap/>
            <w:vAlign w:val="center"/>
            <w:hideMark/>
          </w:tcPr>
          <w:p w14:paraId="3E4FD211" w14:textId="77777777" w:rsidR="00CE1BDB" w:rsidRPr="00FA4DC7" w:rsidRDefault="00CE1BDB" w:rsidP="00461114">
            <w:pPr>
              <w:rPr>
                <w:rFonts w:cs="Arial"/>
                <w:color w:val="000000"/>
                <w:sz w:val="22"/>
                <w:szCs w:val="22"/>
              </w:rPr>
            </w:pPr>
            <w:r w:rsidRPr="00FA4DC7">
              <w:rPr>
                <w:rFonts w:cs="Arial"/>
                <w:color w:val="000000"/>
                <w:sz w:val="22"/>
                <w:szCs w:val="22"/>
              </w:rPr>
              <w:t>Two working adults</w:t>
            </w:r>
          </w:p>
        </w:tc>
        <w:tc>
          <w:tcPr>
            <w:tcW w:w="681" w:type="pct"/>
            <w:shd w:val="clear" w:color="auto" w:fill="auto"/>
            <w:noWrap/>
            <w:vAlign w:val="center"/>
            <w:hideMark/>
          </w:tcPr>
          <w:p w14:paraId="173AA826"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£31,392 </w:t>
            </w:r>
          </w:p>
        </w:tc>
        <w:tc>
          <w:tcPr>
            <w:tcW w:w="681" w:type="pct"/>
            <w:shd w:val="clear" w:color="auto" w:fill="auto"/>
            <w:noWrap/>
            <w:vAlign w:val="center"/>
            <w:hideMark/>
          </w:tcPr>
          <w:p w14:paraId="405188B4"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£2,616 </w:t>
            </w:r>
          </w:p>
        </w:tc>
        <w:tc>
          <w:tcPr>
            <w:tcW w:w="680" w:type="pct"/>
            <w:shd w:val="clear" w:color="auto" w:fill="FFD579"/>
            <w:noWrap/>
            <w:vAlign w:val="bottom"/>
            <w:hideMark/>
          </w:tcPr>
          <w:p w14:paraId="12F6457F" w14:textId="77777777" w:rsidR="00CE1BDB" w:rsidRPr="00FA4DC7" w:rsidRDefault="00CE1BDB" w:rsidP="00461114">
            <w:pPr>
              <w:jc w:val="center"/>
              <w:rPr>
                <w:rFonts w:cs="Arial"/>
                <w:color w:val="9C5700"/>
                <w:sz w:val="22"/>
                <w:szCs w:val="22"/>
              </w:rPr>
            </w:pPr>
            <w:r w:rsidRPr="00FA4DC7">
              <w:rPr>
                <w:rFonts w:cs="Arial"/>
                <w:color w:val="9C5700"/>
                <w:sz w:val="22"/>
                <w:szCs w:val="22"/>
              </w:rPr>
              <w:t xml:space="preserve">27.7 </w:t>
            </w:r>
          </w:p>
        </w:tc>
        <w:tc>
          <w:tcPr>
            <w:tcW w:w="797" w:type="pct"/>
            <w:shd w:val="clear" w:color="auto" w:fill="FFD579"/>
            <w:noWrap/>
            <w:vAlign w:val="bottom"/>
            <w:hideMark/>
          </w:tcPr>
          <w:p w14:paraId="0CD4E664" w14:textId="77777777" w:rsidR="00CE1BDB" w:rsidRPr="00FA4DC7" w:rsidRDefault="00CE1BDB" w:rsidP="00461114">
            <w:pPr>
              <w:jc w:val="center"/>
              <w:rPr>
                <w:rFonts w:cs="Arial"/>
                <w:color w:val="006100"/>
                <w:sz w:val="22"/>
                <w:szCs w:val="22"/>
              </w:rPr>
            </w:pPr>
            <w:r w:rsidRPr="00FA4DC7">
              <w:rPr>
                <w:rFonts w:cs="Arial"/>
                <w:color w:val="9C5700"/>
                <w:sz w:val="22"/>
                <w:szCs w:val="22"/>
              </w:rPr>
              <w:t xml:space="preserve">33.3 </w:t>
            </w:r>
          </w:p>
        </w:tc>
        <w:tc>
          <w:tcPr>
            <w:tcW w:w="676" w:type="pct"/>
            <w:shd w:val="clear" w:color="auto" w:fill="auto"/>
            <w:noWrap/>
            <w:vAlign w:val="bottom"/>
            <w:hideMark/>
          </w:tcPr>
          <w:p w14:paraId="5E974838" w14:textId="77777777" w:rsidR="00CE1BDB" w:rsidRPr="00FA4DC7" w:rsidRDefault="00CE1BDB" w:rsidP="00461114">
            <w:pPr>
              <w:jc w:val="right"/>
              <w:rPr>
                <w:rFonts w:cs="Arial"/>
                <w:color w:val="000000"/>
                <w:sz w:val="22"/>
                <w:szCs w:val="22"/>
              </w:rPr>
            </w:pPr>
            <w:r w:rsidRPr="00FA4DC7">
              <w:rPr>
                <w:rFonts w:cs="Arial"/>
                <w:color w:val="000000"/>
                <w:sz w:val="22"/>
                <w:szCs w:val="22"/>
              </w:rPr>
              <w:t>£654</w:t>
            </w:r>
          </w:p>
        </w:tc>
      </w:tr>
      <w:tr w:rsidR="00CE1BDB" w:rsidRPr="00FA4DC7" w14:paraId="3AA3ECCF" w14:textId="77777777" w:rsidTr="00461114">
        <w:tc>
          <w:tcPr>
            <w:tcW w:w="5000" w:type="pct"/>
            <w:gridSpan w:val="6"/>
            <w:shd w:val="clear" w:color="auto" w:fill="auto"/>
            <w:noWrap/>
            <w:vAlign w:val="center"/>
            <w:hideMark/>
          </w:tcPr>
          <w:p w14:paraId="4622A86B" w14:textId="77777777" w:rsidR="00CE1BDB" w:rsidRPr="00FA4DC7" w:rsidRDefault="00CE1BDB" w:rsidP="00461114">
            <w:pPr>
              <w:rPr>
                <w:rFonts w:cs="Arial"/>
                <w:color w:val="000000"/>
                <w:sz w:val="22"/>
                <w:szCs w:val="22"/>
              </w:rPr>
            </w:pPr>
            <w:r w:rsidRPr="00FA4DC7">
              <w:rPr>
                <w:rFonts w:cs="Arial"/>
                <w:b/>
                <w:bCs/>
                <w:color w:val="000000"/>
                <w:sz w:val="22"/>
                <w:szCs w:val="22"/>
              </w:rPr>
              <w:t>Age 21 to 24</w:t>
            </w:r>
            <w:r w:rsidRPr="00FA4DC7">
              <w:rPr>
                <w:rFonts w:cs="Arial"/>
                <w:color w:val="000000"/>
                <w:sz w:val="22"/>
                <w:szCs w:val="22"/>
              </w:rPr>
              <w:t> </w:t>
            </w:r>
          </w:p>
        </w:tc>
      </w:tr>
      <w:tr w:rsidR="00CE1BDB" w:rsidRPr="00FA4DC7" w14:paraId="758D41EC" w14:textId="77777777" w:rsidTr="00461114">
        <w:tc>
          <w:tcPr>
            <w:tcW w:w="1484" w:type="pct"/>
            <w:shd w:val="clear" w:color="auto" w:fill="auto"/>
            <w:noWrap/>
            <w:vAlign w:val="center"/>
            <w:hideMark/>
          </w:tcPr>
          <w:p w14:paraId="3DC0962B" w14:textId="77777777" w:rsidR="00CE1BDB" w:rsidRPr="00FA4DC7" w:rsidRDefault="00CE1BDB" w:rsidP="00461114">
            <w:pPr>
              <w:rPr>
                <w:rFonts w:cs="Arial"/>
                <w:color w:val="000000"/>
                <w:sz w:val="22"/>
                <w:szCs w:val="22"/>
              </w:rPr>
            </w:pPr>
            <w:r w:rsidRPr="00FA4DC7">
              <w:rPr>
                <w:rFonts w:cs="Arial"/>
                <w:color w:val="000000"/>
                <w:sz w:val="22"/>
                <w:szCs w:val="22"/>
              </w:rPr>
              <w:t>Single household (21-24)</w:t>
            </w:r>
          </w:p>
        </w:tc>
        <w:tc>
          <w:tcPr>
            <w:tcW w:w="681" w:type="pct"/>
            <w:shd w:val="clear" w:color="auto" w:fill="auto"/>
            <w:noWrap/>
            <w:vAlign w:val="center"/>
            <w:hideMark/>
          </w:tcPr>
          <w:p w14:paraId="204DC8B7"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£14,760 </w:t>
            </w:r>
          </w:p>
        </w:tc>
        <w:tc>
          <w:tcPr>
            <w:tcW w:w="681" w:type="pct"/>
            <w:shd w:val="clear" w:color="auto" w:fill="auto"/>
            <w:noWrap/>
            <w:vAlign w:val="center"/>
            <w:hideMark/>
          </w:tcPr>
          <w:p w14:paraId="6319C6D5"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£1,230 </w:t>
            </w:r>
          </w:p>
        </w:tc>
        <w:tc>
          <w:tcPr>
            <w:tcW w:w="680" w:type="pct"/>
            <w:tcBorders>
              <w:bottom w:val="single" w:sz="4" w:space="0" w:color="000000" w:themeColor="text1"/>
            </w:tcBorders>
            <w:shd w:val="clear" w:color="000000" w:fill="F7CAAC" w:themeFill="accent2" w:themeFillTint="66"/>
            <w:noWrap/>
            <w:vAlign w:val="bottom"/>
            <w:hideMark/>
          </w:tcPr>
          <w:p w14:paraId="6EEDB59D"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58.9 </w:t>
            </w:r>
          </w:p>
        </w:tc>
        <w:tc>
          <w:tcPr>
            <w:tcW w:w="797" w:type="pct"/>
            <w:tcBorders>
              <w:bottom w:val="single" w:sz="4" w:space="0" w:color="000000" w:themeColor="text1"/>
            </w:tcBorders>
            <w:shd w:val="clear" w:color="000000" w:fill="F7CAAC" w:themeFill="accent2" w:themeFillTint="66"/>
            <w:noWrap/>
            <w:vAlign w:val="bottom"/>
            <w:hideMark/>
          </w:tcPr>
          <w:p w14:paraId="305D38E1" w14:textId="77777777" w:rsidR="00CE1BDB" w:rsidRPr="00FA4DC7" w:rsidRDefault="00CE1BDB" w:rsidP="00461114">
            <w:pPr>
              <w:jc w:val="center"/>
              <w:rPr>
                <w:rFonts w:cs="Arial"/>
                <w:color w:val="9C0006"/>
                <w:sz w:val="22"/>
                <w:szCs w:val="22"/>
              </w:rPr>
            </w:pPr>
            <w:r w:rsidRPr="00FA4DC7">
              <w:rPr>
                <w:rFonts w:cs="Arial"/>
                <w:color w:val="9C0006"/>
                <w:sz w:val="22"/>
                <w:szCs w:val="22"/>
              </w:rPr>
              <w:t xml:space="preserve">70.8 </w:t>
            </w:r>
          </w:p>
        </w:tc>
        <w:tc>
          <w:tcPr>
            <w:tcW w:w="676" w:type="pct"/>
            <w:shd w:val="clear" w:color="auto" w:fill="auto"/>
            <w:noWrap/>
            <w:vAlign w:val="bottom"/>
            <w:hideMark/>
          </w:tcPr>
          <w:p w14:paraId="035BD87F" w14:textId="77777777" w:rsidR="00CE1BDB" w:rsidRPr="00FA4DC7" w:rsidRDefault="00CE1BDB" w:rsidP="00461114">
            <w:pPr>
              <w:jc w:val="right"/>
              <w:rPr>
                <w:rFonts w:cs="Arial"/>
                <w:color w:val="000000"/>
                <w:sz w:val="22"/>
                <w:szCs w:val="22"/>
              </w:rPr>
            </w:pPr>
            <w:r w:rsidRPr="00FA4DC7">
              <w:rPr>
                <w:rFonts w:cs="Arial"/>
                <w:color w:val="000000"/>
                <w:sz w:val="22"/>
                <w:szCs w:val="22"/>
              </w:rPr>
              <w:t>£308</w:t>
            </w:r>
          </w:p>
        </w:tc>
      </w:tr>
      <w:tr w:rsidR="00CE1BDB" w:rsidRPr="00FA4DC7" w14:paraId="4E0B2381" w14:textId="77777777" w:rsidTr="00461114">
        <w:tc>
          <w:tcPr>
            <w:tcW w:w="1484" w:type="pct"/>
            <w:shd w:val="clear" w:color="auto" w:fill="auto"/>
            <w:noWrap/>
            <w:vAlign w:val="center"/>
            <w:hideMark/>
          </w:tcPr>
          <w:p w14:paraId="4726E701" w14:textId="77777777" w:rsidR="00CE1BDB" w:rsidRPr="00FA4DC7" w:rsidRDefault="00CE1BDB" w:rsidP="00461114">
            <w:pPr>
              <w:rPr>
                <w:rFonts w:cs="Arial"/>
                <w:color w:val="000000"/>
                <w:sz w:val="22"/>
                <w:szCs w:val="22"/>
              </w:rPr>
            </w:pPr>
            <w:r w:rsidRPr="00FA4DC7">
              <w:rPr>
                <w:rFonts w:cs="Arial"/>
                <w:color w:val="000000"/>
                <w:sz w:val="22"/>
                <w:szCs w:val="22"/>
              </w:rPr>
              <w:t>1xFull-time, 1xPart-time</w:t>
            </w:r>
          </w:p>
        </w:tc>
        <w:tc>
          <w:tcPr>
            <w:tcW w:w="681" w:type="pct"/>
            <w:shd w:val="clear" w:color="auto" w:fill="auto"/>
            <w:noWrap/>
            <w:vAlign w:val="center"/>
            <w:hideMark/>
          </w:tcPr>
          <w:p w14:paraId="3A78FD56"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£22,140 </w:t>
            </w:r>
          </w:p>
        </w:tc>
        <w:tc>
          <w:tcPr>
            <w:tcW w:w="681" w:type="pct"/>
            <w:shd w:val="clear" w:color="auto" w:fill="auto"/>
            <w:noWrap/>
            <w:vAlign w:val="center"/>
            <w:hideMark/>
          </w:tcPr>
          <w:p w14:paraId="4E9B9C44"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£1,845 </w:t>
            </w:r>
          </w:p>
        </w:tc>
        <w:tc>
          <w:tcPr>
            <w:tcW w:w="680" w:type="pct"/>
            <w:tcBorders>
              <w:bottom w:val="single" w:sz="4" w:space="0" w:color="000000" w:themeColor="text1"/>
            </w:tcBorders>
            <w:shd w:val="clear" w:color="000000" w:fill="F7CAAC" w:themeFill="accent2" w:themeFillTint="66"/>
            <w:noWrap/>
            <w:vAlign w:val="bottom"/>
            <w:hideMark/>
          </w:tcPr>
          <w:p w14:paraId="42C6B63E"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39.2 </w:t>
            </w:r>
          </w:p>
        </w:tc>
        <w:tc>
          <w:tcPr>
            <w:tcW w:w="797" w:type="pct"/>
            <w:tcBorders>
              <w:bottom w:val="single" w:sz="4" w:space="0" w:color="000000" w:themeColor="text1"/>
            </w:tcBorders>
            <w:shd w:val="clear" w:color="000000" w:fill="F7CAAC" w:themeFill="accent2" w:themeFillTint="66"/>
            <w:noWrap/>
            <w:vAlign w:val="bottom"/>
            <w:hideMark/>
          </w:tcPr>
          <w:p w14:paraId="5C4A44AF" w14:textId="77777777" w:rsidR="00CE1BDB" w:rsidRPr="00FA4DC7" w:rsidRDefault="00CE1BDB" w:rsidP="00461114">
            <w:pPr>
              <w:jc w:val="center"/>
              <w:rPr>
                <w:rFonts w:cs="Arial"/>
                <w:color w:val="9C5700"/>
                <w:sz w:val="22"/>
                <w:szCs w:val="22"/>
              </w:rPr>
            </w:pPr>
            <w:r w:rsidRPr="00FA4DC7">
              <w:rPr>
                <w:rFonts w:cs="Arial"/>
                <w:color w:val="9C0006"/>
                <w:sz w:val="22"/>
                <w:szCs w:val="22"/>
              </w:rPr>
              <w:t xml:space="preserve">47.2 </w:t>
            </w:r>
          </w:p>
        </w:tc>
        <w:tc>
          <w:tcPr>
            <w:tcW w:w="676" w:type="pct"/>
            <w:shd w:val="clear" w:color="auto" w:fill="auto"/>
            <w:noWrap/>
            <w:vAlign w:val="bottom"/>
            <w:hideMark/>
          </w:tcPr>
          <w:p w14:paraId="2839D773" w14:textId="77777777" w:rsidR="00CE1BDB" w:rsidRPr="00FA4DC7" w:rsidRDefault="00CE1BDB" w:rsidP="00461114">
            <w:pPr>
              <w:jc w:val="right"/>
              <w:rPr>
                <w:rFonts w:cs="Arial"/>
                <w:color w:val="000000"/>
                <w:sz w:val="22"/>
                <w:szCs w:val="22"/>
              </w:rPr>
            </w:pPr>
            <w:r w:rsidRPr="00FA4DC7">
              <w:rPr>
                <w:rFonts w:cs="Arial"/>
                <w:color w:val="000000"/>
                <w:sz w:val="22"/>
                <w:szCs w:val="22"/>
              </w:rPr>
              <w:t>£461</w:t>
            </w:r>
          </w:p>
        </w:tc>
      </w:tr>
      <w:tr w:rsidR="00CE1BDB" w:rsidRPr="00FA4DC7" w14:paraId="0224CDD3" w14:textId="77777777" w:rsidTr="00461114">
        <w:tc>
          <w:tcPr>
            <w:tcW w:w="1484" w:type="pct"/>
            <w:shd w:val="clear" w:color="auto" w:fill="auto"/>
            <w:noWrap/>
            <w:vAlign w:val="center"/>
            <w:hideMark/>
          </w:tcPr>
          <w:p w14:paraId="1C5DE5B4" w14:textId="77777777" w:rsidR="00CE1BDB" w:rsidRPr="00FA4DC7" w:rsidRDefault="00CE1BDB" w:rsidP="00461114">
            <w:pPr>
              <w:rPr>
                <w:rFonts w:cs="Arial"/>
                <w:color w:val="000000"/>
                <w:sz w:val="22"/>
                <w:szCs w:val="22"/>
              </w:rPr>
            </w:pPr>
            <w:r w:rsidRPr="00FA4DC7">
              <w:rPr>
                <w:rFonts w:cs="Arial"/>
                <w:color w:val="000000"/>
                <w:sz w:val="22"/>
                <w:szCs w:val="22"/>
              </w:rPr>
              <w:t>Two working adults</w:t>
            </w:r>
          </w:p>
        </w:tc>
        <w:tc>
          <w:tcPr>
            <w:tcW w:w="681" w:type="pct"/>
            <w:shd w:val="clear" w:color="auto" w:fill="auto"/>
            <w:noWrap/>
            <w:vAlign w:val="center"/>
            <w:hideMark/>
          </w:tcPr>
          <w:p w14:paraId="5941FC10"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£29,520 </w:t>
            </w:r>
          </w:p>
        </w:tc>
        <w:tc>
          <w:tcPr>
            <w:tcW w:w="681" w:type="pct"/>
            <w:shd w:val="clear" w:color="auto" w:fill="auto"/>
            <w:noWrap/>
            <w:vAlign w:val="center"/>
            <w:hideMark/>
          </w:tcPr>
          <w:p w14:paraId="536FCB33" w14:textId="77777777" w:rsidR="00CE1BDB" w:rsidRPr="00FA4DC7" w:rsidRDefault="00CE1BDB" w:rsidP="00461114">
            <w:pPr>
              <w:jc w:val="right"/>
              <w:rPr>
                <w:rFonts w:cs="Arial"/>
                <w:color w:val="000000"/>
                <w:sz w:val="22"/>
                <w:szCs w:val="22"/>
              </w:rPr>
            </w:pPr>
            <w:r w:rsidRPr="00FA4DC7">
              <w:rPr>
                <w:rFonts w:cs="Arial"/>
                <w:color w:val="000000"/>
                <w:sz w:val="22"/>
                <w:szCs w:val="22"/>
              </w:rPr>
              <w:t xml:space="preserve">£2,460 </w:t>
            </w:r>
          </w:p>
        </w:tc>
        <w:tc>
          <w:tcPr>
            <w:tcW w:w="680" w:type="pct"/>
            <w:shd w:val="clear" w:color="auto" w:fill="FFD579"/>
            <w:noWrap/>
            <w:vAlign w:val="bottom"/>
            <w:hideMark/>
          </w:tcPr>
          <w:p w14:paraId="02D3581F" w14:textId="77777777" w:rsidR="00CE1BDB" w:rsidRPr="00FA4DC7" w:rsidRDefault="00CE1BDB" w:rsidP="00461114">
            <w:pPr>
              <w:jc w:val="center"/>
              <w:rPr>
                <w:rFonts w:cs="Arial"/>
                <w:color w:val="9C5700"/>
                <w:sz w:val="22"/>
                <w:szCs w:val="22"/>
              </w:rPr>
            </w:pPr>
            <w:r w:rsidRPr="00FA4DC7">
              <w:rPr>
                <w:rFonts w:cs="Arial"/>
                <w:color w:val="9C5700"/>
                <w:sz w:val="22"/>
                <w:szCs w:val="22"/>
              </w:rPr>
              <w:t xml:space="preserve">29.4 </w:t>
            </w:r>
          </w:p>
        </w:tc>
        <w:tc>
          <w:tcPr>
            <w:tcW w:w="797" w:type="pct"/>
            <w:shd w:val="clear" w:color="auto" w:fill="F7CAAC" w:themeFill="accent2" w:themeFillTint="66"/>
            <w:noWrap/>
            <w:vAlign w:val="bottom"/>
            <w:hideMark/>
          </w:tcPr>
          <w:p w14:paraId="00E842A8" w14:textId="77777777" w:rsidR="00CE1BDB" w:rsidRPr="00FA4DC7" w:rsidRDefault="00CE1BDB" w:rsidP="00461114">
            <w:pPr>
              <w:jc w:val="center"/>
              <w:rPr>
                <w:rFonts w:cs="Arial"/>
                <w:color w:val="006100"/>
                <w:sz w:val="22"/>
                <w:szCs w:val="22"/>
              </w:rPr>
            </w:pPr>
            <w:r w:rsidRPr="00FA4DC7">
              <w:rPr>
                <w:rFonts w:cs="Arial"/>
                <w:color w:val="9C0006"/>
                <w:sz w:val="22"/>
                <w:szCs w:val="22"/>
              </w:rPr>
              <w:t xml:space="preserve">35.4 </w:t>
            </w:r>
          </w:p>
        </w:tc>
        <w:tc>
          <w:tcPr>
            <w:tcW w:w="676" w:type="pct"/>
            <w:shd w:val="clear" w:color="auto" w:fill="auto"/>
            <w:noWrap/>
            <w:vAlign w:val="bottom"/>
            <w:hideMark/>
          </w:tcPr>
          <w:p w14:paraId="6951CCA5" w14:textId="77777777" w:rsidR="00CE1BDB" w:rsidRPr="00FA4DC7" w:rsidRDefault="00CE1BDB" w:rsidP="00461114">
            <w:pPr>
              <w:jc w:val="right"/>
              <w:rPr>
                <w:rFonts w:cs="Arial"/>
                <w:color w:val="000000"/>
                <w:sz w:val="22"/>
                <w:szCs w:val="22"/>
              </w:rPr>
            </w:pPr>
            <w:r w:rsidRPr="00FA4DC7">
              <w:rPr>
                <w:rFonts w:cs="Arial"/>
                <w:color w:val="000000"/>
                <w:sz w:val="22"/>
                <w:szCs w:val="22"/>
              </w:rPr>
              <w:t>£615</w:t>
            </w:r>
          </w:p>
        </w:tc>
      </w:tr>
    </w:tbl>
    <w:p w14:paraId="5C505A41" w14:textId="77777777" w:rsidR="00CE1BDB" w:rsidRPr="00FA4DC7" w:rsidRDefault="00CE1BDB" w:rsidP="00CE1BDB">
      <w:pPr>
        <w:rPr>
          <w:rFonts w:cs="Arial"/>
          <w:lang w:val="en-US"/>
        </w:rPr>
      </w:pPr>
      <w:r w:rsidRPr="00FA4DC7">
        <w:rPr>
          <w:rFonts w:cs="Arial"/>
          <w:b/>
          <w:bCs/>
          <w:lang w:val="en-US"/>
        </w:rPr>
        <w:t>Key</w:t>
      </w:r>
    </w:p>
    <w:tbl>
      <w:tblPr>
        <w:tblW w:w="7787" w:type="dxa"/>
        <w:tblLook w:val="04A0" w:firstRow="1" w:lastRow="0" w:firstColumn="1" w:lastColumn="0" w:noHBand="0" w:noVBand="1"/>
      </w:tblPr>
      <w:tblGrid>
        <w:gridCol w:w="2880"/>
        <w:gridCol w:w="4907"/>
      </w:tblGrid>
      <w:tr w:rsidR="00CE1BDB" w:rsidRPr="00FA4DC7" w14:paraId="5714170E" w14:textId="77777777" w:rsidTr="00461114">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7CAAC" w:themeFill="accent2" w:themeFillTint="66"/>
            <w:noWrap/>
            <w:vAlign w:val="bottom"/>
            <w:hideMark/>
          </w:tcPr>
          <w:p w14:paraId="11A360AF" w14:textId="77777777" w:rsidR="00CE1BDB" w:rsidRPr="00FA4DC7" w:rsidRDefault="00CE1BDB" w:rsidP="00461114">
            <w:pPr>
              <w:rPr>
                <w:rFonts w:cs="Arial"/>
                <w:color w:val="000000"/>
                <w:sz w:val="20"/>
                <w:szCs w:val="20"/>
              </w:rPr>
            </w:pPr>
            <w:r w:rsidRPr="00FA4DC7">
              <w:rPr>
                <w:rFonts w:cs="Arial"/>
                <w:color w:val="000000"/>
                <w:sz w:val="20"/>
                <w:szCs w:val="20"/>
              </w:rPr>
              <w:t> </w:t>
            </w:r>
          </w:p>
        </w:tc>
        <w:tc>
          <w:tcPr>
            <w:tcW w:w="4907" w:type="dxa"/>
            <w:tcBorders>
              <w:top w:val="single" w:sz="8" w:space="0" w:color="006666"/>
              <w:left w:val="single" w:sz="4" w:space="0" w:color="000000" w:themeColor="text1"/>
              <w:bottom w:val="single" w:sz="8" w:space="0" w:color="006666"/>
              <w:right w:val="single" w:sz="8" w:space="0" w:color="006666"/>
            </w:tcBorders>
            <w:shd w:val="clear" w:color="auto" w:fill="auto"/>
            <w:noWrap/>
            <w:vAlign w:val="center"/>
            <w:hideMark/>
          </w:tcPr>
          <w:p w14:paraId="43C0D0B9" w14:textId="77777777" w:rsidR="00CE1BDB" w:rsidRPr="00FA4DC7" w:rsidRDefault="00CE1BDB" w:rsidP="00461114">
            <w:pPr>
              <w:rPr>
                <w:rFonts w:cs="Arial"/>
                <w:color w:val="000000"/>
                <w:sz w:val="22"/>
                <w:szCs w:val="22"/>
              </w:rPr>
            </w:pPr>
            <w:r w:rsidRPr="00FA4DC7">
              <w:rPr>
                <w:rFonts w:cs="Arial"/>
                <w:color w:val="000000" w:themeColor="text1"/>
                <w:sz w:val="22"/>
                <w:szCs w:val="22"/>
              </w:rPr>
              <w:t xml:space="preserve">More than 35% of income spent on rent </w:t>
            </w:r>
          </w:p>
        </w:tc>
      </w:tr>
      <w:tr w:rsidR="00CE1BDB" w:rsidRPr="00FA4DC7" w14:paraId="28252A65" w14:textId="77777777" w:rsidTr="00461114">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579"/>
            <w:noWrap/>
            <w:vAlign w:val="bottom"/>
            <w:hideMark/>
          </w:tcPr>
          <w:p w14:paraId="38C569B9" w14:textId="77777777" w:rsidR="00CE1BDB" w:rsidRPr="00FA4DC7" w:rsidRDefault="00CE1BDB" w:rsidP="00461114">
            <w:pPr>
              <w:rPr>
                <w:rFonts w:cs="Arial"/>
                <w:color w:val="000000"/>
                <w:sz w:val="20"/>
                <w:szCs w:val="20"/>
              </w:rPr>
            </w:pPr>
            <w:r w:rsidRPr="00FA4DC7">
              <w:rPr>
                <w:rFonts w:cs="Arial"/>
                <w:color w:val="000000"/>
                <w:sz w:val="20"/>
                <w:szCs w:val="20"/>
              </w:rPr>
              <w:t> </w:t>
            </w:r>
          </w:p>
        </w:tc>
        <w:tc>
          <w:tcPr>
            <w:tcW w:w="4907" w:type="dxa"/>
            <w:tcBorders>
              <w:top w:val="nil"/>
              <w:left w:val="single" w:sz="4" w:space="0" w:color="000000" w:themeColor="text1"/>
              <w:bottom w:val="single" w:sz="8" w:space="0" w:color="006666"/>
              <w:right w:val="single" w:sz="8" w:space="0" w:color="006666"/>
            </w:tcBorders>
            <w:shd w:val="clear" w:color="auto" w:fill="auto"/>
            <w:noWrap/>
            <w:vAlign w:val="center"/>
            <w:hideMark/>
          </w:tcPr>
          <w:p w14:paraId="0875BECB" w14:textId="77777777" w:rsidR="00CE1BDB" w:rsidRPr="00FA4DC7" w:rsidRDefault="00CE1BDB" w:rsidP="00461114">
            <w:pPr>
              <w:rPr>
                <w:rFonts w:cs="Arial"/>
                <w:color w:val="000000"/>
                <w:sz w:val="22"/>
                <w:szCs w:val="22"/>
              </w:rPr>
            </w:pPr>
            <w:r w:rsidRPr="00FA4DC7">
              <w:rPr>
                <w:rFonts w:cs="Arial"/>
                <w:color w:val="000000" w:themeColor="text1"/>
                <w:sz w:val="22"/>
                <w:szCs w:val="22"/>
              </w:rPr>
              <w:t>Between 25% and 35% of income spent on rent</w:t>
            </w:r>
          </w:p>
        </w:tc>
      </w:tr>
      <w:tr w:rsidR="00CE1BDB" w:rsidRPr="00FA4DC7" w14:paraId="61881BB4" w14:textId="77777777" w:rsidTr="00461114">
        <w:tc>
          <w:tcPr>
            <w:tcW w:w="2880" w:type="dxa"/>
            <w:tcBorders>
              <w:top w:val="single" w:sz="4" w:space="0" w:color="000000" w:themeColor="text1"/>
              <w:left w:val="single" w:sz="8" w:space="0" w:color="006666"/>
              <w:bottom w:val="single" w:sz="8" w:space="0" w:color="006666"/>
              <w:right w:val="single" w:sz="8" w:space="0" w:color="006666"/>
            </w:tcBorders>
            <w:shd w:val="clear" w:color="000000" w:fill="C6EFCE"/>
            <w:noWrap/>
            <w:vAlign w:val="bottom"/>
            <w:hideMark/>
          </w:tcPr>
          <w:p w14:paraId="34D82475" w14:textId="77777777" w:rsidR="00CE1BDB" w:rsidRPr="00FA4DC7" w:rsidRDefault="00CE1BDB" w:rsidP="00461114">
            <w:pPr>
              <w:rPr>
                <w:rFonts w:cs="Arial"/>
                <w:color w:val="000000"/>
                <w:sz w:val="20"/>
                <w:szCs w:val="20"/>
              </w:rPr>
            </w:pPr>
            <w:r w:rsidRPr="00FA4DC7">
              <w:rPr>
                <w:rFonts w:cs="Arial"/>
                <w:color w:val="000000"/>
                <w:sz w:val="20"/>
                <w:szCs w:val="20"/>
              </w:rPr>
              <w:t> </w:t>
            </w:r>
          </w:p>
        </w:tc>
        <w:tc>
          <w:tcPr>
            <w:tcW w:w="4907" w:type="dxa"/>
            <w:tcBorders>
              <w:top w:val="nil"/>
              <w:left w:val="nil"/>
              <w:bottom w:val="single" w:sz="8" w:space="0" w:color="006666"/>
              <w:right w:val="single" w:sz="8" w:space="0" w:color="006666"/>
            </w:tcBorders>
            <w:shd w:val="clear" w:color="auto" w:fill="auto"/>
            <w:noWrap/>
            <w:vAlign w:val="center"/>
            <w:hideMark/>
          </w:tcPr>
          <w:p w14:paraId="62FB6615" w14:textId="77777777" w:rsidR="00CE1BDB" w:rsidRPr="00FA4DC7" w:rsidRDefault="00CE1BDB" w:rsidP="00461114">
            <w:pPr>
              <w:rPr>
                <w:rFonts w:cs="Arial"/>
                <w:color w:val="000000"/>
                <w:sz w:val="22"/>
                <w:szCs w:val="22"/>
              </w:rPr>
            </w:pPr>
            <w:r w:rsidRPr="00FA4DC7">
              <w:rPr>
                <w:rFonts w:cs="Arial"/>
                <w:color w:val="000000" w:themeColor="text1"/>
                <w:sz w:val="22"/>
                <w:szCs w:val="22"/>
              </w:rPr>
              <w:t>Less than 25</w:t>
            </w:r>
            <w:proofErr w:type="gramStart"/>
            <w:r w:rsidRPr="00FA4DC7">
              <w:rPr>
                <w:rFonts w:cs="Arial"/>
                <w:color w:val="000000" w:themeColor="text1"/>
                <w:sz w:val="22"/>
                <w:szCs w:val="22"/>
              </w:rPr>
              <w:t>%  of</w:t>
            </w:r>
            <w:proofErr w:type="gramEnd"/>
            <w:r w:rsidRPr="00FA4DC7">
              <w:rPr>
                <w:rFonts w:cs="Arial"/>
                <w:color w:val="000000" w:themeColor="text1"/>
                <w:sz w:val="22"/>
                <w:szCs w:val="22"/>
              </w:rPr>
              <w:t xml:space="preserve"> income spent on rent</w:t>
            </w:r>
          </w:p>
        </w:tc>
      </w:tr>
    </w:tbl>
    <w:p w14:paraId="18634F52" w14:textId="77777777" w:rsidR="00CE1BDB" w:rsidRPr="00FA4DC7" w:rsidRDefault="00CE1BDB" w:rsidP="00CE1BDB">
      <w:pPr>
        <w:rPr>
          <w:rFonts w:cs="Arial"/>
          <w:highlight w:val="yellow"/>
          <w:lang w:val="en-US" w:eastAsia="en-US"/>
        </w:rPr>
        <w:sectPr w:rsidR="00CE1BDB" w:rsidRPr="00FA4DC7" w:rsidSect="00EF49A7">
          <w:pgSz w:w="11900" w:h="16840"/>
          <w:pgMar w:top="1440" w:right="1440" w:bottom="1440" w:left="1440" w:header="708" w:footer="708" w:gutter="0"/>
          <w:cols w:space="708"/>
          <w:docGrid w:linePitch="360"/>
        </w:sectPr>
      </w:pPr>
    </w:p>
    <w:p w14:paraId="34E6C578" w14:textId="77777777" w:rsidR="00CE1BDB" w:rsidRPr="00FA4DC7" w:rsidRDefault="00CE1BDB" w:rsidP="00CE1BDB">
      <w:pPr>
        <w:pStyle w:val="Tableheading1"/>
        <w:rPr>
          <w:rFonts w:cs="Arial"/>
          <w:color w:val="006666"/>
          <w:szCs w:val="22"/>
        </w:rPr>
      </w:pPr>
      <w:bookmarkStart w:id="327" w:name="_Toc83036095"/>
      <w:r w:rsidRPr="00FA4DC7">
        <w:rPr>
          <w:rFonts w:cs="Arial"/>
          <w:color w:val="006666"/>
          <w:szCs w:val="22"/>
        </w:rPr>
        <w:lastRenderedPageBreak/>
        <w:t>Table 3.15</w:t>
      </w:r>
      <w:r w:rsidRPr="00FA4DC7">
        <w:rPr>
          <w:rFonts w:cs="Arial"/>
          <w:color w:val="006666"/>
          <w:szCs w:val="22"/>
        </w:rPr>
        <w:tab/>
        <w:t>Incomes of households, selected key workers and households on minimum/living wage and open market prices</w:t>
      </w:r>
      <w:bookmarkEnd w:id="327"/>
    </w:p>
    <w:p w14:paraId="14326DC7" w14:textId="77777777" w:rsidR="00CE1BDB" w:rsidRPr="00FA4DC7" w:rsidRDefault="00CE1BDB" w:rsidP="00CE1BDB">
      <w:pPr>
        <w:rPr>
          <w:rFonts w:cs="Arial"/>
          <w:highlight w:val="yellow"/>
        </w:rPr>
      </w:pPr>
      <w:r w:rsidRPr="00FA4DC7">
        <w:rPr>
          <w:rFonts w:cs="Arial"/>
          <w:noProof/>
        </w:rPr>
        <w:drawing>
          <wp:inline distT="0" distB="0" distL="0" distR="0" wp14:anchorId="3F89A0EA" wp14:editId="099FD137">
            <wp:extent cx="7186981" cy="4806313"/>
            <wp:effectExtent l="0" t="0" r="1270" b="0"/>
            <wp:docPr id="7497" name="Picture 7497" descr="Table showing Incomes of households, selected key workers and households on minimum/living wage and open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 name="Picture 7497" descr="Table showing Incomes of households, selected key workers and households on minimum/living wage and open market prices"/>
                    <pic:cNvPicPr/>
                  </pic:nvPicPr>
                  <pic:blipFill>
                    <a:blip r:embed="rId62"/>
                    <a:stretch>
                      <a:fillRect/>
                    </a:stretch>
                  </pic:blipFill>
                  <pic:spPr>
                    <a:xfrm>
                      <a:off x="0" y="0"/>
                      <a:ext cx="7192710" cy="4810145"/>
                    </a:xfrm>
                    <a:prstGeom prst="rect">
                      <a:avLst/>
                    </a:prstGeom>
                  </pic:spPr>
                </pic:pic>
              </a:graphicData>
            </a:graphic>
          </wp:inline>
        </w:drawing>
      </w:r>
    </w:p>
    <w:p w14:paraId="6DAA3552" w14:textId="77777777" w:rsidR="00CE1BDB" w:rsidRPr="00FA4DC7" w:rsidRDefault="00CE1BDB" w:rsidP="00CE1BDB">
      <w:pPr>
        <w:rPr>
          <w:rFonts w:cs="Arial"/>
          <w:lang w:val="en-US"/>
        </w:rPr>
      </w:pPr>
      <w:r w:rsidRPr="00FA4DC7">
        <w:rPr>
          <w:rFonts w:cs="Arial"/>
          <w:b/>
          <w:bCs/>
          <w:lang w:val="en-US"/>
        </w:rPr>
        <w:t>Key</w:t>
      </w:r>
    </w:p>
    <w:tbl>
      <w:tblPr>
        <w:tblW w:w="2137"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848"/>
        <w:gridCol w:w="5244"/>
      </w:tblGrid>
      <w:tr w:rsidR="00CE1BDB" w:rsidRPr="00FA4DC7" w14:paraId="5BA5EA5A" w14:textId="77777777" w:rsidTr="00EF49A7">
        <w:tc>
          <w:tcPr>
            <w:tcW w:w="696" w:type="pct"/>
            <w:shd w:val="clear" w:color="000000" w:fill="FFC7CE"/>
            <w:noWrap/>
            <w:vAlign w:val="bottom"/>
            <w:hideMark/>
          </w:tcPr>
          <w:p w14:paraId="35CC7650" w14:textId="77777777" w:rsidR="00CE1BDB" w:rsidRPr="00FA4DC7" w:rsidRDefault="00CE1BDB" w:rsidP="00EF49A7">
            <w:pPr>
              <w:jc w:val="right"/>
              <w:rPr>
                <w:rFonts w:cs="Arial"/>
                <w:color w:val="9C0006"/>
                <w:sz w:val="18"/>
                <w:szCs w:val="18"/>
              </w:rPr>
            </w:pPr>
          </w:p>
        </w:tc>
        <w:tc>
          <w:tcPr>
            <w:tcW w:w="4304" w:type="pct"/>
            <w:shd w:val="clear" w:color="auto" w:fill="auto"/>
          </w:tcPr>
          <w:p w14:paraId="7FE3A7B6" w14:textId="77777777" w:rsidR="00CE1BDB" w:rsidRPr="00FA4DC7" w:rsidRDefault="00CE1BDB" w:rsidP="00EF49A7">
            <w:pPr>
              <w:jc w:val="right"/>
              <w:rPr>
                <w:rFonts w:cs="Arial"/>
                <w:color w:val="000000" w:themeColor="text1"/>
                <w:sz w:val="18"/>
                <w:szCs w:val="18"/>
              </w:rPr>
            </w:pPr>
            <w:r w:rsidRPr="00FA4DC7">
              <w:rPr>
                <w:rFonts w:cs="Arial"/>
                <w:color w:val="000000" w:themeColor="text1"/>
                <w:sz w:val="18"/>
                <w:szCs w:val="18"/>
              </w:rPr>
              <w:t>More than 4.5x income multiple required</w:t>
            </w:r>
          </w:p>
        </w:tc>
      </w:tr>
      <w:tr w:rsidR="00CE1BDB" w:rsidRPr="00FA4DC7" w14:paraId="2D5CB321" w14:textId="77777777" w:rsidTr="00EF49A7">
        <w:tc>
          <w:tcPr>
            <w:tcW w:w="696" w:type="pct"/>
            <w:shd w:val="clear" w:color="000000" w:fill="FFEB9C"/>
            <w:noWrap/>
            <w:vAlign w:val="bottom"/>
            <w:hideMark/>
          </w:tcPr>
          <w:p w14:paraId="071C54A4" w14:textId="77777777" w:rsidR="00CE1BDB" w:rsidRPr="00FA4DC7" w:rsidRDefault="00CE1BDB" w:rsidP="00EF49A7">
            <w:pPr>
              <w:jc w:val="right"/>
              <w:rPr>
                <w:rFonts w:cs="Arial"/>
                <w:color w:val="9C5700"/>
                <w:sz w:val="18"/>
                <w:szCs w:val="18"/>
              </w:rPr>
            </w:pPr>
          </w:p>
        </w:tc>
        <w:tc>
          <w:tcPr>
            <w:tcW w:w="4304" w:type="pct"/>
            <w:shd w:val="clear" w:color="auto" w:fill="auto"/>
          </w:tcPr>
          <w:p w14:paraId="64E7D82A" w14:textId="77777777" w:rsidR="00CE1BDB" w:rsidRPr="00FA4DC7" w:rsidRDefault="00CE1BDB" w:rsidP="00EF49A7">
            <w:pPr>
              <w:jc w:val="right"/>
              <w:rPr>
                <w:rFonts w:cs="Arial"/>
                <w:color w:val="000000" w:themeColor="text1"/>
                <w:sz w:val="18"/>
                <w:szCs w:val="18"/>
              </w:rPr>
            </w:pPr>
            <w:r w:rsidRPr="00FA4DC7">
              <w:rPr>
                <w:rFonts w:cs="Arial"/>
                <w:color w:val="000000" w:themeColor="text1"/>
                <w:sz w:val="18"/>
                <w:szCs w:val="18"/>
              </w:rPr>
              <w:t>Between 3.5x and 4.5x income multiple required</w:t>
            </w:r>
          </w:p>
        </w:tc>
      </w:tr>
      <w:tr w:rsidR="00CE1BDB" w:rsidRPr="00FA4DC7" w14:paraId="04F6F0B5" w14:textId="77777777" w:rsidTr="00EF49A7">
        <w:tc>
          <w:tcPr>
            <w:tcW w:w="696" w:type="pct"/>
            <w:shd w:val="clear" w:color="000000" w:fill="C6EFCE"/>
            <w:noWrap/>
            <w:vAlign w:val="bottom"/>
            <w:hideMark/>
          </w:tcPr>
          <w:p w14:paraId="5850B3BB" w14:textId="77777777" w:rsidR="00CE1BDB" w:rsidRPr="00FA4DC7" w:rsidRDefault="00CE1BDB" w:rsidP="00EF49A7">
            <w:pPr>
              <w:jc w:val="right"/>
              <w:rPr>
                <w:rFonts w:cs="Arial"/>
                <w:color w:val="006100"/>
                <w:sz w:val="18"/>
                <w:szCs w:val="18"/>
              </w:rPr>
            </w:pPr>
          </w:p>
        </w:tc>
        <w:tc>
          <w:tcPr>
            <w:tcW w:w="4304" w:type="pct"/>
            <w:shd w:val="clear" w:color="auto" w:fill="auto"/>
          </w:tcPr>
          <w:p w14:paraId="2B0BF65C" w14:textId="77777777" w:rsidR="00CE1BDB" w:rsidRPr="00FA4DC7" w:rsidRDefault="00CE1BDB" w:rsidP="00EF49A7">
            <w:pPr>
              <w:jc w:val="right"/>
              <w:rPr>
                <w:rFonts w:cs="Arial"/>
                <w:color w:val="000000" w:themeColor="text1"/>
                <w:sz w:val="18"/>
                <w:szCs w:val="18"/>
              </w:rPr>
            </w:pPr>
            <w:r w:rsidRPr="00FA4DC7">
              <w:rPr>
                <w:rFonts w:cs="Arial"/>
                <w:color w:val="000000" w:themeColor="text1"/>
                <w:sz w:val="18"/>
                <w:szCs w:val="18"/>
              </w:rPr>
              <w:t>Less than 3.5x income multiple required</w:t>
            </w:r>
          </w:p>
        </w:tc>
      </w:tr>
    </w:tbl>
    <w:p w14:paraId="107CF599" w14:textId="77777777" w:rsidR="00CE1BDB" w:rsidRPr="00FA4DC7" w:rsidRDefault="00CE1BDB" w:rsidP="00CE1BDB">
      <w:pPr>
        <w:pStyle w:val="Tableheading1"/>
        <w:rPr>
          <w:rFonts w:cs="Arial"/>
          <w:color w:val="009999"/>
          <w:highlight w:val="yellow"/>
        </w:rPr>
        <w:sectPr w:rsidR="00CE1BDB" w:rsidRPr="00FA4DC7" w:rsidSect="00EF49A7">
          <w:pgSz w:w="16838" w:h="11906" w:orient="landscape"/>
          <w:pgMar w:top="1276" w:right="1134" w:bottom="1440" w:left="1440" w:header="708" w:footer="708" w:gutter="0"/>
          <w:cols w:space="708"/>
          <w:docGrid w:linePitch="360"/>
        </w:sectPr>
      </w:pPr>
    </w:p>
    <w:p w14:paraId="24E697A5" w14:textId="77777777" w:rsidR="00CE1BDB" w:rsidRPr="00FA4DC7" w:rsidRDefault="00CE1BDB" w:rsidP="00CE1BDB">
      <w:pPr>
        <w:pStyle w:val="Heading2"/>
        <w:tabs>
          <w:tab w:val="left" w:pos="0"/>
          <w:tab w:val="left" w:pos="709"/>
          <w:tab w:val="left" w:pos="1418"/>
        </w:tabs>
        <w:rPr>
          <w:rFonts w:cs="Arial"/>
        </w:rPr>
      </w:pPr>
      <w:bookmarkStart w:id="328" w:name="_Toc83035661"/>
      <w:r w:rsidRPr="00FA4DC7">
        <w:rPr>
          <w:rFonts w:cs="Arial"/>
        </w:rPr>
        <w:lastRenderedPageBreak/>
        <w:t>Concluding comments</w:t>
      </w:r>
      <w:bookmarkEnd w:id="239"/>
      <w:bookmarkEnd w:id="240"/>
      <w:bookmarkEnd w:id="328"/>
    </w:p>
    <w:p w14:paraId="3D545D19" w14:textId="77777777" w:rsidR="00CE1BDB" w:rsidRPr="00FA4DC7" w:rsidRDefault="00CE1BDB" w:rsidP="00CE1BDB">
      <w:pPr>
        <w:pStyle w:val="Reporttext"/>
        <w:rPr>
          <w:rFonts w:cs="Arial"/>
        </w:rPr>
      </w:pPr>
      <w:r w:rsidRPr="00FA4DC7">
        <w:rPr>
          <w:rFonts w:cs="Arial"/>
        </w:rPr>
        <w:t xml:space="preserve">In 2020, lower quartile house prices were £200,000 and median prices were £250,000. Prices in Medway are higher than the national average but lower than the regional average and lower than most neighbouring districts. Lower quartile private rents in 2019 were £724 and median rents were £871. </w:t>
      </w:r>
    </w:p>
    <w:p w14:paraId="68845ED9" w14:textId="77777777" w:rsidR="00CE1BDB" w:rsidRPr="00FA4DC7" w:rsidRDefault="00CE1BDB" w:rsidP="00CE1BDB">
      <w:pPr>
        <w:pStyle w:val="Reporttext"/>
        <w:rPr>
          <w:rFonts w:cs="Arial"/>
        </w:rPr>
      </w:pPr>
      <w:r w:rsidRPr="00FA4DC7">
        <w:rPr>
          <w:rFonts w:cs="Arial"/>
        </w:rPr>
        <w:t xml:space="preserve">The relative affordability of dwellings to buy or rent was explored at ward, key development location and neighbourhood planning areas. Across Medway, minimum income required for entry-level/lower quartile renting was £34,752. For buying an entry-level/lower quartile property, the minimum income required was £51,429. These calculations assumed that a rent is affordable if no more than 25% of household income is spent on rent and if buying a property should cost no more than 3.5x household income. </w:t>
      </w:r>
    </w:p>
    <w:p w14:paraId="393791B6" w14:textId="77777777" w:rsidR="00CE1BDB" w:rsidRPr="00FA4DC7" w:rsidRDefault="00CE1BDB" w:rsidP="00CE1BDB">
      <w:pPr>
        <w:pStyle w:val="Reporttext"/>
        <w:rPr>
          <w:rFonts w:cs="Arial"/>
        </w:rPr>
      </w:pPr>
      <w:r w:rsidRPr="00FA4DC7">
        <w:rPr>
          <w:rFonts w:cs="Arial"/>
        </w:rPr>
        <w:t>Analysis considered the affordability of rents and prices at ward, key development location and neighbourhood planning areas. Across all areas, households had to spend at least 25% of income on rent. For Medway overall, households on a lower quartile income had to spend 34.8% of their income on a lower quartile rent; and median income households had to spend 29.9% on a median rent. This indicates affordability pressures across the private rented sector.</w:t>
      </w:r>
    </w:p>
    <w:p w14:paraId="23DDB5A8" w14:textId="77777777" w:rsidR="00CE1BDB" w:rsidRPr="00FA4DC7" w:rsidRDefault="00CE1BDB" w:rsidP="00CE1BDB">
      <w:pPr>
        <w:pStyle w:val="Reporttext"/>
        <w:rPr>
          <w:rFonts w:cs="Arial"/>
        </w:rPr>
      </w:pPr>
      <w:r w:rsidRPr="00FA4DC7">
        <w:rPr>
          <w:rFonts w:cs="Arial"/>
        </w:rPr>
        <w:t xml:space="preserve">For open market purchase, the ratio of lower quartile income to price across Medway was 7.2x and for median income to median price it was 6.4x. Both ratios are above the benchmark of 3.5x income and without substantial deposits the ability to buy is a challenge to many households. </w:t>
      </w:r>
    </w:p>
    <w:p w14:paraId="0B8EACE6" w14:textId="77777777" w:rsidR="00CE1BDB" w:rsidRPr="00FA4DC7" w:rsidRDefault="00CE1BDB" w:rsidP="00CE1BDB">
      <w:pPr>
        <w:pStyle w:val="Reporttext"/>
        <w:tabs>
          <w:tab w:val="left" w:pos="709"/>
          <w:tab w:val="left" w:pos="1418"/>
        </w:tabs>
        <w:rPr>
          <w:rFonts w:cs="Arial"/>
        </w:rPr>
      </w:pPr>
      <w:r w:rsidRPr="00FA4DC7">
        <w:rPr>
          <w:rFonts w:cs="Arial"/>
        </w:rPr>
        <w:t>Specific analysis of the affordability of renting and buying for key worker incomes and those on minimum/living wages was carried out</w:t>
      </w:r>
      <w:r w:rsidRPr="00FA4DC7">
        <w:rPr>
          <w:rFonts w:cs="Arial"/>
          <w:lang w:val="en-US"/>
        </w:rPr>
        <w:t xml:space="preserve">. At least 25% of income had to be spent on private rents and over 40% for people who were on entry-level grades for selected key worker occupations. Private renting was generally affordable to households who had multiple earners on minimum/living wage. However, single earners on minimum/living wage had to spend upwards of 50% of income on lower quartile rents. </w:t>
      </w:r>
    </w:p>
    <w:p w14:paraId="7B8BB63D" w14:textId="77777777" w:rsidR="00CE1BDB" w:rsidRPr="00FA4DC7" w:rsidRDefault="00CE1BDB" w:rsidP="00CE1BDB">
      <w:pPr>
        <w:pStyle w:val="Reporttext"/>
        <w:tabs>
          <w:tab w:val="left" w:pos="709"/>
          <w:tab w:val="left" w:pos="1418"/>
        </w:tabs>
        <w:rPr>
          <w:rFonts w:cs="Arial"/>
        </w:rPr>
      </w:pPr>
      <w:r w:rsidRPr="00FA4DC7">
        <w:rPr>
          <w:rFonts w:cs="Arial"/>
          <w:lang w:val="en-US"/>
        </w:rPr>
        <w:t xml:space="preserve">For buying, analysis assumed that a 10% deposit was available but indicated that income multiples </w:t>
      </w:r>
      <w:proofErr w:type="gramStart"/>
      <w:r w:rsidRPr="00FA4DC7">
        <w:rPr>
          <w:rFonts w:cs="Arial"/>
          <w:lang w:val="en-US"/>
        </w:rPr>
        <w:t>in excess of</w:t>
      </w:r>
      <w:proofErr w:type="gramEnd"/>
      <w:r w:rsidRPr="00FA4DC7">
        <w:rPr>
          <w:rFonts w:cs="Arial"/>
          <w:lang w:val="en-US"/>
        </w:rPr>
        <w:t xml:space="preserve"> 3.5x were generally needed to buy on the open market. </w:t>
      </w:r>
    </w:p>
    <w:p w14:paraId="39DB3553" w14:textId="77777777" w:rsidR="00CE1BDB" w:rsidRPr="00FA4DC7" w:rsidRDefault="00CE1BDB" w:rsidP="00CE1BDB">
      <w:pPr>
        <w:pStyle w:val="Reporttext"/>
        <w:tabs>
          <w:tab w:val="left" w:pos="709"/>
          <w:tab w:val="left" w:pos="1418"/>
        </w:tabs>
        <w:rPr>
          <w:rFonts w:cs="Arial"/>
        </w:rPr>
      </w:pPr>
      <w:r w:rsidRPr="00FA4DC7">
        <w:rPr>
          <w:rFonts w:cs="Arial"/>
          <w:lang w:val="en-US"/>
        </w:rPr>
        <w:t>Using the evidence presented in this chapter, it is possible to establish what would be a genuinely affordable rent and purchase price across Medway (Table 3.16). This is based on local incomes and assumes that no more than 25% of income is spent on rent and a household income multiple of 3.5x is applied to local household incomes when testing the affordability of buying.</w:t>
      </w:r>
    </w:p>
    <w:p w14:paraId="29999209" w14:textId="77777777" w:rsidR="00CE1BDB" w:rsidRPr="00FA4DC7" w:rsidRDefault="00CE1BDB" w:rsidP="00CE1BDB">
      <w:pPr>
        <w:pStyle w:val="Reporttext"/>
        <w:numPr>
          <w:ilvl w:val="0"/>
          <w:numId w:val="0"/>
        </w:numPr>
        <w:ind w:left="709"/>
        <w:rPr>
          <w:rFonts w:cs="Arial"/>
          <w:highlight w:val="yellow"/>
          <w:lang w:val="en-US"/>
        </w:rPr>
      </w:pPr>
    </w:p>
    <w:bookmarkEnd w:id="241"/>
    <w:p w14:paraId="038437CB" w14:textId="2283F2C6" w:rsidR="00461114" w:rsidRDefault="00461114">
      <w:pPr>
        <w:rPr>
          <w:rFonts w:cs="Arial"/>
          <w:highlight w:val="yellow"/>
          <w:lang w:val="en-US"/>
        </w:rPr>
      </w:pPr>
      <w:r>
        <w:rPr>
          <w:rFonts w:cs="Arial"/>
          <w:highlight w:val="yellow"/>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417"/>
        <w:gridCol w:w="1471"/>
        <w:gridCol w:w="1498"/>
        <w:gridCol w:w="1539"/>
      </w:tblGrid>
      <w:tr w:rsidR="00461114" w:rsidRPr="00461114" w14:paraId="7887DA48" w14:textId="77777777" w:rsidTr="00461114">
        <w:tc>
          <w:tcPr>
            <w:tcW w:w="5000" w:type="pct"/>
            <w:gridSpan w:val="5"/>
            <w:shd w:val="clear" w:color="auto" w:fill="006666"/>
            <w:vAlign w:val="bottom"/>
          </w:tcPr>
          <w:p w14:paraId="2516D8CC" w14:textId="4D4DBBB9" w:rsidR="00461114" w:rsidRPr="00461114" w:rsidRDefault="00461114" w:rsidP="00461114">
            <w:pPr>
              <w:pStyle w:val="Tableheading1"/>
              <w:rPr>
                <w:color w:val="FFFFFF"/>
              </w:rPr>
            </w:pPr>
            <w:bookmarkStart w:id="329" w:name="_Toc83036096"/>
            <w:r w:rsidRPr="00FA4DC7">
              <w:lastRenderedPageBreak/>
              <w:t>Table 3.16a</w:t>
            </w:r>
            <w:r w:rsidRPr="00FA4DC7">
              <w:tab/>
              <w:t>Genuinely affordable rents and purchase prices by ward</w:t>
            </w:r>
            <w:bookmarkEnd w:id="329"/>
          </w:p>
        </w:tc>
      </w:tr>
      <w:tr w:rsidR="00A1398B" w:rsidRPr="00461114" w14:paraId="535FC227" w14:textId="77777777" w:rsidTr="00A1398B">
        <w:tc>
          <w:tcPr>
            <w:tcW w:w="1773" w:type="pct"/>
            <w:shd w:val="clear" w:color="auto" w:fill="006666"/>
            <w:vAlign w:val="bottom"/>
            <w:hideMark/>
          </w:tcPr>
          <w:p w14:paraId="238CF236" w14:textId="77777777" w:rsidR="00CE1BDB" w:rsidRPr="00461114" w:rsidRDefault="00CE1BDB" w:rsidP="00461114">
            <w:pPr>
              <w:spacing w:before="20" w:after="20"/>
              <w:rPr>
                <w:rFonts w:cs="Arial"/>
                <w:b/>
                <w:bCs/>
                <w:color w:val="FFFFFF"/>
                <w:sz w:val="22"/>
                <w:szCs w:val="22"/>
              </w:rPr>
            </w:pPr>
            <w:r w:rsidRPr="00461114">
              <w:rPr>
                <w:rFonts w:cs="Arial"/>
                <w:b/>
                <w:bCs/>
                <w:color w:val="FFFFFF"/>
                <w:sz w:val="22"/>
                <w:szCs w:val="22"/>
              </w:rPr>
              <w:t>Geography</w:t>
            </w:r>
          </w:p>
        </w:tc>
        <w:tc>
          <w:tcPr>
            <w:tcW w:w="772" w:type="pct"/>
            <w:shd w:val="clear" w:color="auto" w:fill="006666"/>
            <w:vAlign w:val="bottom"/>
            <w:hideMark/>
          </w:tcPr>
          <w:p w14:paraId="7134CE6B" w14:textId="77777777" w:rsidR="00CE1BDB" w:rsidRPr="00461114" w:rsidRDefault="00CE1BDB" w:rsidP="00461114">
            <w:pPr>
              <w:spacing w:before="20" w:after="20"/>
              <w:jc w:val="center"/>
              <w:rPr>
                <w:rFonts w:cs="Arial"/>
                <w:b/>
                <w:bCs/>
                <w:color w:val="FFFFFF"/>
                <w:sz w:val="22"/>
                <w:szCs w:val="22"/>
              </w:rPr>
            </w:pPr>
            <w:r w:rsidRPr="00461114">
              <w:rPr>
                <w:rFonts w:cs="Arial"/>
                <w:b/>
                <w:bCs/>
                <w:color w:val="FFFFFF"/>
                <w:sz w:val="22"/>
                <w:szCs w:val="22"/>
              </w:rPr>
              <w:t>LQ rents (25% of income)</w:t>
            </w:r>
          </w:p>
        </w:tc>
        <w:tc>
          <w:tcPr>
            <w:tcW w:w="801" w:type="pct"/>
            <w:shd w:val="clear" w:color="auto" w:fill="006666"/>
            <w:vAlign w:val="bottom"/>
            <w:hideMark/>
          </w:tcPr>
          <w:p w14:paraId="11DFD6AF" w14:textId="77777777" w:rsidR="00CE1BDB" w:rsidRPr="00461114" w:rsidRDefault="00CE1BDB" w:rsidP="00461114">
            <w:pPr>
              <w:spacing w:before="20" w:after="20"/>
              <w:jc w:val="center"/>
              <w:rPr>
                <w:rFonts w:cs="Arial"/>
                <w:b/>
                <w:bCs/>
                <w:color w:val="FFFFFF"/>
                <w:sz w:val="22"/>
                <w:szCs w:val="22"/>
              </w:rPr>
            </w:pPr>
            <w:r w:rsidRPr="00461114">
              <w:rPr>
                <w:rFonts w:cs="Arial"/>
                <w:b/>
                <w:bCs/>
                <w:color w:val="FFFFFF"/>
                <w:sz w:val="22"/>
                <w:szCs w:val="22"/>
              </w:rPr>
              <w:t>Median rents (25% of income)</w:t>
            </w:r>
          </w:p>
        </w:tc>
        <w:tc>
          <w:tcPr>
            <w:tcW w:w="816" w:type="pct"/>
            <w:shd w:val="clear" w:color="auto" w:fill="006666"/>
            <w:vAlign w:val="bottom"/>
            <w:hideMark/>
          </w:tcPr>
          <w:p w14:paraId="533BBC22" w14:textId="77777777" w:rsidR="00CE1BDB" w:rsidRPr="00461114" w:rsidRDefault="00CE1BDB" w:rsidP="00461114">
            <w:pPr>
              <w:spacing w:before="20" w:after="20"/>
              <w:jc w:val="center"/>
              <w:rPr>
                <w:rFonts w:cs="Arial"/>
                <w:b/>
                <w:bCs/>
                <w:color w:val="FFFFFF"/>
                <w:sz w:val="22"/>
                <w:szCs w:val="22"/>
              </w:rPr>
            </w:pPr>
            <w:r w:rsidRPr="00461114">
              <w:rPr>
                <w:rFonts w:cs="Arial"/>
                <w:b/>
                <w:bCs/>
                <w:color w:val="FFFFFF"/>
                <w:sz w:val="22"/>
                <w:szCs w:val="22"/>
              </w:rPr>
              <w:t>LQ purchase (3.5x income multiple)</w:t>
            </w:r>
          </w:p>
        </w:tc>
        <w:tc>
          <w:tcPr>
            <w:tcW w:w="838" w:type="pct"/>
            <w:shd w:val="clear" w:color="auto" w:fill="006666"/>
            <w:vAlign w:val="bottom"/>
            <w:hideMark/>
          </w:tcPr>
          <w:p w14:paraId="35AD45E9" w14:textId="77777777" w:rsidR="00CE1BDB" w:rsidRPr="00461114" w:rsidRDefault="00CE1BDB" w:rsidP="00461114">
            <w:pPr>
              <w:spacing w:before="20" w:after="20"/>
              <w:jc w:val="center"/>
              <w:rPr>
                <w:rFonts w:cs="Arial"/>
                <w:b/>
                <w:bCs/>
                <w:color w:val="FFFFFF"/>
                <w:sz w:val="22"/>
                <w:szCs w:val="22"/>
              </w:rPr>
            </w:pPr>
            <w:r w:rsidRPr="00461114">
              <w:rPr>
                <w:rFonts w:cs="Arial"/>
                <w:b/>
                <w:bCs/>
                <w:color w:val="FFFFFF"/>
                <w:sz w:val="22"/>
                <w:szCs w:val="22"/>
              </w:rPr>
              <w:t>Median purchase (3.5x income multiple)</w:t>
            </w:r>
          </w:p>
        </w:tc>
      </w:tr>
      <w:tr w:rsidR="00CE1BDB" w:rsidRPr="00461114" w14:paraId="5C25F981" w14:textId="77777777" w:rsidTr="00A1398B">
        <w:tc>
          <w:tcPr>
            <w:tcW w:w="1773" w:type="pct"/>
            <w:shd w:val="clear" w:color="auto" w:fill="auto"/>
            <w:noWrap/>
            <w:vAlign w:val="center"/>
            <w:hideMark/>
          </w:tcPr>
          <w:p w14:paraId="1BA82916" w14:textId="77777777" w:rsidR="00CE1BDB" w:rsidRPr="00461114" w:rsidRDefault="00CE1BDB" w:rsidP="00461114">
            <w:pPr>
              <w:spacing w:before="20" w:after="20"/>
              <w:jc w:val="both"/>
              <w:rPr>
                <w:rFonts w:cs="Arial"/>
                <w:b/>
                <w:bCs/>
                <w:color w:val="000000"/>
                <w:sz w:val="22"/>
                <w:szCs w:val="22"/>
              </w:rPr>
            </w:pPr>
            <w:r w:rsidRPr="00461114">
              <w:rPr>
                <w:rFonts w:cs="Arial"/>
                <w:b/>
                <w:bCs/>
                <w:color w:val="000000"/>
                <w:sz w:val="22"/>
                <w:szCs w:val="22"/>
              </w:rPr>
              <w:t>Medway</w:t>
            </w:r>
          </w:p>
        </w:tc>
        <w:tc>
          <w:tcPr>
            <w:tcW w:w="772" w:type="pct"/>
            <w:shd w:val="clear" w:color="auto" w:fill="auto"/>
            <w:noWrap/>
            <w:vAlign w:val="center"/>
            <w:hideMark/>
          </w:tcPr>
          <w:p w14:paraId="1D3CFF72" w14:textId="77777777" w:rsidR="00CE1BDB" w:rsidRPr="00461114" w:rsidRDefault="00CE1BDB" w:rsidP="00461114">
            <w:pPr>
              <w:spacing w:before="20" w:after="20"/>
              <w:jc w:val="right"/>
              <w:rPr>
                <w:rFonts w:cs="Arial"/>
                <w:b/>
                <w:bCs/>
                <w:color w:val="000000"/>
                <w:sz w:val="22"/>
                <w:szCs w:val="22"/>
              </w:rPr>
            </w:pPr>
            <w:r w:rsidRPr="00461114">
              <w:rPr>
                <w:rFonts w:cs="Arial"/>
                <w:b/>
                <w:bCs/>
                <w:color w:val="000000"/>
                <w:sz w:val="22"/>
                <w:szCs w:val="22"/>
              </w:rPr>
              <w:t>£521</w:t>
            </w:r>
          </w:p>
        </w:tc>
        <w:tc>
          <w:tcPr>
            <w:tcW w:w="801" w:type="pct"/>
            <w:shd w:val="clear" w:color="auto" w:fill="auto"/>
            <w:noWrap/>
            <w:vAlign w:val="center"/>
            <w:hideMark/>
          </w:tcPr>
          <w:p w14:paraId="482072B5" w14:textId="77777777" w:rsidR="00CE1BDB" w:rsidRPr="00461114" w:rsidRDefault="00CE1BDB" w:rsidP="00461114">
            <w:pPr>
              <w:spacing w:before="20" w:after="20"/>
              <w:jc w:val="right"/>
              <w:rPr>
                <w:rFonts w:cs="Arial"/>
                <w:b/>
                <w:bCs/>
                <w:color w:val="000000"/>
                <w:sz w:val="22"/>
                <w:szCs w:val="22"/>
              </w:rPr>
            </w:pPr>
            <w:r w:rsidRPr="00461114">
              <w:rPr>
                <w:rFonts w:cs="Arial"/>
                <w:b/>
                <w:bCs/>
                <w:color w:val="000000"/>
                <w:sz w:val="22"/>
                <w:szCs w:val="22"/>
              </w:rPr>
              <w:t>£729</w:t>
            </w:r>
          </w:p>
        </w:tc>
        <w:tc>
          <w:tcPr>
            <w:tcW w:w="816" w:type="pct"/>
            <w:shd w:val="clear" w:color="auto" w:fill="auto"/>
            <w:noWrap/>
            <w:vAlign w:val="center"/>
            <w:hideMark/>
          </w:tcPr>
          <w:p w14:paraId="1FDD6FBC" w14:textId="77777777" w:rsidR="00CE1BDB" w:rsidRPr="00461114" w:rsidRDefault="00CE1BDB" w:rsidP="00461114">
            <w:pPr>
              <w:spacing w:before="20" w:after="20"/>
              <w:jc w:val="right"/>
              <w:rPr>
                <w:rFonts w:cs="Arial"/>
                <w:b/>
                <w:bCs/>
                <w:color w:val="000000"/>
                <w:sz w:val="22"/>
                <w:szCs w:val="22"/>
              </w:rPr>
            </w:pPr>
            <w:r w:rsidRPr="00461114">
              <w:rPr>
                <w:rFonts w:cs="Arial"/>
                <w:b/>
                <w:bCs/>
                <w:color w:val="000000"/>
                <w:sz w:val="22"/>
                <w:szCs w:val="22"/>
              </w:rPr>
              <w:t>£87,500</w:t>
            </w:r>
          </w:p>
        </w:tc>
        <w:tc>
          <w:tcPr>
            <w:tcW w:w="838" w:type="pct"/>
            <w:shd w:val="clear" w:color="auto" w:fill="auto"/>
            <w:noWrap/>
            <w:vAlign w:val="center"/>
            <w:hideMark/>
          </w:tcPr>
          <w:p w14:paraId="0D143AF1" w14:textId="77777777" w:rsidR="00CE1BDB" w:rsidRPr="00461114" w:rsidRDefault="00CE1BDB" w:rsidP="00461114">
            <w:pPr>
              <w:spacing w:before="20" w:after="20"/>
              <w:jc w:val="right"/>
              <w:rPr>
                <w:rFonts w:cs="Arial"/>
                <w:b/>
                <w:bCs/>
                <w:color w:val="000000"/>
                <w:sz w:val="22"/>
                <w:szCs w:val="22"/>
              </w:rPr>
            </w:pPr>
            <w:r w:rsidRPr="00461114">
              <w:rPr>
                <w:rFonts w:cs="Arial"/>
                <w:b/>
                <w:bCs/>
                <w:color w:val="000000"/>
                <w:sz w:val="22"/>
                <w:szCs w:val="22"/>
              </w:rPr>
              <w:t>£122,500</w:t>
            </w:r>
          </w:p>
        </w:tc>
      </w:tr>
      <w:tr w:rsidR="00A1398B" w:rsidRPr="00A1398B" w14:paraId="67ED0F91" w14:textId="77777777" w:rsidTr="00461114">
        <w:tc>
          <w:tcPr>
            <w:tcW w:w="5000" w:type="pct"/>
            <w:gridSpan w:val="5"/>
            <w:shd w:val="clear" w:color="auto" w:fill="006666"/>
            <w:vAlign w:val="center"/>
            <w:hideMark/>
          </w:tcPr>
          <w:p w14:paraId="37E1AE6B" w14:textId="77777777" w:rsidR="00CE1BDB" w:rsidRPr="00A1398B" w:rsidRDefault="00CE1BDB" w:rsidP="00A1398B">
            <w:pPr>
              <w:spacing w:before="20" w:after="20"/>
              <w:rPr>
                <w:rFonts w:cs="Arial"/>
                <w:b/>
                <w:bCs/>
                <w:color w:val="FFFFFF" w:themeColor="background1"/>
                <w:sz w:val="22"/>
                <w:szCs w:val="22"/>
              </w:rPr>
            </w:pPr>
            <w:r w:rsidRPr="00A1398B">
              <w:rPr>
                <w:rFonts w:cs="Arial"/>
                <w:b/>
                <w:bCs/>
                <w:color w:val="FFFFFF" w:themeColor="background1"/>
                <w:sz w:val="22"/>
                <w:szCs w:val="22"/>
              </w:rPr>
              <w:t>Ward</w:t>
            </w:r>
          </w:p>
        </w:tc>
      </w:tr>
      <w:tr w:rsidR="00CE1BDB" w:rsidRPr="00461114" w14:paraId="2CBB9F0C" w14:textId="77777777" w:rsidTr="00A1398B">
        <w:tc>
          <w:tcPr>
            <w:tcW w:w="1773" w:type="pct"/>
            <w:shd w:val="clear" w:color="auto" w:fill="auto"/>
            <w:noWrap/>
            <w:vAlign w:val="center"/>
            <w:hideMark/>
          </w:tcPr>
          <w:p w14:paraId="0C7B1F92"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Chatham Central</w:t>
            </w:r>
          </w:p>
        </w:tc>
        <w:tc>
          <w:tcPr>
            <w:tcW w:w="772" w:type="pct"/>
            <w:shd w:val="clear" w:color="auto" w:fill="auto"/>
            <w:noWrap/>
            <w:vAlign w:val="center"/>
            <w:hideMark/>
          </w:tcPr>
          <w:p w14:paraId="6A76DB1C"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6CC0AE6A"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36F0124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32F99AF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4D045945" w14:textId="77777777" w:rsidTr="00A1398B">
        <w:tc>
          <w:tcPr>
            <w:tcW w:w="1773" w:type="pct"/>
            <w:shd w:val="clear" w:color="auto" w:fill="auto"/>
            <w:noWrap/>
            <w:vAlign w:val="center"/>
            <w:hideMark/>
          </w:tcPr>
          <w:p w14:paraId="34D15F9C" w14:textId="77777777" w:rsidR="00CE1BDB" w:rsidRPr="00461114" w:rsidRDefault="00CE1BDB" w:rsidP="00461114">
            <w:pPr>
              <w:spacing w:before="20" w:after="20"/>
              <w:jc w:val="both"/>
              <w:rPr>
                <w:rFonts w:cs="Arial"/>
                <w:color w:val="000000"/>
                <w:sz w:val="22"/>
                <w:szCs w:val="22"/>
              </w:rPr>
            </w:pPr>
            <w:proofErr w:type="spellStart"/>
            <w:r w:rsidRPr="00461114">
              <w:rPr>
                <w:rFonts w:cs="Arial"/>
                <w:color w:val="000000"/>
                <w:sz w:val="22"/>
                <w:szCs w:val="22"/>
              </w:rPr>
              <w:t>Cuxton</w:t>
            </w:r>
            <w:proofErr w:type="spellEnd"/>
            <w:r w:rsidRPr="00461114">
              <w:rPr>
                <w:rFonts w:cs="Arial"/>
                <w:color w:val="000000"/>
                <w:sz w:val="22"/>
                <w:szCs w:val="22"/>
              </w:rPr>
              <w:t xml:space="preserve"> and </w:t>
            </w:r>
            <w:proofErr w:type="spellStart"/>
            <w:r w:rsidRPr="00461114">
              <w:rPr>
                <w:rFonts w:cs="Arial"/>
                <w:color w:val="000000"/>
                <w:sz w:val="22"/>
                <w:szCs w:val="22"/>
              </w:rPr>
              <w:t>Halling</w:t>
            </w:r>
            <w:proofErr w:type="spellEnd"/>
          </w:p>
        </w:tc>
        <w:tc>
          <w:tcPr>
            <w:tcW w:w="772" w:type="pct"/>
            <w:shd w:val="clear" w:color="auto" w:fill="auto"/>
            <w:noWrap/>
            <w:vAlign w:val="center"/>
            <w:hideMark/>
          </w:tcPr>
          <w:p w14:paraId="5F4DABC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41C2DAEA"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6B5507A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3813071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19BF9824" w14:textId="77777777" w:rsidTr="00A1398B">
        <w:tc>
          <w:tcPr>
            <w:tcW w:w="1773" w:type="pct"/>
            <w:shd w:val="clear" w:color="auto" w:fill="auto"/>
            <w:noWrap/>
            <w:vAlign w:val="center"/>
            <w:hideMark/>
          </w:tcPr>
          <w:p w14:paraId="3AE18A54"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Gillingham North</w:t>
            </w:r>
          </w:p>
        </w:tc>
        <w:tc>
          <w:tcPr>
            <w:tcW w:w="772" w:type="pct"/>
            <w:shd w:val="clear" w:color="auto" w:fill="auto"/>
            <w:noWrap/>
            <w:vAlign w:val="center"/>
            <w:hideMark/>
          </w:tcPr>
          <w:p w14:paraId="79847F5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6B155F9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2E00951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67649BF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64151086" w14:textId="77777777" w:rsidTr="00A1398B">
        <w:tc>
          <w:tcPr>
            <w:tcW w:w="1773" w:type="pct"/>
            <w:shd w:val="clear" w:color="auto" w:fill="auto"/>
            <w:noWrap/>
            <w:vAlign w:val="center"/>
            <w:hideMark/>
          </w:tcPr>
          <w:p w14:paraId="663C4EE7"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Gillingham South</w:t>
            </w:r>
          </w:p>
        </w:tc>
        <w:tc>
          <w:tcPr>
            <w:tcW w:w="772" w:type="pct"/>
            <w:shd w:val="clear" w:color="auto" w:fill="auto"/>
            <w:noWrap/>
            <w:vAlign w:val="center"/>
            <w:hideMark/>
          </w:tcPr>
          <w:p w14:paraId="32ABEC1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088D88C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38C4D9EA"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72E8B28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051C0ECA" w14:textId="77777777" w:rsidTr="00A1398B">
        <w:tc>
          <w:tcPr>
            <w:tcW w:w="1773" w:type="pct"/>
            <w:shd w:val="clear" w:color="auto" w:fill="auto"/>
            <w:noWrap/>
            <w:vAlign w:val="center"/>
            <w:hideMark/>
          </w:tcPr>
          <w:p w14:paraId="1727C2B8"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 xml:space="preserve">Hempstead and </w:t>
            </w:r>
            <w:proofErr w:type="spellStart"/>
            <w:r w:rsidRPr="00461114">
              <w:rPr>
                <w:rFonts w:cs="Arial"/>
                <w:color w:val="000000"/>
                <w:sz w:val="22"/>
                <w:szCs w:val="22"/>
              </w:rPr>
              <w:t>Wigmore</w:t>
            </w:r>
            <w:proofErr w:type="spellEnd"/>
          </w:p>
        </w:tc>
        <w:tc>
          <w:tcPr>
            <w:tcW w:w="772" w:type="pct"/>
            <w:shd w:val="clear" w:color="auto" w:fill="auto"/>
            <w:noWrap/>
            <w:vAlign w:val="center"/>
            <w:hideMark/>
          </w:tcPr>
          <w:p w14:paraId="6B65BEBE"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01" w:type="pct"/>
            <w:shd w:val="clear" w:color="auto" w:fill="auto"/>
            <w:noWrap/>
            <w:vAlign w:val="center"/>
            <w:hideMark/>
          </w:tcPr>
          <w:p w14:paraId="39537E2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£938</w:t>
            </w:r>
          </w:p>
        </w:tc>
        <w:tc>
          <w:tcPr>
            <w:tcW w:w="816" w:type="pct"/>
            <w:shd w:val="clear" w:color="auto" w:fill="auto"/>
            <w:noWrap/>
            <w:vAlign w:val="center"/>
            <w:hideMark/>
          </w:tcPr>
          <w:p w14:paraId="531C67A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c>
          <w:tcPr>
            <w:tcW w:w="838" w:type="pct"/>
            <w:shd w:val="clear" w:color="auto" w:fill="auto"/>
            <w:noWrap/>
            <w:vAlign w:val="center"/>
            <w:hideMark/>
          </w:tcPr>
          <w:p w14:paraId="03C058D1"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£157,500</w:t>
            </w:r>
          </w:p>
        </w:tc>
      </w:tr>
      <w:tr w:rsidR="00CE1BDB" w:rsidRPr="00461114" w14:paraId="2EC67B03" w14:textId="77777777" w:rsidTr="00A1398B">
        <w:tc>
          <w:tcPr>
            <w:tcW w:w="1773" w:type="pct"/>
            <w:shd w:val="clear" w:color="auto" w:fill="auto"/>
            <w:noWrap/>
            <w:vAlign w:val="center"/>
            <w:hideMark/>
          </w:tcPr>
          <w:p w14:paraId="20700C17" w14:textId="77777777" w:rsidR="00CE1BDB" w:rsidRPr="00461114" w:rsidRDefault="00CE1BDB" w:rsidP="00461114">
            <w:pPr>
              <w:spacing w:before="20" w:after="20"/>
              <w:jc w:val="both"/>
              <w:rPr>
                <w:rFonts w:cs="Arial"/>
                <w:color w:val="000000"/>
                <w:sz w:val="22"/>
                <w:szCs w:val="22"/>
              </w:rPr>
            </w:pPr>
            <w:proofErr w:type="spellStart"/>
            <w:r w:rsidRPr="00461114">
              <w:rPr>
                <w:rFonts w:cs="Arial"/>
                <w:color w:val="000000"/>
                <w:sz w:val="22"/>
                <w:szCs w:val="22"/>
              </w:rPr>
              <w:t>Lordswood</w:t>
            </w:r>
            <w:proofErr w:type="spellEnd"/>
            <w:r w:rsidRPr="00461114">
              <w:rPr>
                <w:rFonts w:cs="Arial"/>
                <w:color w:val="000000"/>
                <w:sz w:val="22"/>
                <w:szCs w:val="22"/>
              </w:rPr>
              <w:t xml:space="preserve"> and Capstone</w:t>
            </w:r>
          </w:p>
        </w:tc>
        <w:tc>
          <w:tcPr>
            <w:tcW w:w="772" w:type="pct"/>
            <w:shd w:val="clear" w:color="auto" w:fill="auto"/>
            <w:noWrap/>
            <w:vAlign w:val="center"/>
            <w:hideMark/>
          </w:tcPr>
          <w:p w14:paraId="058C846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7ABF55A7"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1945CE6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260BD3B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4A21A35F" w14:textId="77777777" w:rsidTr="00A1398B">
        <w:tc>
          <w:tcPr>
            <w:tcW w:w="1773" w:type="pct"/>
            <w:shd w:val="clear" w:color="auto" w:fill="auto"/>
            <w:noWrap/>
            <w:vAlign w:val="center"/>
            <w:hideMark/>
          </w:tcPr>
          <w:p w14:paraId="0F69DFE9"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 xml:space="preserve">Luton and </w:t>
            </w:r>
            <w:proofErr w:type="spellStart"/>
            <w:r w:rsidRPr="00461114">
              <w:rPr>
                <w:rFonts w:cs="Arial"/>
                <w:color w:val="000000"/>
                <w:sz w:val="22"/>
                <w:szCs w:val="22"/>
              </w:rPr>
              <w:t>Wayfield</w:t>
            </w:r>
            <w:proofErr w:type="spellEnd"/>
          </w:p>
        </w:tc>
        <w:tc>
          <w:tcPr>
            <w:tcW w:w="772" w:type="pct"/>
            <w:shd w:val="clear" w:color="auto" w:fill="auto"/>
            <w:noWrap/>
            <w:vAlign w:val="center"/>
            <w:hideMark/>
          </w:tcPr>
          <w:p w14:paraId="6BBF9B8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30BD5DA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6BBDEB7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6FFFF9DE"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2276631B" w14:textId="77777777" w:rsidTr="00A1398B">
        <w:tc>
          <w:tcPr>
            <w:tcW w:w="1773" w:type="pct"/>
            <w:shd w:val="clear" w:color="auto" w:fill="auto"/>
            <w:noWrap/>
            <w:vAlign w:val="center"/>
            <w:hideMark/>
          </w:tcPr>
          <w:p w14:paraId="078558BE"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Peninsula</w:t>
            </w:r>
          </w:p>
        </w:tc>
        <w:tc>
          <w:tcPr>
            <w:tcW w:w="772" w:type="pct"/>
            <w:shd w:val="clear" w:color="auto" w:fill="auto"/>
            <w:noWrap/>
            <w:vAlign w:val="center"/>
            <w:hideMark/>
          </w:tcPr>
          <w:p w14:paraId="21AA33B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198E99EC"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0EB3AD2F"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1E078B4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6DC95795" w14:textId="77777777" w:rsidTr="00A1398B">
        <w:tc>
          <w:tcPr>
            <w:tcW w:w="1773" w:type="pct"/>
            <w:shd w:val="clear" w:color="auto" w:fill="auto"/>
            <w:noWrap/>
            <w:vAlign w:val="center"/>
            <w:hideMark/>
          </w:tcPr>
          <w:p w14:paraId="32C4CD83"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Princes Park</w:t>
            </w:r>
          </w:p>
        </w:tc>
        <w:tc>
          <w:tcPr>
            <w:tcW w:w="772" w:type="pct"/>
            <w:shd w:val="clear" w:color="auto" w:fill="auto"/>
            <w:noWrap/>
            <w:vAlign w:val="center"/>
            <w:hideMark/>
          </w:tcPr>
          <w:p w14:paraId="430CF81A"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6396CB4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2B01F1E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04A94BB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5049AA8E" w14:textId="77777777" w:rsidTr="00A1398B">
        <w:tc>
          <w:tcPr>
            <w:tcW w:w="1773" w:type="pct"/>
            <w:shd w:val="clear" w:color="auto" w:fill="auto"/>
            <w:noWrap/>
            <w:vAlign w:val="center"/>
            <w:hideMark/>
          </w:tcPr>
          <w:p w14:paraId="6031D541"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Rainham Central</w:t>
            </w:r>
          </w:p>
        </w:tc>
        <w:tc>
          <w:tcPr>
            <w:tcW w:w="772" w:type="pct"/>
            <w:shd w:val="clear" w:color="auto" w:fill="auto"/>
            <w:noWrap/>
            <w:vAlign w:val="center"/>
            <w:hideMark/>
          </w:tcPr>
          <w:p w14:paraId="72CF0EA1"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0C71258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6BB9B3BC"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4E3131A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547F8423" w14:textId="77777777" w:rsidTr="00A1398B">
        <w:tc>
          <w:tcPr>
            <w:tcW w:w="1773" w:type="pct"/>
            <w:shd w:val="clear" w:color="auto" w:fill="auto"/>
            <w:noWrap/>
            <w:vAlign w:val="center"/>
            <w:hideMark/>
          </w:tcPr>
          <w:p w14:paraId="3520E4D9"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Rainham North</w:t>
            </w:r>
          </w:p>
        </w:tc>
        <w:tc>
          <w:tcPr>
            <w:tcW w:w="772" w:type="pct"/>
            <w:shd w:val="clear" w:color="auto" w:fill="auto"/>
            <w:noWrap/>
            <w:vAlign w:val="center"/>
            <w:hideMark/>
          </w:tcPr>
          <w:p w14:paraId="49F83BD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531B7261"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5EFFC89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15BED1B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0421C223" w14:textId="77777777" w:rsidTr="00A1398B">
        <w:tc>
          <w:tcPr>
            <w:tcW w:w="1773" w:type="pct"/>
            <w:shd w:val="clear" w:color="auto" w:fill="auto"/>
            <w:noWrap/>
            <w:vAlign w:val="center"/>
            <w:hideMark/>
          </w:tcPr>
          <w:p w14:paraId="3AFD10D3"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Rainham South</w:t>
            </w:r>
          </w:p>
        </w:tc>
        <w:tc>
          <w:tcPr>
            <w:tcW w:w="772" w:type="pct"/>
            <w:shd w:val="clear" w:color="auto" w:fill="auto"/>
            <w:noWrap/>
            <w:vAlign w:val="center"/>
            <w:hideMark/>
          </w:tcPr>
          <w:p w14:paraId="197B4DE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2A67D22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6BF545EE"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3B88A4A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7CB6C53D" w14:textId="77777777" w:rsidTr="00A1398B">
        <w:tc>
          <w:tcPr>
            <w:tcW w:w="1773" w:type="pct"/>
            <w:shd w:val="clear" w:color="auto" w:fill="auto"/>
            <w:noWrap/>
            <w:vAlign w:val="center"/>
            <w:hideMark/>
          </w:tcPr>
          <w:p w14:paraId="1E216AEB"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River</w:t>
            </w:r>
          </w:p>
        </w:tc>
        <w:tc>
          <w:tcPr>
            <w:tcW w:w="772" w:type="pct"/>
            <w:shd w:val="clear" w:color="auto" w:fill="auto"/>
            <w:noWrap/>
            <w:vAlign w:val="center"/>
            <w:hideMark/>
          </w:tcPr>
          <w:p w14:paraId="030F87A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05D4A43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49AC4D1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7217236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76D2DC20" w14:textId="77777777" w:rsidTr="00A1398B">
        <w:tc>
          <w:tcPr>
            <w:tcW w:w="1773" w:type="pct"/>
            <w:shd w:val="clear" w:color="auto" w:fill="auto"/>
            <w:noWrap/>
            <w:vAlign w:val="center"/>
            <w:hideMark/>
          </w:tcPr>
          <w:p w14:paraId="0AB9C1A7"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Rochester East</w:t>
            </w:r>
          </w:p>
        </w:tc>
        <w:tc>
          <w:tcPr>
            <w:tcW w:w="772" w:type="pct"/>
            <w:shd w:val="clear" w:color="auto" w:fill="auto"/>
            <w:noWrap/>
            <w:vAlign w:val="center"/>
            <w:hideMark/>
          </w:tcPr>
          <w:p w14:paraId="1346ED5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230B51D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044F3991"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6E601357"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5647C31C" w14:textId="77777777" w:rsidTr="00A1398B">
        <w:tc>
          <w:tcPr>
            <w:tcW w:w="1773" w:type="pct"/>
            <w:shd w:val="clear" w:color="auto" w:fill="auto"/>
            <w:noWrap/>
            <w:vAlign w:val="center"/>
            <w:hideMark/>
          </w:tcPr>
          <w:p w14:paraId="1253AAA5"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 xml:space="preserve">Rochester South and </w:t>
            </w:r>
            <w:proofErr w:type="spellStart"/>
            <w:r w:rsidRPr="00461114">
              <w:rPr>
                <w:rFonts w:cs="Arial"/>
                <w:color w:val="000000"/>
                <w:sz w:val="22"/>
                <w:szCs w:val="22"/>
              </w:rPr>
              <w:t>Horsted</w:t>
            </w:r>
            <w:proofErr w:type="spellEnd"/>
          </w:p>
        </w:tc>
        <w:tc>
          <w:tcPr>
            <w:tcW w:w="772" w:type="pct"/>
            <w:shd w:val="clear" w:color="auto" w:fill="auto"/>
            <w:noWrap/>
            <w:vAlign w:val="center"/>
            <w:hideMark/>
          </w:tcPr>
          <w:p w14:paraId="2EC6288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030D797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36F8B8F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7EDBEE0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63B24763" w14:textId="77777777" w:rsidTr="00A1398B">
        <w:tc>
          <w:tcPr>
            <w:tcW w:w="1773" w:type="pct"/>
            <w:shd w:val="clear" w:color="auto" w:fill="auto"/>
            <w:noWrap/>
            <w:vAlign w:val="center"/>
            <w:hideMark/>
          </w:tcPr>
          <w:p w14:paraId="1A14DC1F"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Rochester West</w:t>
            </w:r>
          </w:p>
        </w:tc>
        <w:tc>
          <w:tcPr>
            <w:tcW w:w="772" w:type="pct"/>
            <w:shd w:val="clear" w:color="auto" w:fill="auto"/>
            <w:noWrap/>
            <w:vAlign w:val="center"/>
            <w:hideMark/>
          </w:tcPr>
          <w:p w14:paraId="2D4D47A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08C2F34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39FC3001"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1ACA7334"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1BE7BC5C" w14:textId="77777777" w:rsidTr="00A1398B">
        <w:tc>
          <w:tcPr>
            <w:tcW w:w="1773" w:type="pct"/>
            <w:shd w:val="clear" w:color="auto" w:fill="auto"/>
            <w:noWrap/>
            <w:vAlign w:val="center"/>
            <w:hideMark/>
          </w:tcPr>
          <w:p w14:paraId="49699554"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Strood North</w:t>
            </w:r>
          </w:p>
        </w:tc>
        <w:tc>
          <w:tcPr>
            <w:tcW w:w="772" w:type="pct"/>
            <w:shd w:val="clear" w:color="auto" w:fill="auto"/>
            <w:noWrap/>
            <w:vAlign w:val="center"/>
            <w:hideMark/>
          </w:tcPr>
          <w:p w14:paraId="729294B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7C607BE8"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1C7E797B"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3B07237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1D358229" w14:textId="77777777" w:rsidTr="00A1398B">
        <w:tc>
          <w:tcPr>
            <w:tcW w:w="1773" w:type="pct"/>
            <w:shd w:val="clear" w:color="auto" w:fill="auto"/>
            <w:noWrap/>
            <w:vAlign w:val="center"/>
            <w:hideMark/>
          </w:tcPr>
          <w:p w14:paraId="2431D723"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Strood Rural</w:t>
            </w:r>
          </w:p>
        </w:tc>
        <w:tc>
          <w:tcPr>
            <w:tcW w:w="772" w:type="pct"/>
            <w:shd w:val="clear" w:color="auto" w:fill="auto"/>
            <w:noWrap/>
            <w:vAlign w:val="center"/>
            <w:hideMark/>
          </w:tcPr>
          <w:p w14:paraId="271718A8"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3C19AEB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404F5E9E"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3FEDB495"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r w:rsidR="00CE1BDB" w:rsidRPr="00461114" w14:paraId="106568E1" w14:textId="77777777" w:rsidTr="00A1398B">
        <w:tc>
          <w:tcPr>
            <w:tcW w:w="1773" w:type="pct"/>
            <w:shd w:val="clear" w:color="auto" w:fill="auto"/>
            <w:noWrap/>
            <w:vAlign w:val="center"/>
            <w:hideMark/>
          </w:tcPr>
          <w:p w14:paraId="28CF240E"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Strood South</w:t>
            </w:r>
          </w:p>
        </w:tc>
        <w:tc>
          <w:tcPr>
            <w:tcW w:w="772" w:type="pct"/>
            <w:shd w:val="clear" w:color="auto" w:fill="auto"/>
            <w:noWrap/>
            <w:vAlign w:val="center"/>
            <w:hideMark/>
          </w:tcPr>
          <w:p w14:paraId="2DA6F9AA"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79C4BAA8"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0B39BF50"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416D1257"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0EEF8EF6" w14:textId="77777777" w:rsidTr="00A1398B">
        <w:tc>
          <w:tcPr>
            <w:tcW w:w="1773" w:type="pct"/>
            <w:shd w:val="clear" w:color="auto" w:fill="auto"/>
            <w:noWrap/>
            <w:vAlign w:val="center"/>
            <w:hideMark/>
          </w:tcPr>
          <w:p w14:paraId="1D7527FA" w14:textId="77777777" w:rsidR="00CE1BDB" w:rsidRPr="00461114" w:rsidRDefault="00CE1BDB" w:rsidP="00461114">
            <w:pPr>
              <w:spacing w:before="20" w:after="20"/>
              <w:jc w:val="both"/>
              <w:rPr>
                <w:rFonts w:cs="Arial"/>
                <w:color w:val="000000"/>
                <w:sz w:val="22"/>
                <w:szCs w:val="22"/>
              </w:rPr>
            </w:pPr>
            <w:proofErr w:type="spellStart"/>
            <w:r w:rsidRPr="00461114">
              <w:rPr>
                <w:rFonts w:cs="Arial"/>
                <w:color w:val="000000"/>
                <w:sz w:val="22"/>
                <w:szCs w:val="22"/>
              </w:rPr>
              <w:t>Twydall</w:t>
            </w:r>
            <w:proofErr w:type="spellEnd"/>
          </w:p>
        </w:tc>
        <w:tc>
          <w:tcPr>
            <w:tcW w:w="772" w:type="pct"/>
            <w:shd w:val="clear" w:color="auto" w:fill="auto"/>
            <w:noWrap/>
            <w:vAlign w:val="center"/>
            <w:hideMark/>
          </w:tcPr>
          <w:p w14:paraId="328B6A0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£313</w:t>
            </w:r>
          </w:p>
        </w:tc>
        <w:tc>
          <w:tcPr>
            <w:tcW w:w="801" w:type="pct"/>
            <w:shd w:val="clear" w:color="auto" w:fill="auto"/>
            <w:noWrap/>
            <w:vAlign w:val="center"/>
            <w:hideMark/>
          </w:tcPr>
          <w:p w14:paraId="29705276"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55183542"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£52,500</w:t>
            </w:r>
          </w:p>
        </w:tc>
        <w:tc>
          <w:tcPr>
            <w:tcW w:w="838" w:type="pct"/>
            <w:shd w:val="clear" w:color="auto" w:fill="auto"/>
            <w:noWrap/>
            <w:vAlign w:val="center"/>
            <w:hideMark/>
          </w:tcPr>
          <w:p w14:paraId="1CC00E41"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3D6FB9C9" w14:textId="77777777" w:rsidTr="00A1398B">
        <w:tc>
          <w:tcPr>
            <w:tcW w:w="1773" w:type="pct"/>
            <w:shd w:val="clear" w:color="auto" w:fill="auto"/>
            <w:noWrap/>
            <w:vAlign w:val="center"/>
            <w:hideMark/>
          </w:tcPr>
          <w:p w14:paraId="174C2173"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Walderslade</w:t>
            </w:r>
          </w:p>
        </w:tc>
        <w:tc>
          <w:tcPr>
            <w:tcW w:w="772" w:type="pct"/>
            <w:shd w:val="clear" w:color="auto" w:fill="auto"/>
            <w:noWrap/>
            <w:vAlign w:val="center"/>
            <w:hideMark/>
          </w:tcPr>
          <w:p w14:paraId="5EAC0773"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01" w:type="pct"/>
            <w:shd w:val="clear" w:color="auto" w:fill="auto"/>
            <w:noWrap/>
            <w:vAlign w:val="center"/>
            <w:hideMark/>
          </w:tcPr>
          <w:p w14:paraId="08A6BC58"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£521</w:t>
            </w:r>
          </w:p>
        </w:tc>
        <w:tc>
          <w:tcPr>
            <w:tcW w:w="816" w:type="pct"/>
            <w:shd w:val="clear" w:color="auto" w:fill="auto"/>
            <w:noWrap/>
            <w:vAlign w:val="center"/>
            <w:hideMark/>
          </w:tcPr>
          <w:p w14:paraId="7F942F37"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c>
          <w:tcPr>
            <w:tcW w:w="838" w:type="pct"/>
            <w:shd w:val="clear" w:color="auto" w:fill="auto"/>
            <w:noWrap/>
            <w:vAlign w:val="center"/>
            <w:hideMark/>
          </w:tcPr>
          <w:p w14:paraId="72E45A79"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£87,500</w:t>
            </w:r>
          </w:p>
        </w:tc>
      </w:tr>
      <w:tr w:rsidR="00CE1BDB" w:rsidRPr="00461114" w14:paraId="37BC1939" w14:textId="77777777" w:rsidTr="00A1398B">
        <w:tc>
          <w:tcPr>
            <w:tcW w:w="1773" w:type="pct"/>
            <w:shd w:val="clear" w:color="auto" w:fill="auto"/>
            <w:noWrap/>
            <w:vAlign w:val="center"/>
            <w:hideMark/>
          </w:tcPr>
          <w:p w14:paraId="0237282B" w14:textId="77777777" w:rsidR="00CE1BDB" w:rsidRPr="00461114" w:rsidRDefault="00CE1BDB" w:rsidP="00461114">
            <w:pPr>
              <w:spacing w:before="20" w:after="20"/>
              <w:jc w:val="both"/>
              <w:rPr>
                <w:rFonts w:cs="Arial"/>
                <w:color w:val="000000"/>
                <w:sz w:val="22"/>
                <w:szCs w:val="22"/>
              </w:rPr>
            </w:pPr>
            <w:r w:rsidRPr="00461114">
              <w:rPr>
                <w:rFonts w:cs="Arial"/>
                <w:color w:val="000000"/>
                <w:sz w:val="22"/>
                <w:szCs w:val="22"/>
              </w:rPr>
              <w:t>Watling</w:t>
            </w:r>
          </w:p>
        </w:tc>
        <w:tc>
          <w:tcPr>
            <w:tcW w:w="772" w:type="pct"/>
            <w:shd w:val="clear" w:color="auto" w:fill="auto"/>
            <w:noWrap/>
            <w:vAlign w:val="center"/>
            <w:hideMark/>
          </w:tcPr>
          <w:p w14:paraId="190CAC6D"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01" w:type="pct"/>
            <w:shd w:val="clear" w:color="auto" w:fill="auto"/>
            <w:noWrap/>
            <w:vAlign w:val="center"/>
            <w:hideMark/>
          </w:tcPr>
          <w:p w14:paraId="163F8AEC"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£729</w:t>
            </w:r>
          </w:p>
        </w:tc>
        <w:tc>
          <w:tcPr>
            <w:tcW w:w="816" w:type="pct"/>
            <w:shd w:val="clear" w:color="auto" w:fill="auto"/>
            <w:noWrap/>
            <w:vAlign w:val="center"/>
            <w:hideMark/>
          </w:tcPr>
          <w:p w14:paraId="1EC1487E"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c>
          <w:tcPr>
            <w:tcW w:w="838" w:type="pct"/>
            <w:shd w:val="clear" w:color="auto" w:fill="auto"/>
            <w:noWrap/>
            <w:vAlign w:val="center"/>
            <w:hideMark/>
          </w:tcPr>
          <w:p w14:paraId="7806CB8F" w14:textId="77777777" w:rsidR="00CE1BDB" w:rsidRPr="00461114" w:rsidRDefault="00CE1BDB" w:rsidP="00461114">
            <w:pPr>
              <w:spacing w:before="20" w:after="20"/>
              <w:jc w:val="right"/>
              <w:rPr>
                <w:rFonts w:cs="Arial"/>
                <w:color w:val="000000"/>
                <w:sz w:val="22"/>
                <w:szCs w:val="22"/>
              </w:rPr>
            </w:pPr>
            <w:r w:rsidRPr="00461114">
              <w:rPr>
                <w:rFonts w:cs="Arial"/>
                <w:color w:val="000000"/>
                <w:sz w:val="22"/>
                <w:szCs w:val="22"/>
              </w:rPr>
              <w:t>£122,500</w:t>
            </w:r>
          </w:p>
        </w:tc>
      </w:tr>
    </w:tbl>
    <w:p w14:paraId="46206551" w14:textId="77777777" w:rsidR="00CE1BDB" w:rsidRPr="00FA4DC7" w:rsidRDefault="00CE1BDB" w:rsidP="00CE1BDB">
      <w:pPr>
        <w:rPr>
          <w:rFonts w:cs="Arial"/>
          <w:highlight w:val="yellow"/>
          <w:lang w:val="en-US" w:eastAsia="en-US"/>
        </w:rPr>
      </w:pPr>
    </w:p>
    <w:p w14:paraId="3001AEFA" w14:textId="77777777" w:rsidR="00A1398B" w:rsidRDefault="00A1398B">
      <w:pPr>
        <w:rPr>
          <w:rFonts w:cs="Arial"/>
          <w:b/>
          <w:bCs/>
          <w:color w:val="000000" w:themeColor="text1"/>
          <w:szCs w:val="26"/>
          <w:lang w:eastAsia="en-US"/>
        </w:rPr>
      </w:pPr>
      <w:r>
        <w:rPr>
          <w:rFonts w:cs="Arial"/>
          <w:color w:val="000000" w:themeColor="text1"/>
          <w:szCs w:val="26"/>
        </w:rPr>
        <w:br w:type="page"/>
      </w:r>
    </w:p>
    <w:tbl>
      <w:tblPr>
        <w:tblW w:w="5000" w:type="pct"/>
        <w:tblLook w:val="04A0" w:firstRow="1" w:lastRow="0" w:firstColumn="1" w:lastColumn="0" w:noHBand="0" w:noVBand="1"/>
      </w:tblPr>
      <w:tblGrid>
        <w:gridCol w:w="3716"/>
        <w:gridCol w:w="1284"/>
        <w:gridCol w:w="1155"/>
        <w:gridCol w:w="1669"/>
        <w:gridCol w:w="1346"/>
      </w:tblGrid>
      <w:tr w:rsidR="00A1398B" w:rsidRPr="00A1398B" w14:paraId="7B0F6002" w14:textId="77777777" w:rsidTr="00A1398B">
        <w:tc>
          <w:tcPr>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66"/>
            <w:vAlign w:val="center"/>
          </w:tcPr>
          <w:p w14:paraId="4AC4CD93" w14:textId="431D5F2D" w:rsidR="00A1398B" w:rsidRPr="00A1398B" w:rsidRDefault="00A1398B" w:rsidP="00A1398B">
            <w:pPr>
              <w:pStyle w:val="Tableheading1"/>
              <w:rPr>
                <w:color w:val="FFFFFF"/>
                <w:szCs w:val="22"/>
              </w:rPr>
            </w:pPr>
            <w:bookmarkStart w:id="330" w:name="_Toc83036097"/>
            <w:r w:rsidRPr="00FA4DC7">
              <w:lastRenderedPageBreak/>
              <w:t>Table 3.16b</w:t>
            </w:r>
            <w:r w:rsidRPr="00FA4DC7">
              <w:tab/>
              <w:t>Genuinely affordable rents and purchase prices by Key Development Location and Neighbourhood Planning Area</w:t>
            </w:r>
            <w:bookmarkEnd w:id="330"/>
          </w:p>
        </w:tc>
      </w:tr>
      <w:tr w:rsidR="00CE1BDB" w:rsidRPr="00A1398B" w14:paraId="1683EBCB" w14:textId="77777777" w:rsidTr="00A1398B">
        <w:tc>
          <w:tcPr>
            <w:tcW w:w="202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66"/>
            <w:vAlign w:val="bottom"/>
            <w:hideMark/>
          </w:tcPr>
          <w:p w14:paraId="07F09706" w14:textId="77777777" w:rsidR="00CE1BDB" w:rsidRPr="00A1398B" w:rsidRDefault="00CE1BDB" w:rsidP="00A1398B">
            <w:pPr>
              <w:rPr>
                <w:rFonts w:cs="Arial"/>
                <w:b/>
                <w:bCs/>
                <w:color w:val="FFFFFF"/>
                <w:sz w:val="22"/>
                <w:szCs w:val="22"/>
              </w:rPr>
            </w:pPr>
            <w:r w:rsidRPr="00A1398B">
              <w:rPr>
                <w:rFonts w:cs="Arial"/>
                <w:b/>
                <w:bCs/>
                <w:color w:val="FFFFFF"/>
                <w:sz w:val="22"/>
                <w:szCs w:val="22"/>
              </w:rPr>
              <w:t>Geography</w:t>
            </w:r>
          </w:p>
        </w:tc>
        <w:tc>
          <w:tcPr>
            <w:tcW w:w="700" w:type="pct"/>
            <w:tcBorders>
              <w:top w:val="single" w:sz="8" w:space="0" w:color="000000" w:themeColor="text1"/>
              <w:left w:val="nil"/>
              <w:bottom w:val="single" w:sz="8" w:space="0" w:color="000000" w:themeColor="text1"/>
              <w:right w:val="single" w:sz="8" w:space="0" w:color="000000" w:themeColor="text1"/>
            </w:tcBorders>
            <w:shd w:val="clear" w:color="auto" w:fill="006666"/>
            <w:vAlign w:val="bottom"/>
            <w:hideMark/>
          </w:tcPr>
          <w:p w14:paraId="33DE7D33" w14:textId="77777777" w:rsidR="00CE1BDB" w:rsidRPr="00A1398B" w:rsidRDefault="00CE1BDB" w:rsidP="00A1398B">
            <w:pPr>
              <w:jc w:val="center"/>
              <w:rPr>
                <w:rFonts w:cs="Arial"/>
                <w:b/>
                <w:bCs/>
                <w:color w:val="FFFFFF"/>
                <w:sz w:val="22"/>
                <w:szCs w:val="22"/>
              </w:rPr>
            </w:pPr>
            <w:r w:rsidRPr="00A1398B">
              <w:rPr>
                <w:rFonts w:cs="Arial"/>
                <w:b/>
                <w:bCs/>
                <w:color w:val="FFFFFF"/>
                <w:sz w:val="22"/>
                <w:szCs w:val="22"/>
              </w:rPr>
              <w:t>LQ rents (25% of income)</w:t>
            </w:r>
          </w:p>
        </w:tc>
        <w:tc>
          <w:tcPr>
            <w:tcW w:w="630" w:type="pct"/>
            <w:tcBorders>
              <w:top w:val="single" w:sz="8" w:space="0" w:color="000000" w:themeColor="text1"/>
              <w:left w:val="nil"/>
              <w:bottom w:val="single" w:sz="8" w:space="0" w:color="000000" w:themeColor="text1"/>
              <w:right w:val="single" w:sz="8" w:space="0" w:color="000000" w:themeColor="text1"/>
            </w:tcBorders>
            <w:shd w:val="clear" w:color="auto" w:fill="006666"/>
            <w:vAlign w:val="bottom"/>
            <w:hideMark/>
          </w:tcPr>
          <w:p w14:paraId="7975D3F5" w14:textId="77777777" w:rsidR="00CE1BDB" w:rsidRPr="00A1398B" w:rsidRDefault="00CE1BDB" w:rsidP="00A1398B">
            <w:pPr>
              <w:jc w:val="center"/>
              <w:rPr>
                <w:rFonts w:cs="Arial"/>
                <w:b/>
                <w:bCs/>
                <w:color w:val="FFFFFF"/>
                <w:sz w:val="22"/>
                <w:szCs w:val="22"/>
              </w:rPr>
            </w:pPr>
            <w:r w:rsidRPr="00A1398B">
              <w:rPr>
                <w:rFonts w:cs="Arial"/>
                <w:b/>
                <w:bCs/>
                <w:color w:val="FFFFFF"/>
                <w:sz w:val="22"/>
                <w:szCs w:val="22"/>
              </w:rPr>
              <w:t>Median rents (25% of income)</w:t>
            </w:r>
          </w:p>
        </w:tc>
        <w:tc>
          <w:tcPr>
            <w:tcW w:w="910" w:type="pct"/>
            <w:tcBorders>
              <w:top w:val="single" w:sz="8" w:space="0" w:color="000000" w:themeColor="text1"/>
              <w:left w:val="nil"/>
              <w:bottom w:val="single" w:sz="8" w:space="0" w:color="000000" w:themeColor="text1"/>
              <w:right w:val="single" w:sz="8" w:space="0" w:color="000000" w:themeColor="text1"/>
            </w:tcBorders>
            <w:shd w:val="clear" w:color="auto" w:fill="006666"/>
            <w:vAlign w:val="bottom"/>
            <w:hideMark/>
          </w:tcPr>
          <w:p w14:paraId="38515451" w14:textId="77777777" w:rsidR="00CE1BDB" w:rsidRPr="00A1398B" w:rsidRDefault="00CE1BDB" w:rsidP="00A1398B">
            <w:pPr>
              <w:jc w:val="center"/>
              <w:rPr>
                <w:rFonts w:cs="Arial"/>
                <w:b/>
                <w:bCs/>
                <w:color w:val="FFFFFF"/>
                <w:sz w:val="22"/>
                <w:szCs w:val="22"/>
              </w:rPr>
            </w:pPr>
            <w:r w:rsidRPr="00A1398B">
              <w:rPr>
                <w:rFonts w:cs="Arial"/>
                <w:b/>
                <w:bCs/>
                <w:color w:val="FFFFFF"/>
                <w:sz w:val="22"/>
                <w:szCs w:val="22"/>
              </w:rPr>
              <w:t>LQ purchase (3.5x income multiple)</w:t>
            </w:r>
          </w:p>
        </w:tc>
        <w:tc>
          <w:tcPr>
            <w:tcW w:w="734" w:type="pct"/>
            <w:tcBorders>
              <w:top w:val="single" w:sz="8" w:space="0" w:color="000000" w:themeColor="text1"/>
              <w:left w:val="nil"/>
              <w:bottom w:val="single" w:sz="8" w:space="0" w:color="000000" w:themeColor="text1"/>
              <w:right w:val="single" w:sz="8" w:space="0" w:color="000000" w:themeColor="text1"/>
            </w:tcBorders>
            <w:shd w:val="clear" w:color="auto" w:fill="006666"/>
            <w:vAlign w:val="bottom"/>
            <w:hideMark/>
          </w:tcPr>
          <w:p w14:paraId="231C7A13" w14:textId="77777777" w:rsidR="00CE1BDB" w:rsidRPr="00A1398B" w:rsidRDefault="00CE1BDB" w:rsidP="00A1398B">
            <w:pPr>
              <w:jc w:val="center"/>
              <w:rPr>
                <w:rFonts w:cs="Arial"/>
                <w:b/>
                <w:bCs/>
                <w:color w:val="FFFFFF"/>
                <w:sz w:val="22"/>
                <w:szCs w:val="22"/>
              </w:rPr>
            </w:pPr>
            <w:r w:rsidRPr="00A1398B">
              <w:rPr>
                <w:rFonts w:cs="Arial"/>
                <w:b/>
                <w:bCs/>
                <w:color w:val="FFFFFF"/>
                <w:sz w:val="22"/>
                <w:szCs w:val="22"/>
              </w:rPr>
              <w:t>Median purchase (3.5x income multiple)</w:t>
            </w:r>
          </w:p>
        </w:tc>
      </w:tr>
      <w:tr w:rsidR="00A1398B" w:rsidRPr="00A1398B" w14:paraId="674FAB1B" w14:textId="77777777" w:rsidTr="00A1398B">
        <w:tc>
          <w:tcPr>
            <w:tcW w:w="5000" w:type="pct"/>
            <w:gridSpan w:val="5"/>
            <w:tcBorders>
              <w:top w:val="nil"/>
              <w:left w:val="single" w:sz="8" w:space="0" w:color="000000" w:themeColor="text1"/>
              <w:bottom w:val="nil"/>
              <w:right w:val="single" w:sz="8" w:space="0" w:color="000000" w:themeColor="text1"/>
            </w:tcBorders>
            <w:shd w:val="clear" w:color="auto" w:fill="auto"/>
            <w:vAlign w:val="center"/>
            <w:hideMark/>
          </w:tcPr>
          <w:p w14:paraId="732ED935" w14:textId="7E85AA02" w:rsidR="00A1398B" w:rsidRPr="00A1398B" w:rsidRDefault="00A1398B" w:rsidP="00A1398B">
            <w:pPr>
              <w:rPr>
                <w:rFonts w:cs="Arial"/>
                <w:b/>
                <w:bCs/>
                <w:sz w:val="22"/>
                <w:szCs w:val="22"/>
              </w:rPr>
            </w:pPr>
            <w:r w:rsidRPr="00A1398B">
              <w:rPr>
                <w:rFonts w:cs="Arial"/>
                <w:b/>
                <w:bCs/>
                <w:sz w:val="22"/>
                <w:szCs w:val="22"/>
              </w:rPr>
              <w:t>Key Development Location</w:t>
            </w:r>
          </w:p>
        </w:tc>
      </w:tr>
      <w:tr w:rsidR="00CE1BDB" w:rsidRPr="00A1398B" w14:paraId="73BB1167" w14:textId="77777777" w:rsidTr="00A1398B">
        <w:tc>
          <w:tcPr>
            <w:tcW w:w="2026" w:type="pct"/>
            <w:tcBorders>
              <w:top w:val="single" w:sz="8" w:space="0" w:color="000000" w:themeColor="text1"/>
              <w:left w:val="single" w:sz="8" w:space="0" w:color="000000" w:themeColor="text1"/>
              <w:bottom w:val="single" w:sz="8" w:space="0" w:color="009193"/>
              <w:right w:val="single" w:sz="8" w:space="0" w:color="009193"/>
            </w:tcBorders>
            <w:shd w:val="clear" w:color="auto" w:fill="auto"/>
            <w:noWrap/>
            <w:vAlign w:val="center"/>
            <w:hideMark/>
          </w:tcPr>
          <w:p w14:paraId="76641787" w14:textId="77777777" w:rsidR="00CE1BDB" w:rsidRPr="00A1398B" w:rsidRDefault="00CE1BDB" w:rsidP="00A1398B">
            <w:pPr>
              <w:jc w:val="both"/>
              <w:rPr>
                <w:rFonts w:cs="Arial"/>
                <w:color w:val="000000"/>
                <w:sz w:val="22"/>
                <w:szCs w:val="22"/>
              </w:rPr>
            </w:pPr>
            <w:r w:rsidRPr="00A1398B">
              <w:rPr>
                <w:rFonts w:cs="Arial"/>
                <w:color w:val="000000"/>
                <w:sz w:val="22"/>
                <w:szCs w:val="22"/>
              </w:rPr>
              <w:t>Chatham</w:t>
            </w:r>
          </w:p>
        </w:tc>
        <w:tc>
          <w:tcPr>
            <w:tcW w:w="700" w:type="pct"/>
            <w:tcBorders>
              <w:top w:val="single" w:sz="8" w:space="0" w:color="000000" w:themeColor="text1"/>
              <w:left w:val="nil"/>
              <w:bottom w:val="single" w:sz="8" w:space="0" w:color="009193"/>
              <w:right w:val="single" w:sz="8" w:space="0" w:color="009193"/>
            </w:tcBorders>
            <w:shd w:val="clear" w:color="auto" w:fill="auto"/>
            <w:noWrap/>
            <w:vAlign w:val="center"/>
            <w:hideMark/>
          </w:tcPr>
          <w:p w14:paraId="78E78562" w14:textId="77777777" w:rsidR="00CE1BDB" w:rsidRPr="00A1398B" w:rsidRDefault="00CE1BDB" w:rsidP="00A1398B">
            <w:pPr>
              <w:jc w:val="right"/>
              <w:rPr>
                <w:rFonts w:cs="Arial"/>
                <w:color w:val="000000"/>
                <w:sz w:val="22"/>
                <w:szCs w:val="22"/>
              </w:rPr>
            </w:pPr>
            <w:r w:rsidRPr="00A1398B">
              <w:rPr>
                <w:rFonts w:cs="Arial"/>
                <w:color w:val="000000"/>
                <w:sz w:val="22"/>
                <w:szCs w:val="22"/>
              </w:rPr>
              <w:t>£313</w:t>
            </w:r>
          </w:p>
        </w:tc>
        <w:tc>
          <w:tcPr>
            <w:tcW w:w="630" w:type="pct"/>
            <w:tcBorders>
              <w:top w:val="single" w:sz="8" w:space="0" w:color="000000" w:themeColor="text1"/>
              <w:left w:val="nil"/>
              <w:bottom w:val="single" w:sz="8" w:space="0" w:color="009193"/>
              <w:right w:val="single" w:sz="8" w:space="0" w:color="009193"/>
            </w:tcBorders>
            <w:shd w:val="clear" w:color="auto" w:fill="auto"/>
            <w:noWrap/>
            <w:vAlign w:val="center"/>
            <w:hideMark/>
          </w:tcPr>
          <w:p w14:paraId="64F4FDCE"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910" w:type="pct"/>
            <w:tcBorders>
              <w:top w:val="single" w:sz="8" w:space="0" w:color="000000" w:themeColor="text1"/>
              <w:left w:val="nil"/>
              <w:bottom w:val="single" w:sz="8" w:space="0" w:color="009193"/>
              <w:right w:val="single" w:sz="8" w:space="0" w:color="009193"/>
            </w:tcBorders>
            <w:shd w:val="clear" w:color="auto" w:fill="auto"/>
            <w:noWrap/>
            <w:vAlign w:val="center"/>
            <w:hideMark/>
          </w:tcPr>
          <w:p w14:paraId="25B9B5C2" w14:textId="77777777" w:rsidR="00CE1BDB" w:rsidRPr="00A1398B" w:rsidRDefault="00CE1BDB" w:rsidP="00A1398B">
            <w:pPr>
              <w:jc w:val="right"/>
              <w:rPr>
                <w:rFonts w:cs="Arial"/>
                <w:color w:val="000000"/>
                <w:sz w:val="22"/>
                <w:szCs w:val="22"/>
              </w:rPr>
            </w:pPr>
            <w:r w:rsidRPr="00A1398B">
              <w:rPr>
                <w:rFonts w:cs="Arial"/>
                <w:color w:val="000000"/>
                <w:sz w:val="22"/>
                <w:szCs w:val="22"/>
              </w:rPr>
              <w:t>£52,500</w:t>
            </w:r>
          </w:p>
        </w:tc>
        <w:tc>
          <w:tcPr>
            <w:tcW w:w="734" w:type="pct"/>
            <w:tcBorders>
              <w:top w:val="single" w:sz="8" w:space="0" w:color="000000" w:themeColor="text1"/>
              <w:left w:val="nil"/>
              <w:bottom w:val="single" w:sz="8" w:space="0" w:color="009193"/>
              <w:right w:val="single" w:sz="8" w:space="0" w:color="000000" w:themeColor="text1"/>
            </w:tcBorders>
            <w:shd w:val="clear" w:color="auto" w:fill="auto"/>
            <w:noWrap/>
            <w:vAlign w:val="center"/>
            <w:hideMark/>
          </w:tcPr>
          <w:p w14:paraId="607E98DC"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r>
      <w:tr w:rsidR="00CE1BDB" w:rsidRPr="00A1398B" w14:paraId="150A0D90" w14:textId="77777777" w:rsidTr="00A1398B">
        <w:tc>
          <w:tcPr>
            <w:tcW w:w="2026" w:type="pct"/>
            <w:tcBorders>
              <w:top w:val="nil"/>
              <w:left w:val="single" w:sz="8" w:space="0" w:color="000000" w:themeColor="text1"/>
              <w:bottom w:val="single" w:sz="8" w:space="0" w:color="009193"/>
              <w:right w:val="single" w:sz="8" w:space="0" w:color="009193"/>
            </w:tcBorders>
            <w:shd w:val="clear" w:color="auto" w:fill="auto"/>
            <w:noWrap/>
            <w:vAlign w:val="center"/>
            <w:hideMark/>
          </w:tcPr>
          <w:p w14:paraId="6A978251" w14:textId="77777777" w:rsidR="00CE1BDB" w:rsidRPr="00A1398B" w:rsidRDefault="00CE1BDB" w:rsidP="00A1398B">
            <w:pPr>
              <w:jc w:val="both"/>
              <w:rPr>
                <w:rFonts w:cs="Arial"/>
                <w:color w:val="000000"/>
                <w:sz w:val="22"/>
                <w:szCs w:val="22"/>
              </w:rPr>
            </w:pPr>
            <w:r w:rsidRPr="00A1398B">
              <w:rPr>
                <w:rFonts w:cs="Arial"/>
                <w:color w:val="000000"/>
                <w:sz w:val="22"/>
                <w:szCs w:val="22"/>
              </w:rPr>
              <w:t xml:space="preserve">Chatham Maritime and Gillingham </w:t>
            </w:r>
          </w:p>
          <w:p w14:paraId="516F5ED4" w14:textId="77777777" w:rsidR="00CE1BDB" w:rsidRPr="00A1398B" w:rsidRDefault="00CE1BDB" w:rsidP="00A1398B">
            <w:pPr>
              <w:jc w:val="both"/>
              <w:rPr>
                <w:rFonts w:cs="Arial"/>
                <w:color w:val="000000"/>
                <w:sz w:val="22"/>
                <w:szCs w:val="22"/>
              </w:rPr>
            </w:pPr>
            <w:r w:rsidRPr="00A1398B">
              <w:rPr>
                <w:rFonts w:cs="Arial"/>
                <w:color w:val="000000"/>
                <w:sz w:val="22"/>
                <w:szCs w:val="22"/>
              </w:rPr>
              <w:t xml:space="preserve">(inc. St Mary’s Island &amp; Brompton) </w:t>
            </w:r>
          </w:p>
        </w:tc>
        <w:tc>
          <w:tcPr>
            <w:tcW w:w="700" w:type="pct"/>
            <w:tcBorders>
              <w:top w:val="nil"/>
              <w:left w:val="nil"/>
              <w:bottom w:val="single" w:sz="8" w:space="0" w:color="009193"/>
              <w:right w:val="single" w:sz="8" w:space="0" w:color="009193"/>
            </w:tcBorders>
            <w:shd w:val="clear" w:color="auto" w:fill="auto"/>
            <w:noWrap/>
            <w:vAlign w:val="center"/>
            <w:hideMark/>
          </w:tcPr>
          <w:p w14:paraId="3895B917"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9193"/>
              <w:right w:val="single" w:sz="8" w:space="0" w:color="009193"/>
            </w:tcBorders>
            <w:shd w:val="clear" w:color="auto" w:fill="auto"/>
            <w:noWrap/>
            <w:vAlign w:val="center"/>
            <w:hideMark/>
          </w:tcPr>
          <w:p w14:paraId="62EA8B88"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910" w:type="pct"/>
            <w:tcBorders>
              <w:top w:val="nil"/>
              <w:left w:val="nil"/>
              <w:bottom w:val="single" w:sz="8" w:space="0" w:color="009193"/>
              <w:right w:val="single" w:sz="8" w:space="0" w:color="009193"/>
            </w:tcBorders>
            <w:shd w:val="clear" w:color="auto" w:fill="auto"/>
            <w:noWrap/>
            <w:vAlign w:val="center"/>
            <w:hideMark/>
          </w:tcPr>
          <w:p w14:paraId="5AF7DAFD"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9193"/>
              <w:right w:val="single" w:sz="8" w:space="0" w:color="000000" w:themeColor="text1"/>
            </w:tcBorders>
            <w:shd w:val="clear" w:color="auto" w:fill="auto"/>
            <w:noWrap/>
            <w:vAlign w:val="center"/>
            <w:hideMark/>
          </w:tcPr>
          <w:p w14:paraId="7198FC0A"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r>
      <w:tr w:rsidR="00CE1BDB" w:rsidRPr="00A1398B" w14:paraId="3143D996" w14:textId="77777777" w:rsidTr="00A1398B">
        <w:tc>
          <w:tcPr>
            <w:tcW w:w="2026" w:type="pct"/>
            <w:tcBorders>
              <w:top w:val="nil"/>
              <w:left w:val="single" w:sz="8" w:space="0" w:color="000000" w:themeColor="text1"/>
              <w:bottom w:val="single" w:sz="8" w:space="0" w:color="009193"/>
              <w:right w:val="single" w:sz="8" w:space="0" w:color="009193"/>
            </w:tcBorders>
            <w:shd w:val="clear" w:color="auto" w:fill="auto"/>
            <w:noWrap/>
            <w:vAlign w:val="center"/>
            <w:hideMark/>
          </w:tcPr>
          <w:p w14:paraId="3DB6FF97" w14:textId="77777777" w:rsidR="00CE1BDB" w:rsidRPr="00A1398B" w:rsidRDefault="00CE1BDB" w:rsidP="00A1398B">
            <w:pPr>
              <w:jc w:val="both"/>
              <w:rPr>
                <w:rFonts w:cs="Arial"/>
                <w:color w:val="000000"/>
                <w:sz w:val="22"/>
                <w:szCs w:val="22"/>
              </w:rPr>
            </w:pPr>
            <w:r w:rsidRPr="00A1398B">
              <w:rPr>
                <w:rFonts w:cs="Arial"/>
                <w:color w:val="000000"/>
                <w:sz w:val="22"/>
                <w:szCs w:val="22"/>
              </w:rPr>
              <w:t>Rainham</w:t>
            </w:r>
          </w:p>
        </w:tc>
        <w:tc>
          <w:tcPr>
            <w:tcW w:w="700" w:type="pct"/>
            <w:tcBorders>
              <w:top w:val="nil"/>
              <w:left w:val="nil"/>
              <w:bottom w:val="single" w:sz="8" w:space="0" w:color="009193"/>
              <w:right w:val="single" w:sz="8" w:space="0" w:color="009193"/>
            </w:tcBorders>
            <w:shd w:val="clear" w:color="auto" w:fill="auto"/>
            <w:noWrap/>
            <w:vAlign w:val="center"/>
            <w:hideMark/>
          </w:tcPr>
          <w:p w14:paraId="30781920"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9193"/>
              <w:right w:val="single" w:sz="8" w:space="0" w:color="009193"/>
            </w:tcBorders>
            <w:shd w:val="clear" w:color="auto" w:fill="auto"/>
            <w:noWrap/>
            <w:vAlign w:val="center"/>
            <w:hideMark/>
          </w:tcPr>
          <w:p w14:paraId="0A68AF3A" w14:textId="77777777" w:rsidR="00CE1BDB" w:rsidRPr="00A1398B" w:rsidRDefault="00CE1BDB" w:rsidP="00A1398B">
            <w:pPr>
              <w:jc w:val="right"/>
              <w:rPr>
                <w:rFonts w:cs="Arial"/>
                <w:color w:val="000000"/>
                <w:sz w:val="22"/>
                <w:szCs w:val="22"/>
              </w:rPr>
            </w:pPr>
            <w:r w:rsidRPr="00A1398B">
              <w:rPr>
                <w:rFonts w:cs="Arial"/>
                <w:color w:val="000000"/>
                <w:sz w:val="22"/>
                <w:szCs w:val="22"/>
              </w:rPr>
              <w:t>£729</w:t>
            </w:r>
          </w:p>
        </w:tc>
        <w:tc>
          <w:tcPr>
            <w:tcW w:w="910" w:type="pct"/>
            <w:tcBorders>
              <w:top w:val="nil"/>
              <w:left w:val="nil"/>
              <w:bottom w:val="single" w:sz="8" w:space="0" w:color="009193"/>
              <w:right w:val="single" w:sz="8" w:space="0" w:color="009193"/>
            </w:tcBorders>
            <w:shd w:val="clear" w:color="auto" w:fill="auto"/>
            <w:noWrap/>
            <w:vAlign w:val="center"/>
            <w:hideMark/>
          </w:tcPr>
          <w:p w14:paraId="6D170C4C"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9193"/>
              <w:right w:val="single" w:sz="8" w:space="0" w:color="000000" w:themeColor="text1"/>
            </w:tcBorders>
            <w:shd w:val="clear" w:color="auto" w:fill="auto"/>
            <w:noWrap/>
            <w:vAlign w:val="center"/>
            <w:hideMark/>
          </w:tcPr>
          <w:p w14:paraId="283FC3B6" w14:textId="77777777" w:rsidR="00CE1BDB" w:rsidRPr="00A1398B" w:rsidRDefault="00CE1BDB" w:rsidP="00A1398B">
            <w:pPr>
              <w:jc w:val="right"/>
              <w:rPr>
                <w:rFonts w:cs="Arial"/>
                <w:color w:val="000000"/>
                <w:sz w:val="22"/>
                <w:szCs w:val="22"/>
              </w:rPr>
            </w:pPr>
            <w:r w:rsidRPr="00A1398B">
              <w:rPr>
                <w:rFonts w:cs="Arial"/>
                <w:color w:val="000000"/>
                <w:sz w:val="22"/>
                <w:szCs w:val="22"/>
              </w:rPr>
              <w:t>£122,500</w:t>
            </w:r>
          </w:p>
        </w:tc>
      </w:tr>
      <w:tr w:rsidR="00CE1BDB" w:rsidRPr="00A1398B" w14:paraId="459FF9A0" w14:textId="77777777" w:rsidTr="00A1398B">
        <w:tc>
          <w:tcPr>
            <w:tcW w:w="2026" w:type="pct"/>
            <w:tcBorders>
              <w:top w:val="nil"/>
              <w:left w:val="single" w:sz="8" w:space="0" w:color="000000" w:themeColor="text1"/>
              <w:bottom w:val="single" w:sz="8" w:space="0" w:color="009193"/>
              <w:right w:val="single" w:sz="8" w:space="0" w:color="009193"/>
            </w:tcBorders>
            <w:shd w:val="clear" w:color="auto" w:fill="auto"/>
            <w:noWrap/>
            <w:vAlign w:val="center"/>
            <w:hideMark/>
          </w:tcPr>
          <w:p w14:paraId="12FF1960" w14:textId="77777777" w:rsidR="00CE1BDB" w:rsidRPr="00A1398B" w:rsidRDefault="00CE1BDB" w:rsidP="00A1398B">
            <w:pPr>
              <w:jc w:val="both"/>
              <w:rPr>
                <w:rFonts w:cs="Arial"/>
                <w:color w:val="000000"/>
                <w:sz w:val="22"/>
                <w:szCs w:val="22"/>
              </w:rPr>
            </w:pPr>
            <w:r w:rsidRPr="00A1398B">
              <w:rPr>
                <w:rFonts w:cs="Arial"/>
                <w:color w:val="000000"/>
                <w:sz w:val="22"/>
                <w:szCs w:val="22"/>
              </w:rPr>
              <w:t>Rochester</w:t>
            </w:r>
          </w:p>
        </w:tc>
        <w:tc>
          <w:tcPr>
            <w:tcW w:w="700" w:type="pct"/>
            <w:tcBorders>
              <w:top w:val="nil"/>
              <w:left w:val="nil"/>
              <w:bottom w:val="single" w:sz="8" w:space="0" w:color="009193"/>
              <w:right w:val="single" w:sz="8" w:space="0" w:color="009193"/>
            </w:tcBorders>
            <w:shd w:val="clear" w:color="auto" w:fill="auto"/>
            <w:noWrap/>
            <w:vAlign w:val="center"/>
            <w:hideMark/>
          </w:tcPr>
          <w:p w14:paraId="5F7D2F18"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9193"/>
              <w:right w:val="single" w:sz="8" w:space="0" w:color="009193"/>
            </w:tcBorders>
            <w:shd w:val="clear" w:color="auto" w:fill="auto"/>
            <w:noWrap/>
            <w:vAlign w:val="center"/>
            <w:hideMark/>
          </w:tcPr>
          <w:p w14:paraId="6084A6E6" w14:textId="77777777" w:rsidR="00CE1BDB" w:rsidRPr="00A1398B" w:rsidRDefault="00CE1BDB" w:rsidP="00A1398B">
            <w:pPr>
              <w:jc w:val="right"/>
              <w:rPr>
                <w:rFonts w:cs="Arial"/>
                <w:color w:val="000000"/>
                <w:sz w:val="22"/>
                <w:szCs w:val="22"/>
              </w:rPr>
            </w:pPr>
            <w:r w:rsidRPr="00A1398B">
              <w:rPr>
                <w:rFonts w:cs="Arial"/>
                <w:color w:val="000000"/>
                <w:sz w:val="22"/>
                <w:szCs w:val="22"/>
              </w:rPr>
              <w:t>£729</w:t>
            </w:r>
          </w:p>
        </w:tc>
        <w:tc>
          <w:tcPr>
            <w:tcW w:w="910" w:type="pct"/>
            <w:tcBorders>
              <w:top w:val="nil"/>
              <w:left w:val="nil"/>
              <w:bottom w:val="single" w:sz="8" w:space="0" w:color="009193"/>
              <w:right w:val="single" w:sz="8" w:space="0" w:color="009193"/>
            </w:tcBorders>
            <w:shd w:val="clear" w:color="auto" w:fill="auto"/>
            <w:noWrap/>
            <w:vAlign w:val="center"/>
            <w:hideMark/>
          </w:tcPr>
          <w:p w14:paraId="5C03B712"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9193"/>
              <w:right w:val="single" w:sz="8" w:space="0" w:color="000000" w:themeColor="text1"/>
            </w:tcBorders>
            <w:shd w:val="clear" w:color="auto" w:fill="auto"/>
            <w:noWrap/>
            <w:vAlign w:val="center"/>
            <w:hideMark/>
          </w:tcPr>
          <w:p w14:paraId="15930E80" w14:textId="77777777" w:rsidR="00CE1BDB" w:rsidRPr="00A1398B" w:rsidRDefault="00CE1BDB" w:rsidP="00A1398B">
            <w:pPr>
              <w:jc w:val="right"/>
              <w:rPr>
                <w:rFonts w:cs="Arial"/>
                <w:color w:val="000000"/>
                <w:sz w:val="22"/>
                <w:szCs w:val="22"/>
              </w:rPr>
            </w:pPr>
            <w:r w:rsidRPr="00A1398B">
              <w:rPr>
                <w:rFonts w:cs="Arial"/>
                <w:color w:val="000000"/>
                <w:sz w:val="22"/>
                <w:szCs w:val="22"/>
              </w:rPr>
              <w:t>£122,500</w:t>
            </w:r>
          </w:p>
        </w:tc>
      </w:tr>
      <w:tr w:rsidR="00CE1BDB" w:rsidRPr="00A1398B" w14:paraId="6F24B6D6" w14:textId="77777777" w:rsidTr="00A1398B">
        <w:tc>
          <w:tcPr>
            <w:tcW w:w="2026" w:type="pct"/>
            <w:tcBorders>
              <w:top w:val="nil"/>
              <w:left w:val="single" w:sz="8" w:space="0" w:color="000000" w:themeColor="text1"/>
              <w:bottom w:val="single" w:sz="8" w:space="0" w:color="000000" w:themeColor="text1"/>
              <w:right w:val="single" w:sz="8" w:space="0" w:color="009193"/>
            </w:tcBorders>
            <w:shd w:val="clear" w:color="auto" w:fill="auto"/>
            <w:noWrap/>
            <w:vAlign w:val="center"/>
            <w:hideMark/>
          </w:tcPr>
          <w:p w14:paraId="253840A6" w14:textId="77777777" w:rsidR="00CE1BDB" w:rsidRPr="00A1398B" w:rsidRDefault="00CE1BDB" w:rsidP="00A1398B">
            <w:pPr>
              <w:jc w:val="both"/>
              <w:rPr>
                <w:rFonts w:cs="Arial"/>
                <w:color w:val="000000"/>
                <w:sz w:val="22"/>
                <w:szCs w:val="22"/>
              </w:rPr>
            </w:pPr>
            <w:r w:rsidRPr="00A1398B">
              <w:rPr>
                <w:rFonts w:cs="Arial"/>
                <w:color w:val="000000"/>
                <w:sz w:val="22"/>
                <w:szCs w:val="22"/>
              </w:rPr>
              <w:t>Strood</w:t>
            </w:r>
          </w:p>
        </w:tc>
        <w:tc>
          <w:tcPr>
            <w:tcW w:w="700" w:type="pct"/>
            <w:tcBorders>
              <w:top w:val="nil"/>
              <w:left w:val="nil"/>
              <w:bottom w:val="single" w:sz="8" w:space="0" w:color="000000" w:themeColor="text1"/>
              <w:right w:val="single" w:sz="8" w:space="0" w:color="009193"/>
            </w:tcBorders>
            <w:shd w:val="clear" w:color="auto" w:fill="auto"/>
            <w:noWrap/>
            <w:vAlign w:val="center"/>
            <w:hideMark/>
          </w:tcPr>
          <w:p w14:paraId="7A14EBC1"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0000" w:themeColor="text1"/>
              <w:right w:val="single" w:sz="8" w:space="0" w:color="009193"/>
            </w:tcBorders>
            <w:shd w:val="clear" w:color="auto" w:fill="auto"/>
            <w:noWrap/>
            <w:vAlign w:val="center"/>
            <w:hideMark/>
          </w:tcPr>
          <w:p w14:paraId="0FA547F2"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910" w:type="pct"/>
            <w:tcBorders>
              <w:top w:val="nil"/>
              <w:left w:val="nil"/>
              <w:bottom w:val="single" w:sz="8" w:space="0" w:color="000000" w:themeColor="text1"/>
              <w:right w:val="single" w:sz="8" w:space="0" w:color="009193"/>
            </w:tcBorders>
            <w:shd w:val="clear" w:color="auto" w:fill="auto"/>
            <w:noWrap/>
            <w:vAlign w:val="center"/>
            <w:hideMark/>
          </w:tcPr>
          <w:p w14:paraId="52C5DA11"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0000" w:themeColor="text1"/>
              <w:right w:val="single" w:sz="8" w:space="0" w:color="000000" w:themeColor="text1"/>
            </w:tcBorders>
            <w:shd w:val="clear" w:color="auto" w:fill="auto"/>
            <w:noWrap/>
            <w:vAlign w:val="center"/>
            <w:hideMark/>
          </w:tcPr>
          <w:p w14:paraId="0B4B9F23"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r>
      <w:tr w:rsidR="00A1398B" w:rsidRPr="00A1398B" w14:paraId="520816F1" w14:textId="77777777" w:rsidTr="00A1398B">
        <w:tc>
          <w:tcPr>
            <w:tcW w:w="5000" w:type="pct"/>
            <w:gridSpan w:val="5"/>
            <w:tcBorders>
              <w:top w:val="nil"/>
              <w:left w:val="single" w:sz="8" w:space="0" w:color="000000" w:themeColor="text1"/>
              <w:bottom w:val="nil"/>
              <w:right w:val="single" w:sz="8" w:space="0" w:color="000000" w:themeColor="text1"/>
            </w:tcBorders>
            <w:shd w:val="clear" w:color="auto" w:fill="auto"/>
            <w:vAlign w:val="center"/>
            <w:hideMark/>
          </w:tcPr>
          <w:p w14:paraId="6E8727A0" w14:textId="77777777" w:rsidR="00CE1BDB" w:rsidRPr="00A1398B" w:rsidRDefault="00CE1BDB" w:rsidP="00A1398B">
            <w:pPr>
              <w:rPr>
                <w:rFonts w:cs="Arial"/>
                <w:b/>
                <w:bCs/>
                <w:sz w:val="22"/>
                <w:szCs w:val="22"/>
              </w:rPr>
            </w:pPr>
            <w:r w:rsidRPr="00A1398B">
              <w:rPr>
                <w:rFonts w:cs="Arial"/>
                <w:b/>
                <w:bCs/>
                <w:sz w:val="22"/>
                <w:szCs w:val="22"/>
              </w:rPr>
              <w:t>Neighbourhood Planning Area</w:t>
            </w:r>
          </w:p>
        </w:tc>
      </w:tr>
      <w:tr w:rsidR="00CE1BDB" w:rsidRPr="00A1398B" w14:paraId="1A6D12B4" w14:textId="77777777" w:rsidTr="00A1398B">
        <w:tc>
          <w:tcPr>
            <w:tcW w:w="2026" w:type="pct"/>
            <w:tcBorders>
              <w:top w:val="single" w:sz="8" w:space="0" w:color="000000" w:themeColor="text1"/>
              <w:left w:val="single" w:sz="8" w:space="0" w:color="000000" w:themeColor="text1"/>
              <w:bottom w:val="single" w:sz="8" w:space="0" w:color="009193"/>
              <w:right w:val="single" w:sz="8" w:space="0" w:color="009193"/>
            </w:tcBorders>
            <w:shd w:val="clear" w:color="auto" w:fill="auto"/>
            <w:noWrap/>
            <w:vAlign w:val="center"/>
            <w:hideMark/>
          </w:tcPr>
          <w:p w14:paraId="1B64F218" w14:textId="77777777" w:rsidR="00CE1BDB" w:rsidRPr="00A1398B" w:rsidRDefault="00CE1BDB" w:rsidP="00A1398B">
            <w:pPr>
              <w:jc w:val="both"/>
              <w:rPr>
                <w:rFonts w:cs="Arial"/>
                <w:color w:val="000000"/>
                <w:sz w:val="22"/>
                <w:szCs w:val="22"/>
              </w:rPr>
            </w:pPr>
            <w:r w:rsidRPr="00A1398B">
              <w:rPr>
                <w:rFonts w:cs="Arial"/>
                <w:color w:val="000000" w:themeColor="text1"/>
                <w:sz w:val="22"/>
                <w:szCs w:val="22"/>
              </w:rPr>
              <w:t>Cliffe and Cliffe Woods</w:t>
            </w:r>
          </w:p>
        </w:tc>
        <w:tc>
          <w:tcPr>
            <w:tcW w:w="700" w:type="pct"/>
            <w:tcBorders>
              <w:top w:val="single" w:sz="8" w:space="0" w:color="000000" w:themeColor="text1"/>
              <w:left w:val="nil"/>
              <w:bottom w:val="single" w:sz="8" w:space="0" w:color="009193"/>
              <w:right w:val="single" w:sz="8" w:space="0" w:color="009193"/>
            </w:tcBorders>
            <w:shd w:val="clear" w:color="auto" w:fill="auto"/>
            <w:noWrap/>
            <w:vAlign w:val="center"/>
            <w:hideMark/>
          </w:tcPr>
          <w:p w14:paraId="0AA854B2" w14:textId="77777777" w:rsidR="00CE1BDB" w:rsidRPr="00A1398B" w:rsidRDefault="00CE1BDB" w:rsidP="00A1398B">
            <w:pPr>
              <w:jc w:val="right"/>
              <w:rPr>
                <w:rFonts w:cs="Arial"/>
                <w:color w:val="000000"/>
                <w:sz w:val="22"/>
                <w:szCs w:val="22"/>
              </w:rPr>
            </w:pPr>
            <w:r w:rsidRPr="00A1398B">
              <w:rPr>
                <w:rFonts w:cs="Arial"/>
                <w:color w:val="000000"/>
                <w:sz w:val="22"/>
                <w:szCs w:val="22"/>
              </w:rPr>
              <w:t>£677</w:t>
            </w:r>
          </w:p>
        </w:tc>
        <w:tc>
          <w:tcPr>
            <w:tcW w:w="630" w:type="pct"/>
            <w:tcBorders>
              <w:top w:val="single" w:sz="8" w:space="0" w:color="000000" w:themeColor="text1"/>
              <w:left w:val="nil"/>
              <w:bottom w:val="single" w:sz="8" w:space="0" w:color="009193"/>
              <w:right w:val="single" w:sz="8" w:space="0" w:color="009193"/>
            </w:tcBorders>
            <w:shd w:val="clear" w:color="auto" w:fill="auto"/>
            <w:noWrap/>
            <w:vAlign w:val="center"/>
            <w:hideMark/>
          </w:tcPr>
          <w:p w14:paraId="76C5D932" w14:textId="77777777" w:rsidR="00CE1BDB" w:rsidRPr="00A1398B" w:rsidRDefault="00CE1BDB" w:rsidP="00A1398B">
            <w:pPr>
              <w:jc w:val="right"/>
              <w:rPr>
                <w:rFonts w:cs="Arial"/>
                <w:color w:val="000000"/>
                <w:sz w:val="22"/>
                <w:szCs w:val="22"/>
              </w:rPr>
            </w:pPr>
            <w:r w:rsidRPr="00A1398B">
              <w:rPr>
                <w:rFonts w:cs="Arial"/>
                <w:color w:val="000000"/>
                <w:sz w:val="22"/>
                <w:szCs w:val="22"/>
              </w:rPr>
              <w:t>£729</w:t>
            </w:r>
          </w:p>
        </w:tc>
        <w:tc>
          <w:tcPr>
            <w:tcW w:w="910" w:type="pct"/>
            <w:tcBorders>
              <w:top w:val="single" w:sz="8" w:space="0" w:color="000000" w:themeColor="text1"/>
              <w:left w:val="nil"/>
              <w:bottom w:val="single" w:sz="8" w:space="0" w:color="009193"/>
              <w:right w:val="single" w:sz="8" w:space="0" w:color="009193"/>
            </w:tcBorders>
            <w:shd w:val="clear" w:color="auto" w:fill="auto"/>
            <w:noWrap/>
            <w:vAlign w:val="center"/>
            <w:hideMark/>
          </w:tcPr>
          <w:p w14:paraId="1F2A5DA2" w14:textId="77777777" w:rsidR="00CE1BDB" w:rsidRPr="00A1398B" w:rsidRDefault="00CE1BDB" w:rsidP="00A1398B">
            <w:pPr>
              <w:jc w:val="right"/>
              <w:rPr>
                <w:rFonts w:cs="Arial"/>
                <w:color w:val="000000"/>
                <w:sz w:val="22"/>
                <w:szCs w:val="22"/>
              </w:rPr>
            </w:pPr>
            <w:r w:rsidRPr="00A1398B">
              <w:rPr>
                <w:rFonts w:cs="Arial"/>
                <w:color w:val="000000"/>
                <w:sz w:val="22"/>
                <w:szCs w:val="22"/>
              </w:rPr>
              <w:t>£113,750</w:t>
            </w:r>
          </w:p>
        </w:tc>
        <w:tc>
          <w:tcPr>
            <w:tcW w:w="734" w:type="pct"/>
            <w:tcBorders>
              <w:top w:val="single" w:sz="8" w:space="0" w:color="000000" w:themeColor="text1"/>
              <w:left w:val="nil"/>
              <w:bottom w:val="single" w:sz="8" w:space="0" w:color="009193"/>
              <w:right w:val="single" w:sz="8" w:space="0" w:color="000000" w:themeColor="text1"/>
            </w:tcBorders>
            <w:shd w:val="clear" w:color="auto" w:fill="auto"/>
            <w:noWrap/>
            <w:vAlign w:val="center"/>
            <w:hideMark/>
          </w:tcPr>
          <w:p w14:paraId="3756DD1A" w14:textId="77777777" w:rsidR="00CE1BDB" w:rsidRPr="00A1398B" w:rsidRDefault="00CE1BDB" w:rsidP="00A1398B">
            <w:pPr>
              <w:jc w:val="right"/>
              <w:rPr>
                <w:rFonts w:cs="Arial"/>
                <w:color w:val="000000"/>
                <w:sz w:val="22"/>
                <w:szCs w:val="22"/>
              </w:rPr>
            </w:pPr>
            <w:r w:rsidRPr="00A1398B">
              <w:rPr>
                <w:rFonts w:cs="Arial"/>
                <w:color w:val="000000"/>
                <w:sz w:val="22"/>
                <w:szCs w:val="22"/>
              </w:rPr>
              <w:t>£122,500</w:t>
            </w:r>
          </w:p>
        </w:tc>
      </w:tr>
      <w:tr w:rsidR="00CE1BDB" w:rsidRPr="00A1398B" w14:paraId="25657CD9" w14:textId="77777777" w:rsidTr="00A1398B">
        <w:tc>
          <w:tcPr>
            <w:tcW w:w="2026" w:type="pct"/>
            <w:tcBorders>
              <w:top w:val="nil"/>
              <w:left w:val="single" w:sz="8" w:space="0" w:color="000000" w:themeColor="text1"/>
              <w:bottom w:val="single" w:sz="8" w:space="0" w:color="009193"/>
              <w:right w:val="single" w:sz="8" w:space="0" w:color="009193"/>
            </w:tcBorders>
            <w:shd w:val="clear" w:color="auto" w:fill="auto"/>
            <w:noWrap/>
            <w:vAlign w:val="center"/>
            <w:hideMark/>
          </w:tcPr>
          <w:p w14:paraId="65733837" w14:textId="77777777" w:rsidR="00CE1BDB" w:rsidRPr="00A1398B" w:rsidRDefault="00CE1BDB" w:rsidP="00A1398B">
            <w:pPr>
              <w:jc w:val="both"/>
              <w:rPr>
                <w:rFonts w:cs="Arial"/>
                <w:color w:val="000000"/>
                <w:sz w:val="22"/>
                <w:szCs w:val="22"/>
              </w:rPr>
            </w:pPr>
            <w:proofErr w:type="spellStart"/>
            <w:r w:rsidRPr="00A1398B">
              <w:rPr>
                <w:rFonts w:cs="Arial"/>
                <w:color w:val="000000"/>
                <w:sz w:val="22"/>
                <w:szCs w:val="22"/>
              </w:rPr>
              <w:t>Frindsbury</w:t>
            </w:r>
            <w:proofErr w:type="spellEnd"/>
            <w:r w:rsidRPr="00A1398B">
              <w:rPr>
                <w:rFonts w:cs="Arial"/>
                <w:color w:val="000000"/>
                <w:sz w:val="22"/>
                <w:szCs w:val="22"/>
              </w:rPr>
              <w:t xml:space="preserve"> Extra</w:t>
            </w:r>
          </w:p>
        </w:tc>
        <w:tc>
          <w:tcPr>
            <w:tcW w:w="700" w:type="pct"/>
            <w:tcBorders>
              <w:top w:val="nil"/>
              <w:left w:val="nil"/>
              <w:bottom w:val="single" w:sz="8" w:space="0" w:color="009193"/>
              <w:right w:val="single" w:sz="8" w:space="0" w:color="009193"/>
            </w:tcBorders>
            <w:shd w:val="clear" w:color="auto" w:fill="auto"/>
            <w:noWrap/>
            <w:vAlign w:val="center"/>
            <w:hideMark/>
          </w:tcPr>
          <w:p w14:paraId="104071FF"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9193"/>
              <w:right w:val="single" w:sz="8" w:space="0" w:color="009193"/>
            </w:tcBorders>
            <w:shd w:val="clear" w:color="auto" w:fill="auto"/>
            <w:noWrap/>
            <w:vAlign w:val="center"/>
            <w:hideMark/>
          </w:tcPr>
          <w:p w14:paraId="1361F937" w14:textId="77777777" w:rsidR="00CE1BDB" w:rsidRPr="00A1398B" w:rsidRDefault="00CE1BDB" w:rsidP="00A1398B">
            <w:pPr>
              <w:jc w:val="right"/>
              <w:rPr>
                <w:rFonts w:cs="Arial"/>
                <w:color w:val="000000"/>
                <w:sz w:val="22"/>
                <w:szCs w:val="22"/>
              </w:rPr>
            </w:pPr>
            <w:r w:rsidRPr="00A1398B">
              <w:rPr>
                <w:rFonts w:cs="Arial"/>
                <w:color w:val="000000"/>
                <w:sz w:val="22"/>
                <w:szCs w:val="22"/>
              </w:rPr>
              <w:t>£729</w:t>
            </w:r>
          </w:p>
        </w:tc>
        <w:tc>
          <w:tcPr>
            <w:tcW w:w="910" w:type="pct"/>
            <w:tcBorders>
              <w:top w:val="nil"/>
              <w:left w:val="nil"/>
              <w:bottom w:val="single" w:sz="8" w:space="0" w:color="009193"/>
              <w:right w:val="single" w:sz="8" w:space="0" w:color="009193"/>
            </w:tcBorders>
            <w:shd w:val="clear" w:color="auto" w:fill="auto"/>
            <w:noWrap/>
            <w:vAlign w:val="center"/>
            <w:hideMark/>
          </w:tcPr>
          <w:p w14:paraId="30A26196"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9193"/>
              <w:right w:val="single" w:sz="8" w:space="0" w:color="000000" w:themeColor="text1"/>
            </w:tcBorders>
            <w:shd w:val="clear" w:color="auto" w:fill="auto"/>
            <w:noWrap/>
            <w:vAlign w:val="center"/>
            <w:hideMark/>
          </w:tcPr>
          <w:p w14:paraId="60869095" w14:textId="77777777" w:rsidR="00CE1BDB" w:rsidRPr="00A1398B" w:rsidRDefault="00CE1BDB" w:rsidP="00A1398B">
            <w:pPr>
              <w:jc w:val="right"/>
              <w:rPr>
                <w:rFonts w:cs="Arial"/>
                <w:color w:val="000000"/>
                <w:sz w:val="22"/>
                <w:szCs w:val="22"/>
              </w:rPr>
            </w:pPr>
            <w:r w:rsidRPr="00A1398B">
              <w:rPr>
                <w:rFonts w:cs="Arial"/>
                <w:color w:val="000000"/>
                <w:sz w:val="22"/>
                <w:szCs w:val="22"/>
              </w:rPr>
              <w:t>£122,500</w:t>
            </w:r>
          </w:p>
        </w:tc>
      </w:tr>
      <w:tr w:rsidR="00CE1BDB" w:rsidRPr="00A1398B" w14:paraId="12FCFD0B" w14:textId="77777777" w:rsidTr="00A1398B">
        <w:tc>
          <w:tcPr>
            <w:tcW w:w="2026" w:type="pct"/>
            <w:tcBorders>
              <w:top w:val="nil"/>
              <w:left w:val="single" w:sz="8" w:space="0" w:color="000000" w:themeColor="text1"/>
              <w:bottom w:val="single" w:sz="8" w:space="0" w:color="009193"/>
              <w:right w:val="single" w:sz="8" w:space="0" w:color="009193"/>
            </w:tcBorders>
            <w:shd w:val="clear" w:color="auto" w:fill="auto"/>
            <w:noWrap/>
            <w:vAlign w:val="center"/>
            <w:hideMark/>
          </w:tcPr>
          <w:p w14:paraId="417346B5" w14:textId="77777777" w:rsidR="00CE1BDB" w:rsidRPr="00A1398B" w:rsidRDefault="00CE1BDB" w:rsidP="00A1398B">
            <w:pPr>
              <w:jc w:val="both"/>
              <w:rPr>
                <w:rFonts w:cs="Arial"/>
                <w:color w:val="000000"/>
                <w:sz w:val="22"/>
                <w:szCs w:val="22"/>
              </w:rPr>
            </w:pPr>
            <w:r w:rsidRPr="00A1398B">
              <w:rPr>
                <w:rFonts w:cs="Arial"/>
                <w:color w:val="000000"/>
                <w:sz w:val="22"/>
                <w:szCs w:val="22"/>
              </w:rPr>
              <w:t xml:space="preserve">High </w:t>
            </w:r>
            <w:proofErr w:type="spellStart"/>
            <w:r w:rsidRPr="00A1398B">
              <w:rPr>
                <w:rFonts w:cs="Arial"/>
                <w:color w:val="000000"/>
                <w:sz w:val="22"/>
                <w:szCs w:val="22"/>
              </w:rPr>
              <w:t>Halstow</w:t>
            </w:r>
            <w:proofErr w:type="spellEnd"/>
          </w:p>
        </w:tc>
        <w:tc>
          <w:tcPr>
            <w:tcW w:w="700" w:type="pct"/>
            <w:tcBorders>
              <w:top w:val="nil"/>
              <w:left w:val="nil"/>
              <w:bottom w:val="single" w:sz="8" w:space="0" w:color="009193"/>
              <w:right w:val="single" w:sz="8" w:space="0" w:color="009193"/>
            </w:tcBorders>
            <w:shd w:val="clear" w:color="auto" w:fill="auto"/>
            <w:noWrap/>
            <w:vAlign w:val="center"/>
            <w:hideMark/>
          </w:tcPr>
          <w:p w14:paraId="7E6C583B" w14:textId="77777777" w:rsidR="00CE1BDB" w:rsidRPr="00A1398B" w:rsidRDefault="00CE1BDB" w:rsidP="00A1398B">
            <w:pPr>
              <w:jc w:val="right"/>
              <w:rPr>
                <w:rFonts w:cs="Arial"/>
                <w:color w:val="000000"/>
                <w:sz w:val="22"/>
                <w:szCs w:val="22"/>
              </w:rPr>
            </w:pPr>
            <w:r w:rsidRPr="00A1398B">
              <w:rPr>
                <w:rFonts w:cs="Arial"/>
                <w:color w:val="000000"/>
                <w:sz w:val="22"/>
                <w:szCs w:val="22"/>
              </w:rPr>
              <w:t>£729</w:t>
            </w:r>
          </w:p>
        </w:tc>
        <w:tc>
          <w:tcPr>
            <w:tcW w:w="630" w:type="pct"/>
            <w:tcBorders>
              <w:top w:val="nil"/>
              <w:left w:val="nil"/>
              <w:bottom w:val="single" w:sz="8" w:space="0" w:color="009193"/>
              <w:right w:val="single" w:sz="8" w:space="0" w:color="009193"/>
            </w:tcBorders>
            <w:shd w:val="clear" w:color="auto" w:fill="auto"/>
            <w:noWrap/>
            <w:vAlign w:val="center"/>
            <w:hideMark/>
          </w:tcPr>
          <w:p w14:paraId="1D81BE68" w14:textId="77777777" w:rsidR="00CE1BDB" w:rsidRPr="00A1398B" w:rsidRDefault="00CE1BDB" w:rsidP="00A1398B">
            <w:pPr>
              <w:jc w:val="right"/>
              <w:rPr>
                <w:rFonts w:cs="Arial"/>
                <w:color w:val="000000"/>
                <w:sz w:val="22"/>
                <w:szCs w:val="22"/>
              </w:rPr>
            </w:pPr>
            <w:r w:rsidRPr="00A1398B">
              <w:rPr>
                <w:rFonts w:cs="Arial"/>
                <w:color w:val="000000"/>
                <w:sz w:val="22"/>
                <w:szCs w:val="22"/>
              </w:rPr>
              <w:t>£938</w:t>
            </w:r>
          </w:p>
        </w:tc>
        <w:tc>
          <w:tcPr>
            <w:tcW w:w="910" w:type="pct"/>
            <w:tcBorders>
              <w:top w:val="nil"/>
              <w:left w:val="nil"/>
              <w:bottom w:val="single" w:sz="8" w:space="0" w:color="009193"/>
              <w:right w:val="single" w:sz="8" w:space="0" w:color="009193"/>
            </w:tcBorders>
            <w:shd w:val="clear" w:color="auto" w:fill="auto"/>
            <w:noWrap/>
            <w:vAlign w:val="center"/>
            <w:hideMark/>
          </w:tcPr>
          <w:p w14:paraId="15724FB6" w14:textId="77777777" w:rsidR="00CE1BDB" w:rsidRPr="00A1398B" w:rsidRDefault="00CE1BDB" w:rsidP="00A1398B">
            <w:pPr>
              <w:jc w:val="right"/>
              <w:rPr>
                <w:rFonts w:cs="Arial"/>
                <w:color w:val="000000"/>
                <w:sz w:val="22"/>
                <w:szCs w:val="22"/>
              </w:rPr>
            </w:pPr>
            <w:r w:rsidRPr="00A1398B">
              <w:rPr>
                <w:rFonts w:cs="Arial"/>
                <w:color w:val="000000"/>
                <w:sz w:val="22"/>
                <w:szCs w:val="22"/>
              </w:rPr>
              <w:t>£122,500</w:t>
            </w:r>
          </w:p>
        </w:tc>
        <w:tc>
          <w:tcPr>
            <w:tcW w:w="734" w:type="pct"/>
            <w:tcBorders>
              <w:top w:val="nil"/>
              <w:left w:val="nil"/>
              <w:bottom w:val="single" w:sz="8" w:space="0" w:color="009193"/>
              <w:right w:val="single" w:sz="8" w:space="0" w:color="000000" w:themeColor="text1"/>
            </w:tcBorders>
            <w:shd w:val="clear" w:color="auto" w:fill="auto"/>
            <w:noWrap/>
            <w:vAlign w:val="center"/>
            <w:hideMark/>
          </w:tcPr>
          <w:p w14:paraId="5D68A7DF" w14:textId="77777777" w:rsidR="00CE1BDB" w:rsidRPr="00A1398B" w:rsidRDefault="00CE1BDB" w:rsidP="00A1398B">
            <w:pPr>
              <w:jc w:val="right"/>
              <w:rPr>
                <w:rFonts w:cs="Arial"/>
                <w:color w:val="000000"/>
                <w:sz w:val="22"/>
                <w:szCs w:val="22"/>
              </w:rPr>
            </w:pPr>
            <w:r w:rsidRPr="00A1398B">
              <w:rPr>
                <w:rFonts w:cs="Arial"/>
                <w:color w:val="000000"/>
                <w:sz w:val="22"/>
                <w:szCs w:val="22"/>
              </w:rPr>
              <w:t>£157,500</w:t>
            </w:r>
          </w:p>
        </w:tc>
      </w:tr>
      <w:tr w:rsidR="00CE1BDB" w:rsidRPr="00A1398B" w14:paraId="7DAB3BAC" w14:textId="77777777" w:rsidTr="00A1398B">
        <w:tc>
          <w:tcPr>
            <w:tcW w:w="2026" w:type="pct"/>
            <w:tcBorders>
              <w:top w:val="nil"/>
              <w:left w:val="single" w:sz="8" w:space="0" w:color="000000" w:themeColor="text1"/>
              <w:bottom w:val="single" w:sz="8" w:space="0" w:color="009193"/>
              <w:right w:val="single" w:sz="8" w:space="0" w:color="009193"/>
            </w:tcBorders>
            <w:shd w:val="clear" w:color="auto" w:fill="auto"/>
            <w:noWrap/>
            <w:vAlign w:val="center"/>
            <w:hideMark/>
          </w:tcPr>
          <w:p w14:paraId="0E84391C" w14:textId="77777777" w:rsidR="00CE1BDB" w:rsidRPr="00A1398B" w:rsidRDefault="00CE1BDB" w:rsidP="00A1398B">
            <w:pPr>
              <w:jc w:val="both"/>
              <w:rPr>
                <w:rFonts w:cs="Arial"/>
                <w:color w:val="000000"/>
                <w:sz w:val="22"/>
                <w:szCs w:val="22"/>
              </w:rPr>
            </w:pPr>
            <w:proofErr w:type="spellStart"/>
            <w:r w:rsidRPr="00A1398B">
              <w:rPr>
                <w:rFonts w:cs="Arial"/>
                <w:color w:val="000000"/>
                <w:sz w:val="22"/>
                <w:szCs w:val="22"/>
              </w:rPr>
              <w:t>Hoo</w:t>
            </w:r>
            <w:proofErr w:type="spellEnd"/>
            <w:r w:rsidRPr="00A1398B">
              <w:rPr>
                <w:rFonts w:cs="Arial"/>
                <w:color w:val="000000"/>
                <w:sz w:val="22"/>
                <w:szCs w:val="22"/>
              </w:rPr>
              <w:t xml:space="preserve"> St </w:t>
            </w:r>
            <w:proofErr w:type="spellStart"/>
            <w:r w:rsidRPr="00A1398B">
              <w:rPr>
                <w:rFonts w:cs="Arial"/>
                <w:color w:val="000000"/>
                <w:sz w:val="22"/>
                <w:szCs w:val="22"/>
              </w:rPr>
              <w:t>Werburgh</w:t>
            </w:r>
            <w:proofErr w:type="spellEnd"/>
            <w:r w:rsidRPr="00A1398B">
              <w:rPr>
                <w:rFonts w:cs="Arial"/>
                <w:color w:val="000000"/>
                <w:sz w:val="22"/>
                <w:szCs w:val="22"/>
              </w:rPr>
              <w:t>/Rural Town</w:t>
            </w:r>
          </w:p>
        </w:tc>
        <w:tc>
          <w:tcPr>
            <w:tcW w:w="700" w:type="pct"/>
            <w:tcBorders>
              <w:top w:val="nil"/>
              <w:left w:val="nil"/>
              <w:bottom w:val="single" w:sz="8" w:space="0" w:color="009193"/>
              <w:right w:val="single" w:sz="8" w:space="0" w:color="009193"/>
            </w:tcBorders>
            <w:shd w:val="clear" w:color="auto" w:fill="auto"/>
            <w:noWrap/>
            <w:vAlign w:val="center"/>
            <w:hideMark/>
          </w:tcPr>
          <w:p w14:paraId="018F9DCC"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9193"/>
              <w:right w:val="single" w:sz="8" w:space="0" w:color="009193"/>
            </w:tcBorders>
            <w:shd w:val="clear" w:color="auto" w:fill="auto"/>
            <w:noWrap/>
            <w:vAlign w:val="center"/>
            <w:hideMark/>
          </w:tcPr>
          <w:p w14:paraId="7DA55E8B"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910" w:type="pct"/>
            <w:tcBorders>
              <w:top w:val="nil"/>
              <w:left w:val="nil"/>
              <w:bottom w:val="single" w:sz="8" w:space="0" w:color="009193"/>
              <w:right w:val="single" w:sz="8" w:space="0" w:color="009193"/>
            </w:tcBorders>
            <w:shd w:val="clear" w:color="auto" w:fill="auto"/>
            <w:noWrap/>
            <w:vAlign w:val="center"/>
            <w:hideMark/>
          </w:tcPr>
          <w:p w14:paraId="4C28E69E"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9193"/>
              <w:right w:val="single" w:sz="8" w:space="0" w:color="000000" w:themeColor="text1"/>
            </w:tcBorders>
            <w:shd w:val="clear" w:color="auto" w:fill="auto"/>
            <w:noWrap/>
            <w:vAlign w:val="center"/>
            <w:hideMark/>
          </w:tcPr>
          <w:p w14:paraId="582424F9"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r>
      <w:tr w:rsidR="00CE1BDB" w:rsidRPr="00A1398B" w14:paraId="34706FA2" w14:textId="77777777" w:rsidTr="00A1398B">
        <w:tc>
          <w:tcPr>
            <w:tcW w:w="2026" w:type="pct"/>
            <w:tcBorders>
              <w:top w:val="nil"/>
              <w:left w:val="single" w:sz="8" w:space="0" w:color="000000" w:themeColor="text1"/>
              <w:bottom w:val="single" w:sz="8" w:space="0" w:color="000000" w:themeColor="text1"/>
              <w:right w:val="single" w:sz="8" w:space="0" w:color="009193"/>
            </w:tcBorders>
            <w:shd w:val="clear" w:color="auto" w:fill="auto"/>
            <w:noWrap/>
            <w:vAlign w:val="center"/>
            <w:hideMark/>
          </w:tcPr>
          <w:p w14:paraId="2D1D1FCF" w14:textId="77777777" w:rsidR="00CE1BDB" w:rsidRPr="00A1398B" w:rsidRDefault="00CE1BDB" w:rsidP="00A1398B">
            <w:pPr>
              <w:jc w:val="both"/>
              <w:rPr>
                <w:rFonts w:cs="Arial"/>
                <w:color w:val="000000"/>
                <w:sz w:val="22"/>
                <w:szCs w:val="22"/>
                <w:highlight w:val="yellow"/>
              </w:rPr>
            </w:pPr>
            <w:r w:rsidRPr="00A1398B">
              <w:rPr>
                <w:rFonts w:cs="Arial"/>
                <w:color w:val="000000" w:themeColor="text1"/>
                <w:sz w:val="22"/>
                <w:szCs w:val="22"/>
              </w:rPr>
              <w:t>Arches (Chatham)</w:t>
            </w:r>
          </w:p>
        </w:tc>
        <w:tc>
          <w:tcPr>
            <w:tcW w:w="700" w:type="pct"/>
            <w:tcBorders>
              <w:top w:val="nil"/>
              <w:left w:val="nil"/>
              <w:bottom w:val="single" w:sz="8" w:space="0" w:color="000000" w:themeColor="text1"/>
              <w:right w:val="single" w:sz="8" w:space="0" w:color="009193"/>
            </w:tcBorders>
            <w:shd w:val="clear" w:color="auto" w:fill="auto"/>
            <w:noWrap/>
            <w:vAlign w:val="center"/>
            <w:hideMark/>
          </w:tcPr>
          <w:p w14:paraId="515A1872"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630" w:type="pct"/>
            <w:tcBorders>
              <w:top w:val="nil"/>
              <w:left w:val="nil"/>
              <w:bottom w:val="single" w:sz="8" w:space="0" w:color="000000" w:themeColor="text1"/>
              <w:right w:val="single" w:sz="8" w:space="0" w:color="009193"/>
            </w:tcBorders>
            <w:shd w:val="clear" w:color="auto" w:fill="auto"/>
            <w:noWrap/>
            <w:vAlign w:val="center"/>
            <w:hideMark/>
          </w:tcPr>
          <w:p w14:paraId="0868BBDD" w14:textId="77777777" w:rsidR="00CE1BDB" w:rsidRPr="00A1398B" w:rsidRDefault="00CE1BDB" w:rsidP="00A1398B">
            <w:pPr>
              <w:jc w:val="right"/>
              <w:rPr>
                <w:rFonts w:cs="Arial"/>
                <w:color w:val="000000"/>
                <w:sz w:val="22"/>
                <w:szCs w:val="22"/>
              </w:rPr>
            </w:pPr>
            <w:r w:rsidRPr="00A1398B">
              <w:rPr>
                <w:rFonts w:cs="Arial"/>
                <w:color w:val="000000"/>
                <w:sz w:val="22"/>
                <w:szCs w:val="22"/>
              </w:rPr>
              <w:t>£521</w:t>
            </w:r>
          </w:p>
        </w:tc>
        <w:tc>
          <w:tcPr>
            <w:tcW w:w="910" w:type="pct"/>
            <w:tcBorders>
              <w:top w:val="nil"/>
              <w:left w:val="nil"/>
              <w:bottom w:val="single" w:sz="8" w:space="0" w:color="000000" w:themeColor="text1"/>
              <w:right w:val="single" w:sz="8" w:space="0" w:color="009193"/>
            </w:tcBorders>
            <w:shd w:val="clear" w:color="auto" w:fill="auto"/>
            <w:noWrap/>
            <w:vAlign w:val="center"/>
            <w:hideMark/>
          </w:tcPr>
          <w:p w14:paraId="34FBB6B9"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c>
          <w:tcPr>
            <w:tcW w:w="734" w:type="pct"/>
            <w:tcBorders>
              <w:top w:val="nil"/>
              <w:left w:val="nil"/>
              <w:bottom w:val="single" w:sz="8" w:space="0" w:color="000000" w:themeColor="text1"/>
              <w:right w:val="single" w:sz="8" w:space="0" w:color="000000" w:themeColor="text1"/>
            </w:tcBorders>
            <w:shd w:val="clear" w:color="auto" w:fill="auto"/>
            <w:noWrap/>
            <w:vAlign w:val="center"/>
            <w:hideMark/>
          </w:tcPr>
          <w:p w14:paraId="379D9BD8" w14:textId="77777777" w:rsidR="00CE1BDB" w:rsidRPr="00A1398B" w:rsidRDefault="00CE1BDB" w:rsidP="00A1398B">
            <w:pPr>
              <w:jc w:val="right"/>
              <w:rPr>
                <w:rFonts w:cs="Arial"/>
                <w:color w:val="000000"/>
                <w:sz w:val="22"/>
                <w:szCs w:val="22"/>
              </w:rPr>
            </w:pPr>
            <w:r w:rsidRPr="00A1398B">
              <w:rPr>
                <w:rFonts w:cs="Arial"/>
                <w:color w:val="000000"/>
                <w:sz w:val="22"/>
                <w:szCs w:val="22"/>
              </w:rPr>
              <w:t>£87,500</w:t>
            </w:r>
          </w:p>
        </w:tc>
      </w:tr>
    </w:tbl>
    <w:p w14:paraId="58775C3D" w14:textId="77777777" w:rsidR="00CE1BDB" w:rsidRPr="00FA4DC7" w:rsidRDefault="00CE1BDB" w:rsidP="00CE1BDB">
      <w:pPr>
        <w:rPr>
          <w:rFonts w:cs="Arial"/>
          <w:highlight w:val="yellow"/>
          <w:lang w:val="en-US" w:eastAsia="en-US"/>
        </w:rPr>
      </w:pPr>
    </w:p>
    <w:p w14:paraId="761A6773" w14:textId="77777777" w:rsidR="00CE1BDB" w:rsidRPr="00FA4DC7" w:rsidRDefault="00CE1BDB" w:rsidP="00CE1BDB">
      <w:pPr>
        <w:rPr>
          <w:rFonts w:cs="Arial"/>
          <w:highlight w:val="yellow"/>
          <w:lang w:val="en-US" w:eastAsia="en-US"/>
        </w:rPr>
      </w:pPr>
    </w:p>
    <w:p w14:paraId="6DFF9811" w14:textId="77777777" w:rsidR="00CE1BDB" w:rsidRPr="00FA4DC7" w:rsidRDefault="00CE1BDB" w:rsidP="00CE1BDB">
      <w:pPr>
        <w:pStyle w:val="Reporttext"/>
        <w:numPr>
          <w:ilvl w:val="0"/>
          <w:numId w:val="0"/>
        </w:numPr>
        <w:tabs>
          <w:tab w:val="left" w:pos="0"/>
          <w:tab w:val="left" w:pos="1418"/>
        </w:tabs>
        <w:ind w:left="709" w:hanging="709"/>
        <w:rPr>
          <w:rFonts w:cs="Arial"/>
          <w:highlight w:val="yellow"/>
        </w:rPr>
      </w:pPr>
    </w:p>
    <w:p w14:paraId="0179B698" w14:textId="77777777" w:rsidR="00CE1BDB" w:rsidRPr="00FA4DC7" w:rsidRDefault="00CE1BDB" w:rsidP="00CE1BDB">
      <w:pPr>
        <w:pStyle w:val="Reporttext"/>
        <w:numPr>
          <w:ilvl w:val="0"/>
          <w:numId w:val="0"/>
        </w:numPr>
        <w:tabs>
          <w:tab w:val="left" w:pos="0"/>
          <w:tab w:val="left" w:pos="1418"/>
        </w:tabs>
        <w:ind w:left="709" w:hanging="709"/>
        <w:rPr>
          <w:rFonts w:cs="Arial"/>
          <w:highlight w:val="yellow"/>
        </w:rPr>
      </w:pPr>
      <w:r w:rsidRPr="00FA4DC7">
        <w:rPr>
          <w:rFonts w:cs="Arial"/>
          <w:highlight w:val="yellow"/>
        </w:rPr>
        <w:br w:type="page"/>
      </w:r>
    </w:p>
    <w:p w14:paraId="355EA6C8" w14:textId="77777777" w:rsidR="00CE1BDB" w:rsidRPr="00FA4DC7" w:rsidRDefault="00CE1BDB" w:rsidP="00CE1BDB">
      <w:pPr>
        <w:pStyle w:val="Heading1"/>
        <w:jc w:val="both"/>
        <w:rPr>
          <w:rFonts w:cs="Arial"/>
        </w:rPr>
      </w:pPr>
      <w:bookmarkStart w:id="331" w:name="_Toc83035662"/>
      <w:bookmarkStart w:id="332" w:name="_Toc395193571"/>
      <w:bookmarkStart w:id="333" w:name="_Toc2456868"/>
      <w:bookmarkStart w:id="334" w:name="_Toc3373154"/>
      <w:bookmarkStart w:id="335" w:name="_Toc7683284"/>
      <w:bookmarkStart w:id="336" w:name="_Toc70677915"/>
      <w:bookmarkStart w:id="337" w:name="_Toc13046130"/>
      <w:bookmarkStart w:id="338" w:name="_Toc529651994"/>
      <w:bookmarkStart w:id="339" w:name="_Toc360192639"/>
      <w:bookmarkStart w:id="340" w:name="_Toc398711717"/>
      <w:bookmarkStart w:id="341" w:name="_Toc399864404"/>
      <w:r w:rsidRPr="00FA4DC7">
        <w:rPr>
          <w:rFonts w:cs="Arial"/>
        </w:rPr>
        <w:lastRenderedPageBreak/>
        <w:t>Overall housing need and affordable housing need</w:t>
      </w:r>
      <w:bookmarkEnd w:id="331"/>
    </w:p>
    <w:p w14:paraId="7659A993" w14:textId="77777777" w:rsidR="00CE1BDB" w:rsidRPr="00FA4DC7" w:rsidRDefault="00CE1BDB" w:rsidP="00CE1BDB">
      <w:pPr>
        <w:pStyle w:val="Heading2"/>
        <w:rPr>
          <w:rFonts w:cs="Arial"/>
        </w:rPr>
      </w:pPr>
      <w:bookmarkStart w:id="342" w:name="_Toc83035663"/>
      <w:bookmarkEnd w:id="332"/>
      <w:bookmarkEnd w:id="333"/>
      <w:bookmarkEnd w:id="334"/>
      <w:bookmarkEnd w:id="335"/>
      <w:r w:rsidRPr="00FA4DC7">
        <w:rPr>
          <w:rFonts w:cs="Arial"/>
        </w:rPr>
        <w:t>Introduction</w:t>
      </w:r>
      <w:bookmarkEnd w:id="342"/>
    </w:p>
    <w:p w14:paraId="68CB6958" w14:textId="77777777" w:rsidR="00CE1BDB" w:rsidRPr="00FA4DC7" w:rsidRDefault="00CE1BDB" w:rsidP="00CE1BDB">
      <w:pPr>
        <w:pStyle w:val="Reporttext"/>
        <w:tabs>
          <w:tab w:val="clear" w:pos="2128"/>
          <w:tab w:val="num" w:pos="1419"/>
        </w:tabs>
        <w:jc w:val="both"/>
        <w:rPr>
          <w:rFonts w:cs="Arial"/>
        </w:rPr>
      </w:pPr>
      <w:r w:rsidRPr="00FA4DC7">
        <w:rPr>
          <w:rFonts w:cs="Arial"/>
        </w:rPr>
        <w:t>This chapter considers the future number of dwellings needed across the district. The report should be read in conjunction with the ‘Housing and Demographics’ report prepared by Edge Analytics (April 2021). This report considers:</w:t>
      </w:r>
    </w:p>
    <w:p w14:paraId="5E953DA4" w14:textId="77777777" w:rsidR="00CE1BDB" w:rsidRPr="00FA4DC7" w:rsidRDefault="00CE1BDB" w:rsidP="00A1398B">
      <w:pPr>
        <w:pStyle w:val="bullet"/>
      </w:pPr>
      <w:r w:rsidRPr="00FA4DC7">
        <w:t xml:space="preserve">the housing </w:t>
      </w:r>
      <w:proofErr w:type="gramStart"/>
      <w:r w:rsidRPr="00FA4DC7">
        <w:t>need</w:t>
      </w:r>
      <w:proofErr w:type="gramEnd"/>
      <w:r w:rsidRPr="00FA4DC7">
        <w:t xml:space="preserve"> standard method outcome based on December 2020 Planning Practice Guidance (PPG)</w:t>
      </w:r>
    </w:p>
    <w:p w14:paraId="1E6AB344" w14:textId="77777777" w:rsidR="00CE1BDB" w:rsidRPr="00FA4DC7" w:rsidRDefault="00CE1BDB" w:rsidP="00A1398B">
      <w:pPr>
        <w:pStyle w:val="bullet"/>
      </w:pPr>
      <w:r w:rsidRPr="00FA4DC7">
        <w:t xml:space="preserve">the underlying demographics of the borough, </w:t>
      </w:r>
      <w:proofErr w:type="gramStart"/>
      <w:r w:rsidRPr="00FA4DC7">
        <w:t>alternative  demographic</w:t>
      </w:r>
      <w:proofErr w:type="gramEnd"/>
      <w:r w:rsidRPr="00FA4DC7">
        <w:t xml:space="preserve"> scenarios, future economic scenarios and whether housing targets need to be adjusted to support economic growth. </w:t>
      </w:r>
    </w:p>
    <w:p w14:paraId="7E6C06C0"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The report considers the periods 2021-2037 and 2021-2040. </w:t>
      </w:r>
    </w:p>
    <w:p w14:paraId="27BB61E8" w14:textId="77777777" w:rsidR="00CE1BDB" w:rsidRPr="00FA4DC7" w:rsidRDefault="00CE1BDB" w:rsidP="00CE1BDB">
      <w:pPr>
        <w:pStyle w:val="Reporttext"/>
        <w:numPr>
          <w:ilvl w:val="0"/>
          <w:numId w:val="0"/>
        </w:numPr>
        <w:ind w:left="709"/>
        <w:rPr>
          <w:rFonts w:cs="Arial"/>
        </w:rPr>
      </w:pPr>
    </w:p>
    <w:p w14:paraId="5AA7CDDB" w14:textId="77777777" w:rsidR="00CE1BDB" w:rsidRPr="00FA4DC7" w:rsidRDefault="00CE1BDB" w:rsidP="00CE1BDB">
      <w:pPr>
        <w:pStyle w:val="Heading2"/>
        <w:rPr>
          <w:rFonts w:cs="Arial"/>
        </w:rPr>
      </w:pPr>
      <w:bookmarkStart w:id="343" w:name="_Toc83035664"/>
      <w:r w:rsidRPr="00FA4DC7">
        <w:rPr>
          <w:rFonts w:cs="Arial"/>
        </w:rPr>
        <w:t>Establishing housing need using the ‘standard method’</w:t>
      </w:r>
      <w:bookmarkEnd w:id="343"/>
    </w:p>
    <w:p w14:paraId="72913CD2" w14:textId="77777777" w:rsidR="00CE1BDB" w:rsidRPr="00FA4DC7" w:rsidRDefault="00CE1BDB" w:rsidP="00CE1BDB">
      <w:pPr>
        <w:pStyle w:val="Reporttext"/>
        <w:tabs>
          <w:tab w:val="clear" w:pos="2128"/>
          <w:tab w:val="num" w:pos="1419"/>
        </w:tabs>
        <w:jc w:val="both"/>
        <w:rPr>
          <w:rFonts w:cs="Arial"/>
        </w:rPr>
      </w:pPr>
      <w:r w:rsidRPr="00FA4DC7">
        <w:rPr>
          <w:rFonts w:cs="Arial"/>
        </w:rPr>
        <w:t>The 2021 National Planning Policy Framework (NPPF) (Paragraph 60) states ‘</w:t>
      </w:r>
      <w:r w:rsidRPr="00FA4DC7">
        <w:rPr>
          <w:rFonts w:cs="Arial"/>
          <w:i/>
          <w:iCs/>
        </w:rPr>
        <w:t xml:space="preserve">to determine the minimum number of homes needed, strategic policies should be informed by a local housing need assessment, conducted using the standard method in national planning guidance - unless exceptional circumstances justify an alternative approach which also reflects current and future demographic trends and market signals. In addition to the local housing figure, any needs that cannot be met within neighbouring areas should also be </w:t>
      </w:r>
      <w:proofErr w:type="gramStart"/>
      <w:r w:rsidRPr="00FA4DC7">
        <w:rPr>
          <w:rFonts w:cs="Arial"/>
          <w:i/>
          <w:iCs/>
        </w:rPr>
        <w:t>taken into account</w:t>
      </w:r>
      <w:proofErr w:type="gramEnd"/>
      <w:r w:rsidRPr="00FA4DC7">
        <w:rPr>
          <w:rFonts w:cs="Arial"/>
          <w:i/>
          <w:iCs/>
        </w:rPr>
        <w:t xml:space="preserve"> in establishing the amount of housing to be planned for’</w:t>
      </w:r>
      <w:r w:rsidRPr="00FA4DC7">
        <w:rPr>
          <w:rFonts w:cs="Arial"/>
        </w:rPr>
        <w:t xml:space="preserve">. </w:t>
      </w:r>
    </w:p>
    <w:p w14:paraId="48D74491" w14:textId="77777777" w:rsidR="00CE1BDB" w:rsidRPr="00FA4DC7" w:rsidRDefault="00CE1BDB" w:rsidP="00CE1BDB">
      <w:pPr>
        <w:pStyle w:val="Reporttext"/>
        <w:tabs>
          <w:tab w:val="clear" w:pos="2128"/>
          <w:tab w:val="num" w:pos="1419"/>
        </w:tabs>
        <w:jc w:val="both"/>
        <w:rPr>
          <w:rFonts w:cs="Arial"/>
        </w:rPr>
      </w:pPr>
      <w:r w:rsidRPr="00FA4DC7">
        <w:rPr>
          <w:rFonts w:cs="Arial"/>
        </w:rPr>
        <w:t>PPG defines housing need as ‘an unconstrained assessment of the number of homes needed in an area’</w:t>
      </w:r>
      <w:r w:rsidRPr="00FA4DC7">
        <w:rPr>
          <w:rStyle w:val="FootnoteReference"/>
          <w:rFonts w:cs="Arial"/>
        </w:rPr>
        <w:footnoteReference w:id="1"/>
      </w:r>
      <w:r w:rsidRPr="00FA4DC7">
        <w:rPr>
          <w:rFonts w:cs="Arial"/>
        </w:rPr>
        <w:t>.</w:t>
      </w:r>
    </w:p>
    <w:p w14:paraId="056E4752" w14:textId="77777777" w:rsidR="00CE1BDB" w:rsidRPr="00FA4DC7" w:rsidRDefault="00CE1BDB" w:rsidP="00CE1BDB">
      <w:pPr>
        <w:pStyle w:val="Reporttext"/>
        <w:jc w:val="both"/>
        <w:rPr>
          <w:rFonts w:cs="Arial"/>
        </w:rPr>
      </w:pPr>
      <w:r w:rsidRPr="00FA4DC7">
        <w:rPr>
          <w:rFonts w:cs="Arial"/>
        </w:rPr>
        <w:t>PPG comments that ‘the standard method uses a formula to identify the minimum number of homes expected to be planned for, in a way which addresses projected household growth and historic under-supply. It identifies a minimum annual housing need figure. It does not produce a housing requirement figure.</w:t>
      </w:r>
      <w:proofErr w:type="gramStart"/>
      <w:r w:rsidRPr="00FA4DC7">
        <w:rPr>
          <w:rFonts w:cs="Arial"/>
        </w:rPr>
        <w:t>’(</w:t>
      </w:r>
      <w:proofErr w:type="gramEnd"/>
      <w:r w:rsidRPr="00FA4DC7">
        <w:rPr>
          <w:rFonts w:cs="Arial"/>
          <w:szCs w:val="16"/>
        </w:rPr>
        <w:t xml:space="preserve">PPG </w:t>
      </w:r>
      <w:r w:rsidRPr="00FA4DC7">
        <w:rPr>
          <w:rFonts w:cs="Arial"/>
          <w:color w:val="0B0C0C"/>
          <w:szCs w:val="16"/>
          <w:shd w:val="clear" w:color="auto" w:fill="FFFFFF"/>
        </w:rPr>
        <w:t>Paragraph: 002 Reference ID: 2a-002-20190220)</w:t>
      </w:r>
    </w:p>
    <w:p w14:paraId="72B2C3B1" w14:textId="77777777" w:rsidR="00CE1BDB" w:rsidRPr="00FA4DC7" w:rsidRDefault="00CE1BDB" w:rsidP="00CE1BDB">
      <w:pPr>
        <w:pStyle w:val="Reporttext"/>
        <w:jc w:val="both"/>
        <w:rPr>
          <w:rFonts w:cs="Arial"/>
        </w:rPr>
      </w:pPr>
      <w:r w:rsidRPr="00FA4DC7">
        <w:rPr>
          <w:rFonts w:cs="Arial"/>
        </w:rPr>
        <w:t xml:space="preserve">In December 2020, Planning Practice Guidance updated the standard methodology for assessing overall housing need which </w:t>
      </w:r>
      <w:proofErr w:type="gramStart"/>
      <w:r w:rsidRPr="00FA4DC7">
        <w:rPr>
          <w:rFonts w:cs="Arial"/>
        </w:rPr>
        <w:t>involves:</w:t>
      </w:r>
      <w:proofErr w:type="gramEnd"/>
      <w:r w:rsidRPr="00FA4DC7">
        <w:rPr>
          <w:rFonts w:cs="Arial"/>
        </w:rPr>
        <w:t xml:space="preserve"> setting a baseline; adjusting for affordability; capping increases where necessary and applying uplifts in some urban areas; and considering if it is appropriate to plan for a higher housing need figure. </w:t>
      </w:r>
    </w:p>
    <w:p w14:paraId="4F0A5243" w14:textId="77777777" w:rsidR="00CE1BDB" w:rsidRPr="00FA4DC7" w:rsidRDefault="00CE1BDB" w:rsidP="00CE1BDB">
      <w:pPr>
        <w:pStyle w:val="Reporttext"/>
        <w:numPr>
          <w:ilvl w:val="0"/>
          <w:numId w:val="0"/>
        </w:numPr>
        <w:rPr>
          <w:rFonts w:cs="Arial"/>
          <w:highlight w:val="yellow"/>
        </w:rPr>
      </w:pPr>
    </w:p>
    <w:p w14:paraId="5A02C302" w14:textId="77777777" w:rsidR="00CE1BDB" w:rsidRPr="00FA4DC7" w:rsidRDefault="00CE1BDB" w:rsidP="00CE1BDB">
      <w:pPr>
        <w:pStyle w:val="Heading2"/>
        <w:rPr>
          <w:rFonts w:cs="Arial"/>
        </w:rPr>
      </w:pPr>
      <w:bookmarkStart w:id="344" w:name="_Toc63760476"/>
      <w:bookmarkStart w:id="345" w:name="_Toc83035665"/>
      <w:r w:rsidRPr="00FA4DC7">
        <w:rPr>
          <w:rFonts w:cs="Arial"/>
        </w:rPr>
        <w:t>Step 1: Setting the baseline</w:t>
      </w:r>
      <w:bookmarkEnd w:id="344"/>
      <w:bookmarkEnd w:id="345"/>
    </w:p>
    <w:p w14:paraId="3700086E" w14:textId="77777777" w:rsidR="00CE1BDB" w:rsidRPr="00FA4DC7" w:rsidRDefault="00CE1BDB" w:rsidP="00CE1BDB">
      <w:pPr>
        <w:pStyle w:val="Reporttext"/>
        <w:jc w:val="both"/>
        <w:rPr>
          <w:rFonts w:cs="Arial"/>
        </w:rPr>
      </w:pPr>
      <w:r w:rsidRPr="00FA4DC7">
        <w:rPr>
          <w:rFonts w:cs="Arial"/>
        </w:rPr>
        <w:t xml:space="preserve">Planning Practice Guidance states that a baseline should be set using 2014-based national household projections for the local authority area. The projections are </w:t>
      </w:r>
      <w:proofErr w:type="gramStart"/>
      <w:r w:rsidRPr="00FA4DC7">
        <w:rPr>
          <w:rFonts w:cs="Arial"/>
        </w:rPr>
        <w:t>used  to</w:t>
      </w:r>
      <w:proofErr w:type="gramEnd"/>
      <w:r w:rsidRPr="00FA4DC7">
        <w:rPr>
          <w:rFonts w:cs="Arial"/>
        </w:rPr>
        <w:t xml:space="preserve"> calculate the average annual household growth over a 10-year consecutive period. (PPG Paragraph </w:t>
      </w:r>
      <w:r w:rsidRPr="00FA4DC7">
        <w:rPr>
          <w:rFonts w:cs="Arial"/>
          <w:color w:val="0B0C0C"/>
          <w:shd w:val="clear" w:color="auto" w:fill="FFFFFF"/>
        </w:rPr>
        <w:t>004 Reference ID: 2a-004-20201216)</w:t>
      </w:r>
    </w:p>
    <w:p w14:paraId="17504299" w14:textId="77777777" w:rsidR="00CE1BDB" w:rsidRPr="00FA4DC7" w:rsidRDefault="00CE1BDB" w:rsidP="00CE1BDB">
      <w:pPr>
        <w:pStyle w:val="Reporttext"/>
        <w:jc w:val="both"/>
        <w:rPr>
          <w:rFonts w:cs="Arial"/>
        </w:rPr>
      </w:pPr>
      <w:r w:rsidRPr="00FA4DC7">
        <w:rPr>
          <w:rFonts w:cs="Arial"/>
        </w:rPr>
        <w:lastRenderedPageBreak/>
        <w:t xml:space="preserve">As 2021 is the first year of the plan period, the period 2021 to 2031 has been chosen to set the baseline for this LHNA. Over the period, the total number of households under the 2014-based household projections is set to increase by 12,967 or 1,297 each year (Table 4.1). </w:t>
      </w:r>
    </w:p>
    <w:p w14:paraId="7D17AADD" w14:textId="77777777" w:rsidR="00CE1BDB" w:rsidRPr="00FA4DC7" w:rsidRDefault="00CE1BDB" w:rsidP="00CE1BDB">
      <w:pPr>
        <w:pStyle w:val="Reporttext"/>
        <w:numPr>
          <w:ilvl w:val="0"/>
          <w:numId w:val="0"/>
        </w:numPr>
        <w:ind w:left="709"/>
        <w:rPr>
          <w:rFonts w:cs="Arial"/>
        </w:rPr>
      </w:pPr>
    </w:p>
    <w:tbl>
      <w:tblPr>
        <w:tblStyle w:val="TableGrid"/>
        <w:tblW w:w="5000" w:type="pct"/>
        <w:jc w:val="center"/>
        <w:tblLook w:val="04A0" w:firstRow="1" w:lastRow="0" w:firstColumn="1" w:lastColumn="0" w:noHBand="0" w:noVBand="1"/>
      </w:tblPr>
      <w:tblGrid>
        <w:gridCol w:w="2122"/>
        <w:gridCol w:w="1842"/>
        <w:gridCol w:w="1810"/>
        <w:gridCol w:w="1733"/>
        <w:gridCol w:w="1673"/>
      </w:tblGrid>
      <w:tr w:rsidR="00CE1BDB" w:rsidRPr="00FA4DC7" w14:paraId="5A11A5A8" w14:textId="77777777" w:rsidTr="00A1398B">
        <w:trPr>
          <w:jc w:val="center"/>
        </w:trPr>
        <w:tc>
          <w:tcPr>
            <w:tcW w:w="5000" w:type="pct"/>
            <w:gridSpan w:val="5"/>
            <w:shd w:val="clear" w:color="auto" w:fill="006666"/>
            <w:vAlign w:val="center"/>
          </w:tcPr>
          <w:p w14:paraId="1002E4D6" w14:textId="77777777" w:rsidR="00CE1BDB" w:rsidRPr="00FA4DC7" w:rsidRDefault="00CE1BDB" w:rsidP="00EF49A7">
            <w:pPr>
              <w:pStyle w:val="Tableheading1"/>
              <w:rPr>
                <w:rFonts w:cs="Arial"/>
              </w:rPr>
            </w:pPr>
            <w:bookmarkStart w:id="346" w:name="_Toc61248954"/>
            <w:bookmarkStart w:id="347" w:name="_Toc63760482"/>
            <w:bookmarkStart w:id="348" w:name="_Toc83036098"/>
            <w:r w:rsidRPr="00FA4DC7">
              <w:rPr>
                <w:rFonts w:cs="Arial"/>
              </w:rPr>
              <w:t>Table 4.1</w:t>
            </w:r>
            <w:r w:rsidRPr="00FA4DC7">
              <w:rPr>
                <w:rFonts w:cs="Arial"/>
              </w:rPr>
              <w:tab/>
              <w:t>Household change under 2014-based household projections</w:t>
            </w:r>
            <w:bookmarkEnd w:id="346"/>
            <w:bookmarkEnd w:id="347"/>
            <w:bookmarkEnd w:id="348"/>
          </w:p>
        </w:tc>
      </w:tr>
      <w:tr w:rsidR="00CE1BDB" w:rsidRPr="00FA4DC7" w14:paraId="34FE4EC6" w14:textId="77777777" w:rsidTr="00A1398B">
        <w:trPr>
          <w:jc w:val="center"/>
        </w:trPr>
        <w:tc>
          <w:tcPr>
            <w:tcW w:w="1156" w:type="pct"/>
            <w:shd w:val="clear" w:color="auto" w:fill="006666"/>
            <w:vAlign w:val="bottom"/>
          </w:tcPr>
          <w:p w14:paraId="720CF58B" w14:textId="77777777" w:rsidR="00CE1BDB" w:rsidRPr="00FA4DC7" w:rsidRDefault="00CE1BDB" w:rsidP="00EF49A7">
            <w:pPr>
              <w:pStyle w:val="Reporttext"/>
              <w:numPr>
                <w:ilvl w:val="0"/>
                <w:numId w:val="0"/>
              </w:numPr>
              <w:spacing w:before="0" w:after="0"/>
              <w:rPr>
                <w:rFonts w:cs="Arial"/>
                <w:b/>
                <w:color w:val="FFFFFF" w:themeColor="background1"/>
                <w:sz w:val="22"/>
                <w:szCs w:val="22"/>
              </w:rPr>
            </w:pPr>
            <w:r w:rsidRPr="00FA4DC7">
              <w:rPr>
                <w:rFonts w:cs="Arial"/>
                <w:b/>
                <w:color w:val="FFFFFF" w:themeColor="background1"/>
                <w:sz w:val="22"/>
                <w:szCs w:val="22"/>
              </w:rPr>
              <w:t>Projection</w:t>
            </w:r>
          </w:p>
        </w:tc>
        <w:tc>
          <w:tcPr>
            <w:tcW w:w="1003" w:type="pct"/>
            <w:shd w:val="clear" w:color="auto" w:fill="006666"/>
            <w:vAlign w:val="bottom"/>
          </w:tcPr>
          <w:p w14:paraId="7634DBB1"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2021</w:t>
            </w:r>
          </w:p>
          <w:p w14:paraId="64DCFB6D"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households</w:t>
            </w:r>
          </w:p>
        </w:tc>
        <w:tc>
          <w:tcPr>
            <w:tcW w:w="986" w:type="pct"/>
            <w:shd w:val="clear" w:color="auto" w:fill="006666"/>
            <w:vAlign w:val="bottom"/>
          </w:tcPr>
          <w:p w14:paraId="0CA6749E"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2031</w:t>
            </w:r>
          </w:p>
          <w:p w14:paraId="68D49A14"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households</w:t>
            </w:r>
          </w:p>
        </w:tc>
        <w:tc>
          <w:tcPr>
            <w:tcW w:w="944" w:type="pct"/>
            <w:shd w:val="clear" w:color="auto" w:fill="006666"/>
            <w:vAlign w:val="bottom"/>
          </w:tcPr>
          <w:p w14:paraId="3F27D273"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2021-31</w:t>
            </w:r>
          </w:p>
          <w:p w14:paraId="75C14FCE"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household change</w:t>
            </w:r>
          </w:p>
        </w:tc>
        <w:tc>
          <w:tcPr>
            <w:tcW w:w="911" w:type="pct"/>
            <w:shd w:val="clear" w:color="auto" w:fill="006666"/>
            <w:vAlign w:val="bottom"/>
          </w:tcPr>
          <w:p w14:paraId="141F7D5C"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Annual</w:t>
            </w:r>
          </w:p>
          <w:p w14:paraId="1718FF14" w14:textId="77777777" w:rsidR="00CE1BDB" w:rsidRPr="00FA4DC7" w:rsidRDefault="00CE1BDB" w:rsidP="00EF49A7">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Change</w:t>
            </w:r>
          </w:p>
        </w:tc>
      </w:tr>
      <w:tr w:rsidR="00CE1BDB" w:rsidRPr="00FA4DC7" w14:paraId="3B85B92D" w14:textId="77777777" w:rsidTr="00A1398B">
        <w:trPr>
          <w:jc w:val="center"/>
        </w:trPr>
        <w:tc>
          <w:tcPr>
            <w:tcW w:w="1156" w:type="pct"/>
            <w:vAlign w:val="center"/>
          </w:tcPr>
          <w:p w14:paraId="1B20D7BA"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DCLG 2014-based</w:t>
            </w:r>
          </w:p>
        </w:tc>
        <w:tc>
          <w:tcPr>
            <w:tcW w:w="1003" w:type="pct"/>
            <w:vAlign w:val="center"/>
          </w:tcPr>
          <w:p w14:paraId="5600AD39" w14:textId="77777777" w:rsidR="00CE1BDB" w:rsidRPr="00FA4DC7" w:rsidRDefault="00CE1BDB" w:rsidP="00EF49A7">
            <w:pPr>
              <w:jc w:val="right"/>
              <w:rPr>
                <w:rFonts w:cs="Arial"/>
                <w:bCs/>
                <w:color w:val="000000"/>
                <w:sz w:val="22"/>
                <w:szCs w:val="22"/>
              </w:rPr>
            </w:pPr>
            <w:r w:rsidRPr="00FA4DC7">
              <w:rPr>
                <w:rFonts w:cs="Arial"/>
                <w:bCs/>
                <w:color w:val="000000"/>
                <w:sz w:val="22"/>
                <w:szCs w:val="22"/>
              </w:rPr>
              <w:t>121,122</w:t>
            </w:r>
          </w:p>
        </w:tc>
        <w:tc>
          <w:tcPr>
            <w:tcW w:w="986" w:type="pct"/>
            <w:vAlign w:val="center"/>
          </w:tcPr>
          <w:p w14:paraId="73023573" w14:textId="77777777" w:rsidR="00CE1BDB" w:rsidRPr="00FA4DC7" w:rsidRDefault="00CE1BDB" w:rsidP="00EF49A7">
            <w:pPr>
              <w:jc w:val="right"/>
              <w:rPr>
                <w:rFonts w:cs="Arial"/>
                <w:sz w:val="22"/>
                <w:szCs w:val="22"/>
              </w:rPr>
            </w:pPr>
            <w:r w:rsidRPr="00FA4DC7">
              <w:rPr>
                <w:rFonts w:cs="Arial"/>
                <w:sz w:val="22"/>
                <w:szCs w:val="22"/>
              </w:rPr>
              <w:t>134,089</w:t>
            </w:r>
          </w:p>
        </w:tc>
        <w:tc>
          <w:tcPr>
            <w:tcW w:w="944" w:type="pct"/>
            <w:vAlign w:val="center"/>
          </w:tcPr>
          <w:p w14:paraId="36C98380" w14:textId="77777777" w:rsidR="00CE1BDB" w:rsidRPr="00FA4DC7" w:rsidRDefault="00CE1BDB" w:rsidP="00EF49A7">
            <w:pPr>
              <w:jc w:val="right"/>
              <w:rPr>
                <w:rFonts w:cs="Arial"/>
                <w:sz w:val="22"/>
                <w:szCs w:val="22"/>
              </w:rPr>
            </w:pPr>
            <w:r w:rsidRPr="00FA4DC7">
              <w:rPr>
                <w:rFonts w:cs="Arial"/>
                <w:sz w:val="22"/>
                <w:szCs w:val="22"/>
              </w:rPr>
              <w:t>12,967</w:t>
            </w:r>
          </w:p>
        </w:tc>
        <w:tc>
          <w:tcPr>
            <w:tcW w:w="911" w:type="pct"/>
            <w:vAlign w:val="center"/>
          </w:tcPr>
          <w:p w14:paraId="6BC68FC0" w14:textId="77777777" w:rsidR="00CE1BDB" w:rsidRPr="00FA4DC7" w:rsidRDefault="00CE1BDB" w:rsidP="00EF49A7">
            <w:pPr>
              <w:jc w:val="right"/>
              <w:rPr>
                <w:rFonts w:cs="Arial"/>
                <w:sz w:val="22"/>
                <w:szCs w:val="22"/>
              </w:rPr>
            </w:pPr>
            <w:r w:rsidRPr="00FA4DC7">
              <w:rPr>
                <w:rFonts w:cs="Arial"/>
                <w:sz w:val="22"/>
                <w:szCs w:val="22"/>
              </w:rPr>
              <w:t>1,297</w:t>
            </w:r>
          </w:p>
        </w:tc>
      </w:tr>
    </w:tbl>
    <w:p w14:paraId="141DDA14" w14:textId="77777777" w:rsidR="00CE1BDB" w:rsidRPr="00FA4DC7" w:rsidRDefault="00CE1BDB" w:rsidP="00CE1BDB">
      <w:pPr>
        <w:pStyle w:val="Reporttext"/>
        <w:numPr>
          <w:ilvl w:val="0"/>
          <w:numId w:val="0"/>
        </w:numPr>
        <w:rPr>
          <w:rFonts w:cs="Arial"/>
          <w:highlight w:val="yellow"/>
        </w:rPr>
      </w:pPr>
    </w:p>
    <w:p w14:paraId="5843E5DD" w14:textId="77777777" w:rsidR="00CE1BDB" w:rsidRPr="00FA4DC7" w:rsidRDefault="00CE1BDB" w:rsidP="00CE1BDB">
      <w:pPr>
        <w:pStyle w:val="Heading2"/>
        <w:rPr>
          <w:rFonts w:cs="Arial"/>
        </w:rPr>
      </w:pPr>
      <w:bookmarkStart w:id="349" w:name="_Toc63760477"/>
      <w:bookmarkStart w:id="350" w:name="_Toc83035666"/>
      <w:r w:rsidRPr="00FA4DC7">
        <w:rPr>
          <w:rFonts w:cs="Arial"/>
        </w:rPr>
        <w:t>Step 2: An adjustment to take account of affordability</w:t>
      </w:r>
      <w:bookmarkEnd w:id="349"/>
      <w:bookmarkEnd w:id="350"/>
    </w:p>
    <w:p w14:paraId="3FD63CC1" w14:textId="77777777" w:rsidR="00CE1BDB" w:rsidRPr="00FA4DC7" w:rsidRDefault="00CE1BDB" w:rsidP="00CE1BDB">
      <w:pPr>
        <w:pStyle w:val="Reporttext"/>
        <w:jc w:val="both"/>
        <w:rPr>
          <w:rFonts w:cs="Arial"/>
        </w:rPr>
      </w:pPr>
      <w:r w:rsidRPr="00FA4DC7">
        <w:rPr>
          <w:rFonts w:cs="Arial"/>
        </w:rPr>
        <w:t xml:space="preserve">The average annual projected household figure from Step 1 is the adjusted based on the affordability of the area using median workplace-based affordability ratios published by the ONS. </w:t>
      </w:r>
    </w:p>
    <w:p w14:paraId="18E5A06B" w14:textId="77777777" w:rsidR="00CE1BDB" w:rsidRPr="00FA4DC7" w:rsidRDefault="00CE1BDB" w:rsidP="00CE1BDB">
      <w:pPr>
        <w:pStyle w:val="Reporttext"/>
        <w:numPr>
          <w:ilvl w:val="0"/>
          <w:numId w:val="0"/>
        </w:numPr>
        <w:rPr>
          <w:rFonts w:cs="Arial"/>
          <w:sz w:val="8"/>
        </w:rPr>
      </w:pPr>
    </w:p>
    <w:p w14:paraId="3C47D65A" w14:textId="77777777" w:rsidR="00CE1BDB" w:rsidRPr="00FA4DC7" w:rsidRDefault="00CE1BDB" w:rsidP="00CE1BDB">
      <w:pPr>
        <w:pStyle w:val="Reporttext"/>
        <w:numPr>
          <w:ilvl w:val="0"/>
          <w:numId w:val="0"/>
        </w:numPr>
        <w:ind w:left="1134"/>
        <w:rPr>
          <w:rFonts w:cs="Arial"/>
          <w:b/>
        </w:rPr>
      </w:pPr>
      <w:r w:rsidRPr="00FA4DC7">
        <w:rPr>
          <w:rFonts w:cs="Arial"/>
          <w:b/>
        </w:rPr>
        <w:t>Adjustment factor = 1 + ((Local Affordability Ratio – 4)/</w:t>
      </w:r>
      <w:proofErr w:type="gramStart"/>
      <w:r w:rsidRPr="00FA4DC7">
        <w:rPr>
          <w:rFonts w:cs="Arial"/>
          <w:b/>
        </w:rPr>
        <w:t>4)*</w:t>
      </w:r>
      <w:proofErr w:type="gramEnd"/>
      <w:r w:rsidRPr="00FA4DC7">
        <w:rPr>
          <w:rFonts w:cs="Arial"/>
          <w:b/>
        </w:rPr>
        <w:t>0.25</w:t>
      </w:r>
    </w:p>
    <w:p w14:paraId="2AF71E5A" w14:textId="77777777" w:rsidR="00CE1BDB" w:rsidRPr="00FA4DC7" w:rsidRDefault="00CE1BDB" w:rsidP="00CE1BDB">
      <w:pPr>
        <w:pStyle w:val="Reporttext"/>
        <w:numPr>
          <w:ilvl w:val="0"/>
          <w:numId w:val="0"/>
        </w:numPr>
        <w:ind w:left="1134"/>
        <w:rPr>
          <w:rFonts w:cs="Arial"/>
          <w:sz w:val="8"/>
        </w:rPr>
      </w:pPr>
    </w:p>
    <w:p w14:paraId="65542C7F" w14:textId="77777777" w:rsidR="00CE1BDB" w:rsidRPr="00FA4DC7" w:rsidRDefault="00CE1BDB" w:rsidP="00CE1BDB">
      <w:pPr>
        <w:pStyle w:val="Reporttext"/>
        <w:jc w:val="both"/>
        <w:rPr>
          <w:rFonts w:cs="Arial"/>
        </w:rPr>
      </w:pPr>
      <w:r w:rsidRPr="00FA4DC7">
        <w:rPr>
          <w:rFonts w:cs="Arial"/>
        </w:rPr>
        <w:t xml:space="preserve">The latest affordability ratio (2020) and associated affordability uplift is set out in Table 4.2. </w:t>
      </w:r>
    </w:p>
    <w:p w14:paraId="693C011D" w14:textId="77777777" w:rsidR="00CE1BDB" w:rsidRPr="00FA4DC7" w:rsidRDefault="00CE1BDB" w:rsidP="00CE1BDB">
      <w:pPr>
        <w:pStyle w:val="Reporttext"/>
        <w:numPr>
          <w:ilvl w:val="0"/>
          <w:numId w:val="0"/>
        </w:numPr>
        <w:rPr>
          <w:rFonts w:cs="Arial"/>
        </w:rPr>
      </w:pPr>
    </w:p>
    <w:tbl>
      <w:tblPr>
        <w:tblStyle w:val="TableGrid"/>
        <w:tblW w:w="0" w:type="auto"/>
        <w:tblInd w:w="607" w:type="dxa"/>
        <w:tblLook w:val="04A0" w:firstRow="1" w:lastRow="0" w:firstColumn="1" w:lastColumn="0" w:noHBand="0" w:noVBand="1"/>
      </w:tblPr>
      <w:tblGrid>
        <w:gridCol w:w="1089"/>
        <w:gridCol w:w="2694"/>
        <w:gridCol w:w="2268"/>
      </w:tblGrid>
      <w:tr w:rsidR="00CE1BDB" w:rsidRPr="00FA4DC7" w14:paraId="2F3D66E3" w14:textId="77777777" w:rsidTr="00A1398B">
        <w:tc>
          <w:tcPr>
            <w:tcW w:w="6051" w:type="dxa"/>
            <w:gridSpan w:val="3"/>
            <w:shd w:val="clear" w:color="auto" w:fill="006666"/>
            <w:vAlign w:val="bottom"/>
          </w:tcPr>
          <w:p w14:paraId="3E03B4D7" w14:textId="77777777" w:rsidR="00CE1BDB" w:rsidRPr="00FA4DC7" w:rsidRDefault="00CE1BDB" w:rsidP="00A1398B">
            <w:pPr>
              <w:pStyle w:val="Tableheading1"/>
              <w:rPr>
                <w:szCs w:val="22"/>
              </w:rPr>
            </w:pPr>
            <w:bookmarkStart w:id="351" w:name="_Toc63760483"/>
            <w:bookmarkStart w:id="352" w:name="_Toc83036099"/>
            <w:r w:rsidRPr="00FA4DC7">
              <w:t>Table 4.2</w:t>
            </w:r>
            <w:r w:rsidRPr="00FA4DC7">
              <w:tab/>
              <w:t>Affordability ratios and affordability uplift</w:t>
            </w:r>
            <w:bookmarkEnd w:id="351"/>
            <w:bookmarkEnd w:id="352"/>
          </w:p>
        </w:tc>
      </w:tr>
      <w:tr w:rsidR="00CE1BDB" w:rsidRPr="00FA4DC7" w14:paraId="1EECDE2D" w14:textId="77777777" w:rsidTr="00A1398B">
        <w:tc>
          <w:tcPr>
            <w:tcW w:w="1089" w:type="dxa"/>
            <w:shd w:val="clear" w:color="auto" w:fill="006666"/>
            <w:vAlign w:val="bottom"/>
          </w:tcPr>
          <w:p w14:paraId="61A0D094" w14:textId="77777777" w:rsidR="00CE1BDB" w:rsidRPr="00FA4DC7" w:rsidRDefault="00CE1BDB" w:rsidP="00A1398B">
            <w:pPr>
              <w:pStyle w:val="Reporttext"/>
              <w:numPr>
                <w:ilvl w:val="0"/>
                <w:numId w:val="0"/>
              </w:numPr>
              <w:spacing w:before="0" w:after="0"/>
              <w:rPr>
                <w:rFonts w:cs="Arial"/>
                <w:b/>
                <w:color w:val="FFFFFF" w:themeColor="background1"/>
                <w:sz w:val="22"/>
                <w:szCs w:val="22"/>
              </w:rPr>
            </w:pPr>
            <w:r w:rsidRPr="00FA4DC7">
              <w:rPr>
                <w:rFonts w:cs="Arial"/>
                <w:b/>
                <w:color w:val="FFFFFF" w:themeColor="background1"/>
                <w:sz w:val="22"/>
                <w:szCs w:val="22"/>
              </w:rPr>
              <w:t>Year</w:t>
            </w:r>
          </w:p>
        </w:tc>
        <w:tc>
          <w:tcPr>
            <w:tcW w:w="2694" w:type="dxa"/>
            <w:shd w:val="clear" w:color="auto" w:fill="006666"/>
            <w:vAlign w:val="bottom"/>
          </w:tcPr>
          <w:p w14:paraId="716EADDB" w14:textId="77777777" w:rsidR="00CE1BDB" w:rsidRPr="00FA4DC7" w:rsidRDefault="00CE1BDB" w:rsidP="00A1398B">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Median price to income affordability ratio</w:t>
            </w:r>
          </w:p>
        </w:tc>
        <w:tc>
          <w:tcPr>
            <w:tcW w:w="2268" w:type="dxa"/>
            <w:shd w:val="clear" w:color="auto" w:fill="006666"/>
            <w:vAlign w:val="bottom"/>
          </w:tcPr>
          <w:p w14:paraId="3E10A092" w14:textId="77777777" w:rsidR="00CE1BDB" w:rsidRPr="00FA4DC7" w:rsidRDefault="00CE1BDB" w:rsidP="00A1398B">
            <w:pPr>
              <w:pStyle w:val="Reporttext"/>
              <w:numPr>
                <w:ilvl w:val="0"/>
                <w:numId w:val="0"/>
              </w:numPr>
              <w:spacing w:before="0" w:after="0"/>
              <w:jc w:val="center"/>
              <w:rPr>
                <w:rFonts w:cs="Arial"/>
                <w:b/>
                <w:color w:val="FFFFFF" w:themeColor="background1"/>
                <w:sz w:val="22"/>
                <w:szCs w:val="22"/>
              </w:rPr>
            </w:pPr>
            <w:r w:rsidRPr="00FA4DC7">
              <w:rPr>
                <w:rFonts w:cs="Arial"/>
                <w:b/>
                <w:color w:val="FFFFFF" w:themeColor="background1"/>
                <w:sz w:val="22"/>
                <w:szCs w:val="22"/>
              </w:rPr>
              <w:t>Adjustment factor*</w:t>
            </w:r>
          </w:p>
        </w:tc>
      </w:tr>
      <w:tr w:rsidR="00CE1BDB" w:rsidRPr="00FA4DC7" w14:paraId="34089943" w14:textId="77777777" w:rsidTr="00A1398B">
        <w:tc>
          <w:tcPr>
            <w:tcW w:w="1089" w:type="dxa"/>
            <w:vAlign w:val="center"/>
          </w:tcPr>
          <w:p w14:paraId="001435B9" w14:textId="77777777" w:rsidR="00CE1BDB" w:rsidRPr="00FA4DC7" w:rsidRDefault="00CE1BDB" w:rsidP="00EF49A7">
            <w:pPr>
              <w:pStyle w:val="Reporttext"/>
              <w:numPr>
                <w:ilvl w:val="1"/>
                <w:numId w:val="0"/>
              </w:numPr>
              <w:rPr>
                <w:rFonts w:cs="Arial"/>
                <w:sz w:val="22"/>
                <w:szCs w:val="22"/>
              </w:rPr>
            </w:pPr>
            <w:r w:rsidRPr="00FA4DC7">
              <w:rPr>
                <w:rFonts w:cs="Arial"/>
                <w:sz w:val="22"/>
                <w:szCs w:val="22"/>
              </w:rPr>
              <w:t>2020</w:t>
            </w:r>
          </w:p>
        </w:tc>
        <w:tc>
          <w:tcPr>
            <w:tcW w:w="2694" w:type="dxa"/>
            <w:vAlign w:val="center"/>
          </w:tcPr>
          <w:p w14:paraId="225DB7BA" w14:textId="77777777" w:rsidR="00CE1BDB" w:rsidRPr="00FA4DC7" w:rsidRDefault="00CE1BDB" w:rsidP="00EF49A7">
            <w:pPr>
              <w:jc w:val="right"/>
              <w:rPr>
                <w:rFonts w:cs="Arial"/>
                <w:b/>
                <w:bCs/>
                <w:color w:val="000000"/>
                <w:sz w:val="22"/>
                <w:szCs w:val="22"/>
              </w:rPr>
            </w:pPr>
            <w:r w:rsidRPr="00FA4DC7">
              <w:rPr>
                <w:rFonts w:cs="Arial"/>
                <w:b/>
                <w:bCs/>
                <w:color w:val="000000"/>
                <w:sz w:val="22"/>
                <w:szCs w:val="22"/>
              </w:rPr>
              <w:t>7.57</w:t>
            </w:r>
          </w:p>
        </w:tc>
        <w:tc>
          <w:tcPr>
            <w:tcW w:w="2268" w:type="dxa"/>
            <w:vAlign w:val="center"/>
          </w:tcPr>
          <w:p w14:paraId="005E12EC" w14:textId="77777777" w:rsidR="00CE1BDB" w:rsidRPr="00FA4DC7" w:rsidRDefault="00CE1BDB" w:rsidP="00EF49A7">
            <w:pPr>
              <w:jc w:val="right"/>
              <w:rPr>
                <w:rFonts w:cs="Arial"/>
                <w:sz w:val="22"/>
                <w:szCs w:val="22"/>
              </w:rPr>
            </w:pPr>
            <w:r w:rsidRPr="00FA4DC7">
              <w:rPr>
                <w:rFonts w:cs="Arial"/>
                <w:sz w:val="22"/>
                <w:szCs w:val="22"/>
              </w:rPr>
              <w:t>1.223</w:t>
            </w:r>
          </w:p>
        </w:tc>
      </w:tr>
    </w:tbl>
    <w:p w14:paraId="48EC7BA7" w14:textId="77777777" w:rsidR="00CE1BDB" w:rsidRPr="00FA4DC7" w:rsidRDefault="00CE1BDB" w:rsidP="00CE1BDB">
      <w:pPr>
        <w:pStyle w:val="Reporttext"/>
        <w:numPr>
          <w:ilvl w:val="0"/>
          <w:numId w:val="0"/>
        </w:numPr>
        <w:ind w:left="1418" w:hanging="709"/>
        <w:rPr>
          <w:rFonts w:cs="Arial"/>
          <w:sz w:val="20"/>
          <w:szCs w:val="20"/>
        </w:rPr>
      </w:pPr>
      <w:r w:rsidRPr="00FA4DC7">
        <w:rPr>
          <w:rFonts w:cs="Arial"/>
          <w:sz w:val="20"/>
          <w:szCs w:val="20"/>
        </w:rPr>
        <w:t>* Adjustment factor is 1 + ((Local Affordability Ratio – 4)/</w:t>
      </w:r>
      <w:proofErr w:type="gramStart"/>
      <w:r w:rsidRPr="00FA4DC7">
        <w:rPr>
          <w:rFonts w:cs="Arial"/>
          <w:sz w:val="20"/>
          <w:szCs w:val="20"/>
        </w:rPr>
        <w:t>4)*</w:t>
      </w:r>
      <w:proofErr w:type="gramEnd"/>
      <w:r w:rsidRPr="00FA4DC7">
        <w:rPr>
          <w:rFonts w:cs="Arial"/>
          <w:sz w:val="20"/>
          <w:szCs w:val="20"/>
        </w:rPr>
        <w:t>0.25</w:t>
      </w:r>
    </w:p>
    <w:p w14:paraId="33509581" w14:textId="77777777" w:rsidR="00CE1BDB" w:rsidRPr="00FA4DC7" w:rsidRDefault="00CE1BDB" w:rsidP="00CE1BDB">
      <w:pPr>
        <w:pStyle w:val="Reporttext"/>
        <w:numPr>
          <w:ilvl w:val="0"/>
          <w:numId w:val="0"/>
        </w:numPr>
        <w:ind w:left="1418" w:hanging="709"/>
        <w:rPr>
          <w:rFonts w:cs="Arial"/>
          <w:sz w:val="20"/>
          <w:szCs w:val="20"/>
        </w:rPr>
      </w:pPr>
      <w:r w:rsidRPr="00FA4DC7">
        <w:rPr>
          <w:rFonts w:cs="Arial"/>
          <w:sz w:val="20"/>
          <w:szCs w:val="20"/>
        </w:rPr>
        <w:t xml:space="preserve">Source: ONS Ratio of house price to workplace-based earnings </w:t>
      </w:r>
    </w:p>
    <w:p w14:paraId="3584358E" w14:textId="77777777" w:rsidR="00CE1BDB" w:rsidRPr="00FA4DC7" w:rsidRDefault="00CE1BDB" w:rsidP="00CE1BDB">
      <w:pPr>
        <w:pStyle w:val="Reporttext"/>
        <w:numPr>
          <w:ilvl w:val="0"/>
          <w:numId w:val="0"/>
        </w:numPr>
        <w:rPr>
          <w:rFonts w:cs="Arial"/>
          <w:highlight w:val="yellow"/>
        </w:rPr>
      </w:pPr>
    </w:p>
    <w:p w14:paraId="2C074B33"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The reason for the affordability adjustment is set out in PPG: </w:t>
      </w:r>
    </w:p>
    <w:p w14:paraId="2EDCA95D" w14:textId="77777777" w:rsidR="00CE1BDB" w:rsidRPr="00FA4DC7" w:rsidRDefault="00CE1BDB" w:rsidP="00CE1BDB">
      <w:pPr>
        <w:shd w:val="clear" w:color="auto" w:fill="FFFFFF"/>
        <w:ind w:left="709"/>
        <w:rPr>
          <w:rFonts w:cs="Arial"/>
          <w:i/>
          <w:color w:val="0B0C0C"/>
        </w:rPr>
      </w:pPr>
      <w:r w:rsidRPr="00FA4DC7">
        <w:rPr>
          <w:rFonts w:cs="Arial"/>
          <w:i/>
          <w:color w:val="0B0C0C"/>
        </w:rPr>
        <w:t>‘An affordability adjustment is applied as household growth on its own is insufficient as an indicator of housing demand because:</w:t>
      </w:r>
    </w:p>
    <w:p w14:paraId="625A1359" w14:textId="77777777" w:rsidR="00CE1BDB" w:rsidRPr="00FA4DC7" w:rsidRDefault="00CE1BDB" w:rsidP="00CE1BDB">
      <w:pPr>
        <w:pStyle w:val="ListParagraph"/>
        <w:numPr>
          <w:ilvl w:val="0"/>
          <w:numId w:val="43"/>
        </w:numPr>
        <w:shd w:val="clear" w:color="auto" w:fill="FFFFFF"/>
        <w:jc w:val="left"/>
        <w:rPr>
          <w:rFonts w:ascii="Arial" w:hAnsi="Arial" w:cs="Arial"/>
          <w:i/>
          <w:color w:val="0B0C0C"/>
        </w:rPr>
      </w:pPr>
      <w:r w:rsidRPr="00FA4DC7">
        <w:rPr>
          <w:rFonts w:ascii="Arial" w:hAnsi="Arial" w:cs="Arial"/>
          <w:i/>
          <w:color w:val="0B0C0C"/>
        </w:rPr>
        <w:t>household formation is constrained to the supply of available properties – new households cannot form if there is nowhere for them to live; and</w:t>
      </w:r>
    </w:p>
    <w:p w14:paraId="34A530DF" w14:textId="77777777" w:rsidR="00CE1BDB" w:rsidRPr="00FA4DC7" w:rsidRDefault="00CE1BDB" w:rsidP="00CE1BDB">
      <w:pPr>
        <w:pStyle w:val="ListParagraph"/>
        <w:numPr>
          <w:ilvl w:val="0"/>
          <w:numId w:val="43"/>
        </w:numPr>
        <w:shd w:val="clear" w:color="auto" w:fill="FFFFFF"/>
        <w:jc w:val="left"/>
        <w:rPr>
          <w:rFonts w:ascii="Arial" w:hAnsi="Arial" w:cs="Arial"/>
          <w:i/>
          <w:color w:val="0B0C0C"/>
        </w:rPr>
      </w:pPr>
      <w:r w:rsidRPr="00FA4DC7">
        <w:rPr>
          <w:rFonts w:ascii="Arial" w:hAnsi="Arial" w:cs="Arial"/>
          <w:i/>
          <w:color w:val="0B0C0C"/>
        </w:rPr>
        <w:t>people may want to live in an area in which they do not reside currently, for example to be near to work, but be unable to find appropriate accommodation that they can afford.</w:t>
      </w:r>
    </w:p>
    <w:p w14:paraId="4050B84C" w14:textId="77777777" w:rsidR="00CE1BDB" w:rsidRPr="00FA4DC7" w:rsidRDefault="00CE1BDB" w:rsidP="00CE1BDB">
      <w:pPr>
        <w:pStyle w:val="Reporttext"/>
        <w:numPr>
          <w:ilvl w:val="0"/>
          <w:numId w:val="0"/>
        </w:numPr>
        <w:ind w:left="709"/>
        <w:rPr>
          <w:rFonts w:cs="Arial"/>
          <w:i/>
          <w:color w:val="0B0C0C"/>
        </w:rPr>
      </w:pPr>
      <w:r w:rsidRPr="00FA4DC7">
        <w:rPr>
          <w:rFonts w:cs="Arial"/>
          <w:i/>
          <w:color w:val="0B0C0C"/>
        </w:rPr>
        <w:t xml:space="preserve">The affordability adjustment is applied in order to ensure that the standard method for assessing local housing need responds to price signals and is consistent with the policy objective of significantly boosting the supply of homes. The specific adjustment in this guidance is set at a level to ensure that </w:t>
      </w:r>
      <w:r w:rsidRPr="00FA4DC7">
        <w:rPr>
          <w:rFonts w:cs="Arial"/>
          <w:i/>
          <w:color w:val="0B0C0C"/>
        </w:rPr>
        <w:lastRenderedPageBreak/>
        <w:t>minimum annual housing need starts to address the affordability of homes.’</w:t>
      </w:r>
      <w:r w:rsidRPr="00FA4DC7">
        <w:rPr>
          <w:rFonts w:cs="Arial"/>
          <w:sz w:val="16"/>
          <w:szCs w:val="16"/>
          <w:lang w:val="en-US"/>
        </w:rPr>
        <w:t xml:space="preserve"> </w:t>
      </w:r>
      <w:r w:rsidRPr="00FA4DC7">
        <w:rPr>
          <w:rFonts w:cs="Arial"/>
          <w:lang w:val="en-US"/>
        </w:rPr>
        <w:t xml:space="preserve">(PPG Paragraph </w:t>
      </w:r>
      <w:r w:rsidRPr="00FA4DC7">
        <w:rPr>
          <w:rFonts w:cs="Arial"/>
          <w:color w:val="0B0C0C"/>
          <w:shd w:val="clear" w:color="auto" w:fill="FFFFFF"/>
        </w:rPr>
        <w:t>006 Reference ID: 2a-006-20190220).</w:t>
      </w:r>
    </w:p>
    <w:p w14:paraId="73BB1AEA"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Table 4.3 sets out the components of the dwelling need calculation using 2021 as a base year and 2020 affordability ratios. The basic demographic need under the 2014-based DCLG household projections are presented along with the affordability adjustment to establish the total annual dwelling need using the standard methodology. </w:t>
      </w:r>
    </w:p>
    <w:p w14:paraId="6C048502" w14:textId="77777777" w:rsidR="00CE1BDB" w:rsidRPr="00FA4DC7" w:rsidRDefault="00CE1BDB" w:rsidP="00CE1BDB">
      <w:pPr>
        <w:rPr>
          <w:rFonts w:cs="Arial"/>
        </w:rPr>
      </w:pPr>
    </w:p>
    <w:tbl>
      <w:tblPr>
        <w:tblW w:w="846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98"/>
        <w:gridCol w:w="1870"/>
        <w:gridCol w:w="1427"/>
        <w:gridCol w:w="1979"/>
      </w:tblGrid>
      <w:tr w:rsidR="00CE1BDB" w:rsidRPr="00FA4DC7" w14:paraId="44253D98" w14:textId="77777777" w:rsidTr="00A1398B">
        <w:trPr>
          <w:trHeight w:val="600"/>
        </w:trPr>
        <w:tc>
          <w:tcPr>
            <w:tcW w:w="8460" w:type="dxa"/>
            <w:gridSpan w:val="5"/>
            <w:shd w:val="clear" w:color="auto" w:fill="006666"/>
            <w:noWrap/>
            <w:vAlign w:val="center"/>
            <w:hideMark/>
          </w:tcPr>
          <w:p w14:paraId="046F7D44" w14:textId="77777777" w:rsidR="00CE1BDB" w:rsidRPr="00FA4DC7" w:rsidRDefault="00CE1BDB" w:rsidP="00EF49A7">
            <w:pPr>
              <w:pStyle w:val="Tableheading1"/>
              <w:rPr>
                <w:rFonts w:cs="Arial"/>
                <w:color w:val="FFFFFF"/>
                <w:szCs w:val="22"/>
              </w:rPr>
            </w:pPr>
            <w:bookmarkStart w:id="353" w:name="_Toc63760484"/>
            <w:bookmarkStart w:id="354" w:name="RANGE!G24"/>
            <w:bookmarkStart w:id="355" w:name="_Toc83036100"/>
            <w:r w:rsidRPr="00FA4DC7">
              <w:rPr>
                <w:rFonts w:cs="Arial"/>
                <w:szCs w:val="20"/>
              </w:rPr>
              <w:t>Table</w:t>
            </w:r>
            <w:r w:rsidRPr="00FA4DC7">
              <w:rPr>
                <w:rFonts w:cs="Arial"/>
                <w:color w:val="FFFFFF"/>
                <w:szCs w:val="22"/>
              </w:rPr>
              <w:t xml:space="preserve"> 4.3 </w:t>
            </w:r>
            <w:r w:rsidRPr="00FA4DC7">
              <w:rPr>
                <w:rFonts w:cs="Arial"/>
                <w:color w:val="FFFFFF"/>
                <w:szCs w:val="22"/>
              </w:rPr>
              <w:tab/>
              <w:t xml:space="preserve">Components of the dwelling need calculation for </w:t>
            </w:r>
            <w:bookmarkEnd w:id="353"/>
            <w:bookmarkEnd w:id="354"/>
            <w:r w:rsidRPr="00FA4DC7">
              <w:rPr>
                <w:rFonts w:cs="Arial"/>
                <w:color w:val="FFFFFF"/>
                <w:szCs w:val="22"/>
              </w:rPr>
              <w:t>Medway</w:t>
            </w:r>
            <w:bookmarkEnd w:id="355"/>
          </w:p>
        </w:tc>
      </w:tr>
      <w:tr w:rsidR="00CE1BDB" w:rsidRPr="00FA4DC7" w14:paraId="6236D1C2" w14:textId="77777777" w:rsidTr="00A1398B">
        <w:trPr>
          <w:trHeight w:val="960"/>
        </w:trPr>
        <w:tc>
          <w:tcPr>
            <w:tcW w:w="1586" w:type="dxa"/>
            <w:shd w:val="clear" w:color="auto" w:fill="006666"/>
            <w:vAlign w:val="bottom"/>
            <w:hideMark/>
          </w:tcPr>
          <w:p w14:paraId="63B8CA48" w14:textId="77777777" w:rsidR="00CE1BDB" w:rsidRPr="00FA4DC7" w:rsidRDefault="00CE1BDB" w:rsidP="00A1398B">
            <w:pPr>
              <w:rPr>
                <w:rFonts w:cs="Arial"/>
                <w:b/>
                <w:bCs/>
                <w:color w:val="FFFFFF"/>
                <w:sz w:val="22"/>
                <w:szCs w:val="22"/>
              </w:rPr>
            </w:pPr>
            <w:r w:rsidRPr="00FA4DC7">
              <w:rPr>
                <w:rFonts w:cs="Arial"/>
                <w:b/>
                <w:bCs/>
                <w:color w:val="FFFFFF"/>
                <w:sz w:val="22"/>
                <w:szCs w:val="22"/>
              </w:rPr>
              <w:t>Time period</w:t>
            </w:r>
          </w:p>
        </w:tc>
        <w:tc>
          <w:tcPr>
            <w:tcW w:w="1598" w:type="dxa"/>
            <w:shd w:val="clear" w:color="auto" w:fill="006666"/>
            <w:vAlign w:val="bottom"/>
            <w:hideMark/>
          </w:tcPr>
          <w:p w14:paraId="433512BC" w14:textId="77777777" w:rsidR="00CE1BDB" w:rsidRPr="00FA4DC7" w:rsidRDefault="00CE1BDB" w:rsidP="00A1398B">
            <w:pPr>
              <w:jc w:val="center"/>
              <w:rPr>
                <w:rFonts w:cs="Arial"/>
                <w:b/>
                <w:bCs/>
                <w:color w:val="FFFFFF"/>
                <w:sz w:val="22"/>
                <w:szCs w:val="22"/>
              </w:rPr>
            </w:pPr>
            <w:r w:rsidRPr="00FA4DC7">
              <w:rPr>
                <w:rFonts w:cs="Arial"/>
                <w:b/>
                <w:bCs/>
                <w:color w:val="FFFFFF"/>
                <w:sz w:val="22"/>
                <w:szCs w:val="22"/>
              </w:rPr>
              <w:t>Baseline annual demographic need</w:t>
            </w:r>
          </w:p>
        </w:tc>
        <w:tc>
          <w:tcPr>
            <w:tcW w:w="1870" w:type="dxa"/>
            <w:shd w:val="clear" w:color="auto" w:fill="006666"/>
            <w:vAlign w:val="bottom"/>
            <w:hideMark/>
          </w:tcPr>
          <w:p w14:paraId="661C8352" w14:textId="77777777" w:rsidR="00CE1BDB" w:rsidRPr="00FA4DC7" w:rsidRDefault="00CE1BDB" w:rsidP="00A1398B">
            <w:pPr>
              <w:jc w:val="center"/>
              <w:rPr>
                <w:rFonts w:cs="Arial"/>
                <w:b/>
                <w:bCs/>
                <w:color w:val="FFFFFF"/>
                <w:sz w:val="22"/>
                <w:szCs w:val="22"/>
              </w:rPr>
            </w:pPr>
            <w:r w:rsidRPr="00FA4DC7">
              <w:rPr>
                <w:rFonts w:cs="Arial"/>
                <w:b/>
                <w:bCs/>
                <w:color w:val="FFFFFF"/>
                <w:sz w:val="22"/>
                <w:szCs w:val="22"/>
              </w:rPr>
              <w:t>Affordability Adjustment</w:t>
            </w:r>
          </w:p>
        </w:tc>
        <w:tc>
          <w:tcPr>
            <w:tcW w:w="1427" w:type="dxa"/>
            <w:shd w:val="clear" w:color="auto" w:fill="006666"/>
            <w:vAlign w:val="bottom"/>
            <w:hideMark/>
          </w:tcPr>
          <w:p w14:paraId="6EE6D680" w14:textId="77777777" w:rsidR="00CE1BDB" w:rsidRPr="00FA4DC7" w:rsidRDefault="00CE1BDB" w:rsidP="00A1398B">
            <w:pPr>
              <w:jc w:val="center"/>
              <w:rPr>
                <w:rFonts w:cs="Arial"/>
                <w:b/>
                <w:bCs/>
                <w:color w:val="FFFFFF"/>
                <w:sz w:val="22"/>
                <w:szCs w:val="22"/>
              </w:rPr>
            </w:pPr>
            <w:r w:rsidRPr="00FA4DC7">
              <w:rPr>
                <w:rFonts w:cs="Arial"/>
                <w:b/>
                <w:bCs/>
                <w:color w:val="FFFFFF"/>
                <w:sz w:val="22"/>
                <w:szCs w:val="22"/>
              </w:rPr>
              <w:t>Adjustment factor</w:t>
            </w:r>
          </w:p>
        </w:tc>
        <w:tc>
          <w:tcPr>
            <w:tcW w:w="1979" w:type="dxa"/>
            <w:shd w:val="clear" w:color="auto" w:fill="006666"/>
            <w:vAlign w:val="bottom"/>
            <w:hideMark/>
          </w:tcPr>
          <w:p w14:paraId="28BFD40D" w14:textId="77777777" w:rsidR="00CE1BDB" w:rsidRPr="00FA4DC7" w:rsidRDefault="00CE1BDB" w:rsidP="00A1398B">
            <w:pPr>
              <w:jc w:val="center"/>
              <w:rPr>
                <w:rFonts w:cs="Arial"/>
                <w:b/>
                <w:bCs/>
                <w:color w:val="FFFFFF"/>
                <w:sz w:val="22"/>
                <w:szCs w:val="22"/>
              </w:rPr>
            </w:pPr>
            <w:r w:rsidRPr="00FA4DC7">
              <w:rPr>
                <w:rFonts w:cs="Arial"/>
                <w:b/>
                <w:bCs/>
                <w:color w:val="FFFFFF"/>
                <w:sz w:val="22"/>
                <w:szCs w:val="22"/>
              </w:rPr>
              <w:t>Total dwelling need under standard methodology</w:t>
            </w:r>
          </w:p>
        </w:tc>
      </w:tr>
      <w:tr w:rsidR="00CE1BDB" w:rsidRPr="00FA4DC7" w14:paraId="1C0AB8FC" w14:textId="77777777" w:rsidTr="00A1398B">
        <w:trPr>
          <w:trHeight w:val="320"/>
        </w:trPr>
        <w:tc>
          <w:tcPr>
            <w:tcW w:w="1586" w:type="dxa"/>
            <w:shd w:val="clear" w:color="auto" w:fill="auto"/>
            <w:vAlign w:val="center"/>
            <w:hideMark/>
          </w:tcPr>
          <w:p w14:paraId="6C19F3EA" w14:textId="5994F885" w:rsidR="00CE1BDB" w:rsidRPr="00FA4DC7" w:rsidRDefault="00CE1BDB" w:rsidP="00EF49A7">
            <w:pPr>
              <w:jc w:val="both"/>
              <w:rPr>
                <w:rFonts w:cs="Arial"/>
                <w:color w:val="000000"/>
                <w:sz w:val="22"/>
                <w:szCs w:val="22"/>
              </w:rPr>
            </w:pPr>
            <w:r w:rsidRPr="00FA4DC7">
              <w:rPr>
                <w:rFonts w:cs="Arial"/>
                <w:color w:val="000000"/>
                <w:sz w:val="22"/>
                <w:szCs w:val="22"/>
              </w:rPr>
              <w:t>2021-2031</w:t>
            </w:r>
          </w:p>
        </w:tc>
        <w:tc>
          <w:tcPr>
            <w:tcW w:w="1598" w:type="dxa"/>
            <w:shd w:val="clear" w:color="auto" w:fill="auto"/>
            <w:vAlign w:val="center"/>
            <w:hideMark/>
          </w:tcPr>
          <w:p w14:paraId="3AAF3C30" w14:textId="77777777" w:rsidR="00CE1BDB" w:rsidRPr="00FA4DC7" w:rsidRDefault="00CE1BDB" w:rsidP="00A1398B">
            <w:pPr>
              <w:jc w:val="center"/>
              <w:rPr>
                <w:rFonts w:cs="Arial"/>
                <w:color w:val="000000"/>
                <w:sz w:val="22"/>
                <w:szCs w:val="22"/>
              </w:rPr>
            </w:pPr>
            <w:r w:rsidRPr="00FA4DC7">
              <w:rPr>
                <w:rFonts w:cs="Arial"/>
                <w:color w:val="000000"/>
                <w:sz w:val="22"/>
                <w:szCs w:val="22"/>
              </w:rPr>
              <w:t>1,297</w:t>
            </w:r>
          </w:p>
        </w:tc>
        <w:tc>
          <w:tcPr>
            <w:tcW w:w="1870" w:type="dxa"/>
            <w:shd w:val="clear" w:color="auto" w:fill="auto"/>
            <w:noWrap/>
            <w:vAlign w:val="bottom"/>
            <w:hideMark/>
          </w:tcPr>
          <w:p w14:paraId="6FA4D1BB" w14:textId="77777777" w:rsidR="00CE1BDB" w:rsidRPr="00FA4DC7" w:rsidRDefault="00CE1BDB" w:rsidP="00A1398B">
            <w:pPr>
              <w:jc w:val="center"/>
              <w:rPr>
                <w:rFonts w:cs="Arial"/>
                <w:color w:val="000000"/>
                <w:sz w:val="22"/>
                <w:szCs w:val="22"/>
              </w:rPr>
            </w:pPr>
            <w:r w:rsidRPr="00FA4DC7">
              <w:rPr>
                <w:rFonts w:cs="Arial"/>
                <w:color w:val="000000"/>
                <w:sz w:val="22"/>
                <w:szCs w:val="22"/>
              </w:rPr>
              <w:t>2020 data</w:t>
            </w:r>
          </w:p>
        </w:tc>
        <w:tc>
          <w:tcPr>
            <w:tcW w:w="1427" w:type="dxa"/>
            <w:shd w:val="clear" w:color="auto" w:fill="auto"/>
            <w:vAlign w:val="center"/>
            <w:hideMark/>
          </w:tcPr>
          <w:p w14:paraId="210EDA0A" w14:textId="77777777" w:rsidR="00CE1BDB" w:rsidRPr="00FA4DC7" w:rsidRDefault="00CE1BDB" w:rsidP="00A1398B">
            <w:pPr>
              <w:jc w:val="center"/>
              <w:rPr>
                <w:rFonts w:cs="Arial"/>
                <w:color w:val="000000"/>
                <w:sz w:val="22"/>
                <w:szCs w:val="22"/>
              </w:rPr>
            </w:pPr>
            <w:r w:rsidRPr="00FA4DC7">
              <w:rPr>
                <w:rFonts w:cs="Arial"/>
                <w:color w:val="000000"/>
                <w:sz w:val="22"/>
                <w:szCs w:val="22"/>
              </w:rPr>
              <w:t>289</w:t>
            </w:r>
          </w:p>
        </w:tc>
        <w:tc>
          <w:tcPr>
            <w:tcW w:w="1979" w:type="dxa"/>
            <w:shd w:val="clear" w:color="auto" w:fill="auto"/>
            <w:noWrap/>
            <w:vAlign w:val="bottom"/>
            <w:hideMark/>
          </w:tcPr>
          <w:p w14:paraId="51CF62B6" w14:textId="77777777" w:rsidR="00CE1BDB" w:rsidRPr="00FA4DC7" w:rsidRDefault="00CE1BDB" w:rsidP="00A1398B">
            <w:pPr>
              <w:jc w:val="center"/>
              <w:rPr>
                <w:rFonts w:cs="Arial"/>
                <w:color w:val="000000"/>
                <w:sz w:val="22"/>
                <w:szCs w:val="22"/>
              </w:rPr>
            </w:pPr>
            <w:r w:rsidRPr="00FA4DC7">
              <w:rPr>
                <w:rFonts w:cs="Arial"/>
                <w:color w:val="000000"/>
                <w:sz w:val="22"/>
                <w:szCs w:val="22"/>
              </w:rPr>
              <w:t>1,586</w:t>
            </w:r>
          </w:p>
        </w:tc>
      </w:tr>
    </w:tbl>
    <w:p w14:paraId="62675F5B" w14:textId="77777777" w:rsidR="00CE1BDB" w:rsidRPr="00FA4DC7" w:rsidRDefault="00CE1BDB" w:rsidP="00CE1BDB">
      <w:pPr>
        <w:rPr>
          <w:rFonts w:cs="Arial"/>
        </w:rPr>
      </w:pPr>
    </w:p>
    <w:p w14:paraId="32C20EA9"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This establishes an annual need for 1,586 dwellings. </w:t>
      </w:r>
    </w:p>
    <w:p w14:paraId="59B932C0" w14:textId="77777777" w:rsidR="00CE1BDB" w:rsidRPr="00FA4DC7" w:rsidRDefault="00CE1BDB" w:rsidP="00CE1BDB">
      <w:pPr>
        <w:pStyle w:val="Reporttext"/>
        <w:numPr>
          <w:ilvl w:val="0"/>
          <w:numId w:val="0"/>
        </w:numPr>
        <w:ind w:left="709"/>
        <w:jc w:val="both"/>
        <w:rPr>
          <w:rFonts w:cs="Arial"/>
        </w:rPr>
      </w:pPr>
    </w:p>
    <w:p w14:paraId="30DCC2EC" w14:textId="77777777" w:rsidR="00CE1BDB" w:rsidRPr="00FA4DC7" w:rsidRDefault="00CE1BDB" w:rsidP="00CE1BDB">
      <w:pPr>
        <w:pStyle w:val="Heading2"/>
        <w:rPr>
          <w:rFonts w:cs="Arial"/>
        </w:rPr>
      </w:pPr>
      <w:bookmarkStart w:id="356" w:name="_Toc63760478"/>
      <w:bookmarkStart w:id="357" w:name="_Toc83035667"/>
      <w:r w:rsidRPr="00FA4DC7">
        <w:rPr>
          <w:rFonts w:cs="Arial"/>
        </w:rPr>
        <w:t>Step 3: Capping the level of any increase</w:t>
      </w:r>
      <w:bookmarkEnd w:id="356"/>
      <w:bookmarkEnd w:id="357"/>
    </w:p>
    <w:p w14:paraId="202EA30A" w14:textId="77777777" w:rsidR="00CE1BDB" w:rsidRPr="00FA4DC7" w:rsidRDefault="00CE1BDB" w:rsidP="00CE1BDB">
      <w:pPr>
        <w:pStyle w:val="Reporttext"/>
        <w:jc w:val="both"/>
        <w:rPr>
          <w:rFonts w:cs="Arial"/>
        </w:rPr>
      </w:pPr>
      <w:r w:rsidRPr="00FA4DC7">
        <w:rPr>
          <w:rFonts w:cs="Arial"/>
        </w:rPr>
        <w:t>PPG states that ‘the standard methodology may identify a minimum local housing need figure that is significantly higher than the number of homes currently being planned for. The cap is applied to help ensure that the minimum local housing need figure calculated using the standard methodology is as deliverable as possible’</w:t>
      </w:r>
      <w:r w:rsidRPr="00FA4DC7">
        <w:rPr>
          <w:rFonts w:cs="Arial"/>
          <w:szCs w:val="16"/>
          <w:lang w:val="en-US"/>
        </w:rPr>
        <w:t xml:space="preserve"> (PPG Paragraph </w:t>
      </w:r>
      <w:r w:rsidRPr="00FA4DC7">
        <w:rPr>
          <w:rFonts w:cs="Arial"/>
          <w:color w:val="0B0C0C"/>
          <w:szCs w:val="16"/>
          <w:shd w:val="clear" w:color="auto" w:fill="FFFFFF"/>
        </w:rPr>
        <w:t>007 Reference ID: 2a-007-20190220)</w:t>
      </w:r>
      <w:r w:rsidRPr="00FA4DC7">
        <w:rPr>
          <w:rFonts w:cs="Arial"/>
        </w:rPr>
        <w:t>. The PPG continues ‘the cap reduces the minimum number generated by the standard method but does not reduce housing need itself. Therefore, strategic policies adopted with a cap applied may require an early review and updating to ensure that any housing need above the capped level is planned for as soon as is reasonably possible’ (</w:t>
      </w:r>
      <w:r w:rsidRPr="00FA4DC7">
        <w:rPr>
          <w:rFonts w:cs="Arial"/>
          <w:szCs w:val="16"/>
          <w:lang w:val="en-US"/>
        </w:rPr>
        <w:t xml:space="preserve">PPG Paragraph </w:t>
      </w:r>
      <w:r w:rsidRPr="00FA4DC7">
        <w:rPr>
          <w:rFonts w:cs="Arial"/>
          <w:color w:val="0B0C0C"/>
          <w:szCs w:val="16"/>
          <w:shd w:val="clear" w:color="auto" w:fill="FFFFFF"/>
        </w:rPr>
        <w:t>007 Reference ID: 2a-007-20190220).</w:t>
      </w:r>
    </w:p>
    <w:p w14:paraId="38317F2A" w14:textId="77777777" w:rsidR="00CE1BDB" w:rsidRPr="00FA4DC7" w:rsidRDefault="00CE1BDB" w:rsidP="00CE1BDB">
      <w:pPr>
        <w:pStyle w:val="Reporttext"/>
        <w:jc w:val="both"/>
        <w:rPr>
          <w:rFonts w:cs="Arial"/>
        </w:rPr>
      </w:pPr>
      <w:r w:rsidRPr="00FA4DC7">
        <w:rPr>
          <w:rFonts w:cs="Arial"/>
        </w:rPr>
        <w:t>How the cap is calculated ‘depends on the current status of relevant strategic policies for housing’</w:t>
      </w:r>
      <w:r w:rsidRPr="00FA4DC7">
        <w:rPr>
          <w:rFonts w:cs="Arial"/>
          <w:szCs w:val="16"/>
          <w:lang w:val="en-US"/>
        </w:rPr>
        <w:t xml:space="preserve"> (PPG Paragraph </w:t>
      </w:r>
      <w:r w:rsidRPr="00FA4DC7">
        <w:rPr>
          <w:rFonts w:cs="Arial"/>
          <w:color w:val="0B0C0C"/>
          <w:szCs w:val="16"/>
          <w:shd w:val="clear" w:color="auto" w:fill="FFFFFF"/>
        </w:rPr>
        <w:t>004 Reference ID: 2a-004-20201216).</w:t>
      </w:r>
    </w:p>
    <w:p w14:paraId="5DE84180"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The last officially endorsed dwelling target was set out in the Medway Local Plan of 2003.This set out a Kent Structure Plan requirements 1991 to 2006 of 13,000 dwellings or an annual average of 867. </w:t>
      </w:r>
    </w:p>
    <w:p w14:paraId="3225C423" w14:textId="77777777" w:rsidR="00CE1BDB" w:rsidRPr="00FA4DC7" w:rsidRDefault="00CE1BDB" w:rsidP="00CE1BDB">
      <w:pPr>
        <w:pStyle w:val="Reporttext"/>
        <w:tabs>
          <w:tab w:val="clear" w:pos="2128"/>
          <w:tab w:val="num" w:pos="1419"/>
        </w:tabs>
        <w:jc w:val="both"/>
        <w:rPr>
          <w:rFonts w:cs="Arial"/>
        </w:rPr>
      </w:pPr>
      <w:r w:rsidRPr="00FA4DC7">
        <w:rPr>
          <w:rFonts w:cs="Arial"/>
        </w:rPr>
        <w:t>The PPG states ‘where the relevant strategic polices for housing were adopted more than 5 years ago (at the point of making the calculation), the local housing need figure is capped at 40% above whichever is higher of:</w:t>
      </w:r>
    </w:p>
    <w:p w14:paraId="6DE2371F" w14:textId="77777777" w:rsidR="00CE1BDB" w:rsidRPr="00FA4DC7" w:rsidRDefault="00CE1BDB" w:rsidP="00CE1BDB">
      <w:pPr>
        <w:pStyle w:val="Reporttext"/>
        <w:numPr>
          <w:ilvl w:val="0"/>
          <w:numId w:val="45"/>
        </w:numPr>
        <w:jc w:val="both"/>
        <w:rPr>
          <w:rFonts w:cs="Arial"/>
        </w:rPr>
      </w:pPr>
      <w:r w:rsidRPr="00FA4DC7">
        <w:rPr>
          <w:rFonts w:cs="Arial"/>
        </w:rPr>
        <w:t xml:space="preserve">The projected household growth for the area over the </w:t>
      </w:r>
      <w:proofErr w:type="gramStart"/>
      <w:r w:rsidRPr="00FA4DC7">
        <w:rPr>
          <w:rFonts w:cs="Arial"/>
        </w:rPr>
        <w:t>10 year</w:t>
      </w:r>
      <w:proofErr w:type="gramEnd"/>
      <w:r w:rsidRPr="00FA4DC7">
        <w:rPr>
          <w:rFonts w:cs="Arial"/>
        </w:rPr>
        <w:t xml:space="preserve"> period identified in Step 1 </w:t>
      </w:r>
      <w:r w:rsidRPr="00FA4DC7">
        <w:rPr>
          <w:rFonts w:cs="Arial"/>
          <w:i/>
          <w:iCs/>
        </w:rPr>
        <w:t>(1,297 each year</w:t>
      </w:r>
      <w:r w:rsidRPr="00FA4DC7">
        <w:rPr>
          <w:rFonts w:cs="Arial"/>
        </w:rPr>
        <w:t>); or</w:t>
      </w:r>
    </w:p>
    <w:p w14:paraId="1A699A3F" w14:textId="77777777" w:rsidR="00CE1BDB" w:rsidRPr="00FA4DC7" w:rsidRDefault="00CE1BDB" w:rsidP="00CE1BDB">
      <w:pPr>
        <w:pStyle w:val="Reporttext"/>
        <w:numPr>
          <w:ilvl w:val="0"/>
          <w:numId w:val="45"/>
        </w:numPr>
        <w:jc w:val="both"/>
        <w:rPr>
          <w:rFonts w:cs="Arial"/>
        </w:rPr>
      </w:pPr>
      <w:r w:rsidRPr="00FA4DC7">
        <w:rPr>
          <w:rFonts w:cs="Arial"/>
        </w:rPr>
        <w:t xml:space="preserve">The average annual housing requirement set out in the most recently adopted strategic policies </w:t>
      </w:r>
      <w:r w:rsidRPr="00FA4DC7">
        <w:rPr>
          <w:rFonts w:cs="Arial"/>
          <w:i/>
          <w:iCs/>
        </w:rPr>
        <w:t>(this would be 867 based on the Kent Structure Plan requirement)’</w:t>
      </w:r>
    </w:p>
    <w:p w14:paraId="604F31A2"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The 40% cap which would therefore apply to the Step 1 figure of 1,297 each year and would be </w:t>
      </w:r>
      <w:r w:rsidRPr="00FA4DC7">
        <w:rPr>
          <w:rFonts w:cs="Arial"/>
          <w:b/>
        </w:rPr>
        <w:t xml:space="preserve">1,816 dwellings each year </w:t>
      </w:r>
      <w:r w:rsidRPr="00FA4DC7">
        <w:rPr>
          <w:rFonts w:cs="Arial"/>
        </w:rPr>
        <w:t xml:space="preserve">(1,297+ (40% x1,297). </w:t>
      </w:r>
    </w:p>
    <w:p w14:paraId="59301062" w14:textId="77777777" w:rsidR="00CE1BDB" w:rsidRPr="00FA4DC7" w:rsidRDefault="00CE1BDB" w:rsidP="00CE1BDB">
      <w:pPr>
        <w:pStyle w:val="Reporttext"/>
        <w:tabs>
          <w:tab w:val="clear" w:pos="2128"/>
          <w:tab w:val="num" w:pos="1419"/>
        </w:tabs>
        <w:jc w:val="both"/>
        <w:rPr>
          <w:rFonts w:cs="Arial"/>
        </w:rPr>
      </w:pPr>
      <w:r w:rsidRPr="00FA4DC7">
        <w:rPr>
          <w:rFonts w:cs="Arial"/>
        </w:rPr>
        <w:t>Under the parameters set out in the PPG no cap on delivery needs to be applied.</w:t>
      </w:r>
    </w:p>
    <w:p w14:paraId="7C5A5D38" w14:textId="77777777" w:rsidR="00CE1BDB" w:rsidRPr="00FA4DC7" w:rsidRDefault="00CE1BDB" w:rsidP="00CE1BDB">
      <w:pPr>
        <w:pStyle w:val="Heading2"/>
        <w:rPr>
          <w:rFonts w:cs="Arial"/>
        </w:rPr>
      </w:pPr>
      <w:bookmarkStart w:id="358" w:name="_Toc61081286"/>
      <w:bookmarkStart w:id="359" w:name="_Toc63760479"/>
      <w:bookmarkStart w:id="360" w:name="_Toc83035668"/>
      <w:r w:rsidRPr="00FA4DC7">
        <w:rPr>
          <w:rFonts w:cs="Arial"/>
        </w:rPr>
        <w:lastRenderedPageBreak/>
        <w:t>Step 4: Cities and urban centres uplift</w:t>
      </w:r>
      <w:bookmarkEnd w:id="358"/>
      <w:bookmarkEnd w:id="359"/>
      <w:bookmarkEnd w:id="360"/>
    </w:p>
    <w:p w14:paraId="31B735F0" w14:textId="77777777" w:rsidR="00CE1BDB" w:rsidRPr="00FA4DC7" w:rsidRDefault="00CE1BDB" w:rsidP="00CE1BDB">
      <w:pPr>
        <w:pStyle w:val="Reporttext"/>
        <w:jc w:val="both"/>
        <w:rPr>
          <w:rFonts w:cs="Arial"/>
        </w:rPr>
      </w:pPr>
      <w:r w:rsidRPr="00FA4DC7">
        <w:rPr>
          <w:rFonts w:cs="Arial"/>
        </w:rPr>
        <w:t>A 35% uplift is then applied for those urban local authorities in the top 20 cities and urban areas list devised by ONS (</w:t>
      </w:r>
      <w:proofErr w:type="gramStart"/>
      <w:r w:rsidRPr="00FA4DC7">
        <w:rPr>
          <w:rFonts w:cs="Arial"/>
          <w:szCs w:val="16"/>
          <w:lang w:val="en-US"/>
        </w:rPr>
        <w:t>PPG  Paragraph</w:t>
      </w:r>
      <w:proofErr w:type="gramEnd"/>
      <w:r w:rsidRPr="00FA4DC7">
        <w:rPr>
          <w:rFonts w:cs="Arial"/>
          <w:szCs w:val="16"/>
          <w:lang w:val="en-US"/>
        </w:rPr>
        <w:t xml:space="preserve"> 004</w:t>
      </w:r>
      <w:r w:rsidRPr="00FA4DC7">
        <w:rPr>
          <w:rFonts w:cs="Arial"/>
          <w:color w:val="0B0C0C"/>
          <w:szCs w:val="16"/>
          <w:shd w:val="clear" w:color="auto" w:fill="FFFFFF"/>
        </w:rPr>
        <w:t xml:space="preserve"> Reference ID: 2a-004-20190220)</w:t>
      </w:r>
      <w:r w:rsidRPr="00FA4DC7">
        <w:rPr>
          <w:rFonts w:cs="Arial"/>
        </w:rPr>
        <w:t xml:space="preserve">. This does not apply to Medway. </w:t>
      </w:r>
    </w:p>
    <w:p w14:paraId="118CDF6C" w14:textId="77777777" w:rsidR="00CE1BDB" w:rsidRPr="00FA4DC7" w:rsidRDefault="00CE1BDB" w:rsidP="00CE1BDB">
      <w:pPr>
        <w:rPr>
          <w:rFonts w:cs="Arial"/>
          <w:highlight w:val="yellow"/>
        </w:rPr>
      </w:pPr>
    </w:p>
    <w:p w14:paraId="6463FFEF" w14:textId="77777777" w:rsidR="00CE1BDB" w:rsidRPr="00FA4DC7" w:rsidRDefault="00CE1BDB" w:rsidP="00CE1BDB">
      <w:pPr>
        <w:pStyle w:val="Heading3"/>
        <w:rPr>
          <w:rFonts w:cs="Arial"/>
        </w:rPr>
      </w:pPr>
      <w:r w:rsidRPr="00FA4DC7">
        <w:rPr>
          <w:rFonts w:cs="Arial"/>
        </w:rPr>
        <w:t>Housing need using the standard methodology</w:t>
      </w:r>
    </w:p>
    <w:p w14:paraId="6B5E5B86"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Based on the December 2020 PPG standard methodology and 2020 affordability ratios, the minimum local housing need for </w:t>
      </w:r>
      <w:r w:rsidRPr="00FA4DC7">
        <w:rPr>
          <w:rFonts w:cs="Arial"/>
          <w:color w:val="000000"/>
        </w:rPr>
        <w:t xml:space="preserve">Medway, from 2021, is </w:t>
      </w:r>
      <w:r w:rsidRPr="00FA4DC7">
        <w:rPr>
          <w:rFonts w:cs="Arial"/>
          <w:b/>
          <w:bCs/>
          <w:color w:val="000000"/>
        </w:rPr>
        <w:t>1,586</w:t>
      </w:r>
      <w:r w:rsidRPr="00FA4DC7">
        <w:rPr>
          <w:rFonts w:cs="Arial"/>
          <w:color w:val="000000"/>
        </w:rPr>
        <w:t xml:space="preserve"> </w:t>
      </w:r>
      <w:r w:rsidRPr="00FA4DC7">
        <w:rPr>
          <w:rFonts w:cs="Arial"/>
        </w:rPr>
        <w:t>dwellings each year.</w:t>
      </w:r>
    </w:p>
    <w:p w14:paraId="36EE8F33" w14:textId="77777777" w:rsidR="00CE1BDB" w:rsidRPr="00FA4DC7" w:rsidRDefault="00CE1BDB" w:rsidP="00CE1BDB">
      <w:pPr>
        <w:rPr>
          <w:rFonts w:cs="Arial"/>
          <w:highlight w:val="yellow"/>
        </w:rPr>
      </w:pPr>
    </w:p>
    <w:p w14:paraId="78F8654D" w14:textId="77777777" w:rsidR="00CE1BDB" w:rsidRPr="00FA4DC7" w:rsidRDefault="00CE1BDB" w:rsidP="00CE1BDB">
      <w:pPr>
        <w:pStyle w:val="Heading2"/>
        <w:rPr>
          <w:rFonts w:cs="Arial"/>
        </w:rPr>
      </w:pPr>
      <w:bookmarkStart w:id="361" w:name="_Toc63760480"/>
      <w:bookmarkStart w:id="362" w:name="_Toc83035669"/>
      <w:r w:rsidRPr="00FA4DC7">
        <w:rPr>
          <w:rFonts w:cs="Arial"/>
        </w:rPr>
        <w:t>Potential adjustments to the standard method</w:t>
      </w:r>
      <w:bookmarkEnd w:id="361"/>
      <w:bookmarkEnd w:id="362"/>
    </w:p>
    <w:p w14:paraId="4D715D5B" w14:textId="77777777" w:rsidR="00CE1BDB" w:rsidRPr="00FA4DC7" w:rsidRDefault="00CE1BDB" w:rsidP="00CE1BDB">
      <w:pPr>
        <w:pStyle w:val="Heading3"/>
        <w:rPr>
          <w:rFonts w:cs="Arial"/>
        </w:rPr>
      </w:pPr>
      <w:r w:rsidRPr="00FA4DC7">
        <w:rPr>
          <w:rFonts w:cs="Arial"/>
        </w:rPr>
        <w:t>Overview</w:t>
      </w:r>
    </w:p>
    <w:p w14:paraId="111751BD"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Having identified the minimum housing need under the standard model, further demographic analysis considers alternative demographic scenarios. A review of alternative demographic scenarios provides the evidence to confirm if the standard method provides an appropriate base for the assessment of need or whether any there are exceptional circumstances that would justify an alternative approach. </w:t>
      </w:r>
    </w:p>
    <w:p w14:paraId="46A785CB" w14:textId="77777777" w:rsidR="00CE1BDB" w:rsidRPr="00FA4DC7" w:rsidRDefault="00CE1BDB" w:rsidP="00CE1BDB">
      <w:pPr>
        <w:pStyle w:val="Reporttext"/>
        <w:tabs>
          <w:tab w:val="clear" w:pos="2128"/>
          <w:tab w:val="num" w:pos="1419"/>
        </w:tabs>
        <w:jc w:val="both"/>
        <w:rPr>
          <w:rFonts w:cs="Arial"/>
        </w:rPr>
      </w:pPr>
      <w:r w:rsidRPr="00FA4DC7">
        <w:rPr>
          <w:rFonts w:cs="Arial"/>
        </w:rPr>
        <w:t>There is also provision in PPG to adjust the minimum housing need:</w:t>
      </w:r>
    </w:p>
    <w:p w14:paraId="23C49730" w14:textId="77777777" w:rsidR="00CE1BDB" w:rsidRPr="00FA4DC7" w:rsidRDefault="00CE1BDB" w:rsidP="00CE1BDB">
      <w:pPr>
        <w:pStyle w:val="Reporttext"/>
        <w:numPr>
          <w:ilvl w:val="0"/>
          <w:numId w:val="0"/>
        </w:numPr>
        <w:ind w:left="709"/>
        <w:rPr>
          <w:rFonts w:cs="Arial"/>
          <w:i/>
        </w:rPr>
      </w:pPr>
      <w:r w:rsidRPr="00FA4DC7">
        <w:rPr>
          <w:rFonts w:cs="Arial"/>
          <w:i/>
        </w:rPr>
        <w:t>‘</w:t>
      </w:r>
      <w:r w:rsidRPr="00FA4DC7">
        <w:rPr>
          <w:rFonts w:cs="Arial"/>
          <w:i/>
          <w:color w:val="0B0C0C"/>
          <w:shd w:val="clear" w:color="auto" w:fill="FFFFFF"/>
        </w:rPr>
        <w:t>The standard method for assessing local housing need provides the minimum starting point in determining the number of homes needed in an area. It does not attempt to predict the impact that future government policies, changing economic circumstances or other factors might have on demographic behaviour. Therefore, there will be circumstances where it is appropriate to consider whether actual housing need is higher than the standard method indicates.</w:t>
      </w:r>
    </w:p>
    <w:p w14:paraId="47E8C921" w14:textId="77777777" w:rsidR="00CE1BDB" w:rsidRPr="00FA4DC7" w:rsidRDefault="00CE1BDB" w:rsidP="00CE1BDB">
      <w:pPr>
        <w:pStyle w:val="Reporttext"/>
        <w:numPr>
          <w:ilvl w:val="0"/>
          <w:numId w:val="0"/>
        </w:numPr>
        <w:ind w:left="709"/>
        <w:rPr>
          <w:rFonts w:cs="Arial"/>
          <w:i/>
        </w:rPr>
      </w:pPr>
      <w:r w:rsidRPr="00FA4DC7">
        <w:rPr>
          <w:rFonts w:cs="Arial"/>
          <w:i/>
          <w:color w:val="0B0C0C"/>
          <w:shd w:val="clear" w:color="auto" w:fill="FFFFFF"/>
        </w:rPr>
        <w:t>This will need to be assessed prior to, and separate from, considering how much of the overall need can be accommodated (and then translated into a housing requirement figure for the strategic policies in the plan).  Circumstances where this may be appropriate include, but are not limited to situations where increases in housing need are likely to exceed past trends because of:</w:t>
      </w:r>
    </w:p>
    <w:p w14:paraId="4878D5C6" w14:textId="77777777" w:rsidR="00CE1BDB" w:rsidRPr="00FA4DC7" w:rsidRDefault="00CE1BDB" w:rsidP="00CE1BDB">
      <w:pPr>
        <w:pStyle w:val="ListParagraph"/>
        <w:numPr>
          <w:ilvl w:val="0"/>
          <w:numId w:val="30"/>
        </w:numPr>
        <w:shd w:val="clear" w:color="auto" w:fill="FFFFFF"/>
        <w:jc w:val="left"/>
        <w:rPr>
          <w:rFonts w:ascii="Arial" w:hAnsi="Arial" w:cs="Arial"/>
          <w:i/>
          <w:color w:val="0B0C0C"/>
        </w:rPr>
      </w:pPr>
      <w:r w:rsidRPr="00FA4DC7">
        <w:rPr>
          <w:rFonts w:ascii="Arial" w:hAnsi="Arial" w:cs="Arial"/>
          <w:i/>
          <w:color w:val="0B0C0C"/>
        </w:rPr>
        <w:t>growth strategies for the area that are likely to be deliverable, for example where funding is in place to promote and facilitate additional growth (</w:t>
      </w:r>
      <w:proofErr w:type="gramStart"/>
      <w:r w:rsidRPr="00FA4DC7">
        <w:rPr>
          <w:rFonts w:ascii="Arial" w:hAnsi="Arial" w:cs="Arial"/>
          <w:i/>
          <w:color w:val="0B0C0C"/>
        </w:rPr>
        <w:t>e.g.</w:t>
      </w:r>
      <w:proofErr w:type="gramEnd"/>
      <w:r w:rsidRPr="00FA4DC7">
        <w:rPr>
          <w:rFonts w:ascii="Arial" w:hAnsi="Arial" w:cs="Arial"/>
          <w:i/>
          <w:color w:val="0B0C0C"/>
        </w:rPr>
        <w:t xml:space="preserve"> Housing Deals);</w:t>
      </w:r>
    </w:p>
    <w:p w14:paraId="5EADDE27" w14:textId="77777777" w:rsidR="00CE1BDB" w:rsidRPr="00FA4DC7" w:rsidRDefault="00CE1BDB" w:rsidP="00CE1BDB">
      <w:pPr>
        <w:pStyle w:val="ListParagraph"/>
        <w:numPr>
          <w:ilvl w:val="0"/>
          <w:numId w:val="30"/>
        </w:numPr>
        <w:shd w:val="clear" w:color="auto" w:fill="FFFFFF"/>
        <w:jc w:val="left"/>
        <w:rPr>
          <w:rFonts w:ascii="Arial" w:hAnsi="Arial" w:cs="Arial"/>
          <w:i/>
          <w:color w:val="0B0C0C"/>
        </w:rPr>
      </w:pPr>
      <w:r w:rsidRPr="00FA4DC7">
        <w:rPr>
          <w:rFonts w:ascii="Arial" w:hAnsi="Arial" w:cs="Arial"/>
          <w:i/>
          <w:color w:val="0B0C0C"/>
        </w:rPr>
        <w:t xml:space="preserve">strategic infrastructure improvements that are likely to drive an increase in the homes needed locally; or </w:t>
      </w:r>
    </w:p>
    <w:p w14:paraId="4F30541C" w14:textId="77777777" w:rsidR="00CE1BDB" w:rsidRPr="00FA4DC7" w:rsidRDefault="00CE1BDB" w:rsidP="00CE1BDB">
      <w:pPr>
        <w:pStyle w:val="ListParagraph"/>
        <w:numPr>
          <w:ilvl w:val="0"/>
          <w:numId w:val="30"/>
        </w:numPr>
        <w:shd w:val="clear" w:color="auto" w:fill="FFFFFF"/>
        <w:jc w:val="left"/>
        <w:rPr>
          <w:rFonts w:ascii="Arial" w:hAnsi="Arial" w:cs="Arial"/>
          <w:i/>
          <w:color w:val="0B0C0C"/>
        </w:rPr>
      </w:pPr>
      <w:r w:rsidRPr="00FA4DC7">
        <w:rPr>
          <w:rFonts w:ascii="Arial" w:hAnsi="Arial" w:cs="Arial"/>
          <w:i/>
          <w:color w:val="0B0C0C"/>
        </w:rPr>
        <w:t>an authority agreeing to take on unmet need from neighbouring authorities, as set out in a statement of common ground.</w:t>
      </w:r>
    </w:p>
    <w:p w14:paraId="0C179D20" w14:textId="77777777" w:rsidR="00CE1BDB" w:rsidRPr="00FA4DC7" w:rsidRDefault="00CE1BDB" w:rsidP="00CE1BDB">
      <w:pPr>
        <w:ind w:left="709"/>
        <w:rPr>
          <w:rFonts w:cs="Arial"/>
        </w:rPr>
      </w:pPr>
      <w:r w:rsidRPr="00FA4DC7">
        <w:rPr>
          <w:rFonts w:cs="Arial"/>
          <w:i/>
          <w:color w:val="0B0C0C"/>
        </w:rPr>
        <w:t xml:space="preserve">There may, occasionally, also be situations where previous levels of housing delivery in an area, or previous assessments of need (such as a recently produced Strategic Housing Market Assessment) are significantly greater than the outcome from the standard method. Authorities will need to take this into </w:t>
      </w:r>
      <w:r w:rsidRPr="00FA4DC7">
        <w:rPr>
          <w:rFonts w:cs="Arial"/>
          <w:i/>
          <w:color w:val="0B0C0C"/>
        </w:rPr>
        <w:lastRenderedPageBreak/>
        <w:t xml:space="preserve">account when considering whether it is appropriate to plan for a higher level of need than the standard model suggests. </w:t>
      </w:r>
      <w:proofErr w:type="gramStart"/>
      <w:r w:rsidRPr="00FA4DC7">
        <w:rPr>
          <w:rFonts w:cs="Arial"/>
        </w:rPr>
        <w:t>’</w:t>
      </w:r>
      <w:r w:rsidRPr="00FA4DC7">
        <w:rPr>
          <w:rFonts w:cs="Arial"/>
          <w:i/>
          <w:color w:val="0B0C0C"/>
        </w:rPr>
        <w:t>(</w:t>
      </w:r>
      <w:r w:rsidRPr="00FA4DC7">
        <w:rPr>
          <w:rFonts w:cs="Arial"/>
          <w:szCs w:val="16"/>
          <w:lang w:val="en-US"/>
        </w:rPr>
        <w:t xml:space="preserve"> PPG</w:t>
      </w:r>
      <w:proofErr w:type="gramEnd"/>
      <w:r w:rsidRPr="00FA4DC7">
        <w:rPr>
          <w:rFonts w:cs="Arial"/>
          <w:szCs w:val="16"/>
          <w:lang w:val="en-US"/>
        </w:rPr>
        <w:t xml:space="preserve">  Paragraph </w:t>
      </w:r>
      <w:r w:rsidRPr="00FA4DC7">
        <w:rPr>
          <w:rFonts w:cs="Arial"/>
          <w:color w:val="0B0C0C"/>
          <w:szCs w:val="16"/>
          <w:shd w:val="clear" w:color="auto" w:fill="FFFFFF"/>
        </w:rPr>
        <w:t>010 Reference ID: 2a-010-20201216).</w:t>
      </w:r>
    </w:p>
    <w:p w14:paraId="00F39E22" w14:textId="77777777" w:rsidR="00CE1BDB" w:rsidRPr="00FA4DC7" w:rsidRDefault="00CE1BDB" w:rsidP="00CE1BDB">
      <w:pPr>
        <w:pStyle w:val="Reporttext"/>
        <w:tabs>
          <w:tab w:val="clear" w:pos="2128"/>
          <w:tab w:val="num" w:pos="1419"/>
        </w:tabs>
        <w:jc w:val="both"/>
        <w:rPr>
          <w:rFonts w:cs="Arial"/>
        </w:rPr>
      </w:pPr>
      <w:r w:rsidRPr="00FA4DC7">
        <w:rPr>
          <w:rFonts w:cs="Arial"/>
        </w:rPr>
        <w:t xml:space="preserve">To inform this analysis: </w:t>
      </w:r>
    </w:p>
    <w:p w14:paraId="1D063919" w14:textId="77777777" w:rsidR="00CE1BDB" w:rsidRPr="00FA4DC7" w:rsidRDefault="00CE1BDB" w:rsidP="00CE1BDB">
      <w:pPr>
        <w:pStyle w:val="Reporttext"/>
        <w:numPr>
          <w:ilvl w:val="0"/>
          <w:numId w:val="44"/>
        </w:numPr>
        <w:rPr>
          <w:rFonts w:cs="Arial"/>
        </w:rPr>
      </w:pPr>
      <w:r w:rsidRPr="00FA4DC7">
        <w:rPr>
          <w:rFonts w:cs="Arial"/>
        </w:rPr>
        <w:t xml:space="preserve">Edge Analytics have reviewed variant population scenarios, alternative migration scenarios, housing-led and employment-led </w:t>
      </w:r>
      <w:proofErr w:type="gramStart"/>
      <w:r w:rsidRPr="00FA4DC7">
        <w:rPr>
          <w:rFonts w:cs="Arial"/>
        </w:rPr>
        <w:t>scenarios</w:t>
      </w:r>
      <w:proofErr w:type="gramEnd"/>
      <w:r w:rsidRPr="00FA4DC7">
        <w:rPr>
          <w:rFonts w:cs="Arial"/>
        </w:rPr>
        <w:t xml:space="preserve"> and different rates of household formation.  </w:t>
      </w:r>
    </w:p>
    <w:p w14:paraId="12C93726" w14:textId="77777777" w:rsidR="00CE1BDB" w:rsidRPr="00FA4DC7" w:rsidRDefault="00CE1BDB" w:rsidP="00CE1BDB">
      <w:pPr>
        <w:pStyle w:val="Reporttext"/>
        <w:numPr>
          <w:ilvl w:val="0"/>
          <w:numId w:val="44"/>
        </w:numPr>
        <w:rPr>
          <w:rFonts w:cs="Arial"/>
        </w:rPr>
      </w:pPr>
      <w:r w:rsidRPr="00FA4DC7">
        <w:rPr>
          <w:rFonts w:cs="Arial"/>
        </w:rPr>
        <w:t xml:space="preserve">The council has provided details of relevant growth strategies and strategic infrastructure developments and any decisions to meet unmet need from neighbouring local authorities. </w:t>
      </w:r>
    </w:p>
    <w:p w14:paraId="4C555B39" w14:textId="77777777" w:rsidR="00CE1BDB" w:rsidRPr="00FA4DC7" w:rsidRDefault="00CE1BDB" w:rsidP="00CE1BDB">
      <w:pPr>
        <w:pStyle w:val="Reporttext"/>
        <w:tabs>
          <w:tab w:val="clear" w:pos="2128"/>
          <w:tab w:val="num" w:pos="1419"/>
        </w:tabs>
        <w:jc w:val="both"/>
        <w:rPr>
          <w:rFonts w:cs="Arial"/>
        </w:rPr>
      </w:pPr>
      <w:r w:rsidRPr="00FA4DC7">
        <w:rPr>
          <w:rFonts w:cs="Arial"/>
        </w:rPr>
        <w:t>Table 4.4 sets out alternative dwelling need under a series of alternative demographic scenarios. Full details are available in the Edge Analytics ‘Medway – Housing and Demographics April 2021 report. This table includes alternative Household Representative Rates (HRRs) under 2014-based and 2018-based population projections. HRRs are defined as the probability of anyone in the particular demographic group being classified as a household representative.</w:t>
      </w:r>
    </w:p>
    <w:p w14:paraId="01997490" w14:textId="77777777" w:rsidR="00CE1BDB" w:rsidRPr="00FA4DC7" w:rsidRDefault="00CE1BDB" w:rsidP="00CE1BDB">
      <w:pPr>
        <w:rPr>
          <w:rFonts w:cs="Arial"/>
          <w:highlight w:val="yellow"/>
          <w:lang w:eastAsia="en-US"/>
        </w:rPr>
      </w:pPr>
    </w:p>
    <w:p w14:paraId="34E67C75" w14:textId="77777777" w:rsidR="000A3A5C" w:rsidRDefault="000A3A5C">
      <w:pPr>
        <w:rPr>
          <w:rFonts w:cs="Arial"/>
          <w:highlight w:val="yellow"/>
          <w:lang w:eastAsia="en-US"/>
        </w:rPr>
        <w:sectPr w:rsidR="000A3A5C" w:rsidSect="00EF49A7">
          <w:pgSz w:w="11906" w:h="16838"/>
          <w:pgMar w:top="1440" w:right="1276" w:bottom="1134" w:left="1440" w:header="709" w:footer="709" w:gutter="0"/>
          <w:cols w:space="708"/>
          <w:docGrid w:linePitch="360"/>
        </w:sectPr>
      </w:pPr>
    </w:p>
    <w:tbl>
      <w:tblPr>
        <w:tblStyle w:val="TableGrid"/>
        <w:tblW w:w="5000" w:type="pct"/>
        <w:tblLook w:val="04A0" w:firstRow="1" w:lastRow="0" w:firstColumn="1" w:lastColumn="0" w:noHBand="0" w:noVBand="1"/>
      </w:tblPr>
      <w:tblGrid>
        <w:gridCol w:w="2830"/>
        <w:gridCol w:w="8222"/>
        <w:gridCol w:w="992"/>
        <w:gridCol w:w="1135"/>
        <w:gridCol w:w="1075"/>
      </w:tblGrid>
      <w:tr w:rsidR="00CE1BDB" w:rsidRPr="000A3A5C" w14:paraId="2745D661" w14:textId="77777777" w:rsidTr="000A3A5C">
        <w:tc>
          <w:tcPr>
            <w:tcW w:w="5000" w:type="pct"/>
            <w:gridSpan w:val="5"/>
            <w:shd w:val="clear" w:color="auto" w:fill="006666"/>
          </w:tcPr>
          <w:p w14:paraId="3F4077EF" w14:textId="77777777" w:rsidR="00CE1BDB" w:rsidRPr="000A3A5C" w:rsidRDefault="00CE1BDB" w:rsidP="000A3A5C">
            <w:pPr>
              <w:pStyle w:val="Tableheading1"/>
              <w:spacing w:before="20" w:after="20"/>
              <w:rPr>
                <w:rFonts w:cs="Arial"/>
                <w:szCs w:val="22"/>
              </w:rPr>
            </w:pPr>
            <w:bookmarkStart w:id="363" w:name="_Toc63760485"/>
            <w:bookmarkStart w:id="364" w:name="_Toc83036101"/>
            <w:r w:rsidRPr="000A3A5C">
              <w:rPr>
                <w:rFonts w:cs="Arial"/>
                <w:szCs w:val="22"/>
              </w:rPr>
              <w:lastRenderedPageBreak/>
              <w:t xml:space="preserve">Table 4.4 </w:t>
            </w:r>
            <w:r w:rsidRPr="000A3A5C">
              <w:rPr>
                <w:rFonts w:cs="Arial"/>
                <w:szCs w:val="22"/>
              </w:rPr>
              <w:tab/>
              <w:t>Summary of alternative demographic scenarios</w:t>
            </w:r>
            <w:bookmarkEnd w:id="363"/>
            <w:r w:rsidRPr="000A3A5C">
              <w:rPr>
                <w:rFonts w:cs="Arial"/>
                <w:szCs w:val="22"/>
              </w:rPr>
              <w:t xml:space="preserve"> 2021-2037</w:t>
            </w:r>
            <w:bookmarkEnd w:id="364"/>
          </w:p>
        </w:tc>
      </w:tr>
      <w:tr w:rsidR="000A3A5C" w:rsidRPr="000A3A5C" w14:paraId="01E09537" w14:textId="77777777" w:rsidTr="000A3A5C">
        <w:tc>
          <w:tcPr>
            <w:tcW w:w="993" w:type="pct"/>
            <w:vMerge w:val="restart"/>
            <w:shd w:val="clear" w:color="auto" w:fill="006666"/>
            <w:vAlign w:val="bottom"/>
          </w:tcPr>
          <w:p w14:paraId="3D3E16D0" w14:textId="77777777" w:rsidR="00CE1BDB" w:rsidRPr="000A3A5C" w:rsidRDefault="00CE1BDB" w:rsidP="000A3A5C">
            <w:pPr>
              <w:spacing w:before="20" w:after="20"/>
              <w:rPr>
                <w:rFonts w:cs="Arial"/>
                <w:b/>
                <w:bCs/>
                <w:color w:val="FFFFFF" w:themeColor="background1"/>
                <w:sz w:val="22"/>
                <w:szCs w:val="22"/>
                <w:lang w:eastAsia="en-US"/>
              </w:rPr>
            </w:pPr>
            <w:r w:rsidRPr="000A3A5C">
              <w:rPr>
                <w:rFonts w:cs="Arial"/>
                <w:b/>
                <w:bCs/>
                <w:color w:val="FFFFFF" w:themeColor="background1"/>
                <w:sz w:val="22"/>
                <w:szCs w:val="22"/>
                <w:lang w:eastAsia="en-US"/>
              </w:rPr>
              <w:t>Scenario</w:t>
            </w:r>
          </w:p>
        </w:tc>
        <w:tc>
          <w:tcPr>
            <w:tcW w:w="2884" w:type="pct"/>
            <w:vMerge w:val="restart"/>
            <w:shd w:val="clear" w:color="auto" w:fill="006666"/>
            <w:vAlign w:val="bottom"/>
          </w:tcPr>
          <w:p w14:paraId="11FDFFA9" w14:textId="77777777" w:rsidR="00CE1BDB" w:rsidRPr="000A3A5C" w:rsidRDefault="00CE1BDB" w:rsidP="000A3A5C">
            <w:pPr>
              <w:spacing w:before="20" w:after="20"/>
              <w:rPr>
                <w:rFonts w:cs="Arial"/>
                <w:b/>
                <w:bCs/>
                <w:color w:val="FFFFFF" w:themeColor="background1"/>
                <w:sz w:val="22"/>
                <w:szCs w:val="22"/>
                <w:lang w:eastAsia="en-US"/>
              </w:rPr>
            </w:pPr>
            <w:r w:rsidRPr="000A3A5C">
              <w:rPr>
                <w:rFonts w:cs="Arial"/>
                <w:b/>
                <w:bCs/>
                <w:color w:val="FFFFFF" w:themeColor="background1"/>
                <w:sz w:val="22"/>
                <w:szCs w:val="22"/>
                <w:lang w:eastAsia="en-US"/>
              </w:rPr>
              <w:t>Description</w:t>
            </w:r>
          </w:p>
        </w:tc>
        <w:tc>
          <w:tcPr>
            <w:tcW w:w="1123" w:type="pct"/>
            <w:gridSpan w:val="3"/>
            <w:shd w:val="clear" w:color="auto" w:fill="006666"/>
            <w:vAlign w:val="bottom"/>
          </w:tcPr>
          <w:p w14:paraId="58459E8E" w14:textId="77777777" w:rsidR="00CE1BDB" w:rsidRPr="000A3A5C" w:rsidRDefault="00CE1BDB" w:rsidP="000A3A5C">
            <w:pPr>
              <w:spacing w:before="20" w:after="20"/>
              <w:jc w:val="center"/>
              <w:rPr>
                <w:rFonts w:cs="Arial"/>
                <w:b/>
                <w:bCs/>
                <w:color w:val="FFFFFF" w:themeColor="background1"/>
                <w:sz w:val="22"/>
                <w:szCs w:val="22"/>
                <w:lang w:eastAsia="en-US"/>
              </w:rPr>
            </w:pPr>
            <w:r w:rsidRPr="000A3A5C">
              <w:rPr>
                <w:rFonts w:cs="Arial"/>
                <w:b/>
                <w:bCs/>
                <w:color w:val="FFFFFF" w:themeColor="background1"/>
                <w:sz w:val="22"/>
                <w:szCs w:val="22"/>
                <w:lang w:eastAsia="en-US"/>
              </w:rPr>
              <w:t>Annual dwelling need under alternative Household Representative Rates</w:t>
            </w:r>
          </w:p>
        </w:tc>
      </w:tr>
      <w:tr w:rsidR="000A3A5C" w:rsidRPr="000A3A5C" w14:paraId="6D8FE8C5" w14:textId="77777777" w:rsidTr="000A3A5C">
        <w:tc>
          <w:tcPr>
            <w:tcW w:w="993" w:type="pct"/>
            <w:vMerge/>
            <w:shd w:val="clear" w:color="auto" w:fill="006666"/>
            <w:vAlign w:val="bottom"/>
          </w:tcPr>
          <w:p w14:paraId="1FC91A7A" w14:textId="77777777" w:rsidR="00CE1BDB" w:rsidRPr="000A3A5C" w:rsidRDefault="00CE1BDB" w:rsidP="000A3A5C">
            <w:pPr>
              <w:spacing w:before="20" w:after="20"/>
              <w:jc w:val="center"/>
              <w:rPr>
                <w:rFonts w:cs="Arial"/>
                <w:b/>
                <w:bCs/>
                <w:color w:val="FFFFFF" w:themeColor="background1"/>
                <w:sz w:val="22"/>
                <w:szCs w:val="22"/>
                <w:lang w:eastAsia="en-US"/>
              </w:rPr>
            </w:pPr>
          </w:p>
        </w:tc>
        <w:tc>
          <w:tcPr>
            <w:tcW w:w="2884" w:type="pct"/>
            <w:vMerge/>
            <w:shd w:val="clear" w:color="auto" w:fill="006666"/>
            <w:vAlign w:val="bottom"/>
          </w:tcPr>
          <w:p w14:paraId="01097658" w14:textId="77777777" w:rsidR="00CE1BDB" w:rsidRPr="000A3A5C" w:rsidRDefault="00CE1BDB" w:rsidP="000A3A5C">
            <w:pPr>
              <w:pStyle w:val="NormalWeb"/>
              <w:spacing w:before="20" w:beforeAutospacing="0" w:after="20" w:afterAutospacing="0"/>
              <w:jc w:val="center"/>
              <w:rPr>
                <w:rFonts w:ascii="Arial" w:hAnsi="Arial" w:cs="Arial"/>
                <w:b/>
                <w:bCs/>
                <w:color w:val="FFFFFF" w:themeColor="background1"/>
                <w:sz w:val="22"/>
                <w:szCs w:val="22"/>
              </w:rPr>
            </w:pPr>
          </w:p>
        </w:tc>
        <w:tc>
          <w:tcPr>
            <w:tcW w:w="348" w:type="pct"/>
            <w:shd w:val="clear" w:color="auto" w:fill="006666"/>
            <w:vAlign w:val="bottom"/>
          </w:tcPr>
          <w:p w14:paraId="630DC50A" w14:textId="77777777" w:rsidR="00CE1BDB" w:rsidRPr="000A3A5C" w:rsidRDefault="00CE1BDB" w:rsidP="000A3A5C">
            <w:pPr>
              <w:spacing w:before="20" w:after="20"/>
              <w:jc w:val="center"/>
              <w:rPr>
                <w:rFonts w:cs="Arial"/>
                <w:b/>
                <w:bCs/>
                <w:color w:val="FFFFFF" w:themeColor="background1"/>
                <w:sz w:val="22"/>
                <w:szCs w:val="22"/>
                <w:lang w:eastAsia="en-US"/>
              </w:rPr>
            </w:pPr>
            <w:r w:rsidRPr="000A3A5C">
              <w:rPr>
                <w:rFonts w:cs="Arial"/>
                <w:b/>
                <w:bCs/>
                <w:color w:val="FFFFFF" w:themeColor="background1"/>
                <w:sz w:val="22"/>
                <w:szCs w:val="22"/>
                <w:lang w:eastAsia="en-US"/>
              </w:rPr>
              <w:t>HH-14</w:t>
            </w:r>
          </w:p>
        </w:tc>
        <w:tc>
          <w:tcPr>
            <w:tcW w:w="398" w:type="pct"/>
            <w:shd w:val="clear" w:color="auto" w:fill="006666"/>
            <w:vAlign w:val="bottom"/>
          </w:tcPr>
          <w:p w14:paraId="224CFDE2" w14:textId="77777777" w:rsidR="00CE1BDB" w:rsidRPr="000A3A5C" w:rsidRDefault="00CE1BDB" w:rsidP="000A3A5C">
            <w:pPr>
              <w:spacing w:before="20" w:after="20"/>
              <w:jc w:val="center"/>
              <w:rPr>
                <w:rFonts w:cs="Arial"/>
                <w:b/>
                <w:bCs/>
                <w:color w:val="FFFFFF" w:themeColor="background1"/>
                <w:sz w:val="22"/>
                <w:szCs w:val="22"/>
                <w:lang w:eastAsia="en-US"/>
              </w:rPr>
            </w:pPr>
            <w:r w:rsidRPr="000A3A5C">
              <w:rPr>
                <w:rFonts w:cs="Arial"/>
                <w:b/>
                <w:bCs/>
                <w:color w:val="FFFFFF" w:themeColor="background1"/>
                <w:sz w:val="22"/>
                <w:szCs w:val="22"/>
                <w:lang w:eastAsia="en-US"/>
              </w:rPr>
              <w:t>HH-18</w:t>
            </w:r>
          </w:p>
        </w:tc>
        <w:tc>
          <w:tcPr>
            <w:tcW w:w="377" w:type="pct"/>
            <w:shd w:val="clear" w:color="auto" w:fill="006666"/>
            <w:vAlign w:val="bottom"/>
          </w:tcPr>
          <w:p w14:paraId="7EB47F98" w14:textId="77777777" w:rsidR="00CE1BDB" w:rsidRPr="000A3A5C" w:rsidRDefault="00CE1BDB" w:rsidP="000A3A5C">
            <w:pPr>
              <w:spacing w:before="20" w:after="20"/>
              <w:jc w:val="center"/>
              <w:rPr>
                <w:rFonts w:cs="Arial"/>
                <w:b/>
                <w:bCs/>
                <w:color w:val="FFFFFF" w:themeColor="background1"/>
                <w:sz w:val="22"/>
                <w:szCs w:val="22"/>
                <w:lang w:eastAsia="en-US"/>
              </w:rPr>
            </w:pPr>
            <w:r w:rsidRPr="000A3A5C">
              <w:rPr>
                <w:rFonts w:cs="Arial"/>
                <w:b/>
                <w:bCs/>
                <w:color w:val="FFFFFF" w:themeColor="background1"/>
                <w:sz w:val="22"/>
                <w:szCs w:val="22"/>
                <w:lang w:eastAsia="en-US"/>
              </w:rPr>
              <w:t>HH18R</w:t>
            </w:r>
          </w:p>
        </w:tc>
      </w:tr>
      <w:tr w:rsidR="000A3A5C" w:rsidRPr="000A3A5C" w14:paraId="62B343D1" w14:textId="77777777" w:rsidTr="000A3A5C">
        <w:tc>
          <w:tcPr>
            <w:tcW w:w="993" w:type="pct"/>
          </w:tcPr>
          <w:p w14:paraId="44E1C5D4"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 xml:space="preserve">Standard Method </w:t>
            </w:r>
          </w:p>
        </w:tc>
        <w:tc>
          <w:tcPr>
            <w:tcW w:w="2884" w:type="pct"/>
          </w:tcPr>
          <w:p w14:paraId="4B89057C" w14:textId="77777777" w:rsid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 xml:space="preserve">Models the population impact of the MHCLG’s standard method target based on December 2020 Planning Practice Guidance. </w:t>
            </w:r>
          </w:p>
          <w:p w14:paraId="55DF9502" w14:textId="2A098D93"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 xml:space="preserve">Calculation based on 2021-2031 period and 2020 affordability ratios </w:t>
            </w:r>
          </w:p>
        </w:tc>
        <w:tc>
          <w:tcPr>
            <w:tcW w:w="1123" w:type="pct"/>
            <w:gridSpan w:val="3"/>
          </w:tcPr>
          <w:p w14:paraId="7D645CD7" w14:textId="77777777" w:rsidR="00CE1BDB" w:rsidRPr="000A3A5C" w:rsidRDefault="00CE1BDB" w:rsidP="000A3A5C">
            <w:pPr>
              <w:spacing w:before="20" w:after="20"/>
              <w:jc w:val="center"/>
              <w:rPr>
                <w:rFonts w:cs="Arial"/>
                <w:color w:val="000000" w:themeColor="text1"/>
                <w:sz w:val="22"/>
                <w:szCs w:val="22"/>
                <w:lang w:eastAsia="en-US"/>
              </w:rPr>
            </w:pPr>
            <w:r w:rsidRPr="000A3A5C">
              <w:rPr>
                <w:rFonts w:cs="Arial"/>
                <w:sz w:val="22"/>
                <w:szCs w:val="22"/>
                <w:lang w:eastAsia="en-US"/>
              </w:rPr>
              <w:t>1,586 (of which 1,297 is demographic and 289 is an affordability uplift)</w:t>
            </w:r>
          </w:p>
          <w:p w14:paraId="0E4AB29F" w14:textId="77777777" w:rsidR="00CE1BDB" w:rsidRPr="000A3A5C" w:rsidRDefault="00CE1BDB" w:rsidP="000A3A5C">
            <w:pPr>
              <w:spacing w:before="20" w:after="20"/>
              <w:jc w:val="center"/>
              <w:rPr>
                <w:rFonts w:cs="Arial"/>
                <w:color w:val="000000" w:themeColor="text1"/>
                <w:sz w:val="22"/>
                <w:szCs w:val="22"/>
                <w:lang w:eastAsia="en-US"/>
              </w:rPr>
            </w:pPr>
            <w:r w:rsidRPr="000A3A5C">
              <w:rPr>
                <w:rFonts w:cs="Arial"/>
                <w:color w:val="000000" w:themeColor="text1"/>
                <w:sz w:val="22"/>
                <w:szCs w:val="22"/>
                <w:lang w:eastAsia="en-US"/>
              </w:rPr>
              <w:t>The council reported a figure of 1,662 (2020)</w:t>
            </w:r>
          </w:p>
        </w:tc>
      </w:tr>
      <w:tr w:rsidR="000A3A5C" w:rsidRPr="000A3A5C" w14:paraId="541F8D82" w14:textId="77777777" w:rsidTr="000A3A5C">
        <w:tc>
          <w:tcPr>
            <w:tcW w:w="993" w:type="pct"/>
            <w:vAlign w:val="center"/>
          </w:tcPr>
          <w:p w14:paraId="123DA2C3"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SNPP 2014</w:t>
            </w:r>
          </w:p>
        </w:tc>
        <w:tc>
          <w:tcPr>
            <w:tcW w:w="2884" w:type="pct"/>
          </w:tcPr>
          <w:p w14:paraId="6199D3A7"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Replicate the ONS 2014-based SNPP P</w:t>
            </w:r>
            <w:r w:rsidRPr="000A3A5C">
              <w:rPr>
                <w:rFonts w:ascii="Arial" w:hAnsi="Arial" w:cs="Arial"/>
                <w:i/>
                <w:iCs/>
                <w:sz w:val="22"/>
                <w:szCs w:val="22"/>
              </w:rPr>
              <w:t>rincipal</w:t>
            </w:r>
            <w:r w:rsidRPr="000A3A5C">
              <w:rPr>
                <w:rFonts w:ascii="Arial" w:hAnsi="Arial" w:cs="Arial"/>
                <w:sz w:val="22"/>
                <w:szCs w:val="22"/>
              </w:rPr>
              <w:t xml:space="preserve"> projection, using historical population evidence for 2001–2014.</w:t>
            </w:r>
          </w:p>
        </w:tc>
        <w:tc>
          <w:tcPr>
            <w:tcW w:w="348" w:type="pct"/>
            <w:vAlign w:val="center"/>
          </w:tcPr>
          <w:p w14:paraId="65598C13"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1,333</w:t>
            </w:r>
          </w:p>
        </w:tc>
        <w:tc>
          <w:tcPr>
            <w:tcW w:w="398" w:type="pct"/>
            <w:vAlign w:val="center"/>
          </w:tcPr>
          <w:p w14:paraId="375FB003"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1,329</w:t>
            </w:r>
          </w:p>
        </w:tc>
        <w:tc>
          <w:tcPr>
            <w:tcW w:w="377" w:type="pct"/>
            <w:vAlign w:val="center"/>
          </w:tcPr>
          <w:p w14:paraId="6CF02746"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1,565</w:t>
            </w:r>
          </w:p>
        </w:tc>
      </w:tr>
      <w:tr w:rsidR="000A3A5C" w:rsidRPr="000A3A5C" w14:paraId="0D26AB10" w14:textId="77777777" w:rsidTr="000A3A5C">
        <w:tc>
          <w:tcPr>
            <w:tcW w:w="993" w:type="pct"/>
            <w:vAlign w:val="center"/>
          </w:tcPr>
          <w:p w14:paraId="59848F6A"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SNPP 2018-10YR</w:t>
            </w:r>
          </w:p>
        </w:tc>
        <w:tc>
          <w:tcPr>
            <w:tcW w:w="2884" w:type="pct"/>
          </w:tcPr>
          <w:p w14:paraId="4D7EB185"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Replicates the ONS 2018-based SNPP 10-year Migration population projection, using historical population evidence for 2001–2018. This variant uses 10 years of all migration data to inform the projection</w:t>
            </w:r>
          </w:p>
        </w:tc>
        <w:tc>
          <w:tcPr>
            <w:tcW w:w="348" w:type="pct"/>
            <w:vAlign w:val="center"/>
          </w:tcPr>
          <w:p w14:paraId="106D1742"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914</w:t>
            </w:r>
          </w:p>
        </w:tc>
        <w:tc>
          <w:tcPr>
            <w:tcW w:w="398" w:type="pct"/>
            <w:vAlign w:val="center"/>
          </w:tcPr>
          <w:p w14:paraId="4421ED95"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911</w:t>
            </w:r>
          </w:p>
        </w:tc>
        <w:tc>
          <w:tcPr>
            <w:tcW w:w="377" w:type="pct"/>
            <w:vAlign w:val="center"/>
          </w:tcPr>
          <w:p w14:paraId="64A44637"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1,125</w:t>
            </w:r>
          </w:p>
        </w:tc>
      </w:tr>
      <w:tr w:rsidR="000A3A5C" w:rsidRPr="000A3A5C" w14:paraId="12B3C686" w14:textId="77777777" w:rsidTr="000A3A5C">
        <w:tc>
          <w:tcPr>
            <w:tcW w:w="993" w:type="pct"/>
            <w:vAlign w:val="center"/>
          </w:tcPr>
          <w:p w14:paraId="1F7D3AB0"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SNPP 2018-Alternative</w:t>
            </w:r>
          </w:p>
        </w:tc>
        <w:tc>
          <w:tcPr>
            <w:tcW w:w="2884" w:type="pct"/>
          </w:tcPr>
          <w:p w14:paraId="22413C6B"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Replicates the ONS 2018-based SNPP Alternative Internal Migration population projection, using historical population evidence for 2001–2018. This variant uses five years of internal migration data to inform the projection, two years using the new ONS HELM methodology and three years using its previous methodology</w:t>
            </w:r>
          </w:p>
        </w:tc>
        <w:tc>
          <w:tcPr>
            <w:tcW w:w="348" w:type="pct"/>
            <w:vAlign w:val="center"/>
          </w:tcPr>
          <w:p w14:paraId="3BB79D7A"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716</w:t>
            </w:r>
          </w:p>
        </w:tc>
        <w:tc>
          <w:tcPr>
            <w:tcW w:w="398" w:type="pct"/>
            <w:vAlign w:val="center"/>
          </w:tcPr>
          <w:p w14:paraId="0E212B8A"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714</w:t>
            </w:r>
          </w:p>
        </w:tc>
        <w:tc>
          <w:tcPr>
            <w:tcW w:w="377" w:type="pct"/>
            <w:vAlign w:val="center"/>
          </w:tcPr>
          <w:p w14:paraId="298FF4EC"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913</w:t>
            </w:r>
          </w:p>
        </w:tc>
      </w:tr>
      <w:tr w:rsidR="000A3A5C" w:rsidRPr="000A3A5C" w14:paraId="2DAC4809" w14:textId="77777777" w:rsidTr="000A3A5C">
        <w:tc>
          <w:tcPr>
            <w:tcW w:w="993" w:type="pct"/>
            <w:vAlign w:val="center"/>
          </w:tcPr>
          <w:p w14:paraId="15D3AC6B"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PG-Long Term</w:t>
            </w:r>
          </w:p>
        </w:tc>
        <w:tc>
          <w:tcPr>
            <w:tcW w:w="2884" w:type="pct"/>
          </w:tcPr>
          <w:p w14:paraId="748A3F03"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Uses an ONS 2019 Mid-Year Estimate base year and calibrates its migration assumptions for an 18-year historical period (2001/2 – 2018/19)</w:t>
            </w:r>
          </w:p>
        </w:tc>
        <w:tc>
          <w:tcPr>
            <w:tcW w:w="348" w:type="pct"/>
            <w:vAlign w:val="center"/>
          </w:tcPr>
          <w:p w14:paraId="76A0547E"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681</w:t>
            </w:r>
          </w:p>
        </w:tc>
        <w:tc>
          <w:tcPr>
            <w:tcW w:w="398" w:type="pct"/>
            <w:vAlign w:val="center"/>
          </w:tcPr>
          <w:p w14:paraId="7FD65018"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686</w:t>
            </w:r>
          </w:p>
        </w:tc>
        <w:tc>
          <w:tcPr>
            <w:tcW w:w="377" w:type="pct"/>
            <w:vAlign w:val="center"/>
          </w:tcPr>
          <w:p w14:paraId="5BCB9F54"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889</w:t>
            </w:r>
          </w:p>
        </w:tc>
      </w:tr>
      <w:tr w:rsidR="000A3A5C" w:rsidRPr="000A3A5C" w14:paraId="700426E9" w14:textId="77777777" w:rsidTr="000A3A5C">
        <w:tc>
          <w:tcPr>
            <w:tcW w:w="993" w:type="pct"/>
            <w:vAlign w:val="center"/>
          </w:tcPr>
          <w:p w14:paraId="45545809"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SNPP 2018-based-HIGH</w:t>
            </w:r>
          </w:p>
        </w:tc>
        <w:tc>
          <w:tcPr>
            <w:tcW w:w="2884" w:type="pct"/>
          </w:tcPr>
          <w:p w14:paraId="4FC23825"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 xml:space="preserve">Replicates the ONS 2018-based SNPP </w:t>
            </w:r>
            <w:r w:rsidRPr="000A3A5C">
              <w:rPr>
                <w:rFonts w:ascii="Arial" w:hAnsi="Arial" w:cs="Arial"/>
                <w:i/>
                <w:iCs/>
                <w:sz w:val="22"/>
                <w:szCs w:val="22"/>
              </w:rPr>
              <w:t>Higher Migration</w:t>
            </w:r>
            <w:r w:rsidRPr="000A3A5C">
              <w:rPr>
                <w:rFonts w:ascii="Arial" w:hAnsi="Arial" w:cs="Arial"/>
                <w:sz w:val="22"/>
                <w:szCs w:val="22"/>
              </w:rPr>
              <w:t xml:space="preserve"> population projection, using historical population evidence for 2001–2018. This variant assumes higher levels of net international migration</w:t>
            </w:r>
          </w:p>
        </w:tc>
        <w:tc>
          <w:tcPr>
            <w:tcW w:w="348" w:type="pct"/>
            <w:vAlign w:val="center"/>
          </w:tcPr>
          <w:p w14:paraId="68F0CC57"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623</w:t>
            </w:r>
          </w:p>
        </w:tc>
        <w:tc>
          <w:tcPr>
            <w:tcW w:w="398" w:type="pct"/>
            <w:vAlign w:val="center"/>
          </w:tcPr>
          <w:p w14:paraId="78DC0AD5"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621</w:t>
            </w:r>
          </w:p>
        </w:tc>
        <w:tc>
          <w:tcPr>
            <w:tcW w:w="377" w:type="pct"/>
            <w:vAlign w:val="center"/>
          </w:tcPr>
          <w:p w14:paraId="2C98766E"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827</w:t>
            </w:r>
          </w:p>
        </w:tc>
      </w:tr>
      <w:tr w:rsidR="000A3A5C" w:rsidRPr="000A3A5C" w14:paraId="03B10F39" w14:textId="77777777" w:rsidTr="000A3A5C">
        <w:tc>
          <w:tcPr>
            <w:tcW w:w="993" w:type="pct"/>
            <w:vAlign w:val="center"/>
          </w:tcPr>
          <w:p w14:paraId="6A55A763"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PG-Short Term</w:t>
            </w:r>
          </w:p>
        </w:tc>
        <w:tc>
          <w:tcPr>
            <w:tcW w:w="2884" w:type="pct"/>
          </w:tcPr>
          <w:p w14:paraId="73036CC9"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Uses an ONS 2019 Mid-Year Estimate base year and calibrates its migration assumptions for a 5-year historical period (2014/15 – 2018/19)</w:t>
            </w:r>
          </w:p>
        </w:tc>
        <w:tc>
          <w:tcPr>
            <w:tcW w:w="348" w:type="pct"/>
            <w:vAlign w:val="center"/>
          </w:tcPr>
          <w:p w14:paraId="65714378"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554</w:t>
            </w:r>
          </w:p>
        </w:tc>
        <w:tc>
          <w:tcPr>
            <w:tcW w:w="398" w:type="pct"/>
            <w:vAlign w:val="center"/>
          </w:tcPr>
          <w:p w14:paraId="45363486"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555</w:t>
            </w:r>
          </w:p>
        </w:tc>
        <w:tc>
          <w:tcPr>
            <w:tcW w:w="377" w:type="pct"/>
            <w:vAlign w:val="center"/>
          </w:tcPr>
          <w:p w14:paraId="4B89E207"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748</w:t>
            </w:r>
          </w:p>
        </w:tc>
      </w:tr>
      <w:tr w:rsidR="000A3A5C" w:rsidRPr="000A3A5C" w14:paraId="55625066" w14:textId="77777777" w:rsidTr="000A3A5C">
        <w:tc>
          <w:tcPr>
            <w:tcW w:w="993" w:type="pct"/>
            <w:vAlign w:val="center"/>
          </w:tcPr>
          <w:p w14:paraId="3AA1A7AB"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SNPP-2018</w:t>
            </w:r>
          </w:p>
        </w:tc>
        <w:tc>
          <w:tcPr>
            <w:tcW w:w="2884" w:type="pct"/>
          </w:tcPr>
          <w:p w14:paraId="66AA1A2B"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 xml:space="preserve">Replicates the ONS 2018-based SNPP </w:t>
            </w:r>
            <w:r w:rsidRPr="000A3A5C">
              <w:rPr>
                <w:rFonts w:ascii="Arial" w:hAnsi="Arial" w:cs="Arial"/>
                <w:i/>
                <w:iCs/>
                <w:sz w:val="22"/>
                <w:szCs w:val="22"/>
              </w:rPr>
              <w:t>Principa</w:t>
            </w:r>
            <w:r w:rsidRPr="000A3A5C">
              <w:rPr>
                <w:rFonts w:ascii="Arial" w:hAnsi="Arial" w:cs="Arial"/>
                <w:sz w:val="22"/>
                <w:szCs w:val="22"/>
              </w:rPr>
              <w:t>l projection, using historical population evidence for 2001–2018, drawing its migration assumptions from a two-year period that is consistent with the new ONS HELM methodology</w:t>
            </w:r>
          </w:p>
        </w:tc>
        <w:tc>
          <w:tcPr>
            <w:tcW w:w="348" w:type="pct"/>
            <w:vAlign w:val="center"/>
          </w:tcPr>
          <w:p w14:paraId="26BAD5AA"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453</w:t>
            </w:r>
          </w:p>
        </w:tc>
        <w:tc>
          <w:tcPr>
            <w:tcW w:w="398" w:type="pct"/>
            <w:vAlign w:val="center"/>
          </w:tcPr>
          <w:p w14:paraId="68A39FC4"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456</w:t>
            </w:r>
          </w:p>
        </w:tc>
        <w:tc>
          <w:tcPr>
            <w:tcW w:w="377" w:type="pct"/>
            <w:vAlign w:val="center"/>
          </w:tcPr>
          <w:p w14:paraId="68350734"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646</w:t>
            </w:r>
          </w:p>
        </w:tc>
      </w:tr>
      <w:tr w:rsidR="000A3A5C" w:rsidRPr="000A3A5C" w14:paraId="38B2C4CC" w14:textId="77777777" w:rsidTr="000A3A5C">
        <w:tc>
          <w:tcPr>
            <w:tcW w:w="993" w:type="pct"/>
            <w:vAlign w:val="center"/>
          </w:tcPr>
          <w:p w14:paraId="37B33238" w14:textId="77777777" w:rsidR="00CE1BDB" w:rsidRPr="000A3A5C" w:rsidRDefault="00CE1BDB" w:rsidP="000A3A5C">
            <w:pPr>
              <w:spacing w:before="20" w:after="20"/>
              <w:rPr>
                <w:rFonts w:cs="Arial"/>
                <w:sz w:val="22"/>
                <w:szCs w:val="22"/>
                <w:lang w:eastAsia="en-US"/>
              </w:rPr>
            </w:pPr>
            <w:r w:rsidRPr="000A3A5C">
              <w:rPr>
                <w:rFonts w:cs="Arial"/>
                <w:sz w:val="22"/>
                <w:szCs w:val="22"/>
                <w:lang w:eastAsia="en-US"/>
              </w:rPr>
              <w:t>SNPP 2018-based-LOW</w:t>
            </w:r>
          </w:p>
        </w:tc>
        <w:tc>
          <w:tcPr>
            <w:tcW w:w="2884" w:type="pct"/>
          </w:tcPr>
          <w:p w14:paraId="709A6E06" w14:textId="77777777" w:rsidR="00CE1BDB" w:rsidRPr="000A3A5C" w:rsidRDefault="00CE1BDB" w:rsidP="000A3A5C">
            <w:pPr>
              <w:pStyle w:val="NormalWeb"/>
              <w:spacing w:before="20" w:beforeAutospacing="0" w:after="20" w:afterAutospacing="0"/>
              <w:jc w:val="left"/>
              <w:rPr>
                <w:rFonts w:ascii="Arial" w:hAnsi="Arial" w:cs="Arial"/>
                <w:sz w:val="22"/>
                <w:szCs w:val="22"/>
              </w:rPr>
            </w:pPr>
            <w:r w:rsidRPr="000A3A5C">
              <w:rPr>
                <w:rFonts w:ascii="Arial" w:hAnsi="Arial" w:cs="Arial"/>
                <w:sz w:val="22"/>
                <w:szCs w:val="22"/>
              </w:rPr>
              <w:t xml:space="preserve">Replicates the ONS 2018-based SNPP </w:t>
            </w:r>
            <w:r w:rsidRPr="000A3A5C">
              <w:rPr>
                <w:rFonts w:ascii="Arial" w:hAnsi="Arial" w:cs="Arial"/>
                <w:i/>
                <w:iCs/>
                <w:sz w:val="22"/>
                <w:szCs w:val="22"/>
              </w:rPr>
              <w:t>Lower Migration</w:t>
            </w:r>
            <w:r w:rsidRPr="000A3A5C">
              <w:rPr>
                <w:rFonts w:ascii="Arial" w:hAnsi="Arial" w:cs="Arial"/>
                <w:sz w:val="22"/>
                <w:szCs w:val="22"/>
              </w:rPr>
              <w:t xml:space="preserve"> population projection, using historical population evidence for 2001–2018. This variant assumes lower levels of net international migration.</w:t>
            </w:r>
          </w:p>
        </w:tc>
        <w:tc>
          <w:tcPr>
            <w:tcW w:w="348" w:type="pct"/>
            <w:vAlign w:val="center"/>
          </w:tcPr>
          <w:p w14:paraId="6F7BDAA8"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282</w:t>
            </w:r>
          </w:p>
        </w:tc>
        <w:tc>
          <w:tcPr>
            <w:tcW w:w="398" w:type="pct"/>
            <w:vAlign w:val="center"/>
          </w:tcPr>
          <w:p w14:paraId="7D80503F"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291</w:t>
            </w:r>
          </w:p>
        </w:tc>
        <w:tc>
          <w:tcPr>
            <w:tcW w:w="377" w:type="pct"/>
            <w:vAlign w:val="center"/>
          </w:tcPr>
          <w:p w14:paraId="3E936C69" w14:textId="77777777" w:rsidR="00CE1BDB" w:rsidRPr="000A3A5C" w:rsidRDefault="00CE1BDB" w:rsidP="000A3A5C">
            <w:pPr>
              <w:spacing w:before="20" w:after="20"/>
              <w:jc w:val="center"/>
              <w:rPr>
                <w:rFonts w:cs="Arial"/>
                <w:sz w:val="22"/>
                <w:szCs w:val="22"/>
                <w:lang w:eastAsia="en-US"/>
              </w:rPr>
            </w:pPr>
            <w:r w:rsidRPr="000A3A5C">
              <w:rPr>
                <w:rFonts w:cs="Arial"/>
                <w:sz w:val="22"/>
                <w:szCs w:val="22"/>
                <w:lang w:eastAsia="en-US"/>
              </w:rPr>
              <w:t>465</w:t>
            </w:r>
          </w:p>
        </w:tc>
      </w:tr>
    </w:tbl>
    <w:p w14:paraId="3D3498FB" w14:textId="77777777" w:rsidR="00CE1BDB" w:rsidRPr="000A3A5C" w:rsidRDefault="00CE1BDB" w:rsidP="00CE1BDB">
      <w:pPr>
        <w:rPr>
          <w:rFonts w:cs="Arial"/>
          <w:sz w:val="22"/>
          <w:szCs w:val="22"/>
          <w:lang w:eastAsia="en-US"/>
        </w:rPr>
      </w:pPr>
      <w:r w:rsidRPr="000A3A5C">
        <w:rPr>
          <w:rFonts w:cs="Arial"/>
          <w:sz w:val="22"/>
          <w:szCs w:val="22"/>
          <w:lang w:eastAsia="en-US"/>
        </w:rPr>
        <w:t xml:space="preserve">Source: Edge Analytics Medway – Housing and Demographics April 2021 Tables 1 and 3 </w:t>
      </w:r>
    </w:p>
    <w:p w14:paraId="53075049" w14:textId="77777777" w:rsidR="000A3A5C" w:rsidRPr="000A3A5C" w:rsidRDefault="000A3A5C" w:rsidP="00CE1BDB">
      <w:pPr>
        <w:rPr>
          <w:rFonts w:cs="Arial"/>
          <w:sz w:val="22"/>
          <w:szCs w:val="22"/>
          <w:highlight w:val="yellow"/>
          <w:lang w:eastAsia="en-US"/>
        </w:rPr>
        <w:sectPr w:rsidR="000A3A5C" w:rsidRPr="000A3A5C" w:rsidSect="000A3A5C">
          <w:pgSz w:w="16838" w:h="11906" w:orient="landscape"/>
          <w:pgMar w:top="1440" w:right="1440" w:bottom="1276" w:left="1134" w:header="709" w:footer="709" w:gutter="0"/>
          <w:cols w:space="708"/>
          <w:docGrid w:linePitch="360"/>
        </w:sectPr>
      </w:pPr>
    </w:p>
    <w:p w14:paraId="43F511D6" w14:textId="77777777" w:rsidR="00CE1BDB" w:rsidRPr="00FA4DC7" w:rsidRDefault="00CE1BDB" w:rsidP="00CE1BDB">
      <w:pPr>
        <w:pStyle w:val="Heading3"/>
        <w:rPr>
          <w:rFonts w:cs="Arial"/>
        </w:rPr>
      </w:pPr>
      <w:r w:rsidRPr="00FA4DC7">
        <w:rPr>
          <w:rFonts w:cs="Arial"/>
        </w:rPr>
        <w:lastRenderedPageBreak/>
        <w:t>Alternative demographic evidence</w:t>
      </w:r>
    </w:p>
    <w:p w14:paraId="2BBA107E" w14:textId="4D9842F4" w:rsidR="00CE1BDB" w:rsidRPr="0053620D" w:rsidRDefault="00CE1BDB" w:rsidP="0053620D">
      <w:pPr>
        <w:pStyle w:val="Reporttext"/>
        <w:tabs>
          <w:tab w:val="clear" w:pos="2128"/>
          <w:tab w:val="num" w:pos="1419"/>
        </w:tabs>
        <w:jc w:val="both"/>
        <w:rPr>
          <w:rFonts w:cs="Arial"/>
          <w:color w:val="000000" w:themeColor="text1"/>
        </w:rPr>
      </w:pPr>
      <w:r w:rsidRPr="00FA4DC7">
        <w:rPr>
          <w:rFonts w:cs="Arial"/>
          <w:color w:val="000000" w:themeColor="text1"/>
        </w:rPr>
        <w:t xml:space="preserve">The standard method need calculation of 1,586 is based on a 1,297 annual household increase plus an affordability uplift of 289. All of the alternative scenarios under variant Household Representative Rates indicate a lower levels of household growth, ranging between 282 and 1,565. </w:t>
      </w:r>
      <w:r w:rsidR="0053620D">
        <w:rPr>
          <w:rFonts w:cs="Arial"/>
          <w:color w:val="000000" w:themeColor="text1"/>
        </w:rPr>
        <w:t>I</w:t>
      </w:r>
      <w:r w:rsidR="0053620D" w:rsidRPr="00FA4DC7">
        <w:rPr>
          <w:rFonts w:cs="Arial"/>
          <w:color w:val="000000" w:themeColor="text1"/>
        </w:rPr>
        <w:t>t should be recognised that the 2018-household projections (principal and variants) all point to a reduction in household growth compared to the 2014-based projections</w:t>
      </w:r>
      <w:r w:rsidR="0053620D">
        <w:rPr>
          <w:rFonts w:cs="Arial"/>
          <w:color w:val="000000" w:themeColor="text1"/>
        </w:rPr>
        <w:t xml:space="preserve">. However, PPG is clear that the 2014-based projections provide the basis for the standard method calculation. </w:t>
      </w:r>
      <w:r w:rsidRPr="0053620D">
        <w:rPr>
          <w:rFonts w:cs="Arial"/>
          <w:color w:val="000000" w:themeColor="text1"/>
        </w:rPr>
        <w:t xml:space="preserve">Despite the scenarios presenting </w:t>
      </w:r>
      <w:r w:rsidR="0053620D">
        <w:rPr>
          <w:rFonts w:cs="Arial"/>
          <w:color w:val="000000" w:themeColor="text1"/>
        </w:rPr>
        <w:t xml:space="preserve">lower </w:t>
      </w:r>
      <w:r w:rsidRPr="0053620D">
        <w:rPr>
          <w:rFonts w:cs="Arial"/>
          <w:color w:val="000000" w:themeColor="text1"/>
        </w:rPr>
        <w:t xml:space="preserve">annual dwelling growth it is not considered that these </w:t>
      </w:r>
      <w:r w:rsidR="0053620D">
        <w:rPr>
          <w:rFonts w:cs="Arial"/>
          <w:color w:val="000000" w:themeColor="text1"/>
        </w:rPr>
        <w:t>constitute the</w:t>
      </w:r>
      <w:r w:rsidRPr="0053620D">
        <w:rPr>
          <w:rFonts w:cs="Arial"/>
          <w:color w:val="000000" w:themeColor="text1"/>
        </w:rPr>
        <w:t xml:space="preserve"> exceptional circumstances that would justify an alternative approach. </w:t>
      </w:r>
    </w:p>
    <w:p w14:paraId="1C176BC5" w14:textId="77777777" w:rsidR="00CE1BDB" w:rsidRPr="00EF49A7" w:rsidRDefault="00CE1BDB" w:rsidP="00CE1BDB">
      <w:pPr>
        <w:rPr>
          <w:rFonts w:cs="Arial"/>
          <w:lang w:eastAsia="en-US"/>
        </w:rPr>
      </w:pPr>
    </w:p>
    <w:p w14:paraId="498E2EAC" w14:textId="77777777" w:rsidR="00CE1BDB" w:rsidRPr="00EF49A7" w:rsidRDefault="00CE1BDB" w:rsidP="00CE1BDB">
      <w:pPr>
        <w:pStyle w:val="Heading3"/>
        <w:rPr>
          <w:rFonts w:cs="Arial"/>
        </w:rPr>
      </w:pPr>
      <w:proofErr w:type="gramStart"/>
      <w:r w:rsidRPr="00EF49A7">
        <w:rPr>
          <w:rFonts w:cs="Arial"/>
        </w:rPr>
        <w:t>Regeneration  Strategies</w:t>
      </w:r>
      <w:proofErr w:type="gramEnd"/>
      <w:r w:rsidRPr="00EF49A7">
        <w:rPr>
          <w:rFonts w:cs="Arial"/>
        </w:rPr>
        <w:t xml:space="preserve"> and strategic infrastructure improvements</w:t>
      </w:r>
    </w:p>
    <w:p w14:paraId="6EA1489C" w14:textId="6A5D5F9A" w:rsidR="00CE1BDB" w:rsidRPr="00EF49A7" w:rsidRDefault="00CE1BDB" w:rsidP="00CE1BDB">
      <w:pPr>
        <w:pStyle w:val="Reporttext"/>
        <w:tabs>
          <w:tab w:val="num" w:pos="1419"/>
        </w:tabs>
        <w:jc w:val="both"/>
        <w:rPr>
          <w:rFonts w:cs="Arial"/>
        </w:rPr>
      </w:pPr>
      <w:r w:rsidRPr="00EF49A7">
        <w:rPr>
          <w:rFonts w:cs="Arial"/>
        </w:rPr>
        <w:t xml:space="preserve">There are a range of infrastructure improvements taking place within Medway which are unlocking housing growth potential to meet local need. These include road improvements and a passenger rail service being reinstated on the </w:t>
      </w:r>
      <w:proofErr w:type="spellStart"/>
      <w:r w:rsidRPr="00EF49A7">
        <w:rPr>
          <w:rFonts w:cs="Arial"/>
        </w:rPr>
        <w:t>Hoo</w:t>
      </w:r>
      <w:proofErr w:type="spellEnd"/>
      <w:r w:rsidRPr="00EF49A7">
        <w:rPr>
          <w:rFonts w:cs="Arial"/>
        </w:rPr>
        <w:t xml:space="preserve"> peninsula. </w:t>
      </w:r>
      <w:r w:rsidR="00EF49A7" w:rsidRPr="00EF49A7">
        <w:rPr>
          <w:rFonts w:cs="Arial"/>
        </w:rPr>
        <w:t>N</w:t>
      </w:r>
      <w:r w:rsidRPr="00EF49A7">
        <w:rPr>
          <w:rFonts w:cs="Arial"/>
        </w:rPr>
        <w:t>o further uplifts to the housing number are necessary</w:t>
      </w:r>
      <w:r w:rsidR="00EF49A7" w:rsidRPr="00EF49A7">
        <w:rPr>
          <w:rFonts w:cs="Arial"/>
        </w:rPr>
        <w:t xml:space="preserve"> as regeneration strategies and infrastructure improvements are to address existing local need. </w:t>
      </w:r>
    </w:p>
    <w:p w14:paraId="3C6B777E" w14:textId="77777777" w:rsidR="00CE1BDB" w:rsidRPr="00FA4DC7" w:rsidRDefault="00CE1BDB" w:rsidP="000A3A5C">
      <w:pPr>
        <w:rPr>
          <w:highlight w:val="yellow"/>
        </w:rPr>
      </w:pPr>
    </w:p>
    <w:p w14:paraId="01D3E921" w14:textId="77777777" w:rsidR="00CE1BDB" w:rsidRPr="00FA4DC7" w:rsidRDefault="00CE1BDB" w:rsidP="00CE1BDB">
      <w:pPr>
        <w:pStyle w:val="Heading3"/>
        <w:rPr>
          <w:rFonts w:cs="Arial"/>
        </w:rPr>
      </w:pPr>
      <w:r w:rsidRPr="00FA4DC7">
        <w:rPr>
          <w:rFonts w:cs="Arial"/>
        </w:rPr>
        <w:t>Meeting unmet need from other local authorities</w:t>
      </w:r>
    </w:p>
    <w:p w14:paraId="39A34DFD" w14:textId="77777777" w:rsidR="00CE1BDB" w:rsidRPr="00FA4DC7" w:rsidRDefault="00CE1BDB" w:rsidP="00CE1BDB">
      <w:pPr>
        <w:pStyle w:val="Reporttext"/>
        <w:tabs>
          <w:tab w:val="num" w:pos="1419"/>
        </w:tabs>
        <w:jc w:val="both"/>
        <w:rPr>
          <w:rFonts w:cs="Arial"/>
        </w:rPr>
      </w:pPr>
      <w:r w:rsidRPr="00FA4DC7">
        <w:rPr>
          <w:rFonts w:cs="Arial"/>
        </w:rPr>
        <w:t xml:space="preserve">Most neighbouring authorities are seeking to meet their needs. There is a possibility that Medway will support Gravesham in meeting an unmet need of around 2,000 homes. </w:t>
      </w:r>
    </w:p>
    <w:p w14:paraId="48F3A2D3" w14:textId="77777777" w:rsidR="00CE1BDB" w:rsidRPr="00FA4DC7" w:rsidRDefault="00CE1BDB" w:rsidP="000A3A5C"/>
    <w:p w14:paraId="45BA672C" w14:textId="77777777" w:rsidR="00CE1BDB" w:rsidRPr="00FA4DC7" w:rsidRDefault="00CE1BDB" w:rsidP="00CE1BDB">
      <w:pPr>
        <w:pStyle w:val="Heading3"/>
        <w:rPr>
          <w:rFonts w:cs="Arial"/>
        </w:rPr>
      </w:pPr>
      <w:r w:rsidRPr="00FA4DC7">
        <w:rPr>
          <w:rFonts w:cs="Arial"/>
        </w:rPr>
        <w:t>Affordable housing need</w:t>
      </w:r>
    </w:p>
    <w:p w14:paraId="1B14D9C1" w14:textId="77777777" w:rsidR="00CE1BDB" w:rsidRPr="00FA4DC7" w:rsidRDefault="00CE1BDB" w:rsidP="00CE1BDB">
      <w:pPr>
        <w:pStyle w:val="Reporttext"/>
        <w:tabs>
          <w:tab w:val="clear" w:pos="2128"/>
        </w:tabs>
        <w:jc w:val="both"/>
        <w:rPr>
          <w:rFonts w:cs="Arial"/>
        </w:rPr>
      </w:pPr>
      <w:r w:rsidRPr="00FA4DC7">
        <w:rPr>
          <w:rFonts w:cs="Arial"/>
        </w:rPr>
        <w:t xml:space="preserve">A detailed analysis of affordable housing need in accordance with PPG is presented at Technical Appendix C. This establishes an overall gross affordable need of 1,735 and after taking into account affordable lettings and newbuild the net shortfall is 870 each year based on unmet need being cleared over 10 years; if cleared over a </w:t>
      </w:r>
      <w:proofErr w:type="gramStart"/>
      <w:r w:rsidRPr="00FA4DC7">
        <w:rPr>
          <w:rFonts w:cs="Arial"/>
        </w:rPr>
        <w:t>15 year</w:t>
      </w:r>
      <w:proofErr w:type="gramEnd"/>
      <w:r w:rsidRPr="00FA4DC7">
        <w:rPr>
          <w:rFonts w:cs="Arial"/>
        </w:rPr>
        <w:t xml:space="preserve"> period, the net shortfall reduces to 621 each year. This justifies the need for a robust affordable housing policy. The council does not need to meet this in full as PPG says ‘the total affordable housing need can then be considered in the context of its likely delivery as a proportion of mixed market and affordable housing developments, </w:t>
      </w:r>
      <w:proofErr w:type="gramStart"/>
      <w:r w:rsidRPr="00FA4DC7">
        <w:rPr>
          <w:rFonts w:cs="Arial"/>
        </w:rPr>
        <w:t>taking into account</w:t>
      </w:r>
      <w:proofErr w:type="gramEnd"/>
      <w:r w:rsidRPr="00FA4DC7">
        <w:rPr>
          <w:rFonts w:cs="Arial"/>
        </w:rPr>
        <w:t xml:space="preserve"> the probably percentage of affordable housing to be delivered by eligible market housing led developments. An increase in the total housing figures included in the plan may need to be considered where it could help deliver the required number of affordable homes (PPG Paragraph 024 Reference ID: 2a-024-20190202). </w:t>
      </w:r>
    </w:p>
    <w:p w14:paraId="09F281A1" w14:textId="77777777" w:rsidR="00CE1BDB" w:rsidRPr="00FA4DC7" w:rsidRDefault="00CE1BDB" w:rsidP="00CE1BDB">
      <w:pPr>
        <w:pStyle w:val="Reporttext"/>
        <w:tabs>
          <w:tab w:val="clear" w:pos="2128"/>
        </w:tabs>
        <w:jc w:val="both"/>
        <w:rPr>
          <w:rFonts w:cs="Arial"/>
        </w:rPr>
      </w:pPr>
      <w:r w:rsidRPr="00FA4DC7">
        <w:rPr>
          <w:rFonts w:cs="Arial"/>
        </w:rPr>
        <w:t xml:space="preserve">The recommended tenure split is 51% social/affordable rented and 49% affordable home ownership including First Homes. </w:t>
      </w:r>
    </w:p>
    <w:p w14:paraId="3763C007" w14:textId="77777777" w:rsidR="00CE1BDB" w:rsidRPr="00FA4DC7" w:rsidRDefault="00CE1BDB" w:rsidP="00CE1BDB">
      <w:pPr>
        <w:pStyle w:val="Reporttext"/>
        <w:tabs>
          <w:tab w:val="clear" w:pos="2128"/>
        </w:tabs>
        <w:jc w:val="both"/>
        <w:rPr>
          <w:rFonts w:cs="Arial"/>
        </w:rPr>
      </w:pPr>
      <w:r w:rsidRPr="00FA4DC7">
        <w:rPr>
          <w:rFonts w:cs="Arial"/>
        </w:rPr>
        <w:t xml:space="preserve">Given the considerable uplift in overall housing need based on the standard method, a further upwards adjustment to accommodate more affordable housing is not suggested.  </w:t>
      </w:r>
    </w:p>
    <w:p w14:paraId="5D52FDD4" w14:textId="77777777" w:rsidR="00CE1BDB" w:rsidRPr="00FA4DC7" w:rsidRDefault="00CE1BDB" w:rsidP="00CE1BDB">
      <w:pPr>
        <w:pStyle w:val="Heading3"/>
        <w:rPr>
          <w:rFonts w:cs="Arial"/>
        </w:rPr>
      </w:pPr>
      <w:r w:rsidRPr="00FA4DC7">
        <w:rPr>
          <w:rFonts w:cs="Arial"/>
        </w:rPr>
        <w:lastRenderedPageBreak/>
        <w:t>Housing to support economic growth</w:t>
      </w:r>
    </w:p>
    <w:p w14:paraId="53E0A12E" w14:textId="77777777" w:rsidR="00CE1BDB" w:rsidRPr="00FA4DC7" w:rsidRDefault="00CE1BDB" w:rsidP="00CE1BDB">
      <w:pPr>
        <w:pStyle w:val="Reporttext"/>
        <w:tabs>
          <w:tab w:val="clear" w:pos="2128"/>
          <w:tab w:val="num" w:pos="1419"/>
        </w:tabs>
        <w:jc w:val="both"/>
        <w:rPr>
          <w:rFonts w:cs="Arial"/>
          <w:color w:val="000000" w:themeColor="text1"/>
        </w:rPr>
      </w:pPr>
      <w:r w:rsidRPr="00FA4DC7">
        <w:rPr>
          <w:rFonts w:cs="Arial"/>
          <w:color w:val="000000" w:themeColor="text1"/>
        </w:rPr>
        <w:t>Edge Analytics have considered the impact of each demographic scenario upon potential employment within Medway. This considers the relationship between population and employment using key assumptions on economic activity rates, unemployment and commuting as set out in their report. The economic activity rates determine the estimated annual change in Medway’s resident labour force, whilst unemployment and commuting ratios link the labour force to workplace-based employment in Medway.</w:t>
      </w:r>
    </w:p>
    <w:p w14:paraId="6B944284" w14:textId="39D7A8FD" w:rsidR="00CE1BDB" w:rsidRPr="00FA4DC7" w:rsidRDefault="00CE1BDB" w:rsidP="00CE1BDB">
      <w:pPr>
        <w:pStyle w:val="Reporttext"/>
        <w:tabs>
          <w:tab w:val="clear" w:pos="2128"/>
          <w:tab w:val="num" w:pos="1419"/>
        </w:tabs>
        <w:jc w:val="both"/>
        <w:rPr>
          <w:rFonts w:cs="Arial"/>
          <w:color w:val="000000" w:themeColor="text1"/>
        </w:rPr>
      </w:pPr>
      <w:r w:rsidRPr="00FA4DC7">
        <w:rPr>
          <w:rFonts w:cs="Arial"/>
          <w:color w:val="000000" w:themeColor="text1"/>
        </w:rPr>
        <w:t>The average annual employment change 2012-37</w:t>
      </w:r>
      <w:r w:rsidR="007924AC">
        <w:rPr>
          <w:rFonts w:cs="Arial"/>
          <w:color w:val="000000" w:themeColor="text1"/>
        </w:rPr>
        <w:t xml:space="preserve"> which can be supported </w:t>
      </w:r>
      <w:r w:rsidRPr="00FA4DC7">
        <w:rPr>
          <w:rFonts w:cs="Arial"/>
          <w:color w:val="000000" w:themeColor="text1"/>
        </w:rPr>
        <w:t xml:space="preserve">under alternative scenarios ranges between +103 and +1,554 under alternative demographic scenarios and under the dwelling-led standard method scenario the change is +1,554. This means that the dwelling-led standard method would support an increase of 1,554 jobs each year over the plan period.  </w:t>
      </w:r>
    </w:p>
    <w:p w14:paraId="7BF5DF7C" w14:textId="32A8EF7E" w:rsidR="00CE1BDB" w:rsidRPr="00FA4DC7" w:rsidRDefault="007924AC" w:rsidP="007924AC">
      <w:pPr>
        <w:pStyle w:val="Reporttext"/>
        <w:tabs>
          <w:tab w:val="clear" w:pos="2128"/>
          <w:tab w:val="num" w:pos="1419"/>
        </w:tabs>
        <w:jc w:val="both"/>
        <w:rPr>
          <w:rFonts w:cs="Arial"/>
          <w:color w:val="000000" w:themeColor="text1"/>
        </w:rPr>
      </w:pPr>
      <w:r>
        <w:rPr>
          <w:rFonts w:cs="Arial"/>
          <w:color w:val="000000" w:themeColor="text1"/>
        </w:rPr>
        <w:t>A jobs growth of 17,000 is used in the Local Plan (1,000 each year) and therefore the dwelling growth under the standard method is sufficient to support the jobs growth ambitions of the council. No</w:t>
      </w:r>
      <w:r w:rsidR="00CE1BDB" w:rsidRPr="00FA4DC7">
        <w:rPr>
          <w:rFonts w:cs="Arial"/>
          <w:color w:val="000000" w:themeColor="text1"/>
        </w:rPr>
        <w:t xml:space="preserve"> adjustment to the </w:t>
      </w:r>
      <w:r>
        <w:rPr>
          <w:rFonts w:cs="Arial"/>
          <w:color w:val="000000" w:themeColor="text1"/>
        </w:rPr>
        <w:t xml:space="preserve">housing </w:t>
      </w:r>
      <w:r w:rsidR="00CE1BDB" w:rsidRPr="00FA4DC7">
        <w:rPr>
          <w:rFonts w:cs="Arial"/>
          <w:color w:val="000000" w:themeColor="text1"/>
        </w:rPr>
        <w:t>need figure is r</w:t>
      </w:r>
      <w:r>
        <w:rPr>
          <w:rFonts w:cs="Arial"/>
          <w:color w:val="000000" w:themeColor="text1"/>
        </w:rPr>
        <w:t xml:space="preserve">equired to support economic growth. </w:t>
      </w:r>
    </w:p>
    <w:p w14:paraId="228B9016" w14:textId="77777777" w:rsidR="00CE1BDB" w:rsidRPr="00FA4DC7" w:rsidRDefault="00CE1BDB" w:rsidP="000A3A5C">
      <w:pPr>
        <w:rPr>
          <w:highlight w:val="yellow"/>
        </w:rPr>
      </w:pPr>
      <w:r w:rsidRPr="00FA4DC7">
        <w:rPr>
          <w:highlight w:val="yellow"/>
        </w:rPr>
        <w:t xml:space="preserve"> </w:t>
      </w:r>
    </w:p>
    <w:p w14:paraId="5F234F2B" w14:textId="77777777" w:rsidR="00CE1BDB" w:rsidRPr="00FA4DC7" w:rsidRDefault="00CE1BDB" w:rsidP="00CE1BDB">
      <w:pPr>
        <w:pStyle w:val="Heading3"/>
        <w:rPr>
          <w:rFonts w:cs="Arial"/>
        </w:rPr>
      </w:pPr>
      <w:r w:rsidRPr="00FA4DC7">
        <w:rPr>
          <w:rFonts w:cs="Arial"/>
        </w:rPr>
        <w:t>Older and specialist housing need</w:t>
      </w:r>
    </w:p>
    <w:p w14:paraId="68A100C8" w14:textId="77777777" w:rsidR="00CE1BDB" w:rsidRPr="00FA4DC7" w:rsidRDefault="00CE1BDB" w:rsidP="00CE1BDB">
      <w:pPr>
        <w:pStyle w:val="Reporttext"/>
        <w:jc w:val="both"/>
        <w:rPr>
          <w:rFonts w:cs="Arial"/>
        </w:rPr>
      </w:pPr>
      <w:r w:rsidRPr="00FA4DC7">
        <w:rPr>
          <w:rFonts w:cs="Arial"/>
        </w:rPr>
        <w:t xml:space="preserve">The LHNA in Chapter 5 </w:t>
      </w:r>
      <w:proofErr w:type="gramStart"/>
      <w:r w:rsidRPr="00FA4DC7">
        <w:rPr>
          <w:rFonts w:cs="Arial"/>
        </w:rPr>
        <w:t>evidences</w:t>
      </w:r>
      <w:proofErr w:type="gramEnd"/>
      <w:r w:rsidRPr="00FA4DC7">
        <w:rPr>
          <w:rFonts w:cs="Arial"/>
        </w:rPr>
        <w:t xml:space="preserve"> a need for around 1,189 additional units of older persons accommodation to 2037 which includes 753 C3 planning use class units such as extra care and sheltered/retirement housing. This is need over the period 2021 to 2037 (16 years) and translates to an annual need for around 47 units of older person C3 accommodation. It is anticipated that this need will be delivered as part of the housing need figure and no further adjustments are necessary. There is also likely to be an ongoing need for a small number of specialist housing units for people with additional needs which is expected to be accommodated within the housing need figure. </w:t>
      </w:r>
    </w:p>
    <w:p w14:paraId="03A7E289" w14:textId="77777777" w:rsidR="00CE1BDB" w:rsidRPr="00FA4DC7" w:rsidRDefault="00CE1BDB" w:rsidP="000A3A5C"/>
    <w:p w14:paraId="5AAA4822" w14:textId="77777777" w:rsidR="00CE1BDB" w:rsidRPr="00FA4DC7" w:rsidRDefault="00CE1BDB" w:rsidP="00CE1BDB">
      <w:pPr>
        <w:pStyle w:val="Heading3"/>
        <w:rPr>
          <w:rFonts w:cs="Arial"/>
        </w:rPr>
      </w:pPr>
      <w:r w:rsidRPr="00FA4DC7">
        <w:rPr>
          <w:rFonts w:cs="Arial"/>
        </w:rPr>
        <w:t>Previous delivery levels</w:t>
      </w:r>
    </w:p>
    <w:p w14:paraId="519E1A31" w14:textId="77777777" w:rsidR="00CE1BDB" w:rsidRPr="00FA4DC7" w:rsidRDefault="00CE1BDB" w:rsidP="00CE1BDB">
      <w:pPr>
        <w:pStyle w:val="Reporttext"/>
        <w:tabs>
          <w:tab w:val="clear" w:pos="2128"/>
          <w:tab w:val="num" w:pos="1419"/>
        </w:tabs>
        <w:jc w:val="both"/>
        <w:rPr>
          <w:rFonts w:cs="Arial"/>
          <w:b/>
          <w:bCs/>
        </w:rPr>
      </w:pPr>
      <w:r w:rsidRPr="00FA4DC7">
        <w:rPr>
          <w:rFonts w:cs="Arial"/>
        </w:rPr>
        <w:t xml:space="preserve">Table 2.10 set out annual dwelling completions over the period 2010/11 to 2019/20 and compared this with annual housing requirements. This indicates that the actual level of delivery has been consistently below annual targets since 2010/11. Over the last 5 years, the shortfall against target has been 2,010 dwellings. </w:t>
      </w:r>
      <w:proofErr w:type="gramStart"/>
      <w:r w:rsidRPr="00FA4DC7">
        <w:rPr>
          <w:rFonts w:cs="Arial"/>
        </w:rPr>
        <w:t>PPG  notes</w:t>
      </w:r>
      <w:proofErr w:type="gramEnd"/>
      <w:r w:rsidRPr="00FA4DC7">
        <w:rPr>
          <w:rFonts w:cs="Arial"/>
        </w:rPr>
        <w:t xml:space="preserve"> that </w:t>
      </w:r>
      <w:r w:rsidRPr="00FA4DC7">
        <w:rPr>
          <w:rFonts w:cs="Arial"/>
          <w:b/>
          <w:bCs/>
        </w:rPr>
        <w:t xml:space="preserve">‘the affordability adjustment is applied to take account of past under-delivery. The standard method identifies the minimum uplift that will be required and therefore it is not a requirement to specifically address under-delivery separately.’ </w:t>
      </w:r>
      <w:r w:rsidRPr="00FA4DC7">
        <w:rPr>
          <w:rFonts w:cs="Arial"/>
        </w:rPr>
        <w:t>As the standard method is being followed, no adjustment for previous delivery levels is required.</w:t>
      </w:r>
      <w:r w:rsidRPr="00FA4DC7">
        <w:rPr>
          <w:rFonts w:cs="Arial"/>
          <w:b/>
          <w:bCs/>
        </w:rPr>
        <w:t xml:space="preserve"> </w:t>
      </w:r>
    </w:p>
    <w:p w14:paraId="395F9B79" w14:textId="77777777" w:rsidR="00CE1BDB" w:rsidRPr="00FA4DC7" w:rsidRDefault="00CE1BDB" w:rsidP="00CE1BDB">
      <w:pPr>
        <w:pStyle w:val="Reporttext"/>
        <w:numPr>
          <w:ilvl w:val="0"/>
          <w:numId w:val="0"/>
        </w:numPr>
        <w:rPr>
          <w:rFonts w:cs="Arial"/>
          <w:sz w:val="20"/>
          <w:szCs w:val="20"/>
        </w:rPr>
      </w:pPr>
    </w:p>
    <w:p w14:paraId="23DC4A59" w14:textId="77777777" w:rsidR="00CE1BDB" w:rsidRPr="00FA4DC7" w:rsidRDefault="00CE1BDB" w:rsidP="00CE1BDB">
      <w:pPr>
        <w:pStyle w:val="Heading2"/>
        <w:rPr>
          <w:rFonts w:cs="Arial"/>
        </w:rPr>
      </w:pPr>
      <w:bookmarkStart w:id="365" w:name="_Toc83035670"/>
      <w:r w:rsidRPr="00FA4DC7">
        <w:rPr>
          <w:rFonts w:cs="Arial"/>
        </w:rPr>
        <w:t>Alternative approaches to the standard method</w:t>
      </w:r>
      <w:bookmarkEnd w:id="365"/>
    </w:p>
    <w:p w14:paraId="04D3F7DB" w14:textId="13CBEFBA" w:rsidR="009613E8" w:rsidRDefault="00CE1BDB" w:rsidP="00CE1BDB">
      <w:pPr>
        <w:pStyle w:val="Reporttext"/>
        <w:tabs>
          <w:tab w:val="clear" w:pos="2128"/>
          <w:tab w:val="num" w:pos="1419"/>
        </w:tabs>
        <w:jc w:val="both"/>
        <w:rPr>
          <w:rFonts w:cs="Arial"/>
        </w:rPr>
      </w:pPr>
      <w:r w:rsidRPr="00FA4DC7">
        <w:rPr>
          <w:rFonts w:cs="Arial"/>
        </w:rPr>
        <w:t>Within PPG (Paragraph: 001 Reference ID: 2a-001-20190220)</w:t>
      </w:r>
      <w:r w:rsidRPr="00FA4DC7">
        <w:rPr>
          <w:rFonts w:cs="Arial"/>
          <w:color w:val="0B0C0C"/>
          <w:shd w:val="clear" w:color="auto" w:fill="FFFFFF"/>
        </w:rPr>
        <w:t xml:space="preserve"> </w:t>
      </w:r>
      <w:r w:rsidRPr="00FA4DC7">
        <w:rPr>
          <w:rFonts w:cs="Arial"/>
        </w:rPr>
        <w:t xml:space="preserve">there is provision to use an alternative to the standard method where exceptional circumstances justify an alternative approach which also reflects current and future demographic trends and market signals. </w:t>
      </w:r>
      <w:r w:rsidR="009613E8">
        <w:rPr>
          <w:rFonts w:cs="Arial"/>
        </w:rPr>
        <w:t xml:space="preserve">This chapter has carefully reviewed the relevant </w:t>
      </w:r>
      <w:r w:rsidR="009613E8">
        <w:rPr>
          <w:rFonts w:cs="Arial"/>
        </w:rPr>
        <w:lastRenderedPageBreak/>
        <w:t xml:space="preserve">aspects of the standard method which would warrant an alternative approach to housing numbers to be considered. No exceptional circumstances have been identified although there is a marked difference in the future number of households when comparing the 2014-based and 2018-basd projections. However, the PPG is clear that the standard method to calculate housing need uses 2014-based projections. Notwithstanding this, there was no evidence that an alternative approach should be considered for Medway. </w:t>
      </w:r>
    </w:p>
    <w:p w14:paraId="559167B3" w14:textId="2E54FA80" w:rsidR="00CE1BDB" w:rsidRPr="00FA4DC7" w:rsidRDefault="00CE1BDB" w:rsidP="000A3A5C"/>
    <w:p w14:paraId="4644305E" w14:textId="77777777" w:rsidR="00CE1BDB" w:rsidRPr="00FA4DC7" w:rsidRDefault="00CE1BDB" w:rsidP="00CE1BDB">
      <w:pPr>
        <w:pStyle w:val="Heading1"/>
        <w:numPr>
          <w:ilvl w:val="0"/>
          <w:numId w:val="0"/>
        </w:numPr>
        <w:ind w:left="709"/>
        <w:jc w:val="both"/>
        <w:rPr>
          <w:rFonts w:cs="Arial"/>
        </w:rPr>
      </w:pPr>
      <w:bookmarkStart w:id="366" w:name="_Toc63760481"/>
      <w:bookmarkStart w:id="367" w:name="_Toc83035671"/>
      <w:r w:rsidRPr="00FA4DC7">
        <w:rPr>
          <w:rFonts w:cs="Arial"/>
        </w:rPr>
        <w:t>Concluding comments</w:t>
      </w:r>
      <w:bookmarkEnd w:id="366"/>
      <w:bookmarkEnd w:id="367"/>
    </w:p>
    <w:p w14:paraId="41006708" w14:textId="77777777" w:rsidR="00CE1BDB" w:rsidRPr="00FA4DC7" w:rsidRDefault="00CE1BDB" w:rsidP="00CE1BDB">
      <w:pPr>
        <w:pStyle w:val="Reporttext"/>
        <w:tabs>
          <w:tab w:val="clear" w:pos="2128"/>
          <w:tab w:val="num" w:pos="1419"/>
        </w:tabs>
        <w:jc w:val="both"/>
        <w:rPr>
          <w:rFonts w:cs="Arial"/>
          <w:color w:val="000000" w:themeColor="text1"/>
        </w:rPr>
      </w:pPr>
      <w:r w:rsidRPr="00FA4DC7">
        <w:rPr>
          <w:rFonts w:cs="Arial"/>
          <w:color w:val="000000" w:themeColor="text1"/>
        </w:rPr>
        <w:t xml:space="preserve">The 2020 standard method calculation establishes a baseline minimum annual need for 1,586 dwellings based on demographics and an adjustment to take account of affordability. A comprehensive analysis of alternative demographic scenarios confirms that this standard method baseline provides an appropriate base for the assessment of need. </w:t>
      </w:r>
    </w:p>
    <w:p w14:paraId="477D726D" w14:textId="66E3869C" w:rsidR="00CE1BDB" w:rsidRPr="00FA4DC7" w:rsidRDefault="00CE1BDB" w:rsidP="00CE1BDB">
      <w:pPr>
        <w:pStyle w:val="Reporttext"/>
        <w:tabs>
          <w:tab w:val="clear" w:pos="2128"/>
          <w:tab w:val="num" w:pos="1419"/>
        </w:tabs>
        <w:jc w:val="both"/>
        <w:rPr>
          <w:rFonts w:cs="Arial"/>
        </w:rPr>
      </w:pPr>
      <w:r w:rsidRPr="00FA4DC7">
        <w:rPr>
          <w:rFonts w:cs="Arial"/>
        </w:rPr>
        <w:t xml:space="preserve">No further upward adjustments to the 1,586 </w:t>
      </w:r>
      <w:proofErr w:type="gramStart"/>
      <w:r w:rsidRPr="00FA4DC7">
        <w:rPr>
          <w:rFonts w:cs="Arial"/>
        </w:rPr>
        <w:t>figure</w:t>
      </w:r>
      <w:proofErr w:type="gramEnd"/>
      <w:r w:rsidRPr="00FA4DC7">
        <w:rPr>
          <w:rFonts w:cs="Arial"/>
        </w:rPr>
        <w:t xml:space="preserve"> are necessary as this provides sufficient housing to meet local demographic, affordable and specialist need and sufficiently supports future jobs growth. The 1,586 figure compares with an average net delivery of 730 dwellings over the five years to 2019/20. Given the substantial uplift in delivery to meet the minimum housing need figure, </w:t>
      </w:r>
      <w:r w:rsidR="001668AB">
        <w:rPr>
          <w:rFonts w:cs="Arial"/>
        </w:rPr>
        <w:t xml:space="preserve">and the use of the standard method to calculate future need, </w:t>
      </w:r>
      <w:r w:rsidRPr="00FA4DC7">
        <w:rPr>
          <w:rFonts w:cs="Arial"/>
        </w:rPr>
        <w:t xml:space="preserve">a further adjustment to account for under-delivery against existing targets is not </w:t>
      </w:r>
      <w:r w:rsidR="001668AB">
        <w:rPr>
          <w:rFonts w:cs="Arial"/>
        </w:rPr>
        <w:t>required.</w:t>
      </w:r>
      <w:r w:rsidRPr="00FA4DC7">
        <w:rPr>
          <w:rFonts w:cs="Arial"/>
        </w:rPr>
        <w:t xml:space="preserve"> </w:t>
      </w:r>
    </w:p>
    <w:p w14:paraId="329B953E" w14:textId="77777777" w:rsidR="00CE1BDB" w:rsidRPr="00FA4DC7" w:rsidRDefault="00CE1BDB" w:rsidP="00CE1BDB">
      <w:pPr>
        <w:pStyle w:val="Reporttext"/>
        <w:numPr>
          <w:ilvl w:val="0"/>
          <w:numId w:val="0"/>
        </w:numPr>
        <w:ind w:left="709"/>
        <w:rPr>
          <w:rFonts w:cs="Arial"/>
          <w:highlight w:val="yellow"/>
        </w:rPr>
      </w:pPr>
    </w:p>
    <w:bookmarkEnd w:id="336"/>
    <w:p w14:paraId="15B9369B" w14:textId="337D2B87" w:rsidR="000A3A5C" w:rsidRDefault="000A3A5C">
      <w:pPr>
        <w:rPr>
          <w:rFonts w:cs="Arial"/>
          <w:bCs/>
          <w:color w:val="006666"/>
          <w:kern w:val="32"/>
          <w:sz w:val="40"/>
          <w:szCs w:val="28"/>
          <w:highlight w:val="yellow"/>
          <w:lang w:eastAsia="en-US"/>
        </w:rPr>
      </w:pPr>
      <w:r>
        <w:rPr>
          <w:rFonts w:cs="Arial"/>
          <w:highlight w:val="yellow"/>
        </w:rPr>
        <w:br w:type="page"/>
      </w:r>
    </w:p>
    <w:p w14:paraId="61B52F6E" w14:textId="77777777" w:rsidR="00CE1BDB" w:rsidRPr="00FA4DC7" w:rsidRDefault="00CE1BDB" w:rsidP="00CE1BDB">
      <w:pPr>
        <w:pStyle w:val="Heading1"/>
        <w:rPr>
          <w:rFonts w:cs="Arial"/>
        </w:rPr>
      </w:pPr>
      <w:bookmarkStart w:id="368" w:name="_Toc83035672"/>
      <w:r w:rsidRPr="00FA4DC7">
        <w:rPr>
          <w:rFonts w:cs="Arial"/>
        </w:rPr>
        <w:lastRenderedPageBreak/>
        <w:t>The needs of different groups</w:t>
      </w:r>
      <w:bookmarkStart w:id="369" w:name="_Toc13046131"/>
      <w:bookmarkEnd w:id="337"/>
      <w:bookmarkEnd w:id="368"/>
    </w:p>
    <w:p w14:paraId="7EE98678" w14:textId="77777777" w:rsidR="00CE1BDB" w:rsidRPr="00FA4DC7" w:rsidRDefault="00CE1BDB" w:rsidP="00CE1BDB">
      <w:pPr>
        <w:pStyle w:val="Heading2"/>
        <w:ind w:left="0" w:firstLine="0"/>
        <w:rPr>
          <w:rFonts w:cs="Arial"/>
        </w:rPr>
      </w:pPr>
      <w:r w:rsidRPr="00FA4DC7">
        <w:rPr>
          <w:rFonts w:cs="Arial"/>
        </w:rPr>
        <w:tab/>
      </w:r>
      <w:r w:rsidRPr="00FA4DC7">
        <w:rPr>
          <w:rFonts w:cs="Arial"/>
        </w:rPr>
        <w:tab/>
      </w:r>
      <w:bookmarkStart w:id="370" w:name="_Toc83035673"/>
      <w:r w:rsidRPr="00FA4DC7">
        <w:rPr>
          <w:rFonts w:cs="Arial"/>
        </w:rPr>
        <w:t>Introduction</w:t>
      </w:r>
      <w:bookmarkEnd w:id="369"/>
      <w:bookmarkEnd w:id="370"/>
    </w:p>
    <w:p w14:paraId="5FD89EEE" w14:textId="77777777" w:rsidR="00CE1BDB" w:rsidRPr="00FA4DC7" w:rsidRDefault="00CE1BDB" w:rsidP="00CE1BDB">
      <w:pPr>
        <w:pStyle w:val="Reporttext"/>
        <w:rPr>
          <w:rFonts w:cs="Arial"/>
        </w:rPr>
      </w:pPr>
      <w:r w:rsidRPr="00FA4DC7">
        <w:rPr>
          <w:rFonts w:cs="Arial"/>
        </w:rPr>
        <w:t xml:space="preserve">Paragraph 61 of the NPPF refers to housing needs for different groups in the community and these fall into two broad groups: housing for people with additional needs and housing for specific household types. This chapter provides a summary of material presented in Technical Appendix F Specialist Housing Need. </w:t>
      </w:r>
    </w:p>
    <w:p w14:paraId="1455FBB0" w14:textId="77777777" w:rsidR="00CE1BDB" w:rsidRPr="00FA4DC7" w:rsidRDefault="00CE1BDB" w:rsidP="00CE1BDB">
      <w:pPr>
        <w:pStyle w:val="Reporttext"/>
        <w:numPr>
          <w:ilvl w:val="0"/>
          <w:numId w:val="0"/>
        </w:numPr>
        <w:ind w:left="709"/>
        <w:rPr>
          <w:rFonts w:cs="Arial"/>
        </w:rPr>
      </w:pPr>
    </w:p>
    <w:p w14:paraId="41A53FA4" w14:textId="77777777" w:rsidR="00CE1BDB" w:rsidRPr="00FA4DC7" w:rsidRDefault="00CE1BDB" w:rsidP="00CE1BDB">
      <w:pPr>
        <w:pStyle w:val="Heading2"/>
        <w:rPr>
          <w:rFonts w:cs="Arial"/>
        </w:rPr>
      </w:pPr>
      <w:bookmarkStart w:id="371" w:name="_Toc46497080"/>
      <w:bookmarkStart w:id="372" w:name="_Toc83035674"/>
      <w:r w:rsidRPr="00FA4DC7">
        <w:rPr>
          <w:rFonts w:cs="Arial"/>
        </w:rPr>
        <w:t>Housing for people with additional needs</w:t>
      </w:r>
      <w:bookmarkEnd w:id="371"/>
      <w:bookmarkEnd w:id="372"/>
    </w:p>
    <w:p w14:paraId="7B8752F6" w14:textId="77777777" w:rsidR="00CE1BDB" w:rsidRPr="00FA4DC7" w:rsidRDefault="00CE1BDB" w:rsidP="00CE1BDB">
      <w:pPr>
        <w:pStyle w:val="Reporttext"/>
        <w:tabs>
          <w:tab w:val="clear" w:pos="2128"/>
          <w:tab w:val="num" w:pos="2129"/>
        </w:tabs>
        <w:rPr>
          <w:rFonts w:cs="Arial"/>
        </w:rPr>
      </w:pPr>
      <w:r w:rsidRPr="00FA4DC7">
        <w:rPr>
          <w:rFonts w:cs="Arial"/>
        </w:rPr>
        <w:t>This groups includes older people and accommodation for people with disabilities which are further sub-divided into those with health-related and life-experience related needs as summarised in Figure 4.1.</w:t>
      </w:r>
    </w:p>
    <w:p w14:paraId="1186A626" w14:textId="77777777" w:rsidR="00CE1BDB" w:rsidRPr="00FA4DC7" w:rsidRDefault="00CE1BDB" w:rsidP="00CE1BDB">
      <w:pPr>
        <w:rPr>
          <w:rFonts w:cs="Arial"/>
        </w:rPr>
      </w:pPr>
    </w:p>
    <w:p w14:paraId="75A0C02A" w14:textId="77777777" w:rsidR="00CE1BDB" w:rsidRPr="00FA4DC7" w:rsidRDefault="00CE1BDB" w:rsidP="000A3A5C">
      <w:pPr>
        <w:pStyle w:val="Figureheading0"/>
        <w:spacing w:after="240"/>
      </w:pPr>
      <w:bookmarkStart w:id="373" w:name="_Toc83036149"/>
      <w:r w:rsidRPr="00FA4DC7">
        <w:t>Figure 5.1</w:t>
      </w:r>
      <w:r w:rsidRPr="00FA4DC7">
        <w:tab/>
        <w:t xml:space="preserve">Establishing need associated with age, </w:t>
      </w:r>
      <w:proofErr w:type="gramStart"/>
      <w:r w:rsidRPr="00FA4DC7">
        <w:t>health</w:t>
      </w:r>
      <w:proofErr w:type="gramEnd"/>
      <w:r w:rsidRPr="00FA4DC7">
        <w:t xml:space="preserve"> and life experience</w:t>
      </w:r>
      <w:bookmarkEnd w:id="373"/>
    </w:p>
    <w:p w14:paraId="32F90C96" w14:textId="00BC82D6" w:rsidR="00CE1BDB" w:rsidRDefault="00CE1BDB" w:rsidP="00CE1BDB">
      <w:pPr>
        <w:rPr>
          <w:rFonts w:cs="Arial"/>
          <w:highlight w:val="yellow"/>
        </w:rPr>
      </w:pPr>
      <w:r w:rsidRPr="00FA4DC7">
        <w:rPr>
          <w:rFonts w:cs="Arial"/>
          <w:noProof/>
          <w:highlight w:val="yellow"/>
        </w:rPr>
        <w:drawing>
          <wp:inline distT="0" distB="0" distL="0" distR="0" wp14:anchorId="735B1CB6" wp14:editId="096974DF">
            <wp:extent cx="5685904" cy="5394960"/>
            <wp:effectExtent l="0" t="0" r="0" b="0"/>
            <wp:docPr id="12" name="Picture 1" descr="Chart showing five housing need themes.&#10;&#10;1. Age-related housing need. This relates to the position withing the housing market. Older households (downsizing or exiting the market) and younger households (aspiring to enter the market).&#10;&#10;2. Health-related housing need. This is where physical adaptation to home or domestic support is needed. There are four categories: physical disabilty or sensory impairment, learning disabilty, dementia and mental health&#10;&#10;3. Life-experience related housing need. This is where housing support is needed to sustain the home. There are 6 categories: armed forces, offending, asylum, care system leavers, people who have been abused and substance misuers. &#10;&#10;4. Cultural heritage-related housing need where there are speciifc accommodation requiements. Groups listed are religious beliefs, ethnic background, Traveller heritage and other cultural background&#10;&#10;5. Final homelessness and rough sleeping - this represents a system failure outc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descr="Chart showing five housing need themes.&#10;&#10;1. Age-related housing need. This relates to the position withing the housing market. Older households (downsizing or exiting the market) and younger households (aspiring to enter the market).&#10;&#10;2. Health-related housing need. This is where physical adaptation to home or domestic support is needed. There are four categories: physical disabilty or sensory impairment, learning disabilty, dementia and mental health&#10;&#10;3. Life-experience related housing need. This is where housing support is needed to sustain the home. There are 6 categories: armed forces, offending, asylum, care system leavers, people who have been abused and substance misuers. &#10;&#10;4. Cultural heritage-related housing need where there are speciifc accommodation requiements. Groups listed are religious beliefs, ethnic background, Traveller heritage and other cultural background&#10;&#10;5. Final homelessness and rough sleeping - this represents a system failure outcome"/>
                    <pic:cNvPicPr/>
                  </pic:nvPicPr>
                  <pic:blipFill>
                    <a:blip r:embed="rId6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CA8F5F4-0A53-F04F-9AB0-8A4818217AE4}"/>
                        </a:ext>
                      </a:extLst>
                    </a:blip>
                    <a:stretch>
                      <a:fillRect/>
                    </a:stretch>
                  </pic:blipFill>
                  <pic:spPr>
                    <a:xfrm>
                      <a:off x="0" y="0"/>
                      <a:ext cx="5685904" cy="5394960"/>
                    </a:xfrm>
                    <a:prstGeom prst="rect">
                      <a:avLst/>
                    </a:prstGeom>
                  </pic:spPr>
                </pic:pic>
              </a:graphicData>
            </a:graphic>
          </wp:inline>
        </w:drawing>
      </w:r>
    </w:p>
    <w:p w14:paraId="5AF3EEE2" w14:textId="77777777" w:rsidR="000A3A5C" w:rsidRPr="00FA4DC7" w:rsidRDefault="000A3A5C" w:rsidP="00CE1BDB">
      <w:pPr>
        <w:rPr>
          <w:rFonts w:cs="Arial"/>
          <w:highlight w:val="yellow"/>
        </w:rPr>
      </w:pPr>
    </w:p>
    <w:p w14:paraId="17649DC0" w14:textId="77777777" w:rsidR="00CE1BDB" w:rsidRPr="00FA4DC7" w:rsidRDefault="00CE1BDB" w:rsidP="00CE1BDB">
      <w:pPr>
        <w:pStyle w:val="Reporttext"/>
        <w:rPr>
          <w:rFonts w:cs="Arial"/>
        </w:rPr>
      </w:pPr>
      <w:r w:rsidRPr="00FA4DC7">
        <w:rPr>
          <w:rFonts w:cs="Arial"/>
        </w:rPr>
        <w:lastRenderedPageBreak/>
        <w:t>The evidence base has been established based around these broad principles:</w:t>
      </w:r>
    </w:p>
    <w:p w14:paraId="0A049EA1" w14:textId="77777777" w:rsidR="00CE1BDB" w:rsidRPr="00FA4DC7" w:rsidRDefault="00CE1BDB" w:rsidP="00CE1BDB">
      <w:pPr>
        <w:pStyle w:val="bullet"/>
        <w:rPr>
          <w:rFonts w:cs="Arial"/>
        </w:rPr>
      </w:pPr>
      <w:r w:rsidRPr="00FA4DC7">
        <w:rPr>
          <w:rFonts w:cs="Arial"/>
        </w:rPr>
        <w:t xml:space="preserve">people with additional needs are generally accommodated in mainstream housing and provided with care and support when </w:t>
      </w:r>
      <w:proofErr w:type="gramStart"/>
      <w:r w:rsidRPr="00FA4DC7">
        <w:rPr>
          <w:rFonts w:cs="Arial"/>
        </w:rPr>
        <w:t>needed;</w:t>
      </w:r>
      <w:proofErr w:type="gramEnd"/>
    </w:p>
    <w:p w14:paraId="6E462BBA" w14:textId="77777777" w:rsidR="00CE1BDB" w:rsidRPr="00FA4DC7" w:rsidRDefault="00CE1BDB" w:rsidP="00CE1BDB">
      <w:pPr>
        <w:pStyle w:val="bullet"/>
        <w:rPr>
          <w:rFonts w:cs="Arial"/>
        </w:rPr>
      </w:pPr>
      <w:r w:rsidRPr="00FA4DC7">
        <w:rPr>
          <w:rFonts w:cs="Arial"/>
        </w:rPr>
        <w:t xml:space="preserve">some people will have complex and multiple needs and therefore may fall into several different categories of </w:t>
      </w:r>
      <w:proofErr w:type="gramStart"/>
      <w:r w:rsidRPr="00FA4DC7">
        <w:rPr>
          <w:rFonts w:cs="Arial"/>
        </w:rPr>
        <w:t>need;</w:t>
      </w:r>
      <w:proofErr w:type="gramEnd"/>
    </w:p>
    <w:p w14:paraId="150862FA" w14:textId="77777777" w:rsidR="00CE1BDB" w:rsidRPr="00FA4DC7" w:rsidRDefault="00CE1BDB" w:rsidP="00CE1BDB">
      <w:pPr>
        <w:pStyle w:val="bullet"/>
        <w:rPr>
          <w:rFonts w:cs="Arial"/>
        </w:rPr>
      </w:pPr>
      <w:r w:rsidRPr="00FA4DC7">
        <w:rPr>
          <w:rFonts w:cs="Arial"/>
        </w:rPr>
        <w:t>some people require long-term accommodation to provide support for ongoing needs; and some require short-term supported housing which aims to support people for a period of time before moving on/back into mainstream housing; and</w:t>
      </w:r>
    </w:p>
    <w:p w14:paraId="7DC9D394" w14:textId="77777777" w:rsidR="00CE1BDB" w:rsidRPr="00FA4DC7" w:rsidRDefault="00CE1BDB" w:rsidP="00CE1BDB">
      <w:pPr>
        <w:pStyle w:val="bullet"/>
        <w:rPr>
          <w:rFonts w:cs="Arial"/>
        </w:rPr>
      </w:pPr>
      <w:r w:rsidRPr="00FA4DC7">
        <w:rPr>
          <w:rFonts w:cs="Arial"/>
        </w:rPr>
        <w:t xml:space="preserve">most people with additional needs will not need specialist supported housing but they may need adaptations to their homes and/or care and support provided in other ways.  </w:t>
      </w:r>
    </w:p>
    <w:p w14:paraId="42C6CEE6" w14:textId="77777777" w:rsidR="00CE1BDB" w:rsidRPr="00FA4DC7" w:rsidRDefault="00CE1BDB" w:rsidP="00CE1BDB">
      <w:pPr>
        <w:pStyle w:val="Reporttext"/>
        <w:rPr>
          <w:rFonts w:cs="Arial"/>
        </w:rPr>
      </w:pPr>
      <w:r w:rsidRPr="00FA4DC7">
        <w:rPr>
          <w:rFonts w:cs="Arial"/>
        </w:rPr>
        <w:t>The Medway Market Position Statement 2016/17 provides a wealth of information on the needs of different groups  and relevant information is presented in this chapter</w:t>
      </w:r>
      <w:r w:rsidRPr="00FA4DC7">
        <w:rPr>
          <w:rFonts w:cs="Arial"/>
          <w:b/>
          <w:bCs/>
        </w:rPr>
        <w:t xml:space="preserve"> (</w:t>
      </w:r>
      <w:hyperlink r:id="rId64" w:history="1">
        <w:r w:rsidRPr="00FA4DC7">
          <w:rPr>
            <w:rStyle w:val="Hyperlink"/>
            <w:rFonts w:cs="Arial"/>
            <w:b/>
            <w:bCs/>
          </w:rPr>
          <w:t>https://ipc.brookes.ac.uk/files/market-position-statements/Medway_MPS_2016.pdf</w:t>
        </w:r>
      </w:hyperlink>
      <w:r w:rsidRPr="00FA4DC7">
        <w:rPr>
          <w:rFonts w:cs="Arial"/>
        </w:rPr>
        <w:t xml:space="preserve">).The overarching themes are: </w:t>
      </w:r>
      <w:r w:rsidRPr="00FA4DC7">
        <w:rPr>
          <w:rFonts w:cs="Arial"/>
        </w:rPr>
        <w:tab/>
      </w:r>
    </w:p>
    <w:p w14:paraId="5FFC2A64" w14:textId="77777777" w:rsidR="00CE1BDB" w:rsidRPr="00FA4DC7" w:rsidRDefault="00CE1BDB" w:rsidP="00CE1BDB">
      <w:pPr>
        <w:spacing w:before="100" w:beforeAutospacing="1" w:after="100" w:afterAutospacing="1"/>
        <w:ind w:left="709"/>
        <w:rPr>
          <w:rFonts w:cs="Arial"/>
          <w:b/>
          <w:bCs/>
          <w:color w:val="000000" w:themeColor="text1"/>
        </w:rPr>
      </w:pPr>
      <w:r w:rsidRPr="00FA4DC7">
        <w:rPr>
          <w:rFonts w:cs="Arial"/>
          <w:b/>
          <w:bCs/>
          <w:color w:val="000000" w:themeColor="text1"/>
          <w:sz w:val="28"/>
          <w:szCs w:val="28"/>
        </w:rPr>
        <w:t xml:space="preserve">Prevention: </w:t>
      </w:r>
      <w:r w:rsidRPr="00FA4DC7">
        <w:rPr>
          <w:rFonts w:cs="Arial"/>
        </w:rPr>
        <w:t xml:space="preserve">It is critical the local care and support system works to promote wellbeing and independence, and supports people retain or regain their skills and confidence, so that the need for long term care is prevented wherever possible. </w:t>
      </w:r>
    </w:p>
    <w:p w14:paraId="67F31A30" w14:textId="77777777" w:rsidR="00CE1BDB" w:rsidRPr="00FA4DC7" w:rsidRDefault="00CE1BDB" w:rsidP="00CE1BDB">
      <w:pPr>
        <w:spacing w:before="100" w:beforeAutospacing="1" w:after="100" w:afterAutospacing="1"/>
        <w:ind w:left="709"/>
        <w:rPr>
          <w:rFonts w:cs="Arial"/>
          <w:b/>
          <w:bCs/>
        </w:rPr>
      </w:pPr>
      <w:r w:rsidRPr="00FA4DC7">
        <w:rPr>
          <w:rFonts w:cs="Arial"/>
          <w:b/>
          <w:bCs/>
          <w:color w:val="000000" w:themeColor="text1"/>
          <w:sz w:val="28"/>
          <w:szCs w:val="28"/>
        </w:rPr>
        <w:t xml:space="preserve">Personalised Services: </w:t>
      </w:r>
      <w:r w:rsidRPr="00FA4DC7">
        <w:rPr>
          <w:rFonts w:cs="Arial"/>
        </w:rPr>
        <w:t xml:space="preserve">Local care needs to be responsive to individuals’ needs and preferences. Medway Council will work with the market to offer a menu of services that people can buy using direct payments. </w:t>
      </w:r>
    </w:p>
    <w:p w14:paraId="744097CC" w14:textId="77777777" w:rsidR="00CE1BDB" w:rsidRPr="00FA4DC7" w:rsidRDefault="00CE1BDB" w:rsidP="00CE1BDB">
      <w:pPr>
        <w:spacing w:before="100" w:beforeAutospacing="1" w:after="100" w:afterAutospacing="1"/>
        <w:ind w:left="709" w:firstLine="11"/>
        <w:rPr>
          <w:rFonts w:cs="Arial"/>
        </w:rPr>
      </w:pPr>
      <w:r w:rsidRPr="00FA4DC7">
        <w:rPr>
          <w:rFonts w:cs="Arial"/>
          <w:b/>
          <w:bCs/>
          <w:color w:val="000000" w:themeColor="text1"/>
          <w:sz w:val="28"/>
          <w:szCs w:val="28"/>
        </w:rPr>
        <w:t>Integration:</w:t>
      </w:r>
      <w:r w:rsidRPr="00FA4DC7">
        <w:rPr>
          <w:rFonts w:cs="Arial"/>
          <w:color w:val="000000" w:themeColor="text1"/>
          <w:sz w:val="28"/>
          <w:szCs w:val="28"/>
        </w:rPr>
        <w:t xml:space="preserve"> </w:t>
      </w:r>
      <w:r w:rsidRPr="00FA4DC7">
        <w:rPr>
          <w:rFonts w:cs="Arial"/>
        </w:rPr>
        <w:t xml:space="preserve">To live independently, people need health and social care. There is a limit to how much can be offered with the financial resources available. Integration offers the opportunity to design services that are better co-ordinated for the people using them, and to deliver more service for the money, because duplication is eradicated. </w:t>
      </w:r>
    </w:p>
    <w:p w14:paraId="6D0C70AE" w14:textId="77777777" w:rsidR="00CE1BDB" w:rsidRPr="00FA4DC7" w:rsidRDefault="00CE1BDB" w:rsidP="00CE1BDB">
      <w:pPr>
        <w:spacing w:before="100" w:beforeAutospacing="1" w:after="100" w:afterAutospacing="1"/>
        <w:ind w:left="709" w:firstLine="11"/>
        <w:rPr>
          <w:rFonts w:cs="Arial"/>
        </w:rPr>
      </w:pPr>
      <w:r w:rsidRPr="00FA4DC7">
        <w:rPr>
          <w:rFonts w:cs="Arial"/>
          <w:b/>
          <w:bCs/>
          <w:color w:val="000000" w:themeColor="text1"/>
          <w:sz w:val="28"/>
          <w:szCs w:val="28"/>
        </w:rPr>
        <w:t>Innovation:</w:t>
      </w:r>
      <w:r w:rsidRPr="00FA4DC7">
        <w:rPr>
          <w:rFonts w:cs="Arial"/>
          <w:color w:val="000000" w:themeColor="text1"/>
          <w:sz w:val="28"/>
          <w:szCs w:val="28"/>
        </w:rPr>
        <w:t xml:space="preserve"> </w:t>
      </w:r>
      <w:r w:rsidRPr="00FA4DC7">
        <w:rPr>
          <w:rFonts w:cs="Arial"/>
        </w:rPr>
        <w:t xml:space="preserve">We want to talk to providers that want to do things differently. There are also opportunities for innovation in the way that providers can work with local communities to respond better to people with care and support needs. This will also help reduce isolation and will help people be independent of statutory services. </w:t>
      </w:r>
    </w:p>
    <w:p w14:paraId="114BC1EB" w14:textId="77777777" w:rsidR="00CE1BDB" w:rsidRPr="00FA4DC7" w:rsidRDefault="00CE1BDB" w:rsidP="00CE1BDB">
      <w:pPr>
        <w:spacing w:before="100" w:beforeAutospacing="1" w:after="100" w:afterAutospacing="1"/>
        <w:ind w:left="720"/>
        <w:rPr>
          <w:rFonts w:cs="Arial"/>
        </w:rPr>
      </w:pPr>
      <w:r w:rsidRPr="00FA4DC7">
        <w:rPr>
          <w:rFonts w:cs="Arial"/>
          <w:b/>
          <w:bCs/>
          <w:color w:val="000000" w:themeColor="text1"/>
          <w:sz w:val="28"/>
          <w:szCs w:val="28"/>
        </w:rPr>
        <w:t>Participation and co-production:</w:t>
      </w:r>
      <w:r w:rsidRPr="00FA4DC7">
        <w:rPr>
          <w:rFonts w:cs="Arial"/>
          <w:color w:val="000000" w:themeColor="text1"/>
          <w:sz w:val="28"/>
          <w:szCs w:val="28"/>
        </w:rPr>
        <w:t xml:space="preserve"> </w:t>
      </w:r>
      <w:r w:rsidRPr="00FA4DC7">
        <w:rPr>
          <w:rFonts w:cs="Arial"/>
        </w:rPr>
        <w:t xml:space="preserve">By collaborating with our providers, service users, carers and community groups, Medway can achieve better outcomes. We work with service users to personalise services and achieve the outcomes that people want. </w:t>
      </w:r>
    </w:p>
    <w:p w14:paraId="225B0DD8" w14:textId="77777777" w:rsidR="00CE1BDB" w:rsidRPr="00FA4DC7" w:rsidRDefault="00CE1BDB" w:rsidP="00CE1BDB">
      <w:pPr>
        <w:spacing w:before="100" w:beforeAutospacing="1" w:after="100" w:afterAutospacing="1"/>
        <w:ind w:left="720"/>
        <w:rPr>
          <w:rFonts w:cs="Arial"/>
        </w:rPr>
      </w:pPr>
      <w:r w:rsidRPr="00FA4DC7">
        <w:rPr>
          <w:rFonts w:cs="Arial"/>
          <w:b/>
          <w:bCs/>
          <w:color w:val="000000" w:themeColor="text1"/>
          <w:sz w:val="28"/>
          <w:szCs w:val="28"/>
        </w:rPr>
        <w:t>Safeguarding:</w:t>
      </w:r>
      <w:r w:rsidRPr="00FA4DC7">
        <w:rPr>
          <w:rFonts w:cs="Arial"/>
          <w:color w:val="000000" w:themeColor="text1"/>
          <w:sz w:val="28"/>
          <w:szCs w:val="28"/>
        </w:rPr>
        <w:t xml:space="preserve"> </w:t>
      </w:r>
      <w:r w:rsidRPr="00FA4DC7">
        <w:rPr>
          <w:rFonts w:cs="Arial"/>
        </w:rPr>
        <w:t xml:space="preserve">We need to support vulnerable people to live independently, take positive risks and making their own choices. At the same </w:t>
      </w:r>
      <w:proofErr w:type="gramStart"/>
      <w:r w:rsidRPr="00FA4DC7">
        <w:rPr>
          <w:rFonts w:cs="Arial"/>
        </w:rPr>
        <w:t>time</w:t>
      </w:r>
      <w:proofErr w:type="gramEnd"/>
      <w:r w:rsidRPr="00FA4DC7">
        <w:rPr>
          <w:rFonts w:cs="Arial"/>
        </w:rPr>
        <w:t xml:space="preserve"> we need vulnerable people to be safe. We will work with providers so that our standards of quality and of safeguarding are maintained. </w:t>
      </w:r>
    </w:p>
    <w:p w14:paraId="12010282" w14:textId="77777777" w:rsidR="00CE1BDB" w:rsidRPr="00FA4DC7" w:rsidRDefault="00CE1BDB" w:rsidP="00CE1BDB">
      <w:pPr>
        <w:pStyle w:val="Heading2"/>
        <w:rPr>
          <w:rFonts w:cs="Arial"/>
        </w:rPr>
      </w:pPr>
      <w:bookmarkStart w:id="374" w:name="_Toc83035675"/>
      <w:r w:rsidRPr="00FA4DC7">
        <w:rPr>
          <w:rFonts w:cs="Arial"/>
        </w:rPr>
        <w:lastRenderedPageBreak/>
        <w:t>Age-related housing need</w:t>
      </w:r>
      <w:bookmarkEnd w:id="374"/>
      <w:r w:rsidRPr="00FA4DC7">
        <w:rPr>
          <w:rFonts w:cs="Arial"/>
        </w:rPr>
        <w:t xml:space="preserve"> </w:t>
      </w:r>
    </w:p>
    <w:p w14:paraId="4BC9FB0F" w14:textId="77777777" w:rsidR="00CE1BDB" w:rsidRPr="00FA4DC7" w:rsidRDefault="00CE1BDB" w:rsidP="00CE1BDB">
      <w:pPr>
        <w:pStyle w:val="Reporttext"/>
        <w:rPr>
          <w:rFonts w:cs="Arial"/>
        </w:rPr>
      </w:pPr>
      <w:r w:rsidRPr="00FA4DC7">
        <w:rPr>
          <w:rFonts w:cs="Arial"/>
        </w:rPr>
        <w:t xml:space="preserve">Age-related housing need relates to the needs of specific age groups in the housing market due to life events and the impact this has on the need for dwellings of particular sizes/types and affordability. For older households this includes ‘rightsizing’ and adaptation of existing dwellings. For younger households, affordability is a particular </w:t>
      </w:r>
      <w:proofErr w:type="gramStart"/>
      <w:r w:rsidRPr="00FA4DC7">
        <w:rPr>
          <w:rFonts w:cs="Arial"/>
        </w:rPr>
        <w:t>concern</w:t>
      </w:r>
      <w:proofErr w:type="gramEnd"/>
      <w:r w:rsidRPr="00FA4DC7">
        <w:rPr>
          <w:rFonts w:cs="Arial"/>
        </w:rPr>
        <w:t xml:space="preserve"> and this has been considered elsewhere in the report. For this section we therefore focus upon the needs of older persons for particular unit types.</w:t>
      </w:r>
    </w:p>
    <w:p w14:paraId="1EB15361" w14:textId="77777777" w:rsidR="00CE1BDB" w:rsidRPr="00FA4DC7" w:rsidRDefault="00CE1BDB" w:rsidP="00CE1BDB">
      <w:pPr>
        <w:pStyle w:val="Reporttext"/>
        <w:numPr>
          <w:ilvl w:val="0"/>
          <w:numId w:val="0"/>
        </w:numPr>
        <w:ind w:left="709"/>
        <w:rPr>
          <w:rFonts w:cs="Arial"/>
        </w:rPr>
      </w:pPr>
    </w:p>
    <w:p w14:paraId="13D87D6B" w14:textId="77777777" w:rsidR="00CE1BDB" w:rsidRPr="00FA4DC7" w:rsidRDefault="00CE1BDB" w:rsidP="00CE1BDB">
      <w:pPr>
        <w:pStyle w:val="Heading2"/>
        <w:rPr>
          <w:rFonts w:cs="Arial"/>
        </w:rPr>
      </w:pPr>
      <w:bookmarkStart w:id="375" w:name="_Toc83035676"/>
      <w:r w:rsidRPr="00FA4DC7">
        <w:rPr>
          <w:rFonts w:cs="Arial"/>
        </w:rPr>
        <w:t>Housing for older people</w:t>
      </w:r>
      <w:bookmarkEnd w:id="375"/>
    </w:p>
    <w:p w14:paraId="735028CA" w14:textId="77777777" w:rsidR="00CE1BDB" w:rsidRPr="00FA4DC7" w:rsidRDefault="00CE1BDB" w:rsidP="00CE1BDB">
      <w:pPr>
        <w:pStyle w:val="Reporttext"/>
        <w:tabs>
          <w:tab w:val="clear" w:pos="2128"/>
          <w:tab w:val="num" w:pos="2129"/>
        </w:tabs>
        <w:rPr>
          <w:rFonts w:cs="Arial"/>
        </w:rPr>
      </w:pPr>
      <w:r w:rsidRPr="00FA4DC7">
        <w:rPr>
          <w:rFonts w:cs="Arial"/>
        </w:rPr>
        <w:t xml:space="preserve">The NPPF Annex 2 defines older people as </w:t>
      </w:r>
      <w:r w:rsidRPr="00FA4DC7">
        <w:rPr>
          <w:rFonts w:cs="Arial"/>
          <w:b/>
          <w:bCs/>
        </w:rPr>
        <w:t xml:space="preserve">‘people over or approaching retirement age, including the active, newly-retired through to the very frail elderly; and whose housing can encompass accessible, adaptable general needs housing through to the full range of retirement and specialist housing for those with care and support needs.’ </w:t>
      </w:r>
    </w:p>
    <w:p w14:paraId="6539D30E" w14:textId="77777777" w:rsidR="00CE1BDB" w:rsidRPr="00FA4DC7" w:rsidRDefault="00CE1BDB" w:rsidP="00CE1BDB">
      <w:pPr>
        <w:pStyle w:val="Reporttext"/>
        <w:tabs>
          <w:tab w:val="clear" w:pos="2128"/>
          <w:tab w:val="num" w:pos="2129"/>
        </w:tabs>
        <w:rPr>
          <w:rFonts w:cs="Arial"/>
        </w:rPr>
      </w:pPr>
      <w:r w:rsidRPr="00FA4DC7">
        <w:rPr>
          <w:rFonts w:cs="Arial"/>
        </w:rPr>
        <w:t>PPG recommends the following are considered in an assessment of older persons need:</w:t>
      </w:r>
    </w:p>
    <w:p w14:paraId="76629BB8" w14:textId="77777777" w:rsidR="00CE1BDB" w:rsidRPr="00FA4DC7" w:rsidRDefault="00CE1BDB" w:rsidP="00CE1BDB">
      <w:pPr>
        <w:pStyle w:val="bullet"/>
        <w:rPr>
          <w:rFonts w:cs="Arial"/>
        </w:rPr>
      </w:pPr>
      <w:r w:rsidRPr="00FA4DC7">
        <w:rPr>
          <w:rFonts w:cs="Arial"/>
        </w:rPr>
        <w:t xml:space="preserve">The future need for specialist accommodation (including but not restricted to age-restricted general market housing, retirement living or sheltered accommodation, Extra </w:t>
      </w:r>
      <w:proofErr w:type="gramStart"/>
      <w:r w:rsidRPr="00FA4DC7">
        <w:rPr>
          <w:rFonts w:cs="Arial"/>
        </w:rPr>
        <w:t>Care</w:t>
      </w:r>
      <w:proofErr w:type="gramEnd"/>
      <w:r w:rsidRPr="00FA4DC7">
        <w:rPr>
          <w:rFonts w:cs="Arial"/>
        </w:rPr>
        <w:t xml:space="preserve"> or housing with care), broken down by type and tenure.</w:t>
      </w:r>
    </w:p>
    <w:p w14:paraId="3FFCE7AB" w14:textId="77777777" w:rsidR="00CE1BDB" w:rsidRPr="00FA4DC7" w:rsidRDefault="00CE1BDB" w:rsidP="00CE1BDB">
      <w:pPr>
        <w:pStyle w:val="bullet"/>
        <w:rPr>
          <w:rFonts w:cs="Arial"/>
        </w:rPr>
      </w:pPr>
      <w:r w:rsidRPr="00FA4DC7">
        <w:rPr>
          <w:rFonts w:cs="Arial"/>
        </w:rPr>
        <w:t xml:space="preserve">The need for care in residential care and nursing homes (C2). </w:t>
      </w:r>
    </w:p>
    <w:p w14:paraId="64504E7B" w14:textId="77777777" w:rsidR="00CE1BDB" w:rsidRPr="00FA4DC7" w:rsidRDefault="00CE1BDB" w:rsidP="00CE1BDB">
      <w:pPr>
        <w:pStyle w:val="bullet"/>
        <w:rPr>
          <w:rFonts w:cs="Arial"/>
        </w:rPr>
      </w:pPr>
      <w:r w:rsidRPr="00FA4DC7">
        <w:rPr>
          <w:rFonts w:cs="Arial"/>
        </w:rPr>
        <w:t xml:space="preserve">The need for co-housing communities. </w:t>
      </w:r>
    </w:p>
    <w:p w14:paraId="77DFA9D5" w14:textId="77777777" w:rsidR="00CE1BDB" w:rsidRPr="00FA4DC7" w:rsidRDefault="00CE1BDB" w:rsidP="00CE1BDB">
      <w:pPr>
        <w:pStyle w:val="bullet"/>
        <w:rPr>
          <w:rFonts w:cs="Arial"/>
        </w:rPr>
      </w:pPr>
      <w:r w:rsidRPr="00FA4DC7">
        <w:rPr>
          <w:rFonts w:cs="Arial"/>
        </w:rPr>
        <w:t>The role of general housing and in particular bungalows and homes that can be adapted to meet a change in needs.</w:t>
      </w:r>
    </w:p>
    <w:p w14:paraId="5A8358D2" w14:textId="77777777" w:rsidR="00CE1BDB" w:rsidRPr="00FA4DC7" w:rsidRDefault="00CE1BDB" w:rsidP="00CE1BDB">
      <w:pPr>
        <w:pStyle w:val="Reporttext"/>
        <w:tabs>
          <w:tab w:val="clear" w:pos="2128"/>
          <w:tab w:val="num" w:pos="2129"/>
        </w:tabs>
        <w:rPr>
          <w:rFonts w:cs="Arial"/>
        </w:rPr>
      </w:pPr>
      <w:r w:rsidRPr="00FA4DC7">
        <w:rPr>
          <w:rFonts w:cs="Arial"/>
        </w:rPr>
        <w:t xml:space="preserve">PPG notes that </w:t>
      </w:r>
      <w:r w:rsidRPr="00FA4DC7">
        <w:rPr>
          <w:rFonts w:cs="Arial"/>
          <w:b/>
          <w:bCs/>
        </w:rPr>
        <w:t xml:space="preserve">‘plan-making authorities will need to count housing provided for older people against their housing requirement’ </w:t>
      </w:r>
      <w:r w:rsidRPr="00FA4DC7">
        <w:rPr>
          <w:rFonts w:cs="Arial"/>
        </w:rPr>
        <w:t>(source:</w:t>
      </w:r>
      <w:r w:rsidRPr="00FA4DC7">
        <w:rPr>
          <w:rFonts w:cs="Arial"/>
          <w:b/>
          <w:bCs/>
        </w:rPr>
        <w:t xml:space="preserve"> </w:t>
      </w:r>
      <w:r w:rsidRPr="00FA4DC7">
        <w:rPr>
          <w:rFonts w:cs="Arial"/>
          <w:szCs w:val="16"/>
          <w:lang w:val="en-US"/>
        </w:rPr>
        <w:t xml:space="preserve">PPG June 2019 </w:t>
      </w:r>
      <w:r w:rsidRPr="00FA4DC7">
        <w:rPr>
          <w:rFonts w:cs="Arial"/>
          <w:color w:val="0B0C0C"/>
          <w:szCs w:val="16"/>
          <w:shd w:val="clear" w:color="auto" w:fill="FFFFFF"/>
        </w:rPr>
        <w:t>Paragraph: 016 Reference ID: 63-016-20190626)</w:t>
      </w:r>
      <w:r w:rsidRPr="00FA4DC7">
        <w:rPr>
          <w:rFonts w:cs="Arial"/>
        </w:rPr>
        <w:t xml:space="preserve">. </w:t>
      </w:r>
    </w:p>
    <w:p w14:paraId="7BF367A6" w14:textId="77777777" w:rsidR="00CE1BDB" w:rsidRPr="00FA4DC7" w:rsidRDefault="00CE1BDB" w:rsidP="00CE1BDB">
      <w:pPr>
        <w:pStyle w:val="Reporttext"/>
        <w:tabs>
          <w:tab w:val="clear" w:pos="2128"/>
          <w:tab w:val="num" w:pos="2129"/>
        </w:tabs>
        <w:rPr>
          <w:rFonts w:cs="Arial"/>
        </w:rPr>
      </w:pPr>
      <w:r w:rsidRPr="00FA4DC7">
        <w:rPr>
          <w:rFonts w:cs="Arial"/>
        </w:rPr>
        <w:t>Over the period 2021 to 2037, the number of people aged 65 and over is expected to increase by 25.6% and by 2037 there will be an additional 11,700 residents aged 65 and over. Over the period 2021 to 2040, the additional number will be 12,460, a 27.3% increase. The number of households headed by someone aged 65 or over is expected to increase by 8,136 (26.8%) by 2037 and 8,874 (29.3%) by 2040.</w:t>
      </w:r>
    </w:p>
    <w:p w14:paraId="43DC32B5" w14:textId="77777777" w:rsidR="00CE1BDB" w:rsidRPr="00FA4DC7" w:rsidRDefault="00CE1BDB" w:rsidP="00CE1BDB">
      <w:pPr>
        <w:pStyle w:val="Reporttext"/>
        <w:rPr>
          <w:rFonts w:cs="Arial"/>
        </w:rPr>
      </w:pPr>
      <w:r w:rsidRPr="00FA4DC7">
        <w:rPr>
          <w:rFonts w:cs="Arial"/>
        </w:rPr>
        <w:t>The arc4 national database indicates that the majority of older people (76.6%) want to remain in their current home with help and support when needed (Table 5.1). There is also interest in a range of options including sheltered, Extra Care, co-</w:t>
      </w:r>
      <w:proofErr w:type="gramStart"/>
      <w:r w:rsidRPr="00FA4DC7">
        <w:rPr>
          <w:rFonts w:cs="Arial"/>
        </w:rPr>
        <w:t>housing</w:t>
      </w:r>
      <w:proofErr w:type="gramEnd"/>
      <w:r w:rsidRPr="00FA4DC7">
        <w:rPr>
          <w:rFonts w:cs="Arial"/>
        </w:rPr>
        <w:t xml:space="preserve"> and open market accommodation. </w:t>
      </w:r>
    </w:p>
    <w:p w14:paraId="719216B4" w14:textId="77777777" w:rsidR="00CE1BDB" w:rsidRPr="00FA4DC7" w:rsidRDefault="00CE1BDB" w:rsidP="00CE1BDB">
      <w:pPr>
        <w:rPr>
          <w:rFonts w:cs="Arial"/>
          <w:highlight w:val="yellow"/>
          <w:lang w:eastAsia="en-US"/>
        </w:rPr>
        <w:sectPr w:rsidR="00CE1BDB" w:rsidRPr="00FA4DC7" w:rsidSect="00EF49A7">
          <w:pgSz w:w="11906" w:h="16838"/>
          <w:pgMar w:top="1440" w:right="1276" w:bottom="1134" w:left="1440" w:header="709" w:footer="709" w:gutter="0"/>
          <w:cols w:space="708"/>
          <w:docGrid w:linePitch="360"/>
        </w:sect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55"/>
        <w:gridCol w:w="1012"/>
        <w:gridCol w:w="1012"/>
        <w:gridCol w:w="889"/>
        <w:gridCol w:w="1012"/>
      </w:tblGrid>
      <w:tr w:rsidR="00CE1BDB" w:rsidRPr="00FA4DC7" w14:paraId="78DE8A6E" w14:textId="77777777" w:rsidTr="000A3A5C">
        <w:tc>
          <w:tcPr>
            <w:tcW w:w="5000" w:type="pct"/>
            <w:gridSpan w:val="5"/>
            <w:shd w:val="clear" w:color="auto" w:fill="006666"/>
            <w:vAlign w:val="center"/>
          </w:tcPr>
          <w:p w14:paraId="54F2922C" w14:textId="77777777" w:rsidR="00CE1BDB" w:rsidRPr="00FA4DC7" w:rsidRDefault="00CE1BDB" w:rsidP="00EF49A7">
            <w:pPr>
              <w:pStyle w:val="Tableheading1"/>
              <w:rPr>
                <w:rFonts w:cs="Arial"/>
              </w:rPr>
            </w:pPr>
            <w:bookmarkStart w:id="376" w:name="_Toc83036102"/>
            <w:r w:rsidRPr="00FA4DC7">
              <w:rPr>
                <w:rFonts w:cs="Arial"/>
              </w:rPr>
              <w:lastRenderedPageBreak/>
              <w:t>Table 5.1</w:t>
            </w:r>
            <w:r w:rsidRPr="00FA4DC7">
              <w:rPr>
                <w:rFonts w:cs="Arial"/>
              </w:rPr>
              <w:tab/>
              <w:t>Older persons’ housing preferences by age group</w:t>
            </w:r>
            <w:bookmarkEnd w:id="376"/>
          </w:p>
        </w:tc>
      </w:tr>
      <w:tr w:rsidR="00CE1BDB" w:rsidRPr="00FA4DC7" w14:paraId="1D0667A6" w14:textId="77777777" w:rsidTr="000A3A5C">
        <w:tc>
          <w:tcPr>
            <w:tcW w:w="2988" w:type="pct"/>
            <w:shd w:val="clear" w:color="auto" w:fill="006666"/>
            <w:vAlign w:val="center"/>
          </w:tcPr>
          <w:p w14:paraId="0C71A61C" w14:textId="77777777" w:rsidR="00CE1BDB" w:rsidRPr="00FA4DC7" w:rsidRDefault="00CE1BDB" w:rsidP="00EF49A7">
            <w:pPr>
              <w:rPr>
                <w:rFonts w:cs="Arial"/>
                <w:b/>
                <w:color w:val="FFFFFF" w:themeColor="background1"/>
                <w:sz w:val="22"/>
                <w:szCs w:val="22"/>
              </w:rPr>
            </w:pPr>
            <w:r w:rsidRPr="00FA4DC7">
              <w:rPr>
                <w:rFonts w:cs="Arial"/>
                <w:b/>
                <w:color w:val="FFFFFF" w:themeColor="background1"/>
                <w:sz w:val="22"/>
                <w:szCs w:val="22"/>
              </w:rPr>
              <w:t>Housing option</w:t>
            </w:r>
          </w:p>
        </w:tc>
        <w:tc>
          <w:tcPr>
            <w:tcW w:w="519" w:type="pct"/>
            <w:shd w:val="clear" w:color="auto" w:fill="006666"/>
            <w:noWrap/>
            <w:vAlign w:val="center"/>
          </w:tcPr>
          <w:p w14:paraId="7EFE354B"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 xml:space="preserve">65-74 </w:t>
            </w:r>
          </w:p>
          <w:p w14:paraId="794F7621"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w:t>
            </w:r>
          </w:p>
        </w:tc>
        <w:tc>
          <w:tcPr>
            <w:tcW w:w="519" w:type="pct"/>
            <w:shd w:val="clear" w:color="auto" w:fill="006666"/>
          </w:tcPr>
          <w:p w14:paraId="7873C1CD"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75-84 (%)</w:t>
            </w:r>
          </w:p>
        </w:tc>
        <w:tc>
          <w:tcPr>
            <w:tcW w:w="456" w:type="pct"/>
            <w:shd w:val="clear" w:color="auto" w:fill="006666"/>
          </w:tcPr>
          <w:p w14:paraId="0BDED262"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 xml:space="preserve">85+ </w:t>
            </w:r>
          </w:p>
          <w:p w14:paraId="7E39A548"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w:t>
            </w:r>
          </w:p>
        </w:tc>
        <w:tc>
          <w:tcPr>
            <w:tcW w:w="519" w:type="pct"/>
            <w:shd w:val="clear" w:color="auto" w:fill="006666"/>
          </w:tcPr>
          <w:p w14:paraId="0486B764"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 xml:space="preserve">All 65+ </w:t>
            </w:r>
          </w:p>
          <w:p w14:paraId="3F363119"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w:t>
            </w:r>
          </w:p>
        </w:tc>
      </w:tr>
      <w:tr w:rsidR="00CE1BDB" w:rsidRPr="00FA4DC7" w14:paraId="46BBFFD8" w14:textId="77777777" w:rsidTr="000A3A5C">
        <w:tc>
          <w:tcPr>
            <w:tcW w:w="2988" w:type="pct"/>
            <w:shd w:val="clear" w:color="auto" w:fill="auto"/>
            <w:vAlign w:val="bottom"/>
          </w:tcPr>
          <w:p w14:paraId="19C2FD6F" w14:textId="77777777" w:rsidR="00CE1BDB" w:rsidRPr="00FA4DC7" w:rsidRDefault="00CE1BDB" w:rsidP="00EF49A7">
            <w:pPr>
              <w:rPr>
                <w:rFonts w:cs="Arial"/>
                <w:color w:val="000000"/>
                <w:sz w:val="22"/>
                <w:szCs w:val="22"/>
              </w:rPr>
            </w:pPr>
            <w:r w:rsidRPr="00FA4DC7">
              <w:rPr>
                <w:rFonts w:cs="Arial"/>
                <w:color w:val="000000"/>
                <w:sz w:val="22"/>
                <w:szCs w:val="22"/>
              </w:rPr>
              <w:t xml:space="preserve">Continue to live in current home with support when needed </w:t>
            </w:r>
            <w:proofErr w:type="gramStart"/>
            <w:r w:rsidRPr="00FA4DC7">
              <w:rPr>
                <w:rFonts w:cs="Arial"/>
                <w:color w:val="000000"/>
                <w:sz w:val="22"/>
                <w:szCs w:val="22"/>
              </w:rPr>
              <w:t>e.g.</w:t>
            </w:r>
            <w:proofErr w:type="gramEnd"/>
            <w:r w:rsidRPr="00FA4DC7">
              <w:rPr>
                <w:rFonts w:cs="Arial"/>
                <w:color w:val="000000"/>
                <w:sz w:val="22"/>
                <w:szCs w:val="22"/>
              </w:rPr>
              <w:t xml:space="preserve"> home visits, ‘call for help’ alarm</w:t>
            </w:r>
          </w:p>
        </w:tc>
        <w:tc>
          <w:tcPr>
            <w:tcW w:w="519" w:type="pct"/>
            <w:shd w:val="clear" w:color="auto" w:fill="auto"/>
            <w:noWrap/>
            <w:vAlign w:val="center"/>
          </w:tcPr>
          <w:p w14:paraId="688152A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71.3%</w:t>
            </w:r>
          </w:p>
        </w:tc>
        <w:tc>
          <w:tcPr>
            <w:tcW w:w="519" w:type="pct"/>
            <w:vAlign w:val="center"/>
          </w:tcPr>
          <w:p w14:paraId="444CCDE0"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81.8%</w:t>
            </w:r>
          </w:p>
        </w:tc>
        <w:tc>
          <w:tcPr>
            <w:tcW w:w="456" w:type="pct"/>
            <w:vAlign w:val="center"/>
          </w:tcPr>
          <w:p w14:paraId="5182D1D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84.3%</w:t>
            </w:r>
          </w:p>
        </w:tc>
        <w:tc>
          <w:tcPr>
            <w:tcW w:w="519" w:type="pct"/>
            <w:vAlign w:val="center"/>
          </w:tcPr>
          <w:p w14:paraId="22B9A35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76.6%</w:t>
            </w:r>
          </w:p>
        </w:tc>
      </w:tr>
      <w:tr w:rsidR="00CE1BDB" w:rsidRPr="00FA4DC7" w14:paraId="5121C68C" w14:textId="77777777" w:rsidTr="000A3A5C">
        <w:tc>
          <w:tcPr>
            <w:tcW w:w="2988" w:type="pct"/>
            <w:shd w:val="clear" w:color="auto" w:fill="auto"/>
            <w:vAlign w:val="bottom"/>
          </w:tcPr>
          <w:p w14:paraId="3552E6FF" w14:textId="77777777" w:rsidR="00CE1BDB" w:rsidRPr="00FA4DC7" w:rsidRDefault="00CE1BDB" w:rsidP="00EF49A7">
            <w:pPr>
              <w:rPr>
                <w:rFonts w:cs="Arial"/>
                <w:color w:val="000000"/>
                <w:sz w:val="22"/>
                <w:szCs w:val="22"/>
              </w:rPr>
            </w:pPr>
            <w:r w:rsidRPr="00FA4DC7">
              <w:rPr>
                <w:rFonts w:cs="Arial"/>
                <w:color w:val="000000"/>
                <w:sz w:val="22"/>
                <w:szCs w:val="22"/>
              </w:rPr>
              <w:t>Buying a dwelling on the open market</w:t>
            </w:r>
          </w:p>
        </w:tc>
        <w:tc>
          <w:tcPr>
            <w:tcW w:w="519" w:type="pct"/>
            <w:shd w:val="clear" w:color="auto" w:fill="auto"/>
            <w:noWrap/>
            <w:vAlign w:val="center"/>
          </w:tcPr>
          <w:p w14:paraId="4874A33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16.5%</w:t>
            </w:r>
          </w:p>
        </w:tc>
        <w:tc>
          <w:tcPr>
            <w:tcW w:w="519" w:type="pct"/>
            <w:vAlign w:val="center"/>
          </w:tcPr>
          <w:p w14:paraId="3DA597D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6.8%</w:t>
            </w:r>
          </w:p>
        </w:tc>
        <w:tc>
          <w:tcPr>
            <w:tcW w:w="456" w:type="pct"/>
            <w:vAlign w:val="center"/>
          </w:tcPr>
          <w:p w14:paraId="14BF1BC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2.6%</w:t>
            </w:r>
          </w:p>
        </w:tc>
        <w:tc>
          <w:tcPr>
            <w:tcW w:w="519" w:type="pct"/>
            <w:vAlign w:val="center"/>
          </w:tcPr>
          <w:p w14:paraId="029960C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11.3%</w:t>
            </w:r>
          </w:p>
        </w:tc>
      </w:tr>
      <w:tr w:rsidR="00CE1BDB" w:rsidRPr="00FA4DC7" w14:paraId="2DDB468C" w14:textId="77777777" w:rsidTr="000A3A5C">
        <w:tc>
          <w:tcPr>
            <w:tcW w:w="2988" w:type="pct"/>
            <w:shd w:val="clear" w:color="auto" w:fill="auto"/>
            <w:vAlign w:val="bottom"/>
          </w:tcPr>
          <w:p w14:paraId="17CABB10" w14:textId="77777777" w:rsidR="00CE1BDB" w:rsidRPr="00FA4DC7" w:rsidRDefault="00CE1BDB" w:rsidP="00EF49A7">
            <w:pPr>
              <w:rPr>
                <w:rFonts w:cs="Arial"/>
                <w:color w:val="000000"/>
                <w:sz w:val="22"/>
                <w:szCs w:val="22"/>
              </w:rPr>
            </w:pPr>
            <w:r w:rsidRPr="00FA4DC7">
              <w:rPr>
                <w:rFonts w:cs="Arial"/>
                <w:color w:val="000000"/>
                <w:sz w:val="22"/>
                <w:szCs w:val="22"/>
              </w:rPr>
              <w:t>Rent a dwelling from a private landlord</w:t>
            </w:r>
          </w:p>
        </w:tc>
        <w:tc>
          <w:tcPr>
            <w:tcW w:w="519" w:type="pct"/>
            <w:shd w:val="clear" w:color="auto" w:fill="auto"/>
            <w:noWrap/>
            <w:vAlign w:val="center"/>
          </w:tcPr>
          <w:p w14:paraId="577702E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3.5%</w:t>
            </w:r>
          </w:p>
        </w:tc>
        <w:tc>
          <w:tcPr>
            <w:tcW w:w="519" w:type="pct"/>
            <w:vAlign w:val="center"/>
          </w:tcPr>
          <w:p w14:paraId="0BB6D9D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w:t>
            </w:r>
          </w:p>
        </w:tc>
        <w:tc>
          <w:tcPr>
            <w:tcW w:w="456" w:type="pct"/>
            <w:vAlign w:val="center"/>
          </w:tcPr>
          <w:p w14:paraId="00D0E8D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0.5%</w:t>
            </w:r>
          </w:p>
        </w:tc>
        <w:tc>
          <w:tcPr>
            <w:tcW w:w="519" w:type="pct"/>
            <w:vAlign w:val="center"/>
          </w:tcPr>
          <w:p w14:paraId="6981A67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2.4%</w:t>
            </w:r>
          </w:p>
        </w:tc>
      </w:tr>
      <w:tr w:rsidR="00CE1BDB" w:rsidRPr="00FA4DC7" w14:paraId="49F0E36E" w14:textId="77777777" w:rsidTr="000A3A5C">
        <w:tc>
          <w:tcPr>
            <w:tcW w:w="2988" w:type="pct"/>
            <w:shd w:val="clear" w:color="auto" w:fill="auto"/>
            <w:vAlign w:val="bottom"/>
          </w:tcPr>
          <w:p w14:paraId="502E33B6" w14:textId="77777777" w:rsidR="00CE1BDB" w:rsidRPr="00FA4DC7" w:rsidRDefault="00CE1BDB" w:rsidP="00EF49A7">
            <w:pPr>
              <w:rPr>
                <w:rFonts w:cs="Arial"/>
                <w:color w:val="000000"/>
                <w:sz w:val="22"/>
                <w:szCs w:val="22"/>
              </w:rPr>
            </w:pPr>
            <w:r w:rsidRPr="00FA4DC7">
              <w:rPr>
                <w:rFonts w:cs="Arial"/>
                <w:color w:val="000000"/>
                <w:sz w:val="22"/>
                <w:szCs w:val="22"/>
              </w:rPr>
              <w:t>Rent from housing association</w:t>
            </w:r>
          </w:p>
        </w:tc>
        <w:tc>
          <w:tcPr>
            <w:tcW w:w="519" w:type="pct"/>
            <w:shd w:val="clear" w:color="auto" w:fill="auto"/>
            <w:noWrap/>
            <w:vAlign w:val="center"/>
          </w:tcPr>
          <w:p w14:paraId="1782B89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11.6%</w:t>
            </w:r>
          </w:p>
        </w:tc>
        <w:tc>
          <w:tcPr>
            <w:tcW w:w="519" w:type="pct"/>
            <w:vAlign w:val="center"/>
          </w:tcPr>
          <w:p w14:paraId="0CEF584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7.4%</w:t>
            </w:r>
          </w:p>
        </w:tc>
        <w:tc>
          <w:tcPr>
            <w:tcW w:w="456" w:type="pct"/>
            <w:vAlign w:val="center"/>
          </w:tcPr>
          <w:p w14:paraId="551AB88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4.5%</w:t>
            </w:r>
          </w:p>
        </w:tc>
        <w:tc>
          <w:tcPr>
            <w:tcW w:w="519" w:type="pct"/>
            <w:vAlign w:val="center"/>
          </w:tcPr>
          <w:p w14:paraId="7D26860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9.2%</w:t>
            </w:r>
          </w:p>
        </w:tc>
      </w:tr>
      <w:tr w:rsidR="00CE1BDB" w:rsidRPr="00FA4DC7" w14:paraId="571B8E94" w14:textId="77777777" w:rsidTr="000A3A5C">
        <w:tc>
          <w:tcPr>
            <w:tcW w:w="2988" w:type="pct"/>
            <w:shd w:val="clear" w:color="auto" w:fill="auto"/>
            <w:vAlign w:val="bottom"/>
          </w:tcPr>
          <w:p w14:paraId="3951DCFC" w14:textId="77777777" w:rsidR="00CE1BDB" w:rsidRPr="00FA4DC7" w:rsidRDefault="00CE1BDB" w:rsidP="00EF49A7">
            <w:pPr>
              <w:rPr>
                <w:rFonts w:cs="Arial"/>
                <w:color w:val="000000"/>
                <w:sz w:val="22"/>
                <w:szCs w:val="22"/>
              </w:rPr>
            </w:pPr>
            <w:r w:rsidRPr="00FA4DC7">
              <w:rPr>
                <w:rFonts w:cs="Arial"/>
                <w:color w:val="000000"/>
                <w:sz w:val="22"/>
                <w:szCs w:val="22"/>
              </w:rPr>
              <w:t>Rent from the council</w:t>
            </w:r>
          </w:p>
        </w:tc>
        <w:tc>
          <w:tcPr>
            <w:tcW w:w="519" w:type="pct"/>
            <w:shd w:val="clear" w:color="auto" w:fill="auto"/>
            <w:noWrap/>
            <w:vAlign w:val="center"/>
          </w:tcPr>
          <w:p w14:paraId="14978A3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2.3%</w:t>
            </w:r>
          </w:p>
        </w:tc>
        <w:tc>
          <w:tcPr>
            <w:tcW w:w="519" w:type="pct"/>
            <w:vAlign w:val="center"/>
          </w:tcPr>
          <w:p w14:paraId="149E0B3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w:t>
            </w:r>
          </w:p>
        </w:tc>
        <w:tc>
          <w:tcPr>
            <w:tcW w:w="456" w:type="pct"/>
            <w:vAlign w:val="center"/>
          </w:tcPr>
          <w:p w14:paraId="0E210F68"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0.6%</w:t>
            </w:r>
          </w:p>
        </w:tc>
        <w:tc>
          <w:tcPr>
            <w:tcW w:w="519" w:type="pct"/>
            <w:vAlign w:val="center"/>
          </w:tcPr>
          <w:p w14:paraId="2558B4C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1.7%</w:t>
            </w:r>
          </w:p>
        </w:tc>
      </w:tr>
      <w:tr w:rsidR="00CE1BDB" w:rsidRPr="00FA4DC7" w14:paraId="2D307083" w14:textId="77777777" w:rsidTr="000A3A5C">
        <w:tc>
          <w:tcPr>
            <w:tcW w:w="2988" w:type="pct"/>
            <w:shd w:val="clear" w:color="auto" w:fill="auto"/>
            <w:vAlign w:val="bottom"/>
          </w:tcPr>
          <w:p w14:paraId="5739B9A0" w14:textId="77777777" w:rsidR="00CE1BDB" w:rsidRPr="00FA4DC7" w:rsidRDefault="00CE1BDB" w:rsidP="00EF49A7">
            <w:pPr>
              <w:rPr>
                <w:rFonts w:cs="Arial"/>
                <w:color w:val="000000"/>
                <w:sz w:val="22"/>
                <w:szCs w:val="22"/>
              </w:rPr>
            </w:pPr>
            <w:r w:rsidRPr="00FA4DC7">
              <w:rPr>
                <w:rFonts w:cs="Arial"/>
                <w:color w:val="000000"/>
                <w:sz w:val="22"/>
                <w:szCs w:val="22"/>
              </w:rPr>
              <w:t>Sheltered accommodation: Renting</w:t>
            </w:r>
          </w:p>
        </w:tc>
        <w:tc>
          <w:tcPr>
            <w:tcW w:w="519" w:type="pct"/>
            <w:shd w:val="clear" w:color="auto" w:fill="auto"/>
            <w:noWrap/>
            <w:vAlign w:val="center"/>
          </w:tcPr>
          <w:p w14:paraId="5C93249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21.4%</w:t>
            </w:r>
          </w:p>
        </w:tc>
        <w:tc>
          <w:tcPr>
            <w:tcW w:w="519" w:type="pct"/>
            <w:vAlign w:val="center"/>
          </w:tcPr>
          <w:p w14:paraId="13F06DA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20.3%</w:t>
            </w:r>
          </w:p>
        </w:tc>
        <w:tc>
          <w:tcPr>
            <w:tcW w:w="456" w:type="pct"/>
            <w:vAlign w:val="center"/>
          </w:tcPr>
          <w:p w14:paraId="09AC937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16.0%</w:t>
            </w:r>
          </w:p>
        </w:tc>
        <w:tc>
          <w:tcPr>
            <w:tcW w:w="519" w:type="pct"/>
            <w:vAlign w:val="center"/>
          </w:tcPr>
          <w:p w14:paraId="3CA1FB3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20.3%</w:t>
            </w:r>
          </w:p>
        </w:tc>
      </w:tr>
      <w:tr w:rsidR="00CE1BDB" w:rsidRPr="00FA4DC7" w14:paraId="4B1FB869" w14:textId="77777777" w:rsidTr="000A3A5C">
        <w:tc>
          <w:tcPr>
            <w:tcW w:w="2988" w:type="pct"/>
            <w:shd w:val="clear" w:color="auto" w:fill="auto"/>
            <w:vAlign w:val="bottom"/>
          </w:tcPr>
          <w:p w14:paraId="36591626" w14:textId="77777777" w:rsidR="00CE1BDB" w:rsidRPr="00FA4DC7" w:rsidRDefault="00CE1BDB" w:rsidP="00EF49A7">
            <w:pPr>
              <w:rPr>
                <w:rFonts w:cs="Arial"/>
                <w:color w:val="000000"/>
                <w:sz w:val="22"/>
                <w:szCs w:val="22"/>
              </w:rPr>
            </w:pPr>
            <w:r w:rsidRPr="00FA4DC7">
              <w:rPr>
                <w:rFonts w:cs="Arial"/>
                <w:color w:val="000000"/>
                <w:sz w:val="22"/>
                <w:szCs w:val="22"/>
              </w:rPr>
              <w:t>Sheltered accommodation: Buying</w:t>
            </w:r>
          </w:p>
        </w:tc>
        <w:tc>
          <w:tcPr>
            <w:tcW w:w="519" w:type="pct"/>
            <w:shd w:val="clear" w:color="auto" w:fill="auto"/>
            <w:noWrap/>
            <w:vAlign w:val="center"/>
          </w:tcPr>
          <w:p w14:paraId="12B3915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13.9%</w:t>
            </w:r>
          </w:p>
        </w:tc>
        <w:tc>
          <w:tcPr>
            <w:tcW w:w="519" w:type="pct"/>
            <w:vAlign w:val="center"/>
          </w:tcPr>
          <w:p w14:paraId="0DDC634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10.5%</w:t>
            </w:r>
          </w:p>
        </w:tc>
        <w:tc>
          <w:tcPr>
            <w:tcW w:w="456" w:type="pct"/>
            <w:vAlign w:val="center"/>
          </w:tcPr>
          <w:p w14:paraId="5ADA0B2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7.5%</w:t>
            </w:r>
          </w:p>
        </w:tc>
        <w:tc>
          <w:tcPr>
            <w:tcW w:w="519" w:type="pct"/>
            <w:vAlign w:val="center"/>
          </w:tcPr>
          <w:p w14:paraId="79EB18B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11.9%</w:t>
            </w:r>
          </w:p>
        </w:tc>
      </w:tr>
      <w:tr w:rsidR="00CE1BDB" w:rsidRPr="00FA4DC7" w14:paraId="775BB3F4" w14:textId="77777777" w:rsidTr="000A3A5C">
        <w:tc>
          <w:tcPr>
            <w:tcW w:w="2988" w:type="pct"/>
            <w:shd w:val="clear" w:color="auto" w:fill="auto"/>
            <w:vAlign w:val="bottom"/>
          </w:tcPr>
          <w:p w14:paraId="1AF27A46" w14:textId="77777777" w:rsidR="00CE1BDB" w:rsidRPr="00FA4DC7" w:rsidRDefault="00CE1BDB" w:rsidP="00EF49A7">
            <w:pPr>
              <w:rPr>
                <w:rFonts w:cs="Arial"/>
                <w:color w:val="000000"/>
                <w:sz w:val="22"/>
                <w:szCs w:val="22"/>
              </w:rPr>
            </w:pPr>
            <w:r w:rsidRPr="00FA4DC7">
              <w:rPr>
                <w:rFonts w:cs="Arial"/>
                <w:color w:val="000000"/>
                <w:sz w:val="22"/>
                <w:szCs w:val="22"/>
              </w:rPr>
              <w:t>Sheltered accommodation: Part rent/buy (shared ownership)</w:t>
            </w:r>
          </w:p>
        </w:tc>
        <w:tc>
          <w:tcPr>
            <w:tcW w:w="519" w:type="pct"/>
            <w:shd w:val="clear" w:color="auto" w:fill="auto"/>
            <w:noWrap/>
            <w:vAlign w:val="center"/>
          </w:tcPr>
          <w:p w14:paraId="6349990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5.1%</w:t>
            </w:r>
          </w:p>
        </w:tc>
        <w:tc>
          <w:tcPr>
            <w:tcW w:w="519" w:type="pct"/>
            <w:vAlign w:val="center"/>
          </w:tcPr>
          <w:p w14:paraId="197FC9C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4.2%</w:t>
            </w:r>
          </w:p>
        </w:tc>
        <w:tc>
          <w:tcPr>
            <w:tcW w:w="456" w:type="pct"/>
            <w:vAlign w:val="center"/>
          </w:tcPr>
          <w:p w14:paraId="566DA2C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3.3%</w:t>
            </w:r>
          </w:p>
        </w:tc>
        <w:tc>
          <w:tcPr>
            <w:tcW w:w="519" w:type="pct"/>
            <w:vAlign w:val="center"/>
          </w:tcPr>
          <w:p w14:paraId="470A75F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4.5%</w:t>
            </w:r>
          </w:p>
        </w:tc>
      </w:tr>
      <w:tr w:rsidR="00CE1BDB" w:rsidRPr="00FA4DC7" w14:paraId="21989C2E" w14:textId="77777777" w:rsidTr="000A3A5C">
        <w:tc>
          <w:tcPr>
            <w:tcW w:w="2988" w:type="pct"/>
            <w:shd w:val="clear" w:color="auto" w:fill="auto"/>
            <w:vAlign w:val="bottom"/>
          </w:tcPr>
          <w:p w14:paraId="14139F30" w14:textId="77777777" w:rsidR="00CE1BDB" w:rsidRPr="00FA4DC7" w:rsidRDefault="00CE1BDB" w:rsidP="00EF49A7">
            <w:pPr>
              <w:rPr>
                <w:rFonts w:cs="Arial"/>
                <w:color w:val="000000"/>
                <w:sz w:val="22"/>
                <w:szCs w:val="22"/>
              </w:rPr>
            </w:pPr>
            <w:r w:rsidRPr="00FA4DC7">
              <w:rPr>
                <w:rFonts w:cs="Arial"/>
                <w:color w:val="000000"/>
                <w:sz w:val="22"/>
                <w:szCs w:val="22"/>
              </w:rPr>
              <w:t>Extra Care Housing: Renting</w:t>
            </w:r>
          </w:p>
        </w:tc>
        <w:tc>
          <w:tcPr>
            <w:tcW w:w="519" w:type="pct"/>
            <w:shd w:val="clear" w:color="auto" w:fill="auto"/>
            <w:noWrap/>
            <w:vAlign w:val="center"/>
          </w:tcPr>
          <w:p w14:paraId="4FCEBE8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15.2%</w:t>
            </w:r>
          </w:p>
        </w:tc>
        <w:tc>
          <w:tcPr>
            <w:tcW w:w="519" w:type="pct"/>
            <w:vAlign w:val="center"/>
          </w:tcPr>
          <w:p w14:paraId="4970A69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16.4%</w:t>
            </w:r>
          </w:p>
        </w:tc>
        <w:tc>
          <w:tcPr>
            <w:tcW w:w="456" w:type="pct"/>
            <w:vAlign w:val="center"/>
          </w:tcPr>
          <w:p w14:paraId="01B5109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15.9%</w:t>
            </w:r>
          </w:p>
        </w:tc>
        <w:tc>
          <w:tcPr>
            <w:tcW w:w="519" w:type="pct"/>
            <w:vAlign w:val="center"/>
          </w:tcPr>
          <w:p w14:paraId="1A49F06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15.7%</w:t>
            </w:r>
          </w:p>
        </w:tc>
      </w:tr>
      <w:tr w:rsidR="00CE1BDB" w:rsidRPr="00FA4DC7" w14:paraId="5287245A" w14:textId="77777777" w:rsidTr="000A3A5C">
        <w:tc>
          <w:tcPr>
            <w:tcW w:w="2988" w:type="pct"/>
            <w:shd w:val="clear" w:color="auto" w:fill="auto"/>
            <w:vAlign w:val="bottom"/>
          </w:tcPr>
          <w:p w14:paraId="76AC4562" w14:textId="77777777" w:rsidR="00CE1BDB" w:rsidRPr="00FA4DC7" w:rsidRDefault="00CE1BDB" w:rsidP="00EF49A7">
            <w:pPr>
              <w:rPr>
                <w:rFonts w:cs="Arial"/>
                <w:color w:val="000000"/>
                <w:sz w:val="22"/>
                <w:szCs w:val="22"/>
              </w:rPr>
            </w:pPr>
            <w:r w:rsidRPr="00FA4DC7">
              <w:rPr>
                <w:rFonts w:cs="Arial"/>
                <w:color w:val="000000"/>
                <w:sz w:val="22"/>
                <w:szCs w:val="22"/>
              </w:rPr>
              <w:t>Extra Care Housing: Buying</w:t>
            </w:r>
          </w:p>
        </w:tc>
        <w:tc>
          <w:tcPr>
            <w:tcW w:w="519" w:type="pct"/>
            <w:shd w:val="clear" w:color="auto" w:fill="auto"/>
            <w:noWrap/>
            <w:vAlign w:val="center"/>
          </w:tcPr>
          <w:p w14:paraId="49EEB50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10.1%</w:t>
            </w:r>
          </w:p>
        </w:tc>
        <w:tc>
          <w:tcPr>
            <w:tcW w:w="519" w:type="pct"/>
            <w:vAlign w:val="center"/>
          </w:tcPr>
          <w:p w14:paraId="65A424F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8.3%</w:t>
            </w:r>
          </w:p>
        </w:tc>
        <w:tc>
          <w:tcPr>
            <w:tcW w:w="456" w:type="pct"/>
            <w:vAlign w:val="center"/>
          </w:tcPr>
          <w:p w14:paraId="652AD385"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6.7%</w:t>
            </w:r>
          </w:p>
        </w:tc>
        <w:tc>
          <w:tcPr>
            <w:tcW w:w="519" w:type="pct"/>
            <w:vAlign w:val="center"/>
          </w:tcPr>
          <w:p w14:paraId="3701939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9.0%</w:t>
            </w:r>
          </w:p>
        </w:tc>
      </w:tr>
      <w:tr w:rsidR="00CE1BDB" w:rsidRPr="00FA4DC7" w14:paraId="4A1DEC64" w14:textId="77777777" w:rsidTr="000A3A5C">
        <w:tc>
          <w:tcPr>
            <w:tcW w:w="2988" w:type="pct"/>
            <w:shd w:val="clear" w:color="auto" w:fill="auto"/>
            <w:vAlign w:val="bottom"/>
          </w:tcPr>
          <w:p w14:paraId="258A6225" w14:textId="77777777" w:rsidR="00CE1BDB" w:rsidRPr="00FA4DC7" w:rsidRDefault="00CE1BDB" w:rsidP="00EF49A7">
            <w:pPr>
              <w:rPr>
                <w:rFonts w:cs="Arial"/>
                <w:color w:val="000000"/>
                <w:sz w:val="22"/>
                <w:szCs w:val="22"/>
              </w:rPr>
            </w:pPr>
            <w:r w:rsidRPr="00FA4DC7">
              <w:rPr>
                <w:rFonts w:cs="Arial"/>
                <w:color w:val="000000"/>
                <w:sz w:val="22"/>
                <w:szCs w:val="22"/>
              </w:rPr>
              <w:t>Extra Care Housing: Part rent/buy (shared ownership)</w:t>
            </w:r>
          </w:p>
        </w:tc>
        <w:tc>
          <w:tcPr>
            <w:tcW w:w="519" w:type="pct"/>
            <w:shd w:val="clear" w:color="auto" w:fill="auto"/>
            <w:noWrap/>
            <w:vAlign w:val="center"/>
          </w:tcPr>
          <w:p w14:paraId="48E3E9E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3.9%</w:t>
            </w:r>
          </w:p>
        </w:tc>
        <w:tc>
          <w:tcPr>
            <w:tcW w:w="519" w:type="pct"/>
            <w:vAlign w:val="center"/>
          </w:tcPr>
          <w:p w14:paraId="6A9203A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3.1%</w:t>
            </w:r>
          </w:p>
        </w:tc>
        <w:tc>
          <w:tcPr>
            <w:tcW w:w="456" w:type="pct"/>
            <w:vAlign w:val="center"/>
          </w:tcPr>
          <w:p w14:paraId="7EA44190"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2.9%</w:t>
            </w:r>
          </w:p>
        </w:tc>
        <w:tc>
          <w:tcPr>
            <w:tcW w:w="519" w:type="pct"/>
            <w:vAlign w:val="center"/>
          </w:tcPr>
          <w:p w14:paraId="7E742E3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3.5%</w:t>
            </w:r>
          </w:p>
        </w:tc>
      </w:tr>
      <w:tr w:rsidR="00CE1BDB" w:rsidRPr="00FA4DC7" w14:paraId="4C684DF9" w14:textId="77777777" w:rsidTr="000A3A5C">
        <w:tc>
          <w:tcPr>
            <w:tcW w:w="2988" w:type="pct"/>
            <w:shd w:val="clear" w:color="auto" w:fill="auto"/>
            <w:vAlign w:val="bottom"/>
          </w:tcPr>
          <w:p w14:paraId="79028E45" w14:textId="77777777" w:rsidR="00CE1BDB" w:rsidRPr="00FA4DC7" w:rsidRDefault="00CE1BDB" w:rsidP="00EF49A7">
            <w:pPr>
              <w:rPr>
                <w:rFonts w:cs="Arial"/>
                <w:color w:val="000000"/>
                <w:sz w:val="22"/>
                <w:szCs w:val="22"/>
              </w:rPr>
            </w:pPr>
            <w:r w:rsidRPr="00FA4DC7">
              <w:rPr>
                <w:rFonts w:cs="Arial"/>
                <w:color w:val="000000"/>
                <w:sz w:val="22"/>
                <w:szCs w:val="22"/>
              </w:rPr>
              <w:t>Residential Nursing/Care home</w:t>
            </w:r>
          </w:p>
        </w:tc>
        <w:tc>
          <w:tcPr>
            <w:tcW w:w="519" w:type="pct"/>
            <w:shd w:val="clear" w:color="auto" w:fill="auto"/>
            <w:noWrap/>
            <w:vAlign w:val="center"/>
          </w:tcPr>
          <w:p w14:paraId="7218D40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5.0%</w:t>
            </w:r>
          </w:p>
        </w:tc>
        <w:tc>
          <w:tcPr>
            <w:tcW w:w="519" w:type="pct"/>
            <w:vAlign w:val="center"/>
          </w:tcPr>
          <w:p w14:paraId="3D8A8D7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7.3%</w:t>
            </w:r>
          </w:p>
        </w:tc>
        <w:tc>
          <w:tcPr>
            <w:tcW w:w="456" w:type="pct"/>
            <w:vAlign w:val="center"/>
          </w:tcPr>
          <w:p w14:paraId="076223B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18.3%</w:t>
            </w:r>
          </w:p>
        </w:tc>
        <w:tc>
          <w:tcPr>
            <w:tcW w:w="519" w:type="pct"/>
            <w:vAlign w:val="center"/>
          </w:tcPr>
          <w:p w14:paraId="5B00E54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7.5%</w:t>
            </w:r>
          </w:p>
        </w:tc>
      </w:tr>
      <w:tr w:rsidR="00CE1BDB" w:rsidRPr="00FA4DC7" w14:paraId="4B896ED1" w14:textId="77777777" w:rsidTr="000A3A5C">
        <w:tc>
          <w:tcPr>
            <w:tcW w:w="2988" w:type="pct"/>
            <w:shd w:val="clear" w:color="auto" w:fill="auto"/>
            <w:vAlign w:val="bottom"/>
          </w:tcPr>
          <w:p w14:paraId="5884355A" w14:textId="77777777" w:rsidR="00CE1BDB" w:rsidRPr="00FA4DC7" w:rsidRDefault="00CE1BDB" w:rsidP="00EF49A7">
            <w:pPr>
              <w:rPr>
                <w:rFonts w:cs="Arial"/>
                <w:color w:val="000000"/>
                <w:sz w:val="22"/>
                <w:szCs w:val="22"/>
              </w:rPr>
            </w:pPr>
            <w:r w:rsidRPr="00FA4DC7">
              <w:rPr>
                <w:rFonts w:cs="Arial"/>
                <w:color w:val="000000"/>
                <w:sz w:val="22"/>
                <w:szCs w:val="22"/>
              </w:rPr>
              <w:t>Co-housing</w:t>
            </w:r>
          </w:p>
        </w:tc>
        <w:tc>
          <w:tcPr>
            <w:tcW w:w="519" w:type="pct"/>
            <w:shd w:val="clear" w:color="auto" w:fill="auto"/>
            <w:noWrap/>
            <w:vAlign w:val="center"/>
          </w:tcPr>
          <w:p w14:paraId="62FFAD1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10.2%</w:t>
            </w:r>
          </w:p>
        </w:tc>
        <w:tc>
          <w:tcPr>
            <w:tcW w:w="519" w:type="pct"/>
            <w:vAlign w:val="center"/>
          </w:tcPr>
          <w:p w14:paraId="05A10F3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8.5%</w:t>
            </w:r>
          </w:p>
        </w:tc>
        <w:tc>
          <w:tcPr>
            <w:tcW w:w="456" w:type="pct"/>
            <w:vAlign w:val="center"/>
          </w:tcPr>
          <w:p w14:paraId="0ED0CCF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6.8%</w:t>
            </w:r>
          </w:p>
        </w:tc>
        <w:tc>
          <w:tcPr>
            <w:tcW w:w="519" w:type="pct"/>
            <w:vAlign w:val="center"/>
          </w:tcPr>
          <w:p w14:paraId="7B5373A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9.2%</w:t>
            </w:r>
          </w:p>
        </w:tc>
      </w:tr>
      <w:tr w:rsidR="00CE1BDB" w:rsidRPr="00FA4DC7" w14:paraId="657041D9" w14:textId="77777777" w:rsidTr="000A3A5C">
        <w:tc>
          <w:tcPr>
            <w:tcW w:w="2988" w:type="pct"/>
            <w:shd w:val="clear" w:color="auto" w:fill="auto"/>
            <w:vAlign w:val="bottom"/>
          </w:tcPr>
          <w:p w14:paraId="726D1FF7" w14:textId="77777777" w:rsidR="00CE1BDB" w:rsidRPr="00FA4DC7" w:rsidRDefault="00CE1BDB" w:rsidP="00EF49A7">
            <w:pPr>
              <w:rPr>
                <w:rFonts w:cs="Arial"/>
                <w:color w:val="000000"/>
                <w:sz w:val="22"/>
                <w:szCs w:val="22"/>
              </w:rPr>
            </w:pPr>
            <w:r w:rsidRPr="00FA4DC7">
              <w:rPr>
                <w:rFonts w:cs="Arial"/>
                <w:color w:val="000000"/>
                <w:sz w:val="22"/>
                <w:szCs w:val="22"/>
              </w:rPr>
              <w:t>Go to live with children or other relatives/friends</w:t>
            </w:r>
          </w:p>
        </w:tc>
        <w:tc>
          <w:tcPr>
            <w:tcW w:w="519" w:type="pct"/>
            <w:shd w:val="clear" w:color="auto" w:fill="auto"/>
            <w:noWrap/>
            <w:vAlign w:val="center"/>
          </w:tcPr>
          <w:p w14:paraId="5F7030F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2.4%</w:t>
            </w:r>
          </w:p>
        </w:tc>
        <w:tc>
          <w:tcPr>
            <w:tcW w:w="519" w:type="pct"/>
            <w:vAlign w:val="center"/>
          </w:tcPr>
          <w:p w14:paraId="6E13D68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2.1%</w:t>
            </w:r>
          </w:p>
        </w:tc>
        <w:tc>
          <w:tcPr>
            <w:tcW w:w="456" w:type="pct"/>
            <w:vAlign w:val="center"/>
          </w:tcPr>
          <w:p w14:paraId="0A1A3F4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2.5%</w:t>
            </w:r>
          </w:p>
        </w:tc>
        <w:tc>
          <w:tcPr>
            <w:tcW w:w="519" w:type="pct"/>
            <w:vAlign w:val="center"/>
          </w:tcPr>
          <w:p w14:paraId="2BFB5EC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2.3%</w:t>
            </w:r>
          </w:p>
        </w:tc>
      </w:tr>
      <w:tr w:rsidR="00CE1BDB" w:rsidRPr="00FA4DC7" w14:paraId="0BFF53DD" w14:textId="77777777" w:rsidTr="000A3A5C">
        <w:tc>
          <w:tcPr>
            <w:tcW w:w="2988" w:type="pct"/>
            <w:shd w:val="clear" w:color="auto" w:fill="auto"/>
            <w:vAlign w:val="bottom"/>
          </w:tcPr>
          <w:p w14:paraId="1E9B1333" w14:textId="77777777" w:rsidR="00CE1BDB" w:rsidRPr="00FA4DC7" w:rsidRDefault="00CE1BDB" w:rsidP="00EF49A7">
            <w:pPr>
              <w:rPr>
                <w:rFonts w:cs="Arial"/>
                <w:color w:val="000000"/>
                <w:sz w:val="22"/>
                <w:szCs w:val="22"/>
              </w:rPr>
            </w:pPr>
            <w:r w:rsidRPr="00FA4DC7">
              <w:rPr>
                <w:rFonts w:cs="Arial"/>
                <w:color w:val="000000"/>
                <w:sz w:val="22"/>
                <w:szCs w:val="22"/>
              </w:rPr>
              <w:t>Other</w:t>
            </w:r>
          </w:p>
        </w:tc>
        <w:tc>
          <w:tcPr>
            <w:tcW w:w="519" w:type="pct"/>
            <w:shd w:val="clear" w:color="auto" w:fill="auto"/>
            <w:noWrap/>
            <w:vAlign w:val="center"/>
          </w:tcPr>
          <w:p w14:paraId="3E3C5E8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w:t>
            </w:r>
          </w:p>
        </w:tc>
        <w:tc>
          <w:tcPr>
            <w:tcW w:w="519" w:type="pct"/>
            <w:vAlign w:val="center"/>
          </w:tcPr>
          <w:p w14:paraId="2D04049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1.2%</w:t>
            </w:r>
          </w:p>
        </w:tc>
        <w:tc>
          <w:tcPr>
            <w:tcW w:w="456" w:type="pct"/>
            <w:vAlign w:val="center"/>
          </w:tcPr>
          <w:p w14:paraId="0E30E5A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w:t>
            </w:r>
          </w:p>
        </w:tc>
        <w:tc>
          <w:tcPr>
            <w:tcW w:w="519" w:type="pct"/>
            <w:vAlign w:val="center"/>
          </w:tcPr>
          <w:p w14:paraId="04E623F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1.4%</w:t>
            </w:r>
          </w:p>
        </w:tc>
      </w:tr>
      <w:tr w:rsidR="00CE1BDB" w:rsidRPr="00FA4DC7" w14:paraId="2A3074E9" w14:textId="77777777" w:rsidTr="000A3A5C">
        <w:tc>
          <w:tcPr>
            <w:tcW w:w="2988" w:type="pct"/>
            <w:shd w:val="clear" w:color="auto" w:fill="auto"/>
            <w:vAlign w:val="bottom"/>
            <w:hideMark/>
          </w:tcPr>
          <w:p w14:paraId="5D410C8A" w14:textId="77777777" w:rsidR="00CE1BDB" w:rsidRPr="00FA4DC7" w:rsidRDefault="00CE1BDB" w:rsidP="00EF49A7">
            <w:pPr>
              <w:rPr>
                <w:rFonts w:cs="Arial"/>
                <w:i/>
                <w:iCs/>
                <w:color w:val="000000"/>
                <w:sz w:val="22"/>
                <w:szCs w:val="22"/>
              </w:rPr>
            </w:pPr>
            <w:r w:rsidRPr="00FA4DC7">
              <w:rPr>
                <w:rFonts w:cs="Arial"/>
                <w:i/>
                <w:iCs/>
                <w:color w:val="000000"/>
                <w:sz w:val="22"/>
                <w:szCs w:val="22"/>
              </w:rPr>
              <w:t>Base (all households in age group)</w:t>
            </w:r>
          </w:p>
        </w:tc>
        <w:tc>
          <w:tcPr>
            <w:tcW w:w="519" w:type="pct"/>
            <w:shd w:val="clear" w:color="auto" w:fill="auto"/>
            <w:noWrap/>
            <w:vAlign w:val="center"/>
            <w:hideMark/>
          </w:tcPr>
          <w:p w14:paraId="238B005F" w14:textId="77777777" w:rsidR="00CE1BDB" w:rsidRPr="00FA4DC7" w:rsidRDefault="00CE1BDB" w:rsidP="00EF49A7">
            <w:pPr>
              <w:jc w:val="right"/>
              <w:rPr>
                <w:rFonts w:cs="Arial"/>
                <w:i/>
                <w:iCs/>
                <w:color w:val="000000"/>
                <w:sz w:val="22"/>
                <w:szCs w:val="22"/>
              </w:rPr>
            </w:pPr>
            <w:r w:rsidRPr="00FA4DC7">
              <w:rPr>
                <w:rFonts w:cs="Arial"/>
                <w:color w:val="000000"/>
                <w:sz w:val="22"/>
                <w:szCs w:val="22"/>
              </w:rPr>
              <w:t>201,944</w:t>
            </w:r>
          </w:p>
        </w:tc>
        <w:tc>
          <w:tcPr>
            <w:tcW w:w="519" w:type="pct"/>
            <w:vAlign w:val="center"/>
          </w:tcPr>
          <w:p w14:paraId="269A081E" w14:textId="77777777" w:rsidR="00CE1BDB" w:rsidRPr="00FA4DC7" w:rsidRDefault="00CE1BDB" w:rsidP="00EF49A7">
            <w:pPr>
              <w:jc w:val="right"/>
              <w:rPr>
                <w:rFonts w:cs="Arial"/>
                <w:i/>
                <w:iCs/>
                <w:color w:val="000000"/>
                <w:sz w:val="22"/>
                <w:szCs w:val="22"/>
              </w:rPr>
            </w:pPr>
            <w:r w:rsidRPr="00FA4DC7">
              <w:rPr>
                <w:rFonts w:cs="Arial"/>
                <w:color w:val="000000"/>
                <w:sz w:val="22"/>
                <w:szCs w:val="22"/>
              </w:rPr>
              <w:t>131,846</w:t>
            </w:r>
          </w:p>
        </w:tc>
        <w:tc>
          <w:tcPr>
            <w:tcW w:w="456" w:type="pct"/>
            <w:vAlign w:val="center"/>
          </w:tcPr>
          <w:p w14:paraId="7E3624F0" w14:textId="77777777" w:rsidR="00CE1BDB" w:rsidRPr="00FA4DC7" w:rsidRDefault="00CE1BDB" w:rsidP="00EF49A7">
            <w:pPr>
              <w:jc w:val="right"/>
              <w:rPr>
                <w:rFonts w:cs="Arial"/>
                <w:i/>
                <w:iCs/>
                <w:color w:val="000000"/>
                <w:sz w:val="22"/>
                <w:szCs w:val="22"/>
              </w:rPr>
            </w:pPr>
            <w:r w:rsidRPr="00FA4DC7">
              <w:rPr>
                <w:rFonts w:cs="Arial"/>
                <w:color w:val="000000"/>
                <w:sz w:val="22"/>
                <w:szCs w:val="22"/>
              </w:rPr>
              <w:t>49,535</w:t>
            </w:r>
          </w:p>
        </w:tc>
        <w:tc>
          <w:tcPr>
            <w:tcW w:w="519" w:type="pct"/>
            <w:vAlign w:val="center"/>
          </w:tcPr>
          <w:p w14:paraId="7E33F44F" w14:textId="77777777" w:rsidR="00CE1BDB" w:rsidRPr="00FA4DC7" w:rsidRDefault="00CE1BDB" w:rsidP="00EF49A7">
            <w:pPr>
              <w:jc w:val="right"/>
              <w:rPr>
                <w:rFonts w:cs="Arial"/>
                <w:i/>
                <w:iCs/>
                <w:color w:val="000000"/>
                <w:sz w:val="22"/>
                <w:szCs w:val="22"/>
              </w:rPr>
            </w:pPr>
            <w:r w:rsidRPr="00FA4DC7">
              <w:rPr>
                <w:rFonts w:cs="Arial"/>
                <w:color w:val="000000"/>
                <w:sz w:val="22"/>
                <w:szCs w:val="22"/>
              </w:rPr>
              <w:t>383,325</w:t>
            </w:r>
          </w:p>
        </w:tc>
      </w:tr>
    </w:tbl>
    <w:p w14:paraId="2001CC03" w14:textId="77777777" w:rsidR="00CE1BDB" w:rsidRPr="00FA4DC7" w:rsidRDefault="00CE1BDB" w:rsidP="00CE1BDB">
      <w:pPr>
        <w:pStyle w:val="Reporttext"/>
        <w:numPr>
          <w:ilvl w:val="0"/>
          <w:numId w:val="0"/>
        </w:numPr>
        <w:rPr>
          <w:rFonts w:cs="Arial"/>
        </w:rPr>
      </w:pPr>
      <w:r w:rsidRPr="00FA4DC7">
        <w:rPr>
          <w:rFonts w:cs="Arial"/>
        </w:rPr>
        <w:t>Source: arc4 national database</w:t>
      </w:r>
    </w:p>
    <w:p w14:paraId="7FFC5FDC" w14:textId="77777777" w:rsidR="00CE1BDB" w:rsidRPr="00FA4DC7" w:rsidRDefault="00CE1BDB" w:rsidP="00CE1BDB">
      <w:pPr>
        <w:pStyle w:val="Reporttext"/>
        <w:numPr>
          <w:ilvl w:val="0"/>
          <w:numId w:val="0"/>
        </w:numPr>
        <w:rPr>
          <w:rFonts w:cs="Arial"/>
          <w:highlight w:val="yellow"/>
        </w:rPr>
      </w:pPr>
    </w:p>
    <w:p w14:paraId="0FF673C9" w14:textId="77777777" w:rsidR="00CE1BDB" w:rsidRPr="00FA4DC7" w:rsidRDefault="00CE1BDB" w:rsidP="00CE1BDB">
      <w:pPr>
        <w:pStyle w:val="Reporttext"/>
        <w:rPr>
          <w:rFonts w:cs="Arial"/>
        </w:rPr>
      </w:pPr>
      <w:r w:rsidRPr="00FA4DC7">
        <w:rPr>
          <w:rFonts w:cs="Arial"/>
        </w:rPr>
        <w:t xml:space="preserve">The arc4 national database indicates 52.5% of older people planning to move would like to move to a property with fewer bedrooms but 35.2% would like to move to a property with the same number of bedrooms. More (65.3%) expect to more to a smaller property (Table 5.2). The general conclusion is that smaller dwellings are needed to accommodate older movers but there are households who would require the same or even an increase in the number of bedrooms in their properties. </w:t>
      </w:r>
    </w:p>
    <w:p w14:paraId="7CC4990B" w14:textId="77777777" w:rsidR="00CE1BDB" w:rsidRPr="00FA4DC7" w:rsidRDefault="00CE1BDB" w:rsidP="00CE1BDB">
      <w:pPr>
        <w:rPr>
          <w:rFonts w:cs="Arial"/>
          <w:lang w:eastAsia="en-US"/>
        </w:rPr>
      </w:pPr>
    </w:p>
    <w:tbl>
      <w:tblPr>
        <w:tblW w:w="8460" w:type="dxa"/>
        <w:tblInd w:w="6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491"/>
        <w:gridCol w:w="1985"/>
        <w:gridCol w:w="1984"/>
      </w:tblGrid>
      <w:tr w:rsidR="00CE1BDB" w:rsidRPr="00FA4DC7" w14:paraId="5C9E593E" w14:textId="77777777" w:rsidTr="00EF49A7">
        <w:tc>
          <w:tcPr>
            <w:tcW w:w="8460" w:type="dxa"/>
            <w:gridSpan w:val="3"/>
            <w:shd w:val="clear" w:color="auto" w:fill="006666"/>
            <w:vAlign w:val="bottom"/>
            <w:hideMark/>
          </w:tcPr>
          <w:p w14:paraId="1D302F96" w14:textId="77777777" w:rsidR="00CE1BDB" w:rsidRPr="00FA4DC7" w:rsidRDefault="00CE1BDB" w:rsidP="00EF49A7">
            <w:pPr>
              <w:pStyle w:val="Tableheading1"/>
              <w:rPr>
                <w:rFonts w:cs="Arial"/>
              </w:rPr>
            </w:pPr>
            <w:bookmarkStart w:id="377" w:name="_Toc83036103"/>
            <w:r w:rsidRPr="00FA4DC7">
              <w:rPr>
                <w:rFonts w:cs="Arial"/>
              </w:rPr>
              <w:t>Table 5.</w:t>
            </w:r>
            <w:r w:rsidRPr="00FA4DC7">
              <w:rPr>
                <w:rFonts w:cs="Arial"/>
                <w:lang w:val="en-US"/>
              </w:rPr>
              <w:t>2</w:t>
            </w:r>
            <w:r w:rsidRPr="00FA4DC7">
              <w:rPr>
                <w:rFonts w:cs="Arial"/>
              </w:rPr>
              <w:tab/>
              <w:t>Future housing choices of older households (rightsizing)</w:t>
            </w:r>
            <w:bookmarkEnd w:id="377"/>
          </w:p>
        </w:tc>
      </w:tr>
      <w:tr w:rsidR="00CE1BDB" w:rsidRPr="00FA4DC7" w14:paraId="283BB4B9" w14:textId="77777777" w:rsidTr="00EF49A7">
        <w:tc>
          <w:tcPr>
            <w:tcW w:w="4491" w:type="dxa"/>
            <w:shd w:val="clear" w:color="auto" w:fill="006666"/>
            <w:noWrap/>
            <w:vAlign w:val="bottom"/>
            <w:hideMark/>
          </w:tcPr>
          <w:p w14:paraId="41D291DD" w14:textId="77777777" w:rsidR="00CE1BDB" w:rsidRPr="00FA4DC7" w:rsidRDefault="00CE1BDB" w:rsidP="00EF49A7">
            <w:pPr>
              <w:rPr>
                <w:rFonts w:cs="Arial"/>
                <w:b/>
                <w:color w:val="FFFFFF"/>
                <w:sz w:val="22"/>
                <w:szCs w:val="22"/>
              </w:rPr>
            </w:pPr>
            <w:r w:rsidRPr="00FA4DC7">
              <w:rPr>
                <w:rFonts w:cs="Arial"/>
                <w:b/>
                <w:color w:val="FFFFFF"/>
                <w:sz w:val="22"/>
                <w:szCs w:val="22"/>
              </w:rPr>
              <w:t>Housing choice</w:t>
            </w:r>
          </w:p>
        </w:tc>
        <w:tc>
          <w:tcPr>
            <w:tcW w:w="1985" w:type="dxa"/>
            <w:shd w:val="clear" w:color="auto" w:fill="006666"/>
            <w:noWrap/>
            <w:vAlign w:val="bottom"/>
            <w:hideMark/>
          </w:tcPr>
          <w:p w14:paraId="4632AC2B" w14:textId="77777777" w:rsidR="00CE1BDB" w:rsidRPr="00FA4DC7" w:rsidRDefault="00CE1BDB" w:rsidP="00EF49A7">
            <w:pPr>
              <w:jc w:val="center"/>
              <w:rPr>
                <w:rFonts w:cs="Arial"/>
                <w:b/>
                <w:color w:val="FFFFFF"/>
                <w:sz w:val="22"/>
                <w:szCs w:val="22"/>
              </w:rPr>
            </w:pPr>
            <w:r w:rsidRPr="00FA4DC7">
              <w:rPr>
                <w:rFonts w:cs="Arial"/>
                <w:b/>
                <w:color w:val="FFFFFF"/>
                <w:sz w:val="22"/>
                <w:szCs w:val="22"/>
              </w:rPr>
              <w:t>Aspiration (%)</w:t>
            </w:r>
          </w:p>
        </w:tc>
        <w:tc>
          <w:tcPr>
            <w:tcW w:w="1984" w:type="dxa"/>
            <w:shd w:val="clear" w:color="auto" w:fill="006666"/>
            <w:noWrap/>
            <w:vAlign w:val="bottom"/>
            <w:hideMark/>
          </w:tcPr>
          <w:p w14:paraId="2103C224" w14:textId="77777777" w:rsidR="00CE1BDB" w:rsidRPr="00FA4DC7" w:rsidRDefault="00CE1BDB" w:rsidP="00EF49A7">
            <w:pPr>
              <w:jc w:val="center"/>
              <w:rPr>
                <w:rFonts w:cs="Arial"/>
                <w:b/>
                <w:color w:val="FFFFFF"/>
                <w:sz w:val="22"/>
                <w:szCs w:val="22"/>
              </w:rPr>
            </w:pPr>
            <w:r w:rsidRPr="00FA4DC7">
              <w:rPr>
                <w:rFonts w:cs="Arial"/>
                <w:b/>
                <w:color w:val="FFFFFF"/>
                <w:sz w:val="22"/>
                <w:szCs w:val="22"/>
              </w:rPr>
              <w:t>Expectation (%)</w:t>
            </w:r>
          </w:p>
        </w:tc>
      </w:tr>
      <w:tr w:rsidR="00CE1BDB" w:rsidRPr="00FA4DC7" w14:paraId="282DB6E4" w14:textId="77777777" w:rsidTr="00EF49A7">
        <w:tc>
          <w:tcPr>
            <w:tcW w:w="4491" w:type="dxa"/>
            <w:shd w:val="clear" w:color="auto" w:fill="auto"/>
            <w:noWrap/>
            <w:vAlign w:val="bottom"/>
            <w:hideMark/>
          </w:tcPr>
          <w:p w14:paraId="1590E84A" w14:textId="77777777" w:rsidR="00CE1BDB" w:rsidRPr="00FA4DC7" w:rsidRDefault="00CE1BDB" w:rsidP="00EF49A7">
            <w:pPr>
              <w:rPr>
                <w:rFonts w:cs="Arial"/>
                <w:color w:val="000000"/>
                <w:sz w:val="22"/>
                <w:szCs w:val="22"/>
              </w:rPr>
            </w:pPr>
            <w:r w:rsidRPr="00FA4DC7">
              <w:rPr>
                <w:rFonts w:cs="Arial"/>
                <w:color w:val="000000"/>
                <w:sz w:val="22"/>
                <w:szCs w:val="22"/>
              </w:rPr>
              <w:t>Downsizing (moving to a smaller property)</w:t>
            </w:r>
          </w:p>
        </w:tc>
        <w:tc>
          <w:tcPr>
            <w:tcW w:w="1985" w:type="dxa"/>
            <w:shd w:val="clear" w:color="auto" w:fill="auto"/>
            <w:noWrap/>
            <w:vAlign w:val="bottom"/>
          </w:tcPr>
          <w:p w14:paraId="732C1281" w14:textId="77777777" w:rsidR="00CE1BDB" w:rsidRPr="00FA4DC7" w:rsidRDefault="00CE1BDB" w:rsidP="00EF49A7">
            <w:pPr>
              <w:jc w:val="right"/>
              <w:rPr>
                <w:rFonts w:cs="Arial"/>
                <w:color w:val="000000"/>
                <w:sz w:val="22"/>
                <w:szCs w:val="22"/>
              </w:rPr>
            </w:pPr>
            <w:r w:rsidRPr="00FA4DC7">
              <w:rPr>
                <w:rFonts w:cs="Arial"/>
                <w:color w:val="000000"/>
              </w:rPr>
              <w:t>52.5</w:t>
            </w:r>
          </w:p>
        </w:tc>
        <w:tc>
          <w:tcPr>
            <w:tcW w:w="1984" w:type="dxa"/>
            <w:shd w:val="clear" w:color="auto" w:fill="auto"/>
            <w:noWrap/>
            <w:vAlign w:val="bottom"/>
          </w:tcPr>
          <w:p w14:paraId="7CCEE4D5" w14:textId="77777777" w:rsidR="00CE1BDB" w:rsidRPr="00FA4DC7" w:rsidRDefault="00CE1BDB" w:rsidP="00EF49A7">
            <w:pPr>
              <w:jc w:val="right"/>
              <w:rPr>
                <w:rFonts w:cs="Arial"/>
                <w:color w:val="000000"/>
                <w:sz w:val="22"/>
                <w:szCs w:val="22"/>
              </w:rPr>
            </w:pPr>
            <w:r w:rsidRPr="00FA4DC7">
              <w:rPr>
                <w:rFonts w:cs="Arial"/>
                <w:color w:val="000000"/>
              </w:rPr>
              <w:t>65.3</w:t>
            </w:r>
          </w:p>
        </w:tc>
      </w:tr>
      <w:tr w:rsidR="00CE1BDB" w:rsidRPr="00FA4DC7" w14:paraId="0D53237D" w14:textId="77777777" w:rsidTr="00EF49A7">
        <w:tc>
          <w:tcPr>
            <w:tcW w:w="4491" w:type="dxa"/>
            <w:shd w:val="clear" w:color="auto" w:fill="auto"/>
            <w:noWrap/>
            <w:vAlign w:val="bottom"/>
            <w:hideMark/>
          </w:tcPr>
          <w:p w14:paraId="7CCE17E0" w14:textId="77777777" w:rsidR="00CE1BDB" w:rsidRPr="00FA4DC7" w:rsidRDefault="00CE1BDB" w:rsidP="00EF49A7">
            <w:pPr>
              <w:rPr>
                <w:rFonts w:cs="Arial"/>
                <w:color w:val="000000"/>
                <w:sz w:val="22"/>
                <w:szCs w:val="22"/>
              </w:rPr>
            </w:pPr>
            <w:r w:rsidRPr="00FA4DC7">
              <w:rPr>
                <w:rFonts w:cs="Arial"/>
                <w:color w:val="000000"/>
                <w:sz w:val="22"/>
                <w:szCs w:val="22"/>
              </w:rPr>
              <w:t>Staying same</w:t>
            </w:r>
          </w:p>
        </w:tc>
        <w:tc>
          <w:tcPr>
            <w:tcW w:w="1985" w:type="dxa"/>
            <w:shd w:val="clear" w:color="auto" w:fill="auto"/>
            <w:noWrap/>
            <w:vAlign w:val="bottom"/>
          </w:tcPr>
          <w:p w14:paraId="0976DE6B" w14:textId="77777777" w:rsidR="00CE1BDB" w:rsidRPr="00FA4DC7" w:rsidRDefault="00CE1BDB" w:rsidP="00EF49A7">
            <w:pPr>
              <w:jc w:val="right"/>
              <w:rPr>
                <w:rFonts w:cs="Arial"/>
                <w:color w:val="000000"/>
                <w:sz w:val="22"/>
                <w:szCs w:val="22"/>
              </w:rPr>
            </w:pPr>
            <w:r w:rsidRPr="00FA4DC7">
              <w:rPr>
                <w:rFonts w:cs="Arial"/>
                <w:color w:val="000000"/>
              </w:rPr>
              <w:t>35.2</w:t>
            </w:r>
          </w:p>
        </w:tc>
        <w:tc>
          <w:tcPr>
            <w:tcW w:w="1984" w:type="dxa"/>
            <w:shd w:val="clear" w:color="auto" w:fill="auto"/>
            <w:noWrap/>
            <w:vAlign w:val="bottom"/>
          </w:tcPr>
          <w:p w14:paraId="303F7408" w14:textId="77777777" w:rsidR="00CE1BDB" w:rsidRPr="00FA4DC7" w:rsidRDefault="00CE1BDB" w:rsidP="00EF49A7">
            <w:pPr>
              <w:jc w:val="right"/>
              <w:rPr>
                <w:rFonts w:cs="Arial"/>
                <w:color w:val="000000"/>
                <w:sz w:val="22"/>
                <w:szCs w:val="22"/>
              </w:rPr>
            </w:pPr>
            <w:r w:rsidRPr="00FA4DC7">
              <w:rPr>
                <w:rFonts w:cs="Arial"/>
                <w:color w:val="000000"/>
              </w:rPr>
              <w:t>28.1</w:t>
            </w:r>
          </w:p>
        </w:tc>
      </w:tr>
      <w:tr w:rsidR="00CE1BDB" w:rsidRPr="00FA4DC7" w14:paraId="44070B52" w14:textId="77777777" w:rsidTr="00EF49A7">
        <w:tc>
          <w:tcPr>
            <w:tcW w:w="4491" w:type="dxa"/>
            <w:shd w:val="clear" w:color="auto" w:fill="auto"/>
            <w:noWrap/>
            <w:vAlign w:val="bottom"/>
            <w:hideMark/>
          </w:tcPr>
          <w:p w14:paraId="498517F3" w14:textId="77777777" w:rsidR="00CE1BDB" w:rsidRPr="00FA4DC7" w:rsidRDefault="00CE1BDB" w:rsidP="00EF49A7">
            <w:pPr>
              <w:rPr>
                <w:rFonts w:cs="Arial"/>
                <w:color w:val="000000"/>
                <w:sz w:val="22"/>
                <w:szCs w:val="22"/>
              </w:rPr>
            </w:pPr>
            <w:r w:rsidRPr="00FA4DC7">
              <w:rPr>
                <w:rFonts w:cs="Arial"/>
                <w:color w:val="000000"/>
                <w:sz w:val="22"/>
                <w:szCs w:val="22"/>
              </w:rPr>
              <w:t>Upsizing (moving to larger property)</w:t>
            </w:r>
          </w:p>
        </w:tc>
        <w:tc>
          <w:tcPr>
            <w:tcW w:w="1985" w:type="dxa"/>
            <w:shd w:val="clear" w:color="auto" w:fill="auto"/>
            <w:noWrap/>
            <w:vAlign w:val="bottom"/>
          </w:tcPr>
          <w:p w14:paraId="11F49F32" w14:textId="77777777" w:rsidR="00CE1BDB" w:rsidRPr="00FA4DC7" w:rsidRDefault="00CE1BDB" w:rsidP="00EF49A7">
            <w:pPr>
              <w:jc w:val="right"/>
              <w:rPr>
                <w:rFonts w:cs="Arial"/>
                <w:color w:val="000000"/>
                <w:sz w:val="22"/>
                <w:szCs w:val="22"/>
              </w:rPr>
            </w:pPr>
            <w:r w:rsidRPr="00FA4DC7">
              <w:rPr>
                <w:rFonts w:cs="Arial"/>
                <w:color w:val="000000"/>
              </w:rPr>
              <w:t>12.4</w:t>
            </w:r>
          </w:p>
        </w:tc>
        <w:tc>
          <w:tcPr>
            <w:tcW w:w="1984" w:type="dxa"/>
            <w:shd w:val="clear" w:color="auto" w:fill="auto"/>
            <w:noWrap/>
            <w:vAlign w:val="bottom"/>
          </w:tcPr>
          <w:p w14:paraId="708BF370" w14:textId="77777777" w:rsidR="00CE1BDB" w:rsidRPr="00FA4DC7" w:rsidRDefault="00CE1BDB" w:rsidP="00EF49A7">
            <w:pPr>
              <w:jc w:val="right"/>
              <w:rPr>
                <w:rFonts w:cs="Arial"/>
                <w:color w:val="000000"/>
                <w:sz w:val="22"/>
                <w:szCs w:val="22"/>
              </w:rPr>
            </w:pPr>
            <w:r w:rsidRPr="00FA4DC7">
              <w:rPr>
                <w:rFonts w:cs="Arial"/>
                <w:color w:val="000000"/>
              </w:rPr>
              <w:t>6.7</w:t>
            </w:r>
          </w:p>
        </w:tc>
      </w:tr>
      <w:tr w:rsidR="00CE1BDB" w:rsidRPr="00FA4DC7" w14:paraId="424252CF" w14:textId="77777777" w:rsidTr="00EF49A7">
        <w:tc>
          <w:tcPr>
            <w:tcW w:w="4491" w:type="dxa"/>
            <w:shd w:val="clear" w:color="auto" w:fill="auto"/>
            <w:noWrap/>
            <w:vAlign w:val="bottom"/>
            <w:hideMark/>
          </w:tcPr>
          <w:p w14:paraId="5D4A178A" w14:textId="77777777" w:rsidR="00CE1BDB" w:rsidRPr="00FA4DC7" w:rsidRDefault="00CE1BDB" w:rsidP="00EF49A7">
            <w:pPr>
              <w:rPr>
                <w:rFonts w:cs="Arial"/>
                <w:color w:val="000000"/>
                <w:sz w:val="22"/>
                <w:szCs w:val="22"/>
              </w:rPr>
            </w:pPr>
            <w:r w:rsidRPr="00FA4DC7">
              <w:rPr>
                <w:rFonts w:cs="Arial"/>
                <w:color w:val="000000"/>
                <w:sz w:val="22"/>
                <w:szCs w:val="22"/>
              </w:rPr>
              <w:t>Total</w:t>
            </w:r>
          </w:p>
        </w:tc>
        <w:tc>
          <w:tcPr>
            <w:tcW w:w="1985" w:type="dxa"/>
            <w:shd w:val="clear" w:color="auto" w:fill="auto"/>
            <w:noWrap/>
            <w:vAlign w:val="bottom"/>
          </w:tcPr>
          <w:p w14:paraId="7E75DF4C" w14:textId="77777777" w:rsidR="00CE1BDB" w:rsidRPr="00FA4DC7" w:rsidRDefault="00CE1BDB" w:rsidP="00EF49A7">
            <w:pPr>
              <w:jc w:val="right"/>
              <w:rPr>
                <w:rFonts w:cs="Arial"/>
                <w:color w:val="000000"/>
                <w:sz w:val="22"/>
                <w:szCs w:val="22"/>
              </w:rPr>
            </w:pPr>
            <w:r w:rsidRPr="00FA4DC7">
              <w:rPr>
                <w:rFonts w:cs="Arial"/>
                <w:color w:val="000000"/>
              </w:rPr>
              <w:t>100.0</w:t>
            </w:r>
          </w:p>
        </w:tc>
        <w:tc>
          <w:tcPr>
            <w:tcW w:w="1984" w:type="dxa"/>
            <w:shd w:val="clear" w:color="auto" w:fill="auto"/>
            <w:noWrap/>
            <w:vAlign w:val="bottom"/>
          </w:tcPr>
          <w:p w14:paraId="0B046278" w14:textId="77777777" w:rsidR="00CE1BDB" w:rsidRPr="00FA4DC7" w:rsidRDefault="00CE1BDB" w:rsidP="00EF49A7">
            <w:pPr>
              <w:jc w:val="right"/>
              <w:rPr>
                <w:rFonts w:cs="Arial"/>
                <w:color w:val="000000"/>
                <w:sz w:val="22"/>
                <w:szCs w:val="22"/>
              </w:rPr>
            </w:pPr>
            <w:r w:rsidRPr="00FA4DC7">
              <w:rPr>
                <w:rFonts w:cs="Arial"/>
                <w:color w:val="000000"/>
              </w:rPr>
              <w:t>100.0</w:t>
            </w:r>
          </w:p>
        </w:tc>
      </w:tr>
      <w:tr w:rsidR="00CE1BDB" w:rsidRPr="00FA4DC7" w14:paraId="1CC5925D" w14:textId="77777777" w:rsidTr="00EF49A7">
        <w:tc>
          <w:tcPr>
            <w:tcW w:w="4491" w:type="dxa"/>
            <w:shd w:val="clear" w:color="auto" w:fill="auto"/>
            <w:noWrap/>
            <w:vAlign w:val="bottom"/>
            <w:hideMark/>
          </w:tcPr>
          <w:p w14:paraId="056FB867" w14:textId="77777777" w:rsidR="00CE1BDB" w:rsidRPr="00FA4DC7" w:rsidRDefault="00CE1BDB" w:rsidP="00EF49A7">
            <w:pPr>
              <w:rPr>
                <w:rFonts w:cs="Arial"/>
                <w:iCs/>
                <w:color w:val="000000"/>
                <w:sz w:val="22"/>
                <w:szCs w:val="22"/>
              </w:rPr>
            </w:pPr>
            <w:r w:rsidRPr="00FA4DC7">
              <w:rPr>
                <w:rFonts w:cs="Arial"/>
                <w:iCs/>
                <w:color w:val="000000"/>
                <w:sz w:val="22"/>
                <w:szCs w:val="22"/>
              </w:rPr>
              <w:t>Base (households responding)</w:t>
            </w:r>
          </w:p>
        </w:tc>
        <w:tc>
          <w:tcPr>
            <w:tcW w:w="1985" w:type="dxa"/>
            <w:shd w:val="clear" w:color="auto" w:fill="auto"/>
            <w:noWrap/>
            <w:vAlign w:val="bottom"/>
          </w:tcPr>
          <w:p w14:paraId="2A01FBCB" w14:textId="77777777" w:rsidR="00CE1BDB" w:rsidRPr="00FA4DC7" w:rsidRDefault="00CE1BDB" w:rsidP="00EF49A7">
            <w:pPr>
              <w:jc w:val="right"/>
              <w:rPr>
                <w:rFonts w:cs="Arial"/>
                <w:iCs/>
                <w:color w:val="000000"/>
                <w:sz w:val="22"/>
                <w:szCs w:val="22"/>
              </w:rPr>
            </w:pPr>
            <w:r w:rsidRPr="00FA4DC7">
              <w:rPr>
                <w:rFonts w:cs="Arial"/>
                <w:color w:val="000000"/>
              </w:rPr>
              <w:t>9,277</w:t>
            </w:r>
          </w:p>
        </w:tc>
        <w:tc>
          <w:tcPr>
            <w:tcW w:w="1984" w:type="dxa"/>
            <w:shd w:val="clear" w:color="auto" w:fill="auto"/>
            <w:noWrap/>
            <w:vAlign w:val="bottom"/>
          </w:tcPr>
          <w:p w14:paraId="29257350" w14:textId="77777777" w:rsidR="00CE1BDB" w:rsidRPr="00FA4DC7" w:rsidRDefault="00CE1BDB" w:rsidP="00EF49A7">
            <w:pPr>
              <w:jc w:val="right"/>
              <w:rPr>
                <w:rFonts w:cs="Arial"/>
                <w:iCs/>
                <w:color w:val="000000"/>
                <w:sz w:val="22"/>
                <w:szCs w:val="22"/>
              </w:rPr>
            </w:pPr>
            <w:r w:rsidRPr="00FA4DC7">
              <w:rPr>
                <w:rFonts w:cs="Arial"/>
                <w:color w:val="000000"/>
              </w:rPr>
              <w:t>8,833</w:t>
            </w:r>
          </w:p>
        </w:tc>
      </w:tr>
    </w:tbl>
    <w:p w14:paraId="628CCC81" w14:textId="77777777" w:rsidR="00CE1BDB" w:rsidRPr="00FA4DC7" w:rsidRDefault="00CE1BDB" w:rsidP="00CE1BDB">
      <w:pPr>
        <w:pStyle w:val="Reporttext"/>
        <w:numPr>
          <w:ilvl w:val="0"/>
          <w:numId w:val="0"/>
        </w:numPr>
        <w:ind w:firstLine="709"/>
        <w:rPr>
          <w:rFonts w:cs="Arial"/>
        </w:rPr>
      </w:pPr>
      <w:r w:rsidRPr="00FA4DC7">
        <w:rPr>
          <w:rFonts w:cs="Arial"/>
        </w:rPr>
        <w:t>Source: arc4 national database</w:t>
      </w:r>
    </w:p>
    <w:p w14:paraId="4E8E5F15" w14:textId="77777777" w:rsidR="00CE1BDB" w:rsidRPr="00FA4DC7" w:rsidRDefault="00CE1BDB" w:rsidP="00CE1BDB">
      <w:pPr>
        <w:pStyle w:val="Reporttext"/>
        <w:numPr>
          <w:ilvl w:val="0"/>
          <w:numId w:val="0"/>
        </w:numPr>
        <w:ind w:left="709"/>
        <w:rPr>
          <w:rFonts w:cs="Arial"/>
          <w:highlight w:val="yellow"/>
        </w:rPr>
      </w:pPr>
    </w:p>
    <w:p w14:paraId="46E289E3" w14:textId="77777777" w:rsidR="00CE1BDB" w:rsidRPr="00FA4DC7" w:rsidRDefault="00CE1BDB" w:rsidP="00CE1BDB">
      <w:pPr>
        <w:pStyle w:val="Heading3"/>
        <w:rPr>
          <w:rFonts w:cs="Arial"/>
        </w:rPr>
      </w:pPr>
      <w:r w:rsidRPr="00FA4DC7">
        <w:rPr>
          <w:rFonts w:cs="Arial"/>
        </w:rPr>
        <w:t>Future need for specialist older person accommodation and residential care provision</w:t>
      </w:r>
    </w:p>
    <w:p w14:paraId="7BD09A76" w14:textId="77777777" w:rsidR="00CE1BDB" w:rsidRPr="00FA4DC7" w:rsidRDefault="00CE1BDB" w:rsidP="00CE1BDB">
      <w:pPr>
        <w:pStyle w:val="Reporttext"/>
        <w:rPr>
          <w:rFonts w:cs="Arial"/>
        </w:rPr>
      </w:pPr>
      <w:r w:rsidRPr="00FA4DC7">
        <w:rPr>
          <w:rFonts w:cs="Arial"/>
        </w:rPr>
        <w:t xml:space="preserve">Across Medway there are around 3,253 units of specialist older persons accommodation comprising 2,060 specialist older accommodation (C3 planning use class) and 1,193 units of residential care (C2 use class).  Map 5.1 and </w:t>
      </w:r>
      <w:r w:rsidRPr="00FA4DC7">
        <w:rPr>
          <w:rFonts w:cs="Arial"/>
        </w:rPr>
        <w:lastRenderedPageBreak/>
        <w:t xml:space="preserve">Table 5.3. shows the current number of older persons units of </w:t>
      </w:r>
      <w:proofErr w:type="gramStart"/>
      <w:r w:rsidRPr="00FA4DC7">
        <w:rPr>
          <w:rFonts w:cs="Arial"/>
        </w:rPr>
        <w:t>accommodation  across</w:t>
      </w:r>
      <w:proofErr w:type="gramEnd"/>
      <w:r w:rsidRPr="00FA4DC7">
        <w:rPr>
          <w:rFonts w:cs="Arial"/>
        </w:rPr>
        <w:t xml:space="preserve"> the borough using data provided by the Elderly Accommodation Counsel.</w:t>
      </w:r>
    </w:p>
    <w:p w14:paraId="0CC28846" w14:textId="77777777" w:rsidR="00CE1BDB" w:rsidRPr="00FA4DC7" w:rsidRDefault="00CE1BDB" w:rsidP="00CE1BDB">
      <w:pPr>
        <w:pStyle w:val="Reporttext"/>
        <w:numPr>
          <w:ilvl w:val="0"/>
          <w:numId w:val="0"/>
        </w:numPr>
        <w:ind w:left="709"/>
        <w:rPr>
          <w:rFonts w:cs="Arial"/>
          <w:highlight w:val="yellow"/>
        </w:rPr>
      </w:pPr>
    </w:p>
    <w:tbl>
      <w:tblPr>
        <w:tblStyle w:val="TableGrid"/>
        <w:tblW w:w="5000" w:type="pct"/>
        <w:tblLook w:val="04A0" w:firstRow="1" w:lastRow="0" w:firstColumn="1" w:lastColumn="0" w:noHBand="0" w:noVBand="1"/>
      </w:tblPr>
      <w:tblGrid>
        <w:gridCol w:w="2295"/>
        <w:gridCol w:w="1023"/>
        <w:gridCol w:w="5862"/>
      </w:tblGrid>
      <w:tr w:rsidR="00CE1BDB" w:rsidRPr="00FA4DC7" w14:paraId="7CF26432" w14:textId="77777777" w:rsidTr="000A3A5C">
        <w:trPr>
          <w:tblHeader/>
        </w:trPr>
        <w:tc>
          <w:tcPr>
            <w:tcW w:w="5000" w:type="pct"/>
            <w:gridSpan w:val="3"/>
            <w:shd w:val="clear" w:color="auto" w:fill="006666"/>
          </w:tcPr>
          <w:p w14:paraId="1DF28C05" w14:textId="77777777" w:rsidR="00CE1BDB" w:rsidRPr="00FA4DC7" w:rsidRDefault="00CE1BDB" w:rsidP="00EF49A7">
            <w:pPr>
              <w:pStyle w:val="Tableheading1"/>
              <w:rPr>
                <w:rFonts w:cs="Arial"/>
                <w:color w:val="FF0000"/>
                <w:szCs w:val="22"/>
              </w:rPr>
            </w:pPr>
            <w:bookmarkStart w:id="378" w:name="_Toc24967750"/>
            <w:bookmarkStart w:id="379" w:name="_Toc55814257"/>
            <w:bookmarkStart w:id="380" w:name="_Toc63774479"/>
            <w:bookmarkStart w:id="381" w:name="_Toc83036104"/>
            <w:r w:rsidRPr="00FA4DC7">
              <w:rPr>
                <w:rFonts w:cs="Arial"/>
                <w:szCs w:val="22"/>
              </w:rPr>
              <w:t>Table 5.3</w:t>
            </w:r>
            <w:r w:rsidRPr="00FA4DC7">
              <w:rPr>
                <w:rFonts w:cs="Arial"/>
                <w:szCs w:val="22"/>
              </w:rPr>
              <w:tab/>
              <w:t>Categories of older person accommodation</w:t>
            </w:r>
            <w:bookmarkEnd w:id="378"/>
            <w:bookmarkEnd w:id="379"/>
            <w:bookmarkEnd w:id="380"/>
            <w:bookmarkEnd w:id="381"/>
          </w:p>
        </w:tc>
      </w:tr>
      <w:tr w:rsidR="00CE1BDB" w:rsidRPr="00FA4DC7" w14:paraId="5E8239A3" w14:textId="77777777" w:rsidTr="000A3A5C">
        <w:trPr>
          <w:tblHeader/>
        </w:trPr>
        <w:tc>
          <w:tcPr>
            <w:tcW w:w="1154" w:type="pct"/>
            <w:shd w:val="clear" w:color="auto" w:fill="006666"/>
            <w:vAlign w:val="bottom"/>
          </w:tcPr>
          <w:p w14:paraId="79FABDD5" w14:textId="77777777" w:rsidR="00CE1BDB" w:rsidRPr="00FA4DC7" w:rsidRDefault="00CE1BDB" w:rsidP="00EF49A7">
            <w:pPr>
              <w:pStyle w:val="Reporttext"/>
              <w:numPr>
                <w:ilvl w:val="0"/>
                <w:numId w:val="0"/>
              </w:numPr>
              <w:rPr>
                <w:rFonts w:cs="Arial"/>
                <w:b/>
                <w:color w:val="FFFFFF" w:themeColor="background1"/>
                <w:sz w:val="22"/>
                <w:szCs w:val="22"/>
              </w:rPr>
            </w:pPr>
            <w:r w:rsidRPr="00FA4DC7">
              <w:rPr>
                <w:rFonts w:cs="Arial"/>
                <w:b/>
                <w:color w:val="FFFFFF" w:themeColor="background1"/>
                <w:sz w:val="22"/>
                <w:szCs w:val="22"/>
              </w:rPr>
              <w:t>Category (and planning use category)</w:t>
            </w:r>
          </w:p>
        </w:tc>
        <w:tc>
          <w:tcPr>
            <w:tcW w:w="577" w:type="pct"/>
            <w:shd w:val="clear" w:color="auto" w:fill="006666"/>
            <w:vAlign w:val="bottom"/>
          </w:tcPr>
          <w:p w14:paraId="23519555" w14:textId="77777777" w:rsidR="00CE1BDB" w:rsidRPr="00FA4DC7" w:rsidRDefault="00CE1BDB" w:rsidP="00EF49A7">
            <w:pPr>
              <w:jc w:val="center"/>
              <w:rPr>
                <w:rFonts w:cs="Arial"/>
                <w:b/>
                <w:color w:val="FFFFFF" w:themeColor="background1"/>
                <w:sz w:val="22"/>
                <w:szCs w:val="22"/>
              </w:rPr>
            </w:pPr>
            <w:r w:rsidRPr="00FA4DC7">
              <w:rPr>
                <w:rFonts w:cs="Arial"/>
                <w:b/>
                <w:color w:val="FFFFFF" w:themeColor="background1"/>
                <w:sz w:val="22"/>
                <w:szCs w:val="22"/>
              </w:rPr>
              <w:t>Current number of units</w:t>
            </w:r>
          </w:p>
        </w:tc>
        <w:tc>
          <w:tcPr>
            <w:tcW w:w="3269" w:type="pct"/>
            <w:shd w:val="clear" w:color="auto" w:fill="006666"/>
            <w:vAlign w:val="bottom"/>
          </w:tcPr>
          <w:p w14:paraId="0BDAA896" w14:textId="77777777" w:rsidR="00CE1BDB" w:rsidRPr="00FA4DC7" w:rsidRDefault="00CE1BDB" w:rsidP="00EF49A7">
            <w:pPr>
              <w:rPr>
                <w:rFonts w:cs="Arial"/>
                <w:b/>
                <w:color w:val="FFFFFF" w:themeColor="background1"/>
                <w:sz w:val="22"/>
                <w:szCs w:val="22"/>
              </w:rPr>
            </w:pPr>
            <w:r w:rsidRPr="00FA4DC7">
              <w:rPr>
                <w:rFonts w:cs="Arial"/>
                <w:b/>
                <w:color w:val="FFFFFF" w:themeColor="background1"/>
                <w:sz w:val="22"/>
                <w:szCs w:val="22"/>
              </w:rPr>
              <w:t>Description</w:t>
            </w:r>
          </w:p>
        </w:tc>
      </w:tr>
      <w:tr w:rsidR="00CE1BDB" w:rsidRPr="00FA4DC7" w14:paraId="7DACDA03" w14:textId="77777777" w:rsidTr="000A3A5C">
        <w:tc>
          <w:tcPr>
            <w:tcW w:w="1154" w:type="pct"/>
          </w:tcPr>
          <w:p w14:paraId="44EA166E"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Age-exclusive housing (C3)</w:t>
            </w:r>
          </w:p>
        </w:tc>
        <w:tc>
          <w:tcPr>
            <w:tcW w:w="577" w:type="pct"/>
          </w:tcPr>
          <w:p w14:paraId="636B493C" w14:textId="77777777" w:rsidR="00CE1BDB" w:rsidRPr="00FA4DC7" w:rsidRDefault="00CE1BDB" w:rsidP="00EF49A7">
            <w:pPr>
              <w:jc w:val="right"/>
              <w:rPr>
                <w:rFonts w:cs="Arial"/>
                <w:color w:val="101010"/>
                <w:sz w:val="22"/>
                <w:szCs w:val="22"/>
              </w:rPr>
            </w:pPr>
            <w:r w:rsidRPr="00FA4DC7">
              <w:rPr>
                <w:rFonts w:cs="Arial"/>
                <w:color w:val="101010"/>
                <w:sz w:val="22"/>
                <w:szCs w:val="22"/>
              </w:rPr>
              <w:t>100</w:t>
            </w:r>
          </w:p>
        </w:tc>
        <w:tc>
          <w:tcPr>
            <w:tcW w:w="3269" w:type="pct"/>
          </w:tcPr>
          <w:p w14:paraId="25E56362" w14:textId="77777777" w:rsidR="00CE1BDB" w:rsidRPr="00FA4DC7" w:rsidRDefault="00CE1BDB" w:rsidP="00EF49A7">
            <w:pPr>
              <w:rPr>
                <w:rFonts w:cs="Arial"/>
                <w:color w:val="101010"/>
                <w:sz w:val="20"/>
                <w:szCs w:val="20"/>
              </w:rPr>
            </w:pPr>
            <w:r w:rsidRPr="00FA4DC7">
              <w:rPr>
                <w:rFonts w:cs="Arial"/>
                <w:b/>
                <w:color w:val="101010"/>
                <w:sz w:val="20"/>
                <w:szCs w:val="20"/>
              </w:rPr>
              <w:t>EAC definition:</w:t>
            </w:r>
            <w:r w:rsidRPr="00FA4DC7">
              <w:rPr>
                <w:rFonts w:cs="Arial"/>
                <w:color w:val="101010"/>
                <w:sz w:val="20"/>
                <w:szCs w:val="20"/>
              </w:rPr>
              <w:t xml:space="preserve"> Schemes or developments that cater exclusively for older people, usually incorporate design features helpful to older people and may have communal facilities such as a residents' lounge, guest suite and shared garden, but do not provide any regular on-site support to residents.</w:t>
            </w:r>
          </w:p>
          <w:p w14:paraId="6C225F3F" w14:textId="77777777" w:rsidR="00CE1BDB" w:rsidRPr="00FA4DC7" w:rsidRDefault="00CE1BDB" w:rsidP="00EF49A7">
            <w:pPr>
              <w:rPr>
                <w:rFonts w:cs="Arial"/>
                <w:sz w:val="20"/>
                <w:szCs w:val="20"/>
              </w:rPr>
            </w:pPr>
            <w:r w:rsidRPr="00FA4DC7">
              <w:rPr>
                <w:rFonts w:cs="Arial"/>
                <w:b/>
                <w:sz w:val="20"/>
                <w:szCs w:val="20"/>
              </w:rPr>
              <w:t>PPG definition:</w:t>
            </w:r>
            <w:r w:rsidRPr="00FA4DC7">
              <w:rPr>
                <w:rFonts w:cs="Arial"/>
                <w:sz w:val="20"/>
                <w:szCs w:val="20"/>
              </w:rPr>
              <w:t xml:space="preserve"> </w:t>
            </w:r>
            <w:r w:rsidRPr="00FA4DC7">
              <w:rPr>
                <w:rFonts w:cs="Arial"/>
                <w:color w:val="0B0C0C"/>
                <w:sz w:val="20"/>
                <w:szCs w:val="20"/>
                <w:shd w:val="clear" w:color="auto" w:fill="FFFFFF"/>
              </w:rPr>
              <w:t>This type of housing is generally for people aged 55 and over and the active elderly. It may include some shared amenities such as communal gardens but does not include support or care services.</w:t>
            </w:r>
          </w:p>
        </w:tc>
      </w:tr>
      <w:tr w:rsidR="00CE1BDB" w:rsidRPr="00FA4DC7" w14:paraId="058D7053" w14:textId="77777777" w:rsidTr="000A3A5C">
        <w:tc>
          <w:tcPr>
            <w:tcW w:w="1154" w:type="pct"/>
          </w:tcPr>
          <w:p w14:paraId="6B34951B"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Care homes (C2)</w:t>
            </w:r>
          </w:p>
        </w:tc>
        <w:tc>
          <w:tcPr>
            <w:tcW w:w="577" w:type="pct"/>
          </w:tcPr>
          <w:p w14:paraId="5B491BED" w14:textId="77777777" w:rsidR="00CE1BDB" w:rsidRPr="00FA4DC7" w:rsidRDefault="00CE1BDB" w:rsidP="00EF49A7">
            <w:pPr>
              <w:jc w:val="right"/>
              <w:rPr>
                <w:rFonts w:cs="Arial"/>
                <w:color w:val="101010"/>
                <w:sz w:val="22"/>
                <w:szCs w:val="22"/>
              </w:rPr>
            </w:pPr>
            <w:r w:rsidRPr="00FA4DC7">
              <w:rPr>
                <w:rFonts w:cs="Arial"/>
                <w:color w:val="101010"/>
                <w:sz w:val="22"/>
                <w:szCs w:val="22"/>
              </w:rPr>
              <w:t>556</w:t>
            </w:r>
          </w:p>
        </w:tc>
        <w:tc>
          <w:tcPr>
            <w:tcW w:w="3269" w:type="pct"/>
          </w:tcPr>
          <w:p w14:paraId="1EC13B53" w14:textId="77777777" w:rsidR="00CE1BDB" w:rsidRPr="00FA4DC7" w:rsidRDefault="00CE1BDB" w:rsidP="00EF49A7">
            <w:pPr>
              <w:rPr>
                <w:rFonts w:cs="Arial"/>
                <w:sz w:val="20"/>
                <w:szCs w:val="20"/>
              </w:rPr>
            </w:pPr>
            <w:r w:rsidRPr="00FA4DC7">
              <w:rPr>
                <w:rFonts w:cs="Arial"/>
                <w:b/>
                <w:color w:val="101010"/>
                <w:sz w:val="20"/>
                <w:szCs w:val="20"/>
              </w:rPr>
              <w:t>EAC definition:</w:t>
            </w:r>
            <w:r w:rsidRPr="00FA4DC7">
              <w:rPr>
                <w:rFonts w:cs="Arial"/>
                <w:color w:val="101010"/>
                <w:sz w:val="20"/>
                <w:szCs w:val="20"/>
              </w:rPr>
              <w:t xml:space="preserve"> A residential setting where a number of older people live, usually in single rooms, and have access to on-site care services. Since April 2002 all homes in England, Scotland and Wales are known as ‘care homes’, but are registered to provide different levels of care. A home registered simply as a </w:t>
            </w:r>
            <w:r w:rsidRPr="00FA4DC7">
              <w:rPr>
                <w:rFonts w:cs="Arial"/>
                <w:b/>
                <w:bCs/>
                <w:color w:val="101010"/>
                <w:sz w:val="20"/>
                <w:szCs w:val="20"/>
              </w:rPr>
              <w:t>care home </w:t>
            </w:r>
            <w:r w:rsidRPr="00FA4DC7">
              <w:rPr>
                <w:rFonts w:cs="Arial"/>
                <w:color w:val="101010"/>
                <w:sz w:val="20"/>
                <w:szCs w:val="20"/>
              </w:rPr>
              <w:t xml:space="preserve">will provide personal care only - help with washing, </w:t>
            </w:r>
            <w:proofErr w:type="gramStart"/>
            <w:r w:rsidRPr="00FA4DC7">
              <w:rPr>
                <w:rFonts w:cs="Arial"/>
                <w:color w:val="101010"/>
                <w:sz w:val="20"/>
                <w:szCs w:val="20"/>
              </w:rPr>
              <w:t>dressing</w:t>
            </w:r>
            <w:proofErr w:type="gramEnd"/>
            <w:r w:rsidRPr="00FA4DC7">
              <w:rPr>
                <w:rFonts w:cs="Arial"/>
                <w:color w:val="101010"/>
                <w:sz w:val="20"/>
                <w:szCs w:val="20"/>
              </w:rPr>
              <w:t xml:space="preserve"> and giving medication.</w:t>
            </w:r>
          </w:p>
          <w:p w14:paraId="760DAC07" w14:textId="77777777" w:rsidR="00CE1BDB" w:rsidRPr="00FA4DC7" w:rsidRDefault="00CE1BDB" w:rsidP="00EF49A7">
            <w:pPr>
              <w:rPr>
                <w:rFonts w:cs="Arial"/>
                <w:color w:val="0B0C0C"/>
                <w:sz w:val="20"/>
                <w:szCs w:val="20"/>
                <w:shd w:val="clear" w:color="auto" w:fill="FFFFFF"/>
              </w:rPr>
            </w:pPr>
            <w:r w:rsidRPr="00FA4DC7">
              <w:rPr>
                <w:rFonts w:cs="Arial"/>
                <w:b/>
                <w:sz w:val="20"/>
                <w:szCs w:val="20"/>
              </w:rPr>
              <w:t>PPG definition:</w:t>
            </w:r>
            <w:r w:rsidRPr="00FA4DC7">
              <w:rPr>
                <w:rFonts w:cs="Arial"/>
                <w:sz w:val="20"/>
                <w:szCs w:val="20"/>
              </w:rPr>
              <w:t xml:space="preserve"> </w:t>
            </w:r>
            <w:r w:rsidRPr="00FA4DC7">
              <w:rPr>
                <w:rFonts w:cs="Arial"/>
                <w:color w:val="0B0C0C"/>
                <w:sz w:val="20"/>
                <w:szCs w:val="20"/>
                <w:shd w:val="clear" w:color="auto" w:fill="FFFFFF"/>
              </w:rPr>
              <w:t>These have individual rooms within a residential building and provide a high level of care meeting all activities of daily living. They do not usually include support services for independent living. This type of housing can also include dementia care homes.</w:t>
            </w:r>
          </w:p>
        </w:tc>
      </w:tr>
      <w:tr w:rsidR="00CE1BDB" w:rsidRPr="00FA4DC7" w14:paraId="0CBFD98C" w14:textId="77777777" w:rsidTr="000A3A5C">
        <w:tc>
          <w:tcPr>
            <w:tcW w:w="1154" w:type="pct"/>
          </w:tcPr>
          <w:p w14:paraId="1E1AC34C"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Care home with nursing (C2)</w:t>
            </w:r>
          </w:p>
        </w:tc>
        <w:tc>
          <w:tcPr>
            <w:tcW w:w="577" w:type="pct"/>
          </w:tcPr>
          <w:p w14:paraId="03C2F55B" w14:textId="77777777" w:rsidR="00CE1BDB" w:rsidRPr="00FA4DC7" w:rsidRDefault="00CE1BDB" w:rsidP="00EF49A7">
            <w:pPr>
              <w:jc w:val="right"/>
              <w:rPr>
                <w:rFonts w:cs="Arial"/>
                <w:color w:val="101010"/>
                <w:sz w:val="22"/>
                <w:szCs w:val="22"/>
              </w:rPr>
            </w:pPr>
            <w:r w:rsidRPr="00FA4DC7">
              <w:rPr>
                <w:rFonts w:cs="Arial"/>
                <w:color w:val="101010"/>
                <w:sz w:val="22"/>
                <w:szCs w:val="22"/>
              </w:rPr>
              <w:t>637</w:t>
            </w:r>
          </w:p>
        </w:tc>
        <w:tc>
          <w:tcPr>
            <w:tcW w:w="3269" w:type="pct"/>
          </w:tcPr>
          <w:p w14:paraId="694B671E" w14:textId="77777777" w:rsidR="00CE1BDB" w:rsidRPr="00FA4DC7" w:rsidRDefault="00CE1BDB" w:rsidP="00EF49A7">
            <w:pPr>
              <w:rPr>
                <w:rFonts w:cs="Arial"/>
                <w:sz w:val="20"/>
                <w:szCs w:val="20"/>
              </w:rPr>
            </w:pPr>
            <w:r w:rsidRPr="00FA4DC7">
              <w:rPr>
                <w:rFonts w:cs="Arial"/>
                <w:color w:val="101010"/>
                <w:sz w:val="20"/>
                <w:szCs w:val="20"/>
              </w:rPr>
              <w:t>A home registered as a </w:t>
            </w:r>
            <w:r w:rsidRPr="00FA4DC7">
              <w:rPr>
                <w:rFonts w:cs="Arial"/>
                <w:b/>
                <w:bCs/>
                <w:color w:val="101010"/>
                <w:sz w:val="20"/>
                <w:szCs w:val="20"/>
              </w:rPr>
              <w:t>care home with nursing </w:t>
            </w:r>
            <w:r w:rsidRPr="00FA4DC7">
              <w:rPr>
                <w:rFonts w:cs="Arial"/>
                <w:color w:val="101010"/>
                <w:sz w:val="20"/>
                <w:szCs w:val="20"/>
              </w:rPr>
              <w:t>will provide the same personal care but also have a qualified nurse on duty twenty-four hours a day to carry out nursing tasks. These homes are for people who are physically or mentally frail or people who need regular attention from a nurse.</w:t>
            </w:r>
          </w:p>
        </w:tc>
      </w:tr>
      <w:tr w:rsidR="00CE1BDB" w:rsidRPr="00FA4DC7" w14:paraId="4798F761" w14:textId="77777777" w:rsidTr="000A3A5C">
        <w:tc>
          <w:tcPr>
            <w:tcW w:w="1154" w:type="pct"/>
          </w:tcPr>
          <w:p w14:paraId="370975B3"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Enhanced sheltered/close case (C3)</w:t>
            </w:r>
          </w:p>
        </w:tc>
        <w:tc>
          <w:tcPr>
            <w:tcW w:w="577" w:type="pct"/>
          </w:tcPr>
          <w:p w14:paraId="00F52375" w14:textId="77777777" w:rsidR="00CE1BDB" w:rsidRPr="00FA4DC7" w:rsidRDefault="00CE1BDB" w:rsidP="00EF49A7">
            <w:pPr>
              <w:jc w:val="right"/>
              <w:rPr>
                <w:rFonts w:cs="Arial"/>
                <w:color w:val="101010"/>
                <w:sz w:val="22"/>
                <w:szCs w:val="22"/>
              </w:rPr>
            </w:pPr>
            <w:r w:rsidRPr="00FA4DC7">
              <w:rPr>
                <w:rFonts w:cs="Arial"/>
                <w:color w:val="101010"/>
                <w:sz w:val="22"/>
                <w:szCs w:val="22"/>
              </w:rPr>
              <w:t>0</w:t>
            </w:r>
          </w:p>
        </w:tc>
        <w:tc>
          <w:tcPr>
            <w:tcW w:w="3269" w:type="pct"/>
          </w:tcPr>
          <w:p w14:paraId="575DE14C" w14:textId="77777777" w:rsidR="00CE1BDB" w:rsidRPr="00FA4DC7" w:rsidRDefault="00CE1BDB" w:rsidP="00EF49A7">
            <w:pPr>
              <w:rPr>
                <w:rFonts w:cs="Arial"/>
                <w:color w:val="101010"/>
                <w:sz w:val="20"/>
                <w:szCs w:val="20"/>
              </w:rPr>
            </w:pPr>
            <w:r w:rsidRPr="00FA4DC7">
              <w:rPr>
                <w:rFonts w:cs="Arial"/>
                <w:color w:val="101010"/>
                <w:sz w:val="20"/>
                <w:szCs w:val="20"/>
              </w:rPr>
              <w:t>Sheltered housing that provides more in facilities and services than traditional sheltered housing but does not offer the full range of provision that is found in an Extra Care housing scheme</w:t>
            </w:r>
          </w:p>
        </w:tc>
      </w:tr>
      <w:tr w:rsidR="00CE1BDB" w:rsidRPr="00FA4DC7" w14:paraId="45CE03B3" w14:textId="77777777" w:rsidTr="000A3A5C">
        <w:tc>
          <w:tcPr>
            <w:tcW w:w="1154" w:type="pct"/>
          </w:tcPr>
          <w:p w14:paraId="52571037"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Retirement/Sheltered housing (C3)</w:t>
            </w:r>
          </w:p>
        </w:tc>
        <w:tc>
          <w:tcPr>
            <w:tcW w:w="577" w:type="pct"/>
          </w:tcPr>
          <w:p w14:paraId="7115EEDC" w14:textId="77777777" w:rsidR="00CE1BDB" w:rsidRPr="00FA4DC7" w:rsidRDefault="00CE1BDB" w:rsidP="00EF49A7">
            <w:pPr>
              <w:jc w:val="right"/>
              <w:rPr>
                <w:rFonts w:cs="Arial"/>
                <w:color w:val="101010"/>
                <w:sz w:val="22"/>
                <w:szCs w:val="22"/>
              </w:rPr>
            </w:pPr>
            <w:r w:rsidRPr="00FA4DC7">
              <w:rPr>
                <w:rFonts w:cs="Arial"/>
                <w:color w:val="101010"/>
                <w:sz w:val="22"/>
                <w:szCs w:val="22"/>
              </w:rPr>
              <w:t>1,672 R</w:t>
            </w:r>
          </w:p>
          <w:p w14:paraId="717968CD" w14:textId="77777777" w:rsidR="00CE1BDB" w:rsidRPr="00FA4DC7" w:rsidRDefault="00CE1BDB" w:rsidP="00EF49A7">
            <w:pPr>
              <w:jc w:val="right"/>
              <w:rPr>
                <w:rFonts w:cs="Arial"/>
                <w:color w:val="101010"/>
                <w:sz w:val="22"/>
                <w:szCs w:val="22"/>
              </w:rPr>
            </w:pPr>
          </w:p>
        </w:tc>
        <w:tc>
          <w:tcPr>
            <w:tcW w:w="3269" w:type="pct"/>
          </w:tcPr>
          <w:p w14:paraId="59B67C7A" w14:textId="77777777" w:rsidR="00CE1BDB" w:rsidRPr="00FA4DC7" w:rsidRDefault="00CE1BDB" w:rsidP="00EF49A7">
            <w:pPr>
              <w:rPr>
                <w:rFonts w:cs="Arial"/>
                <w:color w:val="101010"/>
                <w:sz w:val="20"/>
                <w:szCs w:val="20"/>
              </w:rPr>
            </w:pPr>
            <w:r w:rsidRPr="00FA4DC7">
              <w:rPr>
                <w:rFonts w:cs="Arial"/>
                <w:color w:val="101010"/>
                <w:sz w:val="20"/>
                <w:szCs w:val="20"/>
              </w:rPr>
              <w:t xml:space="preserve">EAC definition: </w:t>
            </w:r>
            <w:r w:rsidRPr="00FA4DC7">
              <w:rPr>
                <w:rFonts w:cs="Arial"/>
                <w:b/>
                <w:color w:val="101010"/>
                <w:sz w:val="20"/>
                <w:szCs w:val="20"/>
              </w:rPr>
              <w:t>Sheltered housing (S)</w:t>
            </w:r>
            <w:r w:rsidRPr="00FA4DC7">
              <w:rPr>
                <w:rFonts w:cs="Arial"/>
                <w:color w:val="101010"/>
                <w:sz w:val="20"/>
                <w:szCs w:val="20"/>
              </w:rPr>
              <w:t xml:space="preserve"> means having your own flat or bungalow in a block, or on a small estate, where all the other residents are older people (usually over 55). With a few exceptions, all developments (or 'schemes') provide independent, self-contained homes with their own front doors. </w:t>
            </w:r>
            <w:r w:rsidRPr="00FA4DC7">
              <w:rPr>
                <w:rFonts w:cs="Arial"/>
                <w:b/>
                <w:color w:val="101010"/>
                <w:sz w:val="20"/>
                <w:szCs w:val="20"/>
              </w:rPr>
              <w:t>Retirement housing (R)</w:t>
            </w:r>
            <w:r w:rsidRPr="00FA4DC7">
              <w:rPr>
                <w:rFonts w:cs="Arial"/>
                <w:color w:val="101010"/>
                <w:sz w:val="20"/>
                <w:szCs w:val="20"/>
              </w:rPr>
              <w:t xml:space="preserve"> means housing developments of a similar type to sheltered housing, but built for sale, usually on a leasehold basis. The term sheltered housing is now largely superseded by retirement housing.</w:t>
            </w:r>
          </w:p>
          <w:p w14:paraId="48D245D6" w14:textId="77777777" w:rsidR="00CE1BDB" w:rsidRPr="00FA4DC7" w:rsidRDefault="00CE1BDB" w:rsidP="00EF49A7">
            <w:pPr>
              <w:rPr>
                <w:rFonts w:cs="Arial"/>
                <w:color w:val="0B0C0C"/>
                <w:sz w:val="20"/>
                <w:szCs w:val="20"/>
                <w:shd w:val="clear" w:color="auto" w:fill="FFFFFF"/>
              </w:rPr>
            </w:pPr>
            <w:r w:rsidRPr="00FA4DC7">
              <w:rPr>
                <w:rFonts w:cs="Arial"/>
                <w:sz w:val="20"/>
                <w:szCs w:val="20"/>
              </w:rPr>
              <w:t xml:space="preserve">PPG definition: </w:t>
            </w:r>
            <w:r w:rsidRPr="00FA4DC7">
              <w:rPr>
                <w:rFonts w:cs="Arial"/>
                <w:color w:val="0B0C0C"/>
                <w:sz w:val="20"/>
                <w:szCs w:val="20"/>
                <w:shd w:val="clear" w:color="auto" w:fill="FFFFFF"/>
              </w:rPr>
              <w:t xml:space="preserve">This usually consists of purpose-built flats or bungalows with limited communal facilities such as a lounge, laundry room and guest room. It does not generally provide </w:t>
            </w:r>
            <w:r w:rsidRPr="00FA4DC7">
              <w:rPr>
                <w:rFonts w:cs="Arial"/>
                <w:color w:val="0B0C0C"/>
                <w:sz w:val="20"/>
                <w:szCs w:val="20"/>
                <w:shd w:val="clear" w:color="auto" w:fill="FFFFFF"/>
              </w:rPr>
              <w:lastRenderedPageBreak/>
              <w:t xml:space="preserve">care services but provides some support to enable residents to live independently. This can include 24-hour on-site assistance (alarm) and a warden or house manager. </w:t>
            </w:r>
          </w:p>
        </w:tc>
      </w:tr>
      <w:tr w:rsidR="00CE1BDB" w:rsidRPr="00FA4DC7" w14:paraId="77D7434B" w14:textId="77777777" w:rsidTr="000A3A5C">
        <w:tc>
          <w:tcPr>
            <w:tcW w:w="1154" w:type="pct"/>
          </w:tcPr>
          <w:p w14:paraId="0B70C585"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lastRenderedPageBreak/>
              <w:t>Extra Care housing or housing with care (C3)</w:t>
            </w:r>
          </w:p>
          <w:p w14:paraId="00562A7B" w14:textId="77777777" w:rsidR="00CE1BDB" w:rsidRPr="00FA4DC7" w:rsidRDefault="00CE1BDB" w:rsidP="00EF49A7">
            <w:pPr>
              <w:pStyle w:val="Reporttext"/>
              <w:numPr>
                <w:ilvl w:val="0"/>
                <w:numId w:val="0"/>
              </w:numPr>
              <w:rPr>
                <w:rFonts w:cs="Arial"/>
                <w:sz w:val="22"/>
                <w:szCs w:val="22"/>
              </w:rPr>
            </w:pPr>
          </w:p>
          <w:p w14:paraId="04A855C7" w14:textId="77777777" w:rsidR="00CE1BDB" w:rsidRPr="00FA4DC7" w:rsidRDefault="00CE1BDB" w:rsidP="00EF49A7">
            <w:pPr>
              <w:pStyle w:val="Reporttext"/>
              <w:numPr>
                <w:ilvl w:val="0"/>
                <w:numId w:val="0"/>
              </w:numPr>
              <w:rPr>
                <w:rFonts w:cs="Arial"/>
                <w:sz w:val="22"/>
                <w:szCs w:val="22"/>
              </w:rPr>
            </w:pPr>
          </w:p>
        </w:tc>
        <w:tc>
          <w:tcPr>
            <w:tcW w:w="577" w:type="pct"/>
          </w:tcPr>
          <w:p w14:paraId="48EF6366" w14:textId="77777777" w:rsidR="00CE1BDB" w:rsidRPr="00FA4DC7" w:rsidRDefault="00CE1BDB" w:rsidP="00EF49A7">
            <w:pPr>
              <w:jc w:val="right"/>
              <w:rPr>
                <w:rFonts w:cs="Arial"/>
                <w:color w:val="101010"/>
                <w:sz w:val="22"/>
                <w:szCs w:val="22"/>
              </w:rPr>
            </w:pPr>
            <w:r w:rsidRPr="00FA4DC7">
              <w:rPr>
                <w:rFonts w:cs="Arial"/>
                <w:color w:val="101010"/>
                <w:sz w:val="22"/>
                <w:szCs w:val="22"/>
              </w:rPr>
              <w:t>288</w:t>
            </w:r>
          </w:p>
        </w:tc>
        <w:tc>
          <w:tcPr>
            <w:tcW w:w="3269" w:type="pct"/>
          </w:tcPr>
          <w:p w14:paraId="22C5196F" w14:textId="77777777" w:rsidR="00CE1BDB" w:rsidRPr="00FA4DC7" w:rsidRDefault="00CE1BDB" w:rsidP="00EF49A7">
            <w:pPr>
              <w:rPr>
                <w:rFonts w:cs="Arial"/>
                <w:color w:val="101010"/>
                <w:sz w:val="20"/>
                <w:szCs w:val="20"/>
              </w:rPr>
            </w:pPr>
            <w:r w:rsidRPr="00FA4DC7">
              <w:rPr>
                <w:rFonts w:cs="Arial"/>
                <w:color w:val="101010"/>
                <w:sz w:val="20"/>
                <w:szCs w:val="20"/>
              </w:rPr>
              <w:t xml:space="preserve">EAC definition: Extra Care Housing is housing designed with the needs of frailer older people in mind and with varying levels of care and support available on site. People who live in Extra Care Housing have their own self-contained homes, their own front </w:t>
            </w:r>
            <w:proofErr w:type="gramStart"/>
            <w:r w:rsidRPr="00FA4DC7">
              <w:rPr>
                <w:rFonts w:cs="Arial"/>
                <w:color w:val="101010"/>
                <w:sz w:val="20"/>
                <w:szCs w:val="20"/>
              </w:rPr>
              <w:t>doors</w:t>
            </w:r>
            <w:proofErr w:type="gramEnd"/>
            <w:r w:rsidRPr="00FA4DC7">
              <w:rPr>
                <w:rFonts w:cs="Arial"/>
                <w:color w:val="101010"/>
                <w:sz w:val="20"/>
                <w:szCs w:val="20"/>
              </w:rPr>
              <w:t xml:space="preserve"> and a legal right to occupy the property. Extra Care Housing is also known as very sheltered housing, assisted living, or simply as 'housing with care'.  It comes in many built forms, including blocks of flats, bungalow estates and retirement villages. It is a popular choice among older people because it can sometimes provide an alternative to a care home.</w:t>
            </w:r>
          </w:p>
          <w:p w14:paraId="7E6D6EB1" w14:textId="77777777" w:rsidR="00CE1BDB" w:rsidRPr="00FA4DC7" w:rsidRDefault="00CE1BDB" w:rsidP="00EF49A7">
            <w:pPr>
              <w:rPr>
                <w:rFonts w:cs="Arial"/>
                <w:color w:val="0B0C0C"/>
                <w:sz w:val="20"/>
                <w:szCs w:val="20"/>
                <w:shd w:val="clear" w:color="auto" w:fill="FFFFFF"/>
              </w:rPr>
            </w:pPr>
            <w:r w:rsidRPr="00FA4DC7">
              <w:rPr>
                <w:rFonts w:cs="Arial"/>
                <w:b/>
                <w:color w:val="0B0C0C"/>
                <w:sz w:val="20"/>
                <w:szCs w:val="20"/>
                <w:shd w:val="clear" w:color="auto" w:fill="FFFFFF"/>
              </w:rPr>
              <w:t>P</w:t>
            </w:r>
            <w:r w:rsidRPr="00FA4DC7">
              <w:rPr>
                <w:rFonts w:cs="Arial"/>
                <w:b/>
                <w:sz w:val="20"/>
                <w:szCs w:val="20"/>
              </w:rPr>
              <w:t>PG definition:</w:t>
            </w:r>
            <w:r w:rsidRPr="00FA4DC7">
              <w:rPr>
                <w:rFonts w:cs="Arial"/>
                <w:sz w:val="20"/>
                <w:szCs w:val="20"/>
              </w:rPr>
              <w:t xml:space="preserve"> </w:t>
            </w:r>
            <w:r w:rsidRPr="00FA4DC7">
              <w:rPr>
                <w:rFonts w:cs="Arial"/>
                <w:color w:val="0B0C0C"/>
                <w:sz w:val="20"/>
                <w:szCs w:val="20"/>
                <w:shd w:val="clear" w:color="auto" w:fill="FFFFFF"/>
              </w:rPr>
              <w:t xml:space="preserve">This usually consists of purpose-built or adapted flats or bungalows with a medium to high level of care available if required, through an onsite care agency registered through the Care Quality Commission (CQC). Residents are able to live independently with 24-hour access to support services and staff, and meals are also available. There are often extensive communal areas, such as space to socialise or a wellbeing centre. In some cases, these developments are known as retirement communities or villages - the intention is for residents to benefit from varying levels of care as time progresses. </w:t>
            </w:r>
          </w:p>
          <w:p w14:paraId="473C856B" w14:textId="77777777" w:rsidR="00CE1BDB" w:rsidRPr="00FA4DC7" w:rsidRDefault="00CE1BDB" w:rsidP="00EF49A7">
            <w:pPr>
              <w:rPr>
                <w:rFonts w:cs="Arial"/>
                <w:sz w:val="20"/>
                <w:szCs w:val="20"/>
              </w:rPr>
            </w:pPr>
            <w:r w:rsidRPr="00FA4DC7">
              <w:rPr>
                <w:rFonts w:cs="Arial"/>
                <w:b/>
                <w:color w:val="0B0C0C"/>
                <w:sz w:val="20"/>
                <w:szCs w:val="20"/>
                <w:shd w:val="clear" w:color="auto" w:fill="FFFFFF"/>
              </w:rPr>
              <w:t>Note</w:t>
            </w:r>
            <w:r w:rsidRPr="00FA4DC7">
              <w:rPr>
                <w:rFonts w:cs="Arial"/>
                <w:color w:val="0B0C0C"/>
                <w:sz w:val="20"/>
                <w:szCs w:val="20"/>
                <w:shd w:val="clear" w:color="auto" w:fill="FFFFFF"/>
              </w:rPr>
              <w:t xml:space="preserve"> Extra Care can also provide accommodation for people with additional needs who are not older people</w:t>
            </w:r>
          </w:p>
        </w:tc>
      </w:tr>
      <w:tr w:rsidR="00CE1BDB" w:rsidRPr="00FA4DC7" w14:paraId="2DCF90D1" w14:textId="77777777" w:rsidTr="000A3A5C">
        <w:tc>
          <w:tcPr>
            <w:tcW w:w="1154" w:type="pct"/>
          </w:tcPr>
          <w:p w14:paraId="183D83E4" w14:textId="77777777" w:rsidR="00CE1BDB" w:rsidRPr="00FA4DC7" w:rsidRDefault="00CE1BDB" w:rsidP="00EF49A7">
            <w:pPr>
              <w:pStyle w:val="Reporttext"/>
              <w:numPr>
                <w:ilvl w:val="0"/>
                <w:numId w:val="0"/>
              </w:numPr>
              <w:rPr>
                <w:rFonts w:cs="Arial"/>
                <w:sz w:val="22"/>
                <w:szCs w:val="22"/>
              </w:rPr>
            </w:pPr>
            <w:r w:rsidRPr="00FA4DC7">
              <w:rPr>
                <w:rFonts w:cs="Arial"/>
                <w:sz w:val="22"/>
                <w:szCs w:val="22"/>
              </w:rPr>
              <w:t>Total</w:t>
            </w:r>
          </w:p>
        </w:tc>
        <w:tc>
          <w:tcPr>
            <w:tcW w:w="577" w:type="pct"/>
          </w:tcPr>
          <w:p w14:paraId="0AF98E2F" w14:textId="77777777" w:rsidR="00CE1BDB" w:rsidRPr="00FA4DC7" w:rsidRDefault="00CE1BDB" w:rsidP="00EF49A7">
            <w:pPr>
              <w:jc w:val="right"/>
              <w:rPr>
                <w:rFonts w:cs="Arial"/>
                <w:color w:val="101010"/>
                <w:sz w:val="22"/>
                <w:szCs w:val="22"/>
              </w:rPr>
            </w:pPr>
            <w:r w:rsidRPr="00FA4DC7">
              <w:rPr>
                <w:rFonts w:cs="Arial"/>
                <w:color w:val="101010"/>
                <w:sz w:val="22"/>
                <w:szCs w:val="22"/>
              </w:rPr>
              <w:t>3,253</w:t>
            </w:r>
          </w:p>
        </w:tc>
        <w:tc>
          <w:tcPr>
            <w:tcW w:w="3269" w:type="pct"/>
          </w:tcPr>
          <w:p w14:paraId="22D05813" w14:textId="77777777" w:rsidR="00CE1BDB" w:rsidRPr="00FA4DC7" w:rsidRDefault="00CE1BDB" w:rsidP="00EF49A7">
            <w:pPr>
              <w:rPr>
                <w:rFonts w:cs="Arial"/>
                <w:color w:val="101010"/>
                <w:sz w:val="22"/>
                <w:szCs w:val="22"/>
              </w:rPr>
            </w:pPr>
          </w:p>
        </w:tc>
      </w:tr>
    </w:tbl>
    <w:p w14:paraId="0EF37972" w14:textId="77777777" w:rsidR="00CE1BDB" w:rsidRPr="00FA4DC7" w:rsidRDefault="00CE1BDB" w:rsidP="00CE1BDB">
      <w:pPr>
        <w:pStyle w:val="Reporttext"/>
        <w:numPr>
          <w:ilvl w:val="0"/>
          <w:numId w:val="0"/>
        </w:numPr>
        <w:rPr>
          <w:rFonts w:cs="Arial"/>
          <w:sz w:val="22"/>
          <w:szCs w:val="22"/>
        </w:rPr>
      </w:pPr>
      <w:r w:rsidRPr="00FA4DC7">
        <w:rPr>
          <w:rFonts w:cs="Arial"/>
        </w:rPr>
        <w:t xml:space="preserve">Source: </w:t>
      </w:r>
      <w:r w:rsidRPr="00FA4DC7">
        <w:rPr>
          <w:rFonts w:cs="Arial"/>
          <w:sz w:val="22"/>
          <w:szCs w:val="22"/>
        </w:rPr>
        <w:t xml:space="preserve">EAC data 2021 </w:t>
      </w:r>
    </w:p>
    <w:p w14:paraId="2D86C3E3" w14:textId="77777777" w:rsidR="00CE1BDB" w:rsidRPr="00FA4DC7" w:rsidRDefault="00CE1BDB" w:rsidP="00CE1BDB">
      <w:pPr>
        <w:pStyle w:val="Reporttext"/>
        <w:numPr>
          <w:ilvl w:val="0"/>
          <w:numId w:val="0"/>
        </w:numPr>
        <w:rPr>
          <w:rFonts w:cs="Arial"/>
          <w:highlight w:val="yellow"/>
        </w:rPr>
      </w:pPr>
    </w:p>
    <w:p w14:paraId="26159B28" w14:textId="77777777" w:rsidR="00CE1BDB" w:rsidRPr="00FA4DC7" w:rsidRDefault="00CE1BDB" w:rsidP="00CE1BDB">
      <w:pPr>
        <w:pStyle w:val="Reporttext"/>
        <w:rPr>
          <w:rFonts w:cs="Arial"/>
        </w:rPr>
      </w:pPr>
      <w:r w:rsidRPr="00FA4DC7">
        <w:rPr>
          <w:rFonts w:cs="Arial"/>
        </w:rPr>
        <w:t>Given the ageing of the population, the need for specialist older person accommodation is expected to increase. Based on population there is an additional need for 1,189 additional units of specialist older persons’ accommodation by 2037 (Table 5.4) and 1,472 units by 2040 (Table 5.5)</w:t>
      </w:r>
    </w:p>
    <w:p w14:paraId="25EE1025" w14:textId="77777777" w:rsidR="00CE1BDB" w:rsidRPr="00FA4DC7" w:rsidRDefault="00CE1BDB" w:rsidP="00CE1BDB">
      <w:pPr>
        <w:pStyle w:val="Reporttext"/>
        <w:rPr>
          <w:rFonts w:cs="Arial"/>
        </w:rPr>
      </w:pPr>
      <w:r w:rsidRPr="00FA4DC7">
        <w:rPr>
          <w:rFonts w:cs="Arial"/>
        </w:rPr>
        <w:t>The Medway Market Position Statement (MPS) 2016/17 notes that:</w:t>
      </w:r>
    </w:p>
    <w:p w14:paraId="38EE2146" w14:textId="77777777" w:rsidR="00CE1BDB" w:rsidRPr="00FA4DC7" w:rsidRDefault="00CE1BDB" w:rsidP="00E6747B">
      <w:pPr>
        <w:pStyle w:val="bullet"/>
      </w:pPr>
      <w:r w:rsidRPr="00FA4DC7">
        <w:t>Supply of residential care is contracting which is partly due to the shift towards independent living and support and providers of long-established care homes making planned exits from the market.</w:t>
      </w:r>
    </w:p>
    <w:p w14:paraId="227F5F5C" w14:textId="77777777" w:rsidR="00CE1BDB" w:rsidRPr="00FA4DC7" w:rsidRDefault="00CE1BDB" w:rsidP="00E6747B">
      <w:pPr>
        <w:pStyle w:val="bullet"/>
      </w:pPr>
      <w:r w:rsidRPr="00FA4DC7">
        <w:t xml:space="preserve">Retirement living is provided primarily by the social rented sector. Increasingly older people prefer not to live in these old-style sheltered schemes. Preferring to remain in family homes with equipment such as the community alarm service and support from care workers. </w:t>
      </w:r>
    </w:p>
    <w:p w14:paraId="0B7A199A" w14:textId="77777777" w:rsidR="00CE1BDB" w:rsidRPr="00FA4DC7" w:rsidRDefault="00CE1BDB" w:rsidP="00CE1BDB">
      <w:pPr>
        <w:pStyle w:val="Reporttext"/>
        <w:rPr>
          <w:rFonts w:cs="Arial"/>
        </w:rPr>
      </w:pPr>
      <w:r w:rsidRPr="00FA4DC7">
        <w:rPr>
          <w:rFonts w:cs="Arial"/>
        </w:rPr>
        <w:t>The MPS identified the following priorities for older people:</w:t>
      </w:r>
    </w:p>
    <w:p w14:paraId="6634DFDE" w14:textId="77777777" w:rsidR="00CE1BDB" w:rsidRPr="00FA4DC7" w:rsidRDefault="00CE1BDB" w:rsidP="00E6747B">
      <w:pPr>
        <w:pStyle w:val="bullet"/>
      </w:pPr>
      <w:r w:rsidRPr="00FA4DC7">
        <w:lastRenderedPageBreak/>
        <w:t>A spectrum of housing and accommodation types and a choice of tenures, recognising that people want to live in their own home, whether the family home or older people’s housing including retirement living, assisted living or extra-care/flexi-care developments.</w:t>
      </w:r>
    </w:p>
    <w:p w14:paraId="157D26F6" w14:textId="77777777" w:rsidR="00CE1BDB" w:rsidRPr="00FA4DC7" w:rsidRDefault="00CE1BDB" w:rsidP="00E6747B">
      <w:pPr>
        <w:pStyle w:val="bullet"/>
      </w:pPr>
      <w:r w:rsidRPr="00FA4DC7">
        <w:t>Nursing care provision to meet the increasingly complex needs that people are living with, for longer. Specialist nursing services are needed for moderate dementia where behaviour challenges and nursing care for severe dementia where physical health needs accompany advancing stages of dementia.</w:t>
      </w:r>
    </w:p>
    <w:p w14:paraId="7D4C60A3" w14:textId="77777777" w:rsidR="00CE1BDB" w:rsidRPr="00FA4DC7" w:rsidRDefault="00CE1BDB" w:rsidP="00E6747B">
      <w:pPr>
        <w:pStyle w:val="bullet"/>
      </w:pPr>
      <w:r w:rsidRPr="00FA4DC7">
        <w:t>Nursing home provision for short-term stays for people leaving hospital and reablement.</w:t>
      </w:r>
    </w:p>
    <w:p w14:paraId="76245309" w14:textId="77777777" w:rsidR="00CE1BDB" w:rsidRPr="00FA4DC7" w:rsidRDefault="00CE1BDB" w:rsidP="00E6747B">
      <w:pPr>
        <w:pStyle w:val="bullet"/>
      </w:pPr>
      <w:r w:rsidRPr="00FA4DC7">
        <w:t xml:space="preserve">Nursing care for people at the end of life, both in nursing homes and in people’s own homes. </w:t>
      </w:r>
    </w:p>
    <w:p w14:paraId="6A9269FE" w14:textId="77777777" w:rsidR="00CE1BDB" w:rsidRPr="00FA4DC7" w:rsidRDefault="00CE1BDB" w:rsidP="00CE1BDB">
      <w:pPr>
        <w:pStyle w:val="Reporttext"/>
        <w:rPr>
          <w:rFonts w:cs="Arial"/>
        </w:rPr>
      </w:pPr>
      <w:r w:rsidRPr="00FA4DC7">
        <w:rPr>
          <w:rFonts w:cs="Arial"/>
        </w:rPr>
        <w:t>The total additional need for specialist older person (C3) dwellings is projected to be 753 by 2037 (47 each year) and 939 to 2040 (49 each year) C3 housing is part of the overall annual housing need to be delivered across Medway.</w:t>
      </w:r>
    </w:p>
    <w:p w14:paraId="0DF91A81" w14:textId="77777777" w:rsidR="00CE1BDB" w:rsidRPr="00FA4DC7" w:rsidRDefault="00CE1BDB" w:rsidP="00CE1BDB">
      <w:pPr>
        <w:pStyle w:val="Reporttext"/>
        <w:numPr>
          <w:ilvl w:val="0"/>
          <w:numId w:val="0"/>
        </w:numPr>
        <w:ind w:left="709"/>
        <w:rPr>
          <w:rFonts w:cs="Arial"/>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06"/>
        <w:gridCol w:w="1136"/>
        <w:gridCol w:w="2104"/>
        <w:gridCol w:w="2016"/>
        <w:gridCol w:w="1118"/>
      </w:tblGrid>
      <w:tr w:rsidR="00CE1BDB" w:rsidRPr="00FA4DC7" w14:paraId="7FFBB305" w14:textId="77777777" w:rsidTr="005432D2">
        <w:tc>
          <w:tcPr>
            <w:tcW w:w="5000" w:type="pct"/>
            <w:gridSpan w:val="5"/>
            <w:shd w:val="clear" w:color="auto" w:fill="006666"/>
            <w:vAlign w:val="bottom"/>
            <w:hideMark/>
          </w:tcPr>
          <w:p w14:paraId="287A898D" w14:textId="77777777" w:rsidR="00CE1BDB" w:rsidRPr="00FA4DC7" w:rsidRDefault="00CE1BDB" w:rsidP="00EF49A7">
            <w:pPr>
              <w:pStyle w:val="Tableheading1"/>
              <w:rPr>
                <w:rFonts w:cs="Arial"/>
                <w:szCs w:val="22"/>
              </w:rPr>
            </w:pPr>
            <w:bookmarkStart w:id="382" w:name="_Toc83036105"/>
            <w:r w:rsidRPr="00FA4DC7">
              <w:rPr>
                <w:rFonts w:cs="Arial"/>
                <w:szCs w:val="22"/>
              </w:rPr>
              <w:t>Table 5.4</w:t>
            </w:r>
            <w:r w:rsidRPr="00FA4DC7">
              <w:rPr>
                <w:rFonts w:cs="Arial"/>
                <w:szCs w:val="22"/>
              </w:rPr>
              <w:tab/>
              <w:t>Analysis of future need for specialist older person accommodation 2021-2037</w:t>
            </w:r>
            <w:bookmarkEnd w:id="382"/>
          </w:p>
        </w:tc>
      </w:tr>
      <w:tr w:rsidR="00CE1BDB" w:rsidRPr="00FA4DC7" w14:paraId="1AF77F36" w14:textId="77777777" w:rsidTr="005432D2">
        <w:tc>
          <w:tcPr>
            <w:tcW w:w="1528" w:type="pct"/>
            <w:shd w:val="clear" w:color="auto" w:fill="006666"/>
            <w:vAlign w:val="bottom"/>
            <w:hideMark/>
          </w:tcPr>
          <w:p w14:paraId="760FCDFC" w14:textId="77777777" w:rsidR="00CE1BDB" w:rsidRPr="00FA4DC7" w:rsidRDefault="00CE1BDB" w:rsidP="00EF49A7">
            <w:pPr>
              <w:rPr>
                <w:rFonts w:cs="Arial"/>
                <w:b/>
                <w:bCs/>
                <w:color w:val="FFFFFF"/>
                <w:sz w:val="22"/>
                <w:szCs w:val="22"/>
              </w:rPr>
            </w:pPr>
            <w:r w:rsidRPr="00FA4DC7">
              <w:rPr>
                <w:rFonts w:cs="Arial"/>
                <w:b/>
                <w:bCs/>
                <w:color w:val="FFFFFF"/>
                <w:sz w:val="22"/>
                <w:szCs w:val="22"/>
              </w:rPr>
              <w:t>Current provision (and planning use class)</w:t>
            </w:r>
          </w:p>
        </w:tc>
        <w:tc>
          <w:tcPr>
            <w:tcW w:w="619" w:type="pct"/>
            <w:shd w:val="clear" w:color="auto" w:fill="006666"/>
            <w:vAlign w:val="bottom"/>
            <w:hideMark/>
          </w:tcPr>
          <w:p w14:paraId="575E3076"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Number of units 2021</w:t>
            </w:r>
          </w:p>
        </w:tc>
        <w:tc>
          <w:tcPr>
            <w:tcW w:w="1146" w:type="pct"/>
            <w:shd w:val="clear" w:color="auto" w:fill="006666"/>
            <w:vAlign w:val="bottom"/>
            <w:hideMark/>
          </w:tcPr>
          <w:p w14:paraId="5375F8B5"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Number aged 75 and over 2021</w:t>
            </w:r>
          </w:p>
        </w:tc>
        <w:tc>
          <w:tcPr>
            <w:tcW w:w="1098" w:type="pct"/>
            <w:shd w:val="clear" w:color="auto" w:fill="006666"/>
            <w:vAlign w:val="bottom"/>
            <w:hideMark/>
          </w:tcPr>
          <w:p w14:paraId="6FD3096C"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Number aged 75 and over 2037(projected)</w:t>
            </w:r>
          </w:p>
        </w:tc>
        <w:tc>
          <w:tcPr>
            <w:tcW w:w="609" w:type="pct"/>
            <w:shd w:val="clear" w:color="auto" w:fill="006666"/>
            <w:vAlign w:val="bottom"/>
            <w:hideMark/>
          </w:tcPr>
          <w:p w14:paraId="0E1D73FE"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Change in need</w:t>
            </w:r>
          </w:p>
        </w:tc>
      </w:tr>
      <w:tr w:rsidR="00CE1BDB" w:rsidRPr="00FA4DC7" w14:paraId="79FFFD35" w14:textId="77777777" w:rsidTr="005432D2">
        <w:tc>
          <w:tcPr>
            <w:tcW w:w="1528" w:type="pct"/>
            <w:vMerge w:val="restart"/>
            <w:shd w:val="clear" w:color="auto" w:fill="auto"/>
            <w:vAlign w:val="center"/>
            <w:hideMark/>
          </w:tcPr>
          <w:p w14:paraId="23D80D57" w14:textId="77777777" w:rsidR="00CE1BDB" w:rsidRPr="00FA4DC7" w:rsidRDefault="00CE1BDB" w:rsidP="00EF49A7">
            <w:pPr>
              <w:rPr>
                <w:rFonts w:cs="Arial"/>
                <w:color w:val="000000"/>
                <w:sz w:val="22"/>
                <w:szCs w:val="22"/>
              </w:rPr>
            </w:pPr>
            <w:r w:rsidRPr="00FA4DC7">
              <w:rPr>
                <w:rFonts w:cs="Arial"/>
                <w:color w:val="000000"/>
                <w:sz w:val="22"/>
                <w:szCs w:val="22"/>
              </w:rPr>
              <w:t>  </w:t>
            </w:r>
          </w:p>
        </w:tc>
        <w:tc>
          <w:tcPr>
            <w:tcW w:w="619" w:type="pct"/>
            <w:vMerge w:val="restart"/>
            <w:shd w:val="clear" w:color="auto" w:fill="auto"/>
            <w:vAlign w:val="center"/>
            <w:hideMark/>
          </w:tcPr>
          <w:p w14:paraId="32848A76" w14:textId="77777777" w:rsidR="00CE1BDB" w:rsidRPr="00FA4DC7" w:rsidRDefault="00CE1BDB" w:rsidP="00EF49A7">
            <w:pPr>
              <w:jc w:val="center"/>
              <w:rPr>
                <w:rFonts w:cs="Arial"/>
                <w:color w:val="000000"/>
                <w:sz w:val="22"/>
                <w:szCs w:val="22"/>
                <w:u w:val="single"/>
              </w:rPr>
            </w:pPr>
            <w:r w:rsidRPr="00FA4DC7">
              <w:rPr>
                <w:rFonts w:cs="Arial"/>
                <w:color w:val="000000"/>
                <w:sz w:val="22"/>
                <w:szCs w:val="22"/>
              </w:rPr>
              <w:t> </w:t>
            </w:r>
          </w:p>
        </w:tc>
        <w:tc>
          <w:tcPr>
            <w:tcW w:w="1146" w:type="pct"/>
            <w:shd w:val="clear" w:color="auto" w:fill="auto"/>
            <w:vAlign w:val="center"/>
            <w:hideMark/>
          </w:tcPr>
          <w:p w14:paraId="21C0B220" w14:textId="77777777" w:rsidR="00CE1BDB" w:rsidRPr="00FA4DC7" w:rsidRDefault="00CE1BDB" w:rsidP="00EF49A7">
            <w:pPr>
              <w:jc w:val="center"/>
              <w:rPr>
                <w:rFonts w:cs="Arial"/>
                <w:b/>
                <w:color w:val="000000"/>
                <w:sz w:val="22"/>
                <w:szCs w:val="22"/>
              </w:rPr>
            </w:pPr>
            <w:r w:rsidRPr="00FA4DC7">
              <w:rPr>
                <w:rFonts w:cs="Arial"/>
                <w:b/>
                <w:bCs/>
                <w:color w:val="000000"/>
                <w:sz w:val="22"/>
                <w:szCs w:val="22"/>
              </w:rPr>
              <w:t>20,428</w:t>
            </w:r>
          </w:p>
        </w:tc>
        <w:tc>
          <w:tcPr>
            <w:tcW w:w="1098" w:type="pct"/>
            <w:shd w:val="clear" w:color="auto" w:fill="auto"/>
            <w:vAlign w:val="center"/>
            <w:hideMark/>
          </w:tcPr>
          <w:p w14:paraId="787E469F" w14:textId="77777777" w:rsidR="00CE1BDB" w:rsidRPr="00FA4DC7" w:rsidRDefault="00CE1BDB" w:rsidP="00EF49A7">
            <w:pPr>
              <w:jc w:val="center"/>
              <w:rPr>
                <w:rFonts w:cs="Arial"/>
                <w:b/>
                <w:color w:val="000000"/>
                <w:sz w:val="22"/>
                <w:szCs w:val="22"/>
              </w:rPr>
            </w:pPr>
            <w:r w:rsidRPr="00FA4DC7">
              <w:rPr>
                <w:rFonts w:cs="Arial"/>
                <w:b/>
                <w:bCs/>
                <w:color w:val="000000"/>
                <w:sz w:val="22"/>
                <w:szCs w:val="22"/>
              </w:rPr>
              <w:t>27,897</w:t>
            </w:r>
          </w:p>
        </w:tc>
        <w:tc>
          <w:tcPr>
            <w:tcW w:w="609" w:type="pct"/>
            <w:vMerge w:val="restart"/>
            <w:shd w:val="clear" w:color="auto" w:fill="auto"/>
            <w:vAlign w:val="center"/>
            <w:hideMark/>
          </w:tcPr>
          <w:p w14:paraId="1F68292A" w14:textId="77777777" w:rsidR="00CE1BDB" w:rsidRPr="00FA4DC7" w:rsidRDefault="00CE1BDB" w:rsidP="00EF49A7">
            <w:pPr>
              <w:jc w:val="right"/>
              <w:rPr>
                <w:rFonts w:cs="Arial"/>
                <w:color w:val="000000"/>
                <w:sz w:val="22"/>
                <w:szCs w:val="22"/>
              </w:rPr>
            </w:pPr>
            <w:r w:rsidRPr="00FA4DC7">
              <w:rPr>
                <w:rFonts w:cs="Arial"/>
                <w:color w:val="000000"/>
                <w:sz w:val="22"/>
                <w:szCs w:val="22"/>
              </w:rPr>
              <w:t> </w:t>
            </w:r>
          </w:p>
        </w:tc>
      </w:tr>
      <w:tr w:rsidR="00CE1BDB" w:rsidRPr="00FA4DC7" w14:paraId="27A23910" w14:textId="77777777" w:rsidTr="005432D2">
        <w:tc>
          <w:tcPr>
            <w:tcW w:w="1528" w:type="pct"/>
            <w:vMerge/>
            <w:shd w:val="clear" w:color="auto" w:fill="auto"/>
            <w:vAlign w:val="center"/>
            <w:hideMark/>
          </w:tcPr>
          <w:p w14:paraId="6CA1C8FF" w14:textId="77777777" w:rsidR="00CE1BDB" w:rsidRPr="00FA4DC7" w:rsidRDefault="00CE1BDB" w:rsidP="00EF49A7">
            <w:pPr>
              <w:rPr>
                <w:rFonts w:cs="Arial"/>
                <w:color w:val="000000"/>
                <w:sz w:val="22"/>
                <w:szCs w:val="22"/>
              </w:rPr>
            </w:pPr>
          </w:p>
        </w:tc>
        <w:tc>
          <w:tcPr>
            <w:tcW w:w="619" w:type="pct"/>
            <w:vMerge/>
            <w:shd w:val="clear" w:color="auto" w:fill="auto"/>
            <w:vAlign w:val="center"/>
            <w:hideMark/>
          </w:tcPr>
          <w:p w14:paraId="15A8CA76" w14:textId="77777777" w:rsidR="00CE1BDB" w:rsidRPr="00FA4DC7" w:rsidRDefault="00CE1BDB" w:rsidP="00EF49A7">
            <w:pPr>
              <w:jc w:val="center"/>
              <w:rPr>
                <w:rFonts w:cs="Arial"/>
                <w:color w:val="000000"/>
                <w:sz w:val="22"/>
                <w:szCs w:val="22"/>
                <w:u w:val="single"/>
              </w:rPr>
            </w:pPr>
          </w:p>
        </w:tc>
        <w:tc>
          <w:tcPr>
            <w:tcW w:w="1146" w:type="pct"/>
            <w:shd w:val="clear" w:color="auto" w:fill="auto"/>
            <w:vAlign w:val="center"/>
            <w:hideMark/>
          </w:tcPr>
          <w:p w14:paraId="076BD308" w14:textId="77777777" w:rsidR="00CE1BDB" w:rsidRPr="00FA4DC7" w:rsidRDefault="00CE1BDB" w:rsidP="00EF49A7">
            <w:pPr>
              <w:jc w:val="center"/>
              <w:rPr>
                <w:rFonts w:cs="Arial"/>
                <w:b/>
                <w:color w:val="000000"/>
                <w:sz w:val="22"/>
                <w:szCs w:val="22"/>
              </w:rPr>
            </w:pPr>
            <w:r w:rsidRPr="00FA4DC7">
              <w:rPr>
                <w:rFonts w:cs="Arial"/>
                <w:b/>
                <w:bCs/>
                <w:color w:val="000000"/>
                <w:sz w:val="22"/>
                <w:szCs w:val="22"/>
              </w:rPr>
              <w:t>Ratio of population to current provision</w:t>
            </w:r>
          </w:p>
        </w:tc>
        <w:tc>
          <w:tcPr>
            <w:tcW w:w="1098" w:type="pct"/>
            <w:shd w:val="clear" w:color="auto" w:fill="auto"/>
            <w:vAlign w:val="center"/>
            <w:hideMark/>
          </w:tcPr>
          <w:p w14:paraId="4E8B9C4B" w14:textId="77777777" w:rsidR="00CE1BDB" w:rsidRPr="00FA4DC7" w:rsidRDefault="00CE1BDB" w:rsidP="00EF49A7">
            <w:pPr>
              <w:jc w:val="center"/>
              <w:rPr>
                <w:rFonts w:cs="Arial"/>
                <w:b/>
                <w:color w:val="000000"/>
                <w:sz w:val="22"/>
                <w:szCs w:val="22"/>
              </w:rPr>
            </w:pPr>
            <w:r w:rsidRPr="00FA4DC7">
              <w:rPr>
                <w:rFonts w:cs="Arial"/>
                <w:b/>
                <w:bCs/>
                <w:color w:val="000000"/>
                <w:sz w:val="22"/>
                <w:szCs w:val="22"/>
              </w:rPr>
              <w:t>Ratio applied to 2037 population</w:t>
            </w:r>
          </w:p>
        </w:tc>
        <w:tc>
          <w:tcPr>
            <w:tcW w:w="609" w:type="pct"/>
            <w:vMerge/>
            <w:shd w:val="clear" w:color="auto" w:fill="auto"/>
            <w:vAlign w:val="center"/>
            <w:hideMark/>
          </w:tcPr>
          <w:p w14:paraId="5CF7C089" w14:textId="77777777" w:rsidR="00CE1BDB" w:rsidRPr="00FA4DC7" w:rsidRDefault="00CE1BDB" w:rsidP="00EF49A7">
            <w:pPr>
              <w:jc w:val="right"/>
              <w:rPr>
                <w:rFonts w:cs="Arial"/>
                <w:color w:val="000000"/>
                <w:sz w:val="22"/>
                <w:szCs w:val="22"/>
              </w:rPr>
            </w:pPr>
          </w:p>
        </w:tc>
      </w:tr>
      <w:tr w:rsidR="00CE1BDB" w:rsidRPr="00FA4DC7" w14:paraId="086200E7" w14:textId="77777777" w:rsidTr="005432D2">
        <w:tc>
          <w:tcPr>
            <w:tcW w:w="1528" w:type="pct"/>
            <w:shd w:val="clear" w:color="auto" w:fill="auto"/>
            <w:vAlign w:val="center"/>
            <w:hideMark/>
          </w:tcPr>
          <w:p w14:paraId="1573E6DE" w14:textId="77777777" w:rsidR="00CE1BDB" w:rsidRPr="00FA4DC7" w:rsidRDefault="00CE1BDB" w:rsidP="00EF49A7">
            <w:pPr>
              <w:rPr>
                <w:rFonts w:cs="Arial"/>
                <w:color w:val="000000"/>
                <w:sz w:val="22"/>
                <w:szCs w:val="22"/>
              </w:rPr>
            </w:pPr>
            <w:r w:rsidRPr="00FA4DC7">
              <w:rPr>
                <w:rFonts w:cs="Arial"/>
                <w:color w:val="000000"/>
                <w:sz w:val="22"/>
                <w:szCs w:val="22"/>
              </w:rPr>
              <w:t>Specialist older person (C3)</w:t>
            </w:r>
          </w:p>
        </w:tc>
        <w:tc>
          <w:tcPr>
            <w:tcW w:w="619" w:type="pct"/>
            <w:shd w:val="clear" w:color="auto" w:fill="auto"/>
            <w:vAlign w:val="center"/>
            <w:hideMark/>
          </w:tcPr>
          <w:p w14:paraId="1A6C9423" w14:textId="77777777" w:rsidR="00CE1BDB" w:rsidRPr="00FA4DC7" w:rsidRDefault="00CE1BDB" w:rsidP="00EF49A7">
            <w:pPr>
              <w:jc w:val="right"/>
              <w:rPr>
                <w:rFonts w:cs="Arial"/>
                <w:color w:val="000000"/>
                <w:sz w:val="22"/>
                <w:szCs w:val="22"/>
              </w:rPr>
            </w:pPr>
            <w:r w:rsidRPr="00FA4DC7">
              <w:rPr>
                <w:rFonts w:cs="Arial"/>
                <w:color w:val="000000"/>
                <w:sz w:val="22"/>
                <w:szCs w:val="22"/>
              </w:rPr>
              <w:t>2,060</w:t>
            </w:r>
          </w:p>
        </w:tc>
        <w:tc>
          <w:tcPr>
            <w:tcW w:w="1146" w:type="pct"/>
            <w:shd w:val="clear" w:color="auto" w:fill="auto"/>
            <w:vAlign w:val="center"/>
            <w:hideMark/>
          </w:tcPr>
          <w:p w14:paraId="527BD31D" w14:textId="77777777" w:rsidR="00CE1BDB" w:rsidRPr="00FA4DC7" w:rsidRDefault="00CE1BDB" w:rsidP="00EF49A7">
            <w:pPr>
              <w:jc w:val="right"/>
              <w:rPr>
                <w:rFonts w:cs="Arial"/>
                <w:color w:val="000000"/>
                <w:sz w:val="22"/>
                <w:szCs w:val="22"/>
              </w:rPr>
            </w:pPr>
            <w:r w:rsidRPr="00FA4DC7">
              <w:rPr>
                <w:rFonts w:cs="Arial"/>
                <w:color w:val="000000"/>
                <w:sz w:val="22"/>
                <w:szCs w:val="22"/>
              </w:rPr>
              <w:t>0.10084</w:t>
            </w:r>
          </w:p>
        </w:tc>
        <w:tc>
          <w:tcPr>
            <w:tcW w:w="1098" w:type="pct"/>
            <w:shd w:val="clear" w:color="auto" w:fill="auto"/>
            <w:vAlign w:val="center"/>
          </w:tcPr>
          <w:p w14:paraId="735ED58D" w14:textId="77777777" w:rsidR="00CE1BDB" w:rsidRPr="00FA4DC7" w:rsidRDefault="00CE1BDB" w:rsidP="00EF49A7">
            <w:pPr>
              <w:jc w:val="right"/>
              <w:rPr>
                <w:rFonts w:cs="Arial"/>
                <w:color w:val="000000"/>
                <w:sz w:val="22"/>
                <w:szCs w:val="22"/>
              </w:rPr>
            </w:pPr>
            <w:r w:rsidRPr="00FA4DC7">
              <w:rPr>
                <w:rFonts w:cs="Arial"/>
                <w:color w:val="000000"/>
                <w:sz w:val="22"/>
                <w:szCs w:val="22"/>
              </w:rPr>
              <w:t>2,813</w:t>
            </w:r>
          </w:p>
        </w:tc>
        <w:tc>
          <w:tcPr>
            <w:tcW w:w="609" w:type="pct"/>
            <w:shd w:val="clear" w:color="auto" w:fill="auto"/>
            <w:vAlign w:val="center"/>
          </w:tcPr>
          <w:p w14:paraId="18337025" w14:textId="77777777" w:rsidR="00CE1BDB" w:rsidRPr="00FA4DC7" w:rsidRDefault="00CE1BDB" w:rsidP="00EF49A7">
            <w:pPr>
              <w:jc w:val="right"/>
              <w:rPr>
                <w:rFonts w:cs="Arial"/>
                <w:color w:val="000000"/>
                <w:sz w:val="22"/>
                <w:szCs w:val="22"/>
              </w:rPr>
            </w:pPr>
            <w:r w:rsidRPr="00FA4DC7">
              <w:rPr>
                <w:rFonts w:cs="Arial"/>
                <w:color w:val="000000"/>
                <w:sz w:val="22"/>
                <w:szCs w:val="22"/>
              </w:rPr>
              <w:t>753</w:t>
            </w:r>
          </w:p>
        </w:tc>
      </w:tr>
      <w:tr w:rsidR="00CE1BDB" w:rsidRPr="00FA4DC7" w14:paraId="570D726A" w14:textId="77777777" w:rsidTr="005432D2">
        <w:tc>
          <w:tcPr>
            <w:tcW w:w="1528" w:type="pct"/>
            <w:shd w:val="clear" w:color="auto" w:fill="auto"/>
            <w:vAlign w:val="center"/>
            <w:hideMark/>
          </w:tcPr>
          <w:p w14:paraId="32C96001" w14:textId="77777777" w:rsidR="00CE1BDB" w:rsidRPr="00FA4DC7" w:rsidRDefault="00CE1BDB" w:rsidP="00EF49A7">
            <w:pPr>
              <w:rPr>
                <w:rFonts w:cs="Arial"/>
                <w:color w:val="000000"/>
                <w:sz w:val="22"/>
                <w:szCs w:val="22"/>
              </w:rPr>
            </w:pPr>
            <w:r w:rsidRPr="00FA4DC7">
              <w:rPr>
                <w:rFonts w:cs="Arial"/>
                <w:color w:val="000000"/>
                <w:sz w:val="22"/>
                <w:szCs w:val="22"/>
              </w:rPr>
              <w:t xml:space="preserve">Residential Care (C2) </w:t>
            </w:r>
          </w:p>
        </w:tc>
        <w:tc>
          <w:tcPr>
            <w:tcW w:w="619" w:type="pct"/>
            <w:shd w:val="clear" w:color="auto" w:fill="auto"/>
            <w:vAlign w:val="center"/>
            <w:hideMark/>
          </w:tcPr>
          <w:p w14:paraId="7274E824" w14:textId="77777777" w:rsidR="00CE1BDB" w:rsidRPr="00FA4DC7" w:rsidRDefault="00CE1BDB" w:rsidP="00EF49A7">
            <w:pPr>
              <w:jc w:val="right"/>
              <w:rPr>
                <w:rFonts w:cs="Arial"/>
                <w:color w:val="000000"/>
                <w:sz w:val="22"/>
                <w:szCs w:val="22"/>
              </w:rPr>
            </w:pPr>
            <w:r w:rsidRPr="00FA4DC7">
              <w:rPr>
                <w:rFonts w:cs="Arial"/>
                <w:color w:val="000000"/>
                <w:sz w:val="22"/>
                <w:szCs w:val="22"/>
              </w:rPr>
              <w:t>1,193</w:t>
            </w:r>
          </w:p>
        </w:tc>
        <w:tc>
          <w:tcPr>
            <w:tcW w:w="1146" w:type="pct"/>
            <w:shd w:val="clear" w:color="auto" w:fill="auto"/>
            <w:vAlign w:val="center"/>
            <w:hideMark/>
          </w:tcPr>
          <w:p w14:paraId="09FAAEDC" w14:textId="77777777" w:rsidR="00CE1BDB" w:rsidRPr="00FA4DC7" w:rsidRDefault="00CE1BDB" w:rsidP="00EF49A7">
            <w:pPr>
              <w:jc w:val="right"/>
              <w:rPr>
                <w:rFonts w:cs="Arial"/>
                <w:color w:val="000000"/>
                <w:sz w:val="22"/>
                <w:szCs w:val="22"/>
              </w:rPr>
            </w:pPr>
            <w:r w:rsidRPr="00FA4DC7">
              <w:rPr>
                <w:rFonts w:cs="Arial"/>
                <w:color w:val="000000"/>
                <w:sz w:val="22"/>
                <w:szCs w:val="22"/>
              </w:rPr>
              <w:t>0.05840</w:t>
            </w:r>
          </w:p>
        </w:tc>
        <w:tc>
          <w:tcPr>
            <w:tcW w:w="1098" w:type="pct"/>
            <w:shd w:val="clear" w:color="auto" w:fill="auto"/>
            <w:vAlign w:val="center"/>
          </w:tcPr>
          <w:p w14:paraId="7112D21C" w14:textId="77777777" w:rsidR="00CE1BDB" w:rsidRPr="00FA4DC7" w:rsidRDefault="00CE1BDB" w:rsidP="00EF49A7">
            <w:pPr>
              <w:jc w:val="right"/>
              <w:rPr>
                <w:rFonts w:cs="Arial"/>
                <w:color w:val="000000"/>
                <w:sz w:val="22"/>
                <w:szCs w:val="22"/>
              </w:rPr>
            </w:pPr>
            <w:r w:rsidRPr="00FA4DC7">
              <w:rPr>
                <w:rFonts w:cs="Arial"/>
                <w:color w:val="000000"/>
                <w:sz w:val="22"/>
                <w:szCs w:val="22"/>
              </w:rPr>
              <w:t>1,629</w:t>
            </w:r>
          </w:p>
        </w:tc>
        <w:tc>
          <w:tcPr>
            <w:tcW w:w="609" w:type="pct"/>
            <w:shd w:val="clear" w:color="auto" w:fill="auto"/>
            <w:vAlign w:val="center"/>
          </w:tcPr>
          <w:p w14:paraId="7A13721B" w14:textId="77777777" w:rsidR="00CE1BDB" w:rsidRPr="00FA4DC7" w:rsidRDefault="00CE1BDB" w:rsidP="00EF49A7">
            <w:pPr>
              <w:jc w:val="right"/>
              <w:rPr>
                <w:rFonts w:cs="Arial"/>
                <w:color w:val="000000"/>
                <w:sz w:val="22"/>
                <w:szCs w:val="22"/>
              </w:rPr>
            </w:pPr>
            <w:r w:rsidRPr="00FA4DC7">
              <w:rPr>
                <w:rFonts w:cs="Arial"/>
                <w:color w:val="000000"/>
                <w:sz w:val="22"/>
                <w:szCs w:val="22"/>
              </w:rPr>
              <w:t>436</w:t>
            </w:r>
          </w:p>
        </w:tc>
      </w:tr>
      <w:tr w:rsidR="00CE1BDB" w:rsidRPr="00FA4DC7" w14:paraId="04173A1C" w14:textId="77777777" w:rsidTr="005432D2">
        <w:tc>
          <w:tcPr>
            <w:tcW w:w="1528" w:type="pct"/>
            <w:shd w:val="clear" w:color="auto" w:fill="auto"/>
            <w:vAlign w:val="center"/>
            <w:hideMark/>
          </w:tcPr>
          <w:p w14:paraId="39EB290C" w14:textId="77777777" w:rsidR="00CE1BDB" w:rsidRPr="00FA4DC7" w:rsidRDefault="00CE1BDB" w:rsidP="00EF49A7">
            <w:pPr>
              <w:rPr>
                <w:rFonts w:cs="Arial"/>
                <w:color w:val="000000"/>
                <w:sz w:val="22"/>
                <w:szCs w:val="22"/>
              </w:rPr>
            </w:pPr>
            <w:r w:rsidRPr="00FA4DC7">
              <w:rPr>
                <w:rFonts w:cs="Arial"/>
                <w:color w:val="000000"/>
                <w:sz w:val="22"/>
                <w:szCs w:val="22"/>
              </w:rPr>
              <w:t>Total</w:t>
            </w:r>
          </w:p>
        </w:tc>
        <w:tc>
          <w:tcPr>
            <w:tcW w:w="619" w:type="pct"/>
            <w:shd w:val="clear" w:color="auto" w:fill="auto"/>
            <w:vAlign w:val="center"/>
            <w:hideMark/>
          </w:tcPr>
          <w:p w14:paraId="0D92715A" w14:textId="77777777" w:rsidR="00CE1BDB" w:rsidRPr="00FA4DC7" w:rsidRDefault="00CE1BDB" w:rsidP="00EF49A7">
            <w:pPr>
              <w:jc w:val="right"/>
              <w:rPr>
                <w:rFonts w:cs="Arial"/>
                <w:color w:val="000000"/>
                <w:sz w:val="22"/>
                <w:szCs w:val="22"/>
              </w:rPr>
            </w:pPr>
            <w:r w:rsidRPr="00FA4DC7">
              <w:rPr>
                <w:rFonts w:cs="Arial"/>
                <w:color w:val="000000"/>
                <w:sz w:val="22"/>
                <w:szCs w:val="22"/>
              </w:rPr>
              <w:t>3,253</w:t>
            </w:r>
          </w:p>
        </w:tc>
        <w:tc>
          <w:tcPr>
            <w:tcW w:w="1146" w:type="pct"/>
            <w:shd w:val="clear" w:color="auto" w:fill="auto"/>
            <w:vAlign w:val="center"/>
            <w:hideMark/>
          </w:tcPr>
          <w:p w14:paraId="461341D1" w14:textId="77777777" w:rsidR="00CE1BDB" w:rsidRPr="00FA4DC7" w:rsidRDefault="00CE1BDB" w:rsidP="00EF49A7">
            <w:pPr>
              <w:jc w:val="right"/>
              <w:rPr>
                <w:rFonts w:cs="Arial"/>
                <w:color w:val="000000"/>
                <w:sz w:val="22"/>
                <w:szCs w:val="22"/>
              </w:rPr>
            </w:pPr>
            <w:r w:rsidRPr="00FA4DC7">
              <w:rPr>
                <w:rFonts w:cs="Arial"/>
                <w:color w:val="000000"/>
                <w:sz w:val="22"/>
                <w:szCs w:val="22"/>
              </w:rPr>
              <w:t> </w:t>
            </w:r>
          </w:p>
        </w:tc>
        <w:tc>
          <w:tcPr>
            <w:tcW w:w="1098" w:type="pct"/>
            <w:shd w:val="clear" w:color="auto" w:fill="auto"/>
            <w:vAlign w:val="center"/>
          </w:tcPr>
          <w:p w14:paraId="6BD0CAA3" w14:textId="77777777" w:rsidR="00CE1BDB" w:rsidRPr="00FA4DC7" w:rsidRDefault="00CE1BDB" w:rsidP="00EF49A7">
            <w:pPr>
              <w:jc w:val="right"/>
              <w:rPr>
                <w:rFonts w:cs="Arial"/>
                <w:color w:val="000000"/>
                <w:sz w:val="22"/>
                <w:szCs w:val="22"/>
              </w:rPr>
            </w:pPr>
            <w:r w:rsidRPr="00FA4DC7">
              <w:rPr>
                <w:rFonts w:cs="Arial"/>
                <w:color w:val="000000"/>
                <w:sz w:val="22"/>
                <w:szCs w:val="22"/>
              </w:rPr>
              <w:t>4,442</w:t>
            </w:r>
          </w:p>
        </w:tc>
        <w:tc>
          <w:tcPr>
            <w:tcW w:w="609" w:type="pct"/>
            <w:shd w:val="clear" w:color="auto" w:fill="auto"/>
            <w:vAlign w:val="center"/>
          </w:tcPr>
          <w:p w14:paraId="43FAB5A4" w14:textId="77777777" w:rsidR="00CE1BDB" w:rsidRPr="00FA4DC7" w:rsidRDefault="00CE1BDB" w:rsidP="00EF49A7">
            <w:pPr>
              <w:jc w:val="right"/>
              <w:rPr>
                <w:rFonts w:cs="Arial"/>
                <w:color w:val="000000"/>
                <w:sz w:val="22"/>
                <w:szCs w:val="22"/>
              </w:rPr>
            </w:pPr>
            <w:r w:rsidRPr="00FA4DC7">
              <w:rPr>
                <w:rFonts w:cs="Arial"/>
                <w:color w:val="000000"/>
                <w:sz w:val="22"/>
                <w:szCs w:val="22"/>
              </w:rPr>
              <w:t>1,189</w:t>
            </w:r>
          </w:p>
        </w:tc>
      </w:tr>
    </w:tbl>
    <w:p w14:paraId="0A1CFC5F" w14:textId="77777777" w:rsidR="00CE1BDB" w:rsidRPr="00FA4DC7" w:rsidRDefault="00CE1BDB" w:rsidP="00CE1BDB">
      <w:pPr>
        <w:tabs>
          <w:tab w:val="left" w:pos="142"/>
        </w:tabs>
        <w:rPr>
          <w:rFonts w:cs="Arial"/>
          <w:sz w:val="22"/>
          <w:szCs w:val="22"/>
        </w:rPr>
      </w:pPr>
      <w:r w:rsidRPr="00FA4DC7">
        <w:rPr>
          <w:rFonts w:cs="Arial"/>
          <w:sz w:val="22"/>
          <w:szCs w:val="22"/>
        </w:rPr>
        <w:t xml:space="preserve">Source: EAC data, 2018-based population projections </w:t>
      </w:r>
    </w:p>
    <w:p w14:paraId="150A84D5" w14:textId="77777777" w:rsidR="00CE1BDB" w:rsidRPr="00FA4DC7" w:rsidRDefault="00CE1BDB" w:rsidP="00CE1BDB">
      <w:pPr>
        <w:pStyle w:val="Reporttext"/>
        <w:numPr>
          <w:ilvl w:val="0"/>
          <w:numId w:val="0"/>
        </w:numPr>
        <w:rPr>
          <w:rFonts w:cs="Arial"/>
          <w:highlight w:val="yellow"/>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83"/>
        <w:gridCol w:w="1125"/>
        <w:gridCol w:w="2086"/>
        <w:gridCol w:w="1994"/>
        <w:gridCol w:w="1192"/>
      </w:tblGrid>
      <w:tr w:rsidR="00CE1BDB" w:rsidRPr="00FA4DC7" w14:paraId="5FD17E9D" w14:textId="77777777" w:rsidTr="005432D2">
        <w:tc>
          <w:tcPr>
            <w:tcW w:w="5000" w:type="pct"/>
            <w:gridSpan w:val="5"/>
            <w:shd w:val="clear" w:color="auto" w:fill="006666"/>
            <w:vAlign w:val="bottom"/>
            <w:hideMark/>
          </w:tcPr>
          <w:p w14:paraId="4F969B52" w14:textId="77777777" w:rsidR="00CE1BDB" w:rsidRPr="00FA4DC7" w:rsidRDefault="00CE1BDB" w:rsidP="00EF49A7">
            <w:pPr>
              <w:pStyle w:val="Tableheading1"/>
              <w:rPr>
                <w:rFonts w:cs="Arial"/>
                <w:szCs w:val="22"/>
              </w:rPr>
            </w:pPr>
            <w:bookmarkStart w:id="383" w:name="_Toc83036106"/>
            <w:r w:rsidRPr="00FA4DC7">
              <w:rPr>
                <w:rFonts w:cs="Arial"/>
                <w:szCs w:val="22"/>
              </w:rPr>
              <w:t>Table 5.5</w:t>
            </w:r>
            <w:r w:rsidRPr="00FA4DC7">
              <w:rPr>
                <w:rFonts w:cs="Arial"/>
                <w:szCs w:val="22"/>
              </w:rPr>
              <w:tab/>
              <w:t>Analysis of future need for specialist older person accommodation 2021-2040</w:t>
            </w:r>
            <w:bookmarkEnd w:id="383"/>
          </w:p>
        </w:tc>
      </w:tr>
      <w:tr w:rsidR="00CE1BDB" w:rsidRPr="00FA4DC7" w14:paraId="397DDEDC" w14:textId="77777777" w:rsidTr="005432D2">
        <w:tc>
          <w:tcPr>
            <w:tcW w:w="1516" w:type="pct"/>
            <w:shd w:val="clear" w:color="auto" w:fill="006666"/>
            <w:vAlign w:val="bottom"/>
            <w:hideMark/>
          </w:tcPr>
          <w:p w14:paraId="02F34779" w14:textId="77777777" w:rsidR="00CE1BDB" w:rsidRPr="00FA4DC7" w:rsidRDefault="00CE1BDB" w:rsidP="00EF49A7">
            <w:pPr>
              <w:rPr>
                <w:rFonts w:cs="Arial"/>
                <w:b/>
                <w:bCs/>
                <w:color w:val="FFFFFF"/>
                <w:sz w:val="22"/>
                <w:szCs w:val="22"/>
              </w:rPr>
            </w:pPr>
            <w:r w:rsidRPr="00FA4DC7">
              <w:rPr>
                <w:rFonts w:cs="Arial"/>
                <w:b/>
                <w:bCs/>
                <w:color w:val="FFFFFF"/>
                <w:sz w:val="22"/>
                <w:szCs w:val="22"/>
              </w:rPr>
              <w:t>Current provision (and planning use class)</w:t>
            </w:r>
          </w:p>
        </w:tc>
        <w:tc>
          <w:tcPr>
            <w:tcW w:w="613" w:type="pct"/>
            <w:shd w:val="clear" w:color="auto" w:fill="006666"/>
            <w:vAlign w:val="bottom"/>
            <w:hideMark/>
          </w:tcPr>
          <w:p w14:paraId="4A0998CA"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Number of units 2021</w:t>
            </w:r>
          </w:p>
        </w:tc>
        <w:tc>
          <w:tcPr>
            <w:tcW w:w="1136" w:type="pct"/>
            <w:shd w:val="clear" w:color="auto" w:fill="006666"/>
            <w:vAlign w:val="bottom"/>
            <w:hideMark/>
          </w:tcPr>
          <w:p w14:paraId="6D376130"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Number aged 75 and over 2021</w:t>
            </w:r>
          </w:p>
        </w:tc>
        <w:tc>
          <w:tcPr>
            <w:tcW w:w="1086" w:type="pct"/>
            <w:shd w:val="clear" w:color="auto" w:fill="006666"/>
            <w:vAlign w:val="bottom"/>
            <w:hideMark/>
          </w:tcPr>
          <w:p w14:paraId="00985D30"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Number aged 75 and over 2040 (projected)</w:t>
            </w:r>
          </w:p>
        </w:tc>
        <w:tc>
          <w:tcPr>
            <w:tcW w:w="649" w:type="pct"/>
            <w:shd w:val="clear" w:color="auto" w:fill="006666"/>
            <w:vAlign w:val="bottom"/>
            <w:hideMark/>
          </w:tcPr>
          <w:p w14:paraId="703B9988"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Change in need</w:t>
            </w:r>
          </w:p>
        </w:tc>
      </w:tr>
      <w:tr w:rsidR="00CE1BDB" w:rsidRPr="00FA4DC7" w14:paraId="23A39600" w14:textId="77777777" w:rsidTr="005432D2">
        <w:tc>
          <w:tcPr>
            <w:tcW w:w="1516" w:type="pct"/>
            <w:vMerge w:val="restart"/>
            <w:shd w:val="clear" w:color="auto" w:fill="auto"/>
            <w:vAlign w:val="center"/>
            <w:hideMark/>
          </w:tcPr>
          <w:p w14:paraId="2CDB64E1" w14:textId="77777777" w:rsidR="00CE1BDB" w:rsidRPr="00FA4DC7" w:rsidRDefault="00CE1BDB" w:rsidP="00EF49A7">
            <w:pPr>
              <w:rPr>
                <w:rFonts w:cs="Arial"/>
                <w:color w:val="000000"/>
                <w:sz w:val="22"/>
                <w:szCs w:val="22"/>
              </w:rPr>
            </w:pPr>
            <w:r w:rsidRPr="00FA4DC7">
              <w:rPr>
                <w:rFonts w:cs="Arial"/>
                <w:color w:val="000000"/>
                <w:sz w:val="22"/>
                <w:szCs w:val="22"/>
              </w:rPr>
              <w:t>  </w:t>
            </w:r>
          </w:p>
        </w:tc>
        <w:tc>
          <w:tcPr>
            <w:tcW w:w="613" w:type="pct"/>
            <w:vMerge w:val="restart"/>
            <w:shd w:val="clear" w:color="auto" w:fill="auto"/>
            <w:vAlign w:val="center"/>
            <w:hideMark/>
          </w:tcPr>
          <w:p w14:paraId="77B9E619" w14:textId="77777777" w:rsidR="00CE1BDB" w:rsidRPr="00FA4DC7" w:rsidRDefault="00CE1BDB" w:rsidP="00EF49A7">
            <w:pPr>
              <w:jc w:val="center"/>
              <w:rPr>
                <w:rFonts w:cs="Arial"/>
                <w:color w:val="000000"/>
                <w:sz w:val="22"/>
                <w:szCs w:val="22"/>
                <w:u w:val="single"/>
              </w:rPr>
            </w:pPr>
            <w:r w:rsidRPr="00FA4DC7">
              <w:rPr>
                <w:rFonts w:cs="Arial"/>
                <w:color w:val="000000"/>
                <w:sz w:val="22"/>
                <w:szCs w:val="22"/>
              </w:rPr>
              <w:t> </w:t>
            </w:r>
          </w:p>
        </w:tc>
        <w:tc>
          <w:tcPr>
            <w:tcW w:w="1136" w:type="pct"/>
            <w:shd w:val="clear" w:color="auto" w:fill="auto"/>
            <w:vAlign w:val="center"/>
            <w:hideMark/>
          </w:tcPr>
          <w:p w14:paraId="31BD4F89" w14:textId="77777777" w:rsidR="00CE1BDB" w:rsidRPr="00FA4DC7" w:rsidRDefault="00CE1BDB" w:rsidP="00EF49A7">
            <w:pPr>
              <w:jc w:val="center"/>
              <w:rPr>
                <w:rFonts w:cs="Arial"/>
                <w:b/>
                <w:color w:val="000000"/>
                <w:sz w:val="22"/>
                <w:szCs w:val="22"/>
                <w:highlight w:val="yellow"/>
              </w:rPr>
            </w:pPr>
            <w:r w:rsidRPr="00FA4DC7">
              <w:rPr>
                <w:rFonts w:cs="Arial"/>
                <w:b/>
                <w:bCs/>
                <w:color w:val="000000"/>
                <w:sz w:val="22"/>
                <w:szCs w:val="22"/>
              </w:rPr>
              <w:t>20,428</w:t>
            </w:r>
          </w:p>
        </w:tc>
        <w:tc>
          <w:tcPr>
            <w:tcW w:w="1086" w:type="pct"/>
            <w:shd w:val="clear" w:color="auto" w:fill="auto"/>
            <w:vAlign w:val="center"/>
            <w:hideMark/>
          </w:tcPr>
          <w:p w14:paraId="46A0F763" w14:textId="77777777" w:rsidR="00CE1BDB" w:rsidRPr="00FA4DC7" w:rsidRDefault="00CE1BDB" w:rsidP="00EF49A7">
            <w:pPr>
              <w:jc w:val="center"/>
              <w:rPr>
                <w:rFonts w:cs="Arial"/>
                <w:b/>
                <w:color w:val="000000"/>
                <w:sz w:val="22"/>
                <w:szCs w:val="22"/>
                <w:highlight w:val="yellow"/>
              </w:rPr>
            </w:pPr>
            <w:r w:rsidRPr="00FA4DC7">
              <w:rPr>
                <w:rFonts w:cs="Arial"/>
                <w:b/>
                <w:bCs/>
                <w:color w:val="000000"/>
                <w:sz w:val="22"/>
                <w:szCs w:val="22"/>
              </w:rPr>
              <w:t>29,738</w:t>
            </w:r>
          </w:p>
        </w:tc>
        <w:tc>
          <w:tcPr>
            <w:tcW w:w="649" w:type="pct"/>
            <w:vMerge w:val="restart"/>
            <w:shd w:val="clear" w:color="auto" w:fill="auto"/>
            <w:vAlign w:val="center"/>
            <w:hideMark/>
          </w:tcPr>
          <w:p w14:paraId="283F68C8" w14:textId="77777777" w:rsidR="00CE1BDB" w:rsidRPr="00FA4DC7" w:rsidRDefault="00CE1BDB" w:rsidP="00EF49A7">
            <w:pPr>
              <w:jc w:val="right"/>
              <w:rPr>
                <w:rFonts w:cs="Arial"/>
                <w:color w:val="000000"/>
                <w:sz w:val="22"/>
                <w:szCs w:val="22"/>
              </w:rPr>
            </w:pPr>
            <w:r w:rsidRPr="00FA4DC7">
              <w:rPr>
                <w:rFonts w:cs="Arial"/>
                <w:color w:val="000000"/>
                <w:sz w:val="22"/>
                <w:szCs w:val="22"/>
              </w:rPr>
              <w:t> </w:t>
            </w:r>
          </w:p>
        </w:tc>
      </w:tr>
      <w:tr w:rsidR="00CE1BDB" w:rsidRPr="00FA4DC7" w14:paraId="352A11AB" w14:textId="77777777" w:rsidTr="005432D2">
        <w:tc>
          <w:tcPr>
            <w:tcW w:w="1516" w:type="pct"/>
            <w:vMerge/>
            <w:shd w:val="clear" w:color="auto" w:fill="auto"/>
            <w:vAlign w:val="center"/>
            <w:hideMark/>
          </w:tcPr>
          <w:p w14:paraId="55BE5391" w14:textId="77777777" w:rsidR="00CE1BDB" w:rsidRPr="00FA4DC7" w:rsidRDefault="00CE1BDB" w:rsidP="00EF49A7">
            <w:pPr>
              <w:rPr>
                <w:rFonts w:cs="Arial"/>
                <w:color w:val="000000"/>
                <w:sz w:val="22"/>
                <w:szCs w:val="22"/>
              </w:rPr>
            </w:pPr>
          </w:p>
        </w:tc>
        <w:tc>
          <w:tcPr>
            <w:tcW w:w="613" w:type="pct"/>
            <w:vMerge/>
            <w:shd w:val="clear" w:color="auto" w:fill="auto"/>
            <w:vAlign w:val="center"/>
            <w:hideMark/>
          </w:tcPr>
          <w:p w14:paraId="0198CC27" w14:textId="77777777" w:rsidR="00CE1BDB" w:rsidRPr="00FA4DC7" w:rsidRDefault="00CE1BDB" w:rsidP="00EF49A7">
            <w:pPr>
              <w:jc w:val="center"/>
              <w:rPr>
                <w:rFonts w:cs="Arial"/>
                <w:color w:val="000000"/>
                <w:sz w:val="22"/>
                <w:szCs w:val="22"/>
                <w:u w:val="single"/>
              </w:rPr>
            </w:pPr>
          </w:p>
        </w:tc>
        <w:tc>
          <w:tcPr>
            <w:tcW w:w="1136" w:type="pct"/>
            <w:shd w:val="clear" w:color="auto" w:fill="auto"/>
            <w:vAlign w:val="center"/>
            <w:hideMark/>
          </w:tcPr>
          <w:p w14:paraId="5DDCABEA" w14:textId="77777777" w:rsidR="00CE1BDB" w:rsidRPr="00FA4DC7" w:rsidRDefault="00CE1BDB" w:rsidP="00EF49A7">
            <w:pPr>
              <w:jc w:val="center"/>
              <w:rPr>
                <w:rFonts w:cs="Arial"/>
                <w:b/>
                <w:color w:val="000000"/>
                <w:sz w:val="22"/>
                <w:szCs w:val="22"/>
              </w:rPr>
            </w:pPr>
            <w:r w:rsidRPr="00FA4DC7">
              <w:rPr>
                <w:rFonts w:cs="Arial"/>
                <w:b/>
                <w:bCs/>
                <w:color w:val="000000"/>
                <w:sz w:val="22"/>
                <w:szCs w:val="22"/>
              </w:rPr>
              <w:t>Ratio of population to current provision</w:t>
            </w:r>
          </w:p>
        </w:tc>
        <w:tc>
          <w:tcPr>
            <w:tcW w:w="1086" w:type="pct"/>
            <w:shd w:val="clear" w:color="auto" w:fill="auto"/>
            <w:vAlign w:val="center"/>
            <w:hideMark/>
          </w:tcPr>
          <w:p w14:paraId="75BC0F3D" w14:textId="77777777" w:rsidR="00CE1BDB" w:rsidRPr="00FA4DC7" w:rsidRDefault="00CE1BDB" w:rsidP="00EF49A7">
            <w:pPr>
              <w:jc w:val="center"/>
              <w:rPr>
                <w:rFonts w:cs="Arial"/>
                <w:b/>
                <w:color w:val="000000"/>
                <w:sz w:val="22"/>
                <w:szCs w:val="22"/>
              </w:rPr>
            </w:pPr>
            <w:r w:rsidRPr="00FA4DC7">
              <w:rPr>
                <w:rFonts w:cs="Arial"/>
                <w:b/>
                <w:bCs/>
                <w:color w:val="000000"/>
                <w:sz w:val="22"/>
                <w:szCs w:val="22"/>
              </w:rPr>
              <w:t>Ratio applied to 2040 population</w:t>
            </w:r>
          </w:p>
        </w:tc>
        <w:tc>
          <w:tcPr>
            <w:tcW w:w="649" w:type="pct"/>
            <w:vMerge/>
            <w:shd w:val="clear" w:color="auto" w:fill="auto"/>
            <w:vAlign w:val="center"/>
            <w:hideMark/>
          </w:tcPr>
          <w:p w14:paraId="4AA19DA8" w14:textId="77777777" w:rsidR="00CE1BDB" w:rsidRPr="00FA4DC7" w:rsidRDefault="00CE1BDB" w:rsidP="00EF49A7">
            <w:pPr>
              <w:jc w:val="right"/>
              <w:rPr>
                <w:rFonts w:cs="Arial"/>
                <w:color w:val="000000"/>
                <w:sz w:val="22"/>
                <w:szCs w:val="22"/>
              </w:rPr>
            </w:pPr>
          </w:p>
        </w:tc>
      </w:tr>
      <w:tr w:rsidR="00CE1BDB" w:rsidRPr="00FA4DC7" w14:paraId="06A0C8BC" w14:textId="77777777" w:rsidTr="005432D2">
        <w:tc>
          <w:tcPr>
            <w:tcW w:w="1516" w:type="pct"/>
            <w:shd w:val="clear" w:color="auto" w:fill="auto"/>
            <w:vAlign w:val="center"/>
            <w:hideMark/>
          </w:tcPr>
          <w:p w14:paraId="29F4AC95" w14:textId="77777777" w:rsidR="00CE1BDB" w:rsidRPr="00FA4DC7" w:rsidRDefault="00CE1BDB" w:rsidP="00EF49A7">
            <w:pPr>
              <w:rPr>
                <w:rFonts w:cs="Arial"/>
                <w:color w:val="000000"/>
                <w:sz w:val="22"/>
                <w:szCs w:val="22"/>
              </w:rPr>
            </w:pPr>
            <w:r w:rsidRPr="00FA4DC7">
              <w:rPr>
                <w:rFonts w:cs="Arial"/>
                <w:color w:val="000000"/>
                <w:sz w:val="22"/>
                <w:szCs w:val="22"/>
              </w:rPr>
              <w:t>Specialist older person (C3)</w:t>
            </w:r>
          </w:p>
        </w:tc>
        <w:tc>
          <w:tcPr>
            <w:tcW w:w="613" w:type="pct"/>
            <w:shd w:val="clear" w:color="auto" w:fill="auto"/>
            <w:vAlign w:val="center"/>
            <w:hideMark/>
          </w:tcPr>
          <w:p w14:paraId="2A8D9357" w14:textId="77777777" w:rsidR="00CE1BDB" w:rsidRPr="00FA4DC7" w:rsidRDefault="00CE1BDB" w:rsidP="00EF49A7">
            <w:pPr>
              <w:jc w:val="right"/>
              <w:rPr>
                <w:rFonts w:cs="Arial"/>
                <w:color w:val="000000"/>
                <w:sz w:val="22"/>
                <w:szCs w:val="22"/>
              </w:rPr>
            </w:pPr>
            <w:r w:rsidRPr="00FA4DC7">
              <w:rPr>
                <w:rFonts w:cs="Arial"/>
                <w:color w:val="000000"/>
                <w:sz w:val="22"/>
                <w:szCs w:val="22"/>
              </w:rPr>
              <w:t>2,060</w:t>
            </w:r>
          </w:p>
        </w:tc>
        <w:tc>
          <w:tcPr>
            <w:tcW w:w="1136" w:type="pct"/>
            <w:shd w:val="clear" w:color="auto" w:fill="auto"/>
            <w:vAlign w:val="center"/>
            <w:hideMark/>
          </w:tcPr>
          <w:p w14:paraId="145A47D3" w14:textId="77777777" w:rsidR="00CE1BDB" w:rsidRPr="00FA4DC7" w:rsidRDefault="00CE1BDB" w:rsidP="00EF49A7">
            <w:pPr>
              <w:jc w:val="right"/>
              <w:rPr>
                <w:rFonts w:cs="Arial"/>
                <w:color w:val="000000"/>
                <w:sz w:val="22"/>
                <w:szCs w:val="22"/>
              </w:rPr>
            </w:pPr>
            <w:r w:rsidRPr="00FA4DC7">
              <w:rPr>
                <w:rFonts w:cs="Arial"/>
                <w:color w:val="000000"/>
                <w:sz w:val="22"/>
                <w:szCs w:val="22"/>
              </w:rPr>
              <w:t>0.10084</w:t>
            </w:r>
          </w:p>
        </w:tc>
        <w:tc>
          <w:tcPr>
            <w:tcW w:w="1086" w:type="pct"/>
            <w:shd w:val="clear" w:color="auto" w:fill="auto"/>
            <w:vAlign w:val="center"/>
          </w:tcPr>
          <w:p w14:paraId="66822D9C" w14:textId="77777777" w:rsidR="00CE1BDB" w:rsidRPr="00FA4DC7" w:rsidRDefault="00CE1BDB" w:rsidP="00EF49A7">
            <w:pPr>
              <w:jc w:val="right"/>
              <w:rPr>
                <w:rFonts w:cs="Arial"/>
                <w:color w:val="000000"/>
                <w:sz w:val="22"/>
                <w:szCs w:val="22"/>
              </w:rPr>
            </w:pPr>
            <w:r w:rsidRPr="00FA4DC7">
              <w:rPr>
                <w:rFonts w:cs="Arial"/>
                <w:color w:val="000000"/>
                <w:sz w:val="22"/>
                <w:szCs w:val="22"/>
              </w:rPr>
              <w:t>2,999</w:t>
            </w:r>
          </w:p>
        </w:tc>
        <w:tc>
          <w:tcPr>
            <w:tcW w:w="649" w:type="pct"/>
            <w:shd w:val="clear" w:color="auto" w:fill="auto"/>
            <w:vAlign w:val="center"/>
          </w:tcPr>
          <w:p w14:paraId="2B1CB036" w14:textId="77777777" w:rsidR="00CE1BDB" w:rsidRPr="00FA4DC7" w:rsidRDefault="00CE1BDB" w:rsidP="00EF49A7">
            <w:pPr>
              <w:jc w:val="right"/>
              <w:rPr>
                <w:rFonts w:cs="Arial"/>
                <w:color w:val="000000"/>
                <w:sz w:val="22"/>
                <w:szCs w:val="22"/>
              </w:rPr>
            </w:pPr>
            <w:r w:rsidRPr="00FA4DC7">
              <w:rPr>
                <w:rFonts w:cs="Arial"/>
                <w:color w:val="000000"/>
                <w:sz w:val="22"/>
                <w:szCs w:val="22"/>
              </w:rPr>
              <w:t>939</w:t>
            </w:r>
          </w:p>
        </w:tc>
      </w:tr>
      <w:tr w:rsidR="00CE1BDB" w:rsidRPr="00FA4DC7" w14:paraId="3DC169B3" w14:textId="77777777" w:rsidTr="005432D2">
        <w:tc>
          <w:tcPr>
            <w:tcW w:w="1516" w:type="pct"/>
            <w:shd w:val="clear" w:color="auto" w:fill="auto"/>
            <w:vAlign w:val="center"/>
            <w:hideMark/>
          </w:tcPr>
          <w:p w14:paraId="614181DA" w14:textId="77777777" w:rsidR="00CE1BDB" w:rsidRPr="00FA4DC7" w:rsidRDefault="00CE1BDB" w:rsidP="00EF49A7">
            <w:pPr>
              <w:rPr>
                <w:rFonts w:cs="Arial"/>
                <w:color w:val="000000"/>
                <w:sz w:val="22"/>
                <w:szCs w:val="22"/>
              </w:rPr>
            </w:pPr>
            <w:r w:rsidRPr="00FA4DC7">
              <w:rPr>
                <w:rFonts w:cs="Arial"/>
                <w:color w:val="000000"/>
                <w:sz w:val="22"/>
                <w:szCs w:val="22"/>
              </w:rPr>
              <w:t xml:space="preserve">Residential Care (C2) </w:t>
            </w:r>
          </w:p>
        </w:tc>
        <w:tc>
          <w:tcPr>
            <w:tcW w:w="613" w:type="pct"/>
            <w:shd w:val="clear" w:color="auto" w:fill="auto"/>
            <w:vAlign w:val="center"/>
            <w:hideMark/>
          </w:tcPr>
          <w:p w14:paraId="291F72D2" w14:textId="77777777" w:rsidR="00CE1BDB" w:rsidRPr="00FA4DC7" w:rsidRDefault="00CE1BDB" w:rsidP="00EF49A7">
            <w:pPr>
              <w:jc w:val="right"/>
              <w:rPr>
                <w:rFonts w:cs="Arial"/>
                <w:color w:val="000000"/>
                <w:sz w:val="22"/>
                <w:szCs w:val="22"/>
              </w:rPr>
            </w:pPr>
            <w:r w:rsidRPr="00FA4DC7">
              <w:rPr>
                <w:rFonts w:cs="Arial"/>
                <w:color w:val="000000"/>
                <w:sz w:val="22"/>
                <w:szCs w:val="22"/>
              </w:rPr>
              <w:t>1,193</w:t>
            </w:r>
          </w:p>
        </w:tc>
        <w:tc>
          <w:tcPr>
            <w:tcW w:w="1136" w:type="pct"/>
            <w:shd w:val="clear" w:color="auto" w:fill="auto"/>
            <w:vAlign w:val="center"/>
            <w:hideMark/>
          </w:tcPr>
          <w:p w14:paraId="3684A7F9" w14:textId="77777777" w:rsidR="00CE1BDB" w:rsidRPr="00FA4DC7" w:rsidRDefault="00CE1BDB" w:rsidP="00EF49A7">
            <w:pPr>
              <w:jc w:val="right"/>
              <w:rPr>
                <w:rFonts w:cs="Arial"/>
                <w:color w:val="000000"/>
                <w:sz w:val="22"/>
                <w:szCs w:val="22"/>
              </w:rPr>
            </w:pPr>
            <w:r w:rsidRPr="00FA4DC7">
              <w:rPr>
                <w:rFonts w:cs="Arial"/>
                <w:color w:val="000000"/>
                <w:sz w:val="22"/>
                <w:szCs w:val="22"/>
              </w:rPr>
              <w:t>0.05840</w:t>
            </w:r>
          </w:p>
        </w:tc>
        <w:tc>
          <w:tcPr>
            <w:tcW w:w="1086" w:type="pct"/>
            <w:shd w:val="clear" w:color="auto" w:fill="auto"/>
            <w:vAlign w:val="center"/>
          </w:tcPr>
          <w:p w14:paraId="1A2CD274" w14:textId="77777777" w:rsidR="00CE1BDB" w:rsidRPr="00FA4DC7" w:rsidRDefault="00CE1BDB" w:rsidP="00EF49A7">
            <w:pPr>
              <w:jc w:val="right"/>
              <w:rPr>
                <w:rFonts w:cs="Arial"/>
                <w:color w:val="000000"/>
                <w:sz w:val="22"/>
                <w:szCs w:val="22"/>
              </w:rPr>
            </w:pPr>
            <w:r w:rsidRPr="00FA4DC7">
              <w:rPr>
                <w:rFonts w:cs="Arial"/>
                <w:color w:val="000000"/>
                <w:sz w:val="22"/>
                <w:szCs w:val="22"/>
              </w:rPr>
              <w:t>1,737</w:t>
            </w:r>
          </w:p>
        </w:tc>
        <w:tc>
          <w:tcPr>
            <w:tcW w:w="649" w:type="pct"/>
            <w:shd w:val="clear" w:color="auto" w:fill="auto"/>
            <w:vAlign w:val="center"/>
          </w:tcPr>
          <w:p w14:paraId="44925B32" w14:textId="77777777" w:rsidR="00CE1BDB" w:rsidRPr="00FA4DC7" w:rsidRDefault="00CE1BDB" w:rsidP="00EF49A7">
            <w:pPr>
              <w:jc w:val="right"/>
              <w:rPr>
                <w:rFonts w:cs="Arial"/>
                <w:color w:val="000000"/>
                <w:sz w:val="22"/>
                <w:szCs w:val="22"/>
              </w:rPr>
            </w:pPr>
            <w:r w:rsidRPr="00FA4DC7">
              <w:rPr>
                <w:rFonts w:cs="Arial"/>
                <w:color w:val="000000"/>
                <w:sz w:val="22"/>
                <w:szCs w:val="22"/>
              </w:rPr>
              <w:t>544</w:t>
            </w:r>
          </w:p>
        </w:tc>
      </w:tr>
      <w:tr w:rsidR="00CE1BDB" w:rsidRPr="00FA4DC7" w14:paraId="75D6ECE7" w14:textId="77777777" w:rsidTr="005432D2">
        <w:tc>
          <w:tcPr>
            <w:tcW w:w="1516" w:type="pct"/>
            <w:shd w:val="clear" w:color="auto" w:fill="auto"/>
            <w:vAlign w:val="center"/>
            <w:hideMark/>
          </w:tcPr>
          <w:p w14:paraId="4000DE61" w14:textId="77777777" w:rsidR="00CE1BDB" w:rsidRPr="00FA4DC7" w:rsidRDefault="00CE1BDB" w:rsidP="00EF49A7">
            <w:pPr>
              <w:rPr>
                <w:rFonts w:cs="Arial"/>
                <w:color w:val="000000"/>
                <w:sz w:val="22"/>
                <w:szCs w:val="22"/>
              </w:rPr>
            </w:pPr>
            <w:r w:rsidRPr="00FA4DC7">
              <w:rPr>
                <w:rFonts w:cs="Arial"/>
                <w:color w:val="000000"/>
                <w:sz w:val="22"/>
                <w:szCs w:val="22"/>
              </w:rPr>
              <w:t>Total</w:t>
            </w:r>
          </w:p>
        </w:tc>
        <w:tc>
          <w:tcPr>
            <w:tcW w:w="613" w:type="pct"/>
            <w:shd w:val="clear" w:color="auto" w:fill="auto"/>
            <w:vAlign w:val="center"/>
            <w:hideMark/>
          </w:tcPr>
          <w:p w14:paraId="7C600DB8" w14:textId="77777777" w:rsidR="00CE1BDB" w:rsidRPr="00FA4DC7" w:rsidRDefault="00CE1BDB" w:rsidP="00EF49A7">
            <w:pPr>
              <w:jc w:val="right"/>
              <w:rPr>
                <w:rFonts w:cs="Arial"/>
                <w:color w:val="000000"/>
                <w:sz w:val="22"/>
                <w:szCs w:val="22"/>
              </w:rPr>
            </w:pPr>
            <w:r w:rsidRPr="00FA4DC7">
              <w:rPr>
                <w:rFonts w:cs="Arial"/>
                <w:color w:val="000000"/>
                <w:sz w:val="22"/>
                <w:szCs w:val="22"/>
              </w:rPr>
              <w:t>3,253</w:t>
            </w:r>
          </w:p>
        </w:tc>
        <w:tc>
          <w:tcPr>
            <w:tcW w:w="1136" w:type="pct"/>
            <w:shd w:val="clear" w:color="auto" w:fill="auto"/>
            <w:vAlign w:val="center"/>
            <w:hideMark/>
          </w:tcPr>
          <w:p w14:paraId="0BFB4DEC" w14:textId="77777777" w:rsidR="00CE1BDB" w:rsidRPr="00FA4DC7" w:rsidRDefault="00CE1BDB" w:rsidP="00EF49A7">
            <w:pPr>
              <w:jc w:val="right"/>
              <w:rPr>
                <w:rFonts w:cs="Arial"/>
                <w:color w:val="000000"/>
                <w:sz w:val="22"/>
                <w:szCs w:val="22"/>
              </w:rPr>
            </w:pPr>
            <w:r w:rsidRPr="00FA4DC7">
              <w:rPr>
                <w:rFonts w:cs="Arial"/>
                <w:color w:val="000000"/>
                <w:sz w:val="22"/>
                <w:szCs w:val="22"/>
              </w:rPr>
              <w:t> </w:t>
            </w:r>
          </w:p>
        </w:tc>
        <w:tc>
          <w:tcPr>
            <w:tcW w:w="1086" w:type="pct"/>
            <w:shd w:val="clear" w:color="auto" w:fill="auto"/>
            <w:vAlign w:val="center"/>
          </w:tcPr>
          <w:p w14:paraId="42E916CC" w14:textId="77777777" w:rsidR="00CE1BDB" w:rsidRPr="00FA4DC7" w:rsidRDefault="00CE1BDB" w:rsidP="00EF49A7">
            <w:pPr>
              <w:jc w:val="right"/>
              <w:rPr>
                <w:rFonts w:cs="Arial"/>
                <w:color w:val="000000"/>
                <w:sz w:val="22"/>
                <w:szCs w:val="22"/>
              </w:rPr>
            </w:pPr>
            <w:r w:rsidRPr="00FA4DC7">
              <w:rPr>
                <w:rFonts w:cs="Arial"/>
                <w:color w:val="000000"/>
                <w:sz w:val="22"/>
                <w:szCs w:val="22"/>
              </w:rPr>
              <w:t>4,735</w:t>
            </w:r>
          </w:p>
        </w:tc>
        <w:tc>
          <w:tcPr>
            <w:tcW w:w="649" w:type="pct"/>
            <w:shd w:val="clear" w:color="auto" w:fill="auto"/>
            <w:vAlign w:val="center"/>
          </w:tcPr>
          <w:p w14:paraId="031C7591" w14:textId="77777777" w:rsidR="00CE1BDB" w:rsidRPr="00FA4DC7" w:rsidRDefault="00CE1BDB" w:rsidP="00EF49A7">
            <w:pPr>
              <w:jc w:val="right"/>
              <w:rPr>
                <w:rFonts w:cs="Arial"/>
                <w:color w:val="000000"/>
                <w:sz w:val="22"/>
                <w:szCs w:val="22"/>
              </w:rPr>
            </w:pPr>
            <w:r w:rsidRPr="00FA4DC7">
              <w:rPr>
                <w:rFonts w:cs="Arial"/>
                <w:color w:val="000000"/>
                <w:sz w:val="22"/>
                <w:szCs w:val="22"/>
              </w:rPr>
              <w:t>1,482</w:t>
            </w:r>
          </w:p>
        </w:tc>
      </w:tr>
    </w:tbl>
    <w:p w14:paraId="514B40B9" w14:textId="77777777" w:rsidR="00CE1BDB" w:rsidRPr="00FA4DC7" w:rsidRDefault="00CE1BDB" w:rsidP="00CE1BDB">
      <w:pPr>
        <w:tabs>
          <w:tab w:val="left" w:pos="142"/>
        </w:tabs>
        <w:rPr>
          <w:rFonts w:cs="Arial"/>
          <w:sz w:val="22"/>
          <w:szCs w:val="22"/>
        </w:rPr>
      </w:pPr>
      <w:r w:rsidRPr="00FA4DC7">
        <w:rPr>
          <w:rFonts w:cs="Arial"/>
          <w:sz w:val="22"/>
          <w:szCs w:val="22"/>
        </w:rPr>
        <w:t xml:space="preserve">Source: EAC data, 2018-based population projections </w:t>
      </w:r>
    </w:p>
    <w:p w14:paraId="4EFECBDA" w14:textId="77777777" w:rsidR="00CE1BDB" w:rsidRPr="00FA4DC7" w:rsidRDefault="00CE1BDB" w:rsidP="00CE1BDB">
      <w:pPr>
        <w:pStyle w:val="Reporttext"/>
        <w:numPr>
          <w:ilvl w:val="0"/>
          <w:numId w:val="0"/>
        </w:numPr>
        <w:rPr>
          <w:rFonts w:cs="Arial"/>
        </w:rPr>
        <w:sectPr w:rsidR="00CE1BDB" w:rsidRPr="00FA4DC7" w:rsidSect="00EF49A7">
          <w:pgSz w:w="11906" w:h="16838"/>
          <w:pgMar w:top="1440" w:right="1276" w:bottom="1134" w:left="1440" w:header="709" w:footer="709" w:gutter="0"/>
          <w:cols w:space="708"/>
          <w:docGrid w:linePitch="360"/>
        </w:sectPr>
      </w:pPr>
    </w:p>
    <w:p w14:paraId="554467CB" w14:textId="77777777" w:rsidR="00CE1BDB" w:rsidRPr="00FA4DC7" w:rsidRDefault="00CE1BDB" w:rsidP="005432D2">
      <w:pPr>
        <w:pStyle w:val="Mapheading0"/>
        <w:spacing w:after="240"/>
      </w:pPr>
      <w:bookmarkStart w:id="384" w:name="_Toc83035740"/>
      <w:r w:rsidRPr="00FA4DC7">
        <w:lastRenderedPageBreak/>
        <w:t>Map 5.1</w:t>
      </w:r>
      <w:r w:rsidRPr="00FA4DC7">
        <w:tab/>
        <w:t>Current older persons accommodation across Medway</w:t>
      </w:r>
      <w:bookmarkEnd w:id="384"/>
    </w:p>
    <w:p w14:paraId="3C4EA75F" w14:textId="77777777" w:rsidR="00CE1BDB" w:rsidRPr="00FA4DC7" w:rsidRDefault="00CE1BDB" w:rsidP="00CE1BDB">
      <w:pPr>
        <w:rPr>
          <w:rFonts w:cs="Arial"/>
          <w:highlight w:val="yellow"/>
        </w:rPr>
      </w:pPr>
      <w:r w:rsidRPr="00FA4DC7">
        <w:rPr>
          <w:rFonts w:cs="Arial"/>
          <w:noProof/>
        </w:rPr>
        <w:drawing>
          <wp:inline distT="0" distB="0" distL="0" distR="0" wp14:anchorId="2DB54124" wp14:editId="64C00CF9">
            <wp:extent cx="7440590" cy="5257800"/>
            <wp:effectExtent l="0" t="0" r="8255" b="0"/>
            <wp:docPr id="7501" name="Picture 7501" descr="Map showing current older persons accommodation across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 name="Picture 7501" descr="Map showing current older persons accommodation across Medway"/>
                    <pic:cNvPicPr/>
                  </pic:nvPicPr>
                  <pic:blipFill>
                    <a:blip r:embed="rId65"/>
                    <a:stretch>
                      <a:fillRect/>
                    </a:stretch>
                  </pic:blipFill>
                  <pic:spPr>
                    <a:xfrm>
                      <a:off x="0" y="0"/>
                      <a:ext cx="7449589" cy="5264159"/>
                    </a:xfrm>
                    <a:prstGeom prst="rect">
                      <a:avLst/>
                    </a:prstGeom>
                  </pic:spPr>
                </pic:pic>
              </a:graphicData>
            </a:graphic>
          </wp:inline>
        </w:drawing>
      </w:r>
    </w:p>
    <w:p w14:paraId="3077AC13" w14:textId="77777777" w:rsidR="00CE1BDB" w:rsidRPr="00FA4DC7" w:rsidRDefault="00CE1BDB" w:rsidP="00CE1BDB">
      <w:pPr>
        <w:rPr>
          <w:rFonts w:cs="Arial"/>
        </w:rPr>
        <w:sectPr w:rsidR="00CE1BDB" w:rsidRPr="00FA4DC7" w:rsidSect="00EF49A7">
          <w:pgSz w:w="16838" w:h="11906" w:orient="landscape"/>
          <w:pgMar w:top="1276" w:right="1134" w:bottom="1440" w:left="1440" w:header="709" w:footer="709" w:gutter="0"/>
          <w:cols w:space="708"/>
          <w:docGrid w:linePitch="360"/>
        </w:sectPr>
      </w:pPr>
      <w:r w:rsidRPr="00FA4DC7">
        <w:rPr>
          <w:rFonts w:cs="Arial"/>
        </w:rPr>
        <w:t>Source: Elderly Accommodation Counsel</w:t>
      </w:r>
    </w:p>
    <w:p w14:paraId="7A111018" w14:textId="77777777" w:rsidR="00CE1BDB" w:rsidRPr="00FA4DC7" w:rsidRDefault="00CE1BDB" w:rsidP="00CE1BDB">
      <w:pPr>
        <w:pStyle w:val="Heading3"/>
        <w:rPr>
          <w:rFonts w:cs="Arial"/>
        </w:rPr>
      </w:pPr>
      <w:r w:rsidRPr="00FA4DC7">
        <w:rPr>
          <w:rFonts w:cs="Arial"/>
        </w:rPr>
        <w:lastRenderedPageBreak/>
        <w:t>Senior cohousing communities</w:t>
      </w:r>
    </w:p>
    <w:p w14:paraId="7BA35596" w14:textId="77777777" w:rsidR="00CE1BDB" w:rsidRPr="00FA4DC7" w:rsidRDefault="00CE1BDB" w:rsidP="00CE1BDB">
      <w:pPr>
        <w:pStyle w:val="Reporttext"/>
        <w:rPr>
          <w:rFonts w:cs="Arial"/>
        </w:rPr>
      </w:pPr>
      <w:r w:rsidRPr="00FA4DC7">
        <w:rPr>
          <w:rFonts w:cs="Arial"/>
        </w:rPr>
        <w:t>Senior cohousing is specifically mentioned in PPG as a housing option for older people: ‘</w:t>
      </w:r>
      <w:r w:rsidRPr="00FA4DC7">
        <w:rPr>
          <w:rFonts w:cs="Arial"/>
          <w:shd w:val="clear" w:color="auto" w:fill="FFFFFF"/>
        </w:rPr>
        <w:t>Senior co-housing communities are created and run by residents, based on the intention to live with a group of people of a similar age. The sites often consist of self-contained private homes as well as shared community space. Some communities offer an additional option for informal care.</w:t>
      </w:r>
    </w:p>
    <w:p w14:paraId="441758D9" w14:textId="77777777" w:rsidR="00CE1BDB" w:rsidRPr="00FA4DC7" w:rsidRDefault="00CE1BDB" w:rsidP="00CE1BDB">
      <w:pPr>
        <w:pStyle w:val="Reporttext"/>
        <w:rPr>
          <w:rFonts w:cs="Arial"/>
        </w:rPr>
      </w:pPr>
      <w:r w:rsidRPr="00FA4DC7">
        <w:rPr>
          <w:rFonts w:cs="Arial"/>
        </w:rPr>
        <w:t xml:space="preserve">This option should be considered by the council as part of a diverse range of accommodation for older people. </w:t>
      </w:r>
    </w:p>
    <w:p w14:paraId="4EB85253" w14:textId="77777777" w:rsidR="00CE1BDB" w:rsidRPr="00FA4DC7" w:rsidRDefault="00CE1BDB" w:rsidP="00CE1BDB">
      <w:pPr>
        <w:pStyle w:val="Reporttext"/>
        <w:numPr>
          <w:ilvl w:val="0"/>
          <w:numId w:val="0"/>
        </w:numPr>
        <w:ind w:left="709" w:hanging="709"/>
        <w:rPr>
          <w:rFonts w:cs="Arial"/>
          <w:highlight w:val="yellow"/>
        </w:rPr>
      </w:pPr>
    </w:p>
    <w:p w14:paraId="103B1DA9" w14:textId="77777777" w:rsidR="00CE1BDB" w:rsidRPr="00FA4DC7" w:rsidRDefault="00CE1BDB" w:rsidP="00CE1BDB">
      <w:pPr>
        <w:pStyle w:val="Heading3"/>
        <w:rPr>
          <w:rFonts w:cs="Arial"/>
          <w:lang w:val="en-US"/>
        </w:rPr>
      </w:pPr>
      <w:r w:rsidRPr="00FA4DC7">
        <w:rPr>
          <w:rFonts w:cs="Arial"/>
          <w:lang w:val="en-US"/>
        </w:rPr>
        <w:t>People with dementia and early onset dementia</w:t>
      </w:r>
    </w:p>
    <w:p w14:paraId="46ED9843" w14:textId="77777777" w:rsidR="00CE1BDB" w:rsidRPr="00FA4DC7" w:rsidRDefault="00CE1BDB" w:rsidP="00CE1BDB">
      <w:pPr>
        <w:pStyle w:val="Reporttext"/>
        <w:tabs>
          <w:tab w:val="clear" w:pos="2128"/>
          <w:tab w:val="num" w:pos="1419"/>
        </w:tabs>
        <w:rPr>
          <w:rFonts w:cs="Arial"/>
          <w:lang w:val="en-US"/>
        </w:rPr>
      </w:pPr>
      <w:r w:rsidRPr="00FA4DC7">
        <w:rPr>
          <w:rFonts w:cs="Arial"/>
        </w:rPr>
        <w:t>The</w:t>
      </w:r>
      <w:r w:rsidRPr="00FA4DC7">
        <w:rPr>
          <w:rFonts w:cs="Arial"/>
          <w:lang w:val="en-US"/>
        </w:rPr>
        <w:t xml:space="preserve"> PPG makes specific reference to dementia and that </w:t>
      </w:r>
      <w:r w:rsidRPr="00FA4DC7">
        <w:rPr>
          <w:rFonts w:cs="Arial"/>
          <w:b/>
          <w:bCs/>
          <w:iCs/>
          <w:lang w:val="en-US"/>
        </w:rPr>
        <w:t>‘there should be a range of housing options and tenures available to people with dementia, including mainstream and specialist housing. Innovative and diverse housing models should be considered where appropriate’</w:t>
      </w:r>
      <w:r w:rsidRPr="00FA4DC7">
        <w:rPr>
          <w:rFonts w:cs="Arial"/>
          <w:i/>
          <w:lang w:val="en-US"/>
        </w:rPr>
        <w:t xml:space="preserve"> (</w:t>
      </w:r>
      <w:r w:rsidRPr="00FA4DC7">
        <w:rPr>
          <w:rFonts w:cs="Arial"/>
          <w:iCs/>
          <w:lang w:val="en-US"/>
        </w:rPr>
        <w:t>source</w:t>
      </w:r>
      <w:r w:rsidRPr="00FA4DC7">
        <w:rPr>
          <w:rFonts w:cs="Arial"/>
          <w:i/>
          <w:lang w:val="en-US"/>
        </w:rPr>
        <w:t>:</w:t>
      </w:r>
      <w:r w:rsidRPr="00FA4DC7">
        <w:rPr>
          <w:rFonts w:cs="Arial"/>
          <w:sz w:val="16"/>
          <w:szCs w:val="16"/>
        </w:rPr>
        <w:t xml:space="preserve"> </w:t>
      </w:r>
      <w:r w:rsidRPr="00FA4DC7">
        <w:rPr>
          <w:rFonts w:cs="Arial"/>
          <w:iCs/>
          <w:lang w:val="en-US"/>
        </w:rPr>
        <w:t>June 2019 PPG Paragraph: 019 Reference ID: 63-019-20190626)</w:t>
      </w:r>
      <w:r w:rsidRPr="00FA4DC7">
        <w:rPr>
          <w:rFonts w:cs="Arial"/>
          <w:i/>
          <w:lang w:val="en-US"/>
        </w:rPr>
        <w:t>.</w:t>
      </w:r>
    </w:p>
    <w:p w14:paraId="23F72133" w14:textId="77777777" w:rsidR="00CE1BDB" w:rsidRPr="00FA4DC7" w:rsidRDefault="00CE1BDB" w:rsidP="00CE1BDB">
      <w:pPr>
        <w:pStyle w:val="Reporttext"/>
        <w:tabs>
          <w:tab w:val="clear" w:pos="2128"/>
          <w:tab w:val="num" w:pos="1419"/>
        </w:tabs>
        <w:rPr>
          <w:rFonts w:cs="Arial"/>
          <w:lang w:val="en-US"/>
        </w:rPr>
      </w:pPr>
      <w:r w:rsidRPr="00FA4DC7">
        <w:rPr>
          <w:rFonts w:cs="Arial"/>
          <w:lang w:val="en-US"/>
        </w:rPr>
        <w:t>The PPG also outlines the characteristics of a dementia- friendly communities:</w:t>
      </w:r>
    </w:p>
    <w:p w14:paraId="5AC179B7" w14:textId="77777777" w:rsidR="00CE1BDB" w:rsidRPr="00FA4DC7" w:rsidRDefault="00CE1BDB" w:rsidP="00CE1BDB">
      <w:pPr>
        <w:pStyle w:val="bullet"/>
        <w:rPr>
          <w:rFonts w:cs="Arial"/>
          <w:lang w:val="en-US"/>
        </w:rPr>
      </w:pPr>
      <w:r w:rsidRPr="00FA4DC7">
        <w:rPr>
          <w:rFonts w:cs="Arial"/>
        </w:rPr>
        <w:t xml:space="preserve">easy to navigate physical </w:t>
      </w:r>
      <w:proofErr w:type="gramStart"/>
      <w:r w:rsidRPr="00FA4DC7">
        <w:rPr>
          <w:rFonts w:cs="Arial"/>
        </w:rPr>
        <w:t>environment;</w:t>
      </w:r>
      <w:proofErr w:type="gramEnd"/>
    </w:p>
    <w:p w14:paraId="4B6759AA" w14:textId="77777777" w:rsidR="00CE1BDB" w:rsidRPr="00FA4DC7" w:rsidRDefault="00CE1BDB" w:rsidP="00CE1BDB">
      <w:pPr>
        <w:pStyle w:val="bullet"/>
        <w:rPr>
          <w:rFonts w:cs="Arial"/>
          <w:lang w:val="en-US"/>
        </w:rPr>
      </w:pPr>
      <w:r w:rsidRPr="00FA4DC7">
        <w:rPr>
          <w:rFonts w:cs="Arial"/>
        </w:rPr>
        <w:t xml:space="preserve">appropriate </w:t>
      </w:r>
      <w:proofErr w:type="gramStart"/>
      <w:r w:rsidRPr="00FA4DC7">
        <w:rPr>
          <w:rFonts w:cs="Arial"/>
        </w:rPr>
        <w:t>transport;</w:t>
      </w:r>
      <w:proofErr w:type="gramEnd"/>
    </w:p>
    <w:p w14:paraId="56E7B615" w14:textId="77777777" w:rsidR="00CE1BDB" w:rsidRPr="00FA4DC7" w:rsidRDefault="00CE1BDB" w:rsidP="00CE1BDB">
      <w:pPr>
        <w:pStyle w:val="bullet"/>
        <w:rPr>
          <w:rFonts w:cs="Arial"/>
          <w:lang w:val="en-US"/>
        </w:rPr>
      </w:pPr>
      <w:r w:rsidRPr="00FA4DC7">
        <w:rPr>
          <w:rFonts w:cs="Arial"/>
        </w:rPr>
        <w:t xml:space="preserve">communities shaped around the views of people with dementia and their </w:t>
      </w:r>
      <w:proofErr w:type="gramStart"/>
      <w:r w:rsidRPr="00FA4DC7">
        <w:rPr>
          <w:rFonts w:cs="Arial"/>
        </w:rPr>
        <w:t>carers;</w:t>
      </w:r>
      <w:proofErr w:type="gramEnd"/>
    </w:p>
    <w:p w14:paraId="12412FFA" w14:textId="77777777" w:rsidR="00CE1BDB" w:rsidRPr="00FA4DC7" w:rsidRDefault="00CE1BDB" w:rsidP="00CE1BDB">
      <w:pPr>
        <w:pStyle w:val="bullet"/>
        <w:rPr>
          <w:rFonts w:cs="Arial"/>
          <w:lang w:val="en-US"/>
        </w:rPr>
      </w:pPr>
      <w:r w:rsidRPr="00FA4DC7">
        <w:rPr>
          <w:rFonts w:cs="Arial"/>
        </w:rPr>
        <w:t xml:space="preserve">good orientation and </w:t>
      </w:r>
      <w:proofErr w:type="gramStart"/>
      <w:r w:rsidRPr="00FA4DC7">
        <w:rPr>
          <w:rFonts w:cs="Arial"/>
        </w:rPr>
        <w:t>familiarity;</w:t>
      </w:r>
      <w:proofErr w:type="gramEnd"/>
      <w:r w:rsidRPr="00FA4DC7">
        <w:rPr>
          <w:rFonts w:cs="Arial"/>
        </w:rPr>
        <w:t xml:space="preserve"> </w:t>
      </w:r>
    </w:p>
    <w:p w14:paraId="69DA5652" w14:textId="77777777" w:rsidR="00CE1BDB" w:rsidRPr="00FA4DC7" w:rsidRDefault="00CE1BDB" w:rsidP="00CE1BDB">
      <w:pPr>
        <w:pStyle w:val="bullet"/>
        <w:rPr>
          <w:rFonts w:cs="Arial"/>
          <w:lang w:val="en-US"/>
        </w:rPr>
      </w:pPr>
      <w:r w:rsidRPr="00FA4DC7">
        <w:rPr>
          <w:rFonts w:cs="Arial"/>
        </w:rPr>
        <w:t>reduction in unnecessary clutter; and</w:t>
      </w:r>
    </w:p>
    <w:p w14:paraId="782E7315" w14:textId="77777777" w:rsidR="00CE1BDB" w:rsidRPr="00FA4DC7" w:rsidRDefault="00CE1BDB" w:rsidP="00CE1BDB">
      <w:pPr>
        <w:pStyle w:val="bullet"/>
        <w:rPr>
          <w:rFonts w:cs="Arial"/>
          <w:lang w:val="en-US"/>
        </w:rPr>
      </w:pPr>
      <w:r w:rsidRPr="00FA4DC7">
        <w:rPr>
          <w:rFonts w:cs="Arial"/>
        </w:rPr>
        <w:t>reduction in disorienting visual and auditory stimuli.</w:t>
      </w:r>
    </w:p>
    <w:p w14:paraId="2901F107" w14:textId="77777777" w:rsidR="00CE1BDB" w:rsidRPr="00FA4DC7" w:rsidRDefault="00CE1BDB" w:rsidP="00CE1BDB">
      <w:pPr>
        <w:pStyle w:val="Reporttext"/>
        <w:tabs>
          <w:tab w:val="clear" w:pos="2128"/>
          <w:tab w:val="num" w:pos="1419"/>
        </w:tabs>
        <w:rPr>
          <w:rFonts w:cs="Arial"/>
        </w:rPr>
      </w:pPr>
      <w:r w:rsidRPr="00FA4DC7">
        <w:rPr>
          <w:rFonts w:cs="Arial"/>
          <w:lang w:val="en-US"/>
        </w:rPr>
        <w:t>2020</w:t>
      </w:r>
      <w:r w:rsidRPr="00FA4DC7">
        <w:rPr>
          <w:rFonts w:cs="Arial"/>
        </w:rPr>
        <w:t xml:space="preserve"> POPPI/PANSI data estimates there are 72 people with early onset dementia and 2,985 people aged 65 and over with dementia (Table 5.6). By 2040, the number of people aged 65 and over with dementia is projected to increase by 48%, with an increase of 70% amongst the 85+ age group. The number with early onset dementia is expected to decrease slightly.  </w:t>
      </w:r>
    </w:p>
    <w:p w14:paraId="4A8871E2" w14:textId="77777777" w:rsidR="00CE1BDB" w:rsidRPr="00FA4DC7" w:rsidRDefault="00CE1BDB" w:rsidP="00CE1BDB">
      <w:pPr>
        <w:pStyle w:val="Reporttext"/>
        <w:numPr>
          <w:ilvl w:val="0"/>
          <w:numId w:val="0"/>
        </w:numPr>
        <w:rPr>
          <w:rFonts w:cs="Arial"/>
          <w:highlight w:val="yellow"/>
        </w:rPr>
      </w:pPr>
    </w:p>
    <w:tbl>
      <w:tblPr>
        <w:tblW w:w="7933" w:type="dxa"/>
        <w:tblInd w:w="6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97"/>
        <w:gridCol w:w="1520"/>
        <w:gridCol w:w="1417"/>
        <w:gridCol w:w="1599"/>
      </w:tblGrid>
      <w:tr w:rsidR="00CE1BDB" w:rsidRPr="00FA4DC7" w14:paraId="7AC43901" w14:textId="77777777" w:rsidTr="00EF49A7">
        <w:tc>
          <w:tcPr>
            <w:tcW w:w="7933" w:type="dxa"/>
            <w:gridSpan w:val="4"/>
            <w:shd w:val="clear" w:color="auto" w:fill="006666"/>
            <w:noWrap/>
            <w:vAlign w:val="bottom"/>
          </w:tcPr>
          <w:p w14:paraId="6F85CADB" w14:textId="77777777" w:rsidR="00CE1BDB" w:rsidRPr="00FA4DC7" w:rsidRDefault="00CE1BDB" w:rsidP="00EF49A7">
            <w:pPr>
              <w:pStyle w:val="Tableheading1"/>
              <w:rPr>
                <w:rFonts w:cs="Arial"/>
                <w:szCs w:val="22"/>
              </w:rPr>
            </w:pPr>
            <w:bookmarkStart w:id="385" w:name="_Toc83036107"/>
            <w:r w:rsidRPr="00FA4DC7">
              <w:rPr>
                <w:rFonts w:cs="Arial"/>
              </w:rPr>
              <w:t>Table 5.6</w:t>
            </w:r>
            <w:r w:rsidRPr="00FA4DC7">
              <w:rPr>
                <w:rFonts w:cs="Arial"/>
              </w:rPr>
              <w:tab/>
              <w:t>People with dementia</w:t>
            </w:r>
            <w:bookmarkEnd w:id="385"/>
          </w:p>
        </w:tc>
      </w:tr>
      <w:tr w:rsidR="00CE1BDB" w:rsidRPr="00FA4DC7" w14:paraId="520D2B60" w14:textId="77777777" w:rsidTr="00EF49A7">
        <w:tc>
          <w:tcPr>
            <w:tcW w:w="3397" w:type="dxa"/>
            <w:shd w:val="clear" w:color="auto" w:fill="006666"/>
            <w:noWrap/>
            <w:vAlign w:val="bottom"/>
          </w:tcPr>
          <w:p w14:paraId="54CBC888"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Dementia</w:t>
            </w:r>
          </w:p>
        </w:tc>
        <w:tc>
          <w:tcPr>
            <w:tcW w:w="1520" w:type="dxa"/>
            <w:shd w:val="clear" w:color="auto" w:fill="006666"/>
            <w:noWrap/>
            <w:vAlign w:val="bottom"/>
          </w:tcPr>
          <w:p w14:paraId="28D8FC46" w14:textId="77777777" w:rsidR="00CE1BDB" w:rsidRPr="00FA4DC7" w:rsidRDefault="00CE1BDB" w:rsidP="00EF49A7">
            <w:pPr>
              <w:jc w:val="center"/>
              <w:rPr>
                <w:rFonts w:cs="Arial"/>
                <w:color w:val="FFFFFF" w:themeColor="background1"/>
                <w:sz w:val="22"/>
                <w:szCs w:val="22"/>
              </w:rPr>
            </w:pPr>
            <w:r w:rsidRPr="00FA4DC7">
              <w:rPr>
                <w:rFonts w:cs="Arial"/>
                <w:b/>
                <w:bCs/>
                <w:color w:val="FFFFFF" w:themeColor="background1"/>
                <w:sz w:val="22"/>
                <w:szCs w:val="22"/>
              </w:rPr>
              <w:t>2020</w:t>
            </w:r>
          </w:p>
        </w:tc>
        <w:tc>
          <w:tcPr>
            <w:tcW w:w="1417" w:type="dxa"/>
            <w:shd w:val="clear" w:color="auto" w:fill="006666"/>
            <w:noWrap/>
            <w:vAlign w:val="bottom"/>
          </w:tcPr>
          <w:p w14:paraId="2752CE5E" w14:textId="77777777" w:rsidR="00CE1BDB" w:rsidRPr="00FA4DC7" w:rsidRDefault="00CE1BDB" w:rsidP="00EF49A7">
            <w:pPr>
              <w:jc w:val="center"/>
              <w:rPr>
                <w:rFonts w:cs="Arial"/>
                <w:color w:val="FFFFFF" w:themeColor="background1"/>
                <w:sz w:val="22"/>
                <w:szCs w:val="22"/>
              </w:rPr>
            </w:pPr>
            <w:r w:rsidRPr="00FA4DC7">
              <w:rPr>
                <w:rFonts w:cs="Arial"/>
                <w:b/>
                <w:bCs/>
                <w:color w:val="FFFFFF" w:themeColor="background1"/>
                <w:sz w:val="22"/>
                <w:szCs w:val="22"/>
              </w:rPr>
              <w:t>2040</w:t>
            </w:r>
          </w:p>
        </w:tc>
        <w:tc>
          <w:tcPr>
            <w:tcW w:w="1599" w:type="dxa"/>
            <w:shd w:val="clear" w:color="auto" w:fill="006666"/>
          </w:tcPr>
          <w:p w14:paraId="2EC3A3D2"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 Change</w:t>
            </w:r>
          </w:p>
          <w:p w14:paraId="2270878F"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2020-2040</w:t>
            </w:r>
          </w:p>
        </w:tc>
      </w:tr>
      <w:tr w:rsidR="00CE1BDB" w:rsidRPr="00FA4DC7" w14:paraId="69AC7939" w14:textId="77777777" w:rsidTr="00EF49A7">
        <w:tc>
          <w:tcPr>
            <w:tcW w:w="3397" w:type="dxa"/>
            <w:shd w:val="clear" w:color="auto" w:fill="auto"/>
            <w:noWrap/>
            <w:vAlign w:val="bottom"/>
            <w:hideMark/>
          </w:tcPr>
          <w:p w14:paraId="5E45E514" w14:textId="77777777" w:rsidR="00CE1BDB" w:rsidRPr="00FA4DC7" w:rsidRDefault="00CE1BDB" w:rsidP="00EF49A7">
            <w:pPr>
              <w:rPr>
                <w:rFonts w:cs="Arial"/>
                <w:color w:val="000000"/>
                <w:sz w:val="22"/>
                <w:szCs w:val="22"/>
              </w:rPr>
            </w:pPr>
            <w:r w:rsidRPr="00FA4DC7">
              <w:rPr>
                <w:rFonts w:cs="Arial"/>
                <w:color w:val="000000"/>
                <w:sz w:val="22"/>
                <w:szCs w:val="22"/>
              </w:rPr>
              <w:t>Early onset dementia (30-64)</w:t>
            </w:r>
          </w:p>
        </w:tc>
        <w:tc>
          <w:tcPr>
            <w:tcW w:w="1520" w:type="dxa"/>
            <w:shd w:val="clear" w:color="auto" w:fill="auto"/>
            <w:noWrap/>
            <w:vAlign w:val="center"/>
            <w:hideMark/>
          </w:tcPr>
          <w:p w14:paraId="3A721CFD" w14:textId="77777777" w:rsidR="00CE1BDB" w:rsidRPr="00FA4DC7" w:rsidRDefault="00CE1BDB" w:rsidP="00EF49A7">
            <w:pPr>
              <w:jc w:val="right"/>
              <w:rPr>
                <w:rFonts w:cs="Arial"/>
                <w:color w:val="000000"/>
                <w:sz w:val="22"/>
                <w:szCs w:val="22"/>
              </w:rPr>
            </w:pPr>
            <w:r w:rsidRPr="00FA4DC7">
              <w:rPr>
                <w:rFonts w:cs="Arial"/>
                <w:color w:val="000000"/>
                <w:sz w:val="22"/>
                <w:szCs w:val="22"/>
              </w:rPr>
              <w:t>72</w:t>
            </w:r>
          </w:p>
        </w:tc>
        <w:tc>
          <w:tcPr>
            <w:tcW w:w="1417" w:type="dxa"/>
            <w:shd w:val="clear" w:color="auto" w:fill="auto"/>
            <w:noWrap/>
            <w:vAlign w:val="center"/>
            <w:hideMark/>
          </w:tcPr>
          <w:p w14:paraId="46CEDEE4" w14:textId="77777777" w:rsidR="00CE1BDB" w:rsidRPr="00FA4DC7" w:rsidRDefault="00CE1BDB" w:rsidP="00EF49A7">
            <w:pPr>
              <w:jc w:val="right"/>
              <w:rPr>
                <w:rFonts w:cs="Arial"/>
                <w:color w:val="000000"/>
                <w:sz w:val="22"/>
                <w:szCs w:val="22"/>
              </w:rPr>
            </w:pPr>
            <w:r w:rsidRPr="00FA4DC7">
              <w:rPr>
                <w:rFonts w:cs="Arial"/>
                <w:color w:val="000000"/>
                <w:sz w:val="22"/>
                <w:szCs w:val="22"/>
              </w:rPr>
              <w:t>71</w:t>
            </w:r>
          </w:p>
        </w:tc>
        <w:tc>
          <w:tcPr>
            <w:tcW w:w="1599" w:type="dxa"/>
            <w:vAlign w:val="center"/>
          </w:tcPr>
          <w:p w14:paraId="0949A786" w14:textId="77777777" w:rsidR="00CE1BDB" w:rsidRPr="00FA4DC7" w:rsidRDefault="00CE1BDB" w:rsidP="00EF49A7">
            <w:pPr>
              <w:jc w:val="right"/>
              <w:rPr>
                <w:rFonts w:cs="Arial"/>
                <w:color w:val="000000"/>
                <w:sz w:val="22"/>
                <w:szCs w:val="22"/>
              </w:rPr>
            </w:pPr>
            <w:r w:rsidRPr="00FA4DC7">
              <w:rPr>
                <w:rFonts w:cs="Arial"/>
                <w:color w:val="000000"/>
                <w:sz w:val="22"/>
                <w:szCs w:val="22"/>
              </w:rPr>
              <w:t>-1.4%</w:t>
            </w:r>
          </w:p>
        </w:tc>
      </w:tr>
      <w:tr w:rsidR="00CE1BDB" w:rsidRPr="00FA4DC7" w14:paraId="2C1F1C76" w14:textId="77777777" w:rsidTr="00EF49A7">
        <w:tc>
          <w:tcPr>
            <w:tcW w:w="3397" w:type="dxa"/>
            <w:shd w:val="clear" w:color="auto" w:fill="auto"/>
            <w:noWrap/>
            <w:vAlign w:val="bottom"/>
            <w:hideMark/>
          </w:tcPr>
          <w:p w14:paraId="18B36CBB" w14:textId="77777777" w:rsidR="00CE1BDB" w:rsidRPr="00FA4DC7" w:rsidRDefault="00CE1BDB" w:rsidP="00EF49A7">
            <w:pPr>
              <w:rPr>
                <w:rFonts w:cs="Arial"/>
                <w:color w:val="000000"/>
                <w:sz w:val="22"/>
                <w:szCs w:val="22"/>
              </w:rPr>
            </w:pPr>
            <w:r w:rsidRPr="00FA4DC7">
              <w:rPr>
                <w:rFonts w:cs="Arial"/>
                <w:color w:val="000000"/>
                <w:sz w:val="22"/>
                <w:szCs w:val="22"/>
              </w:rPr>
              <w:t>Dementia (65-74)</w:t>
            </w:r>
          </w:p>
        </w:tc>
        <w:tc>
          <w:tcPr>
            <w:tcW w:w="1520" w:type="dxa"/>
            <w:shd w:val="clear" w:color="auto" w:fill="auto"/>
            <w:noWrap/>
            <w:vAlign w:val="center"/>
            <w:hideMark/>
          </w:tcPr>
          <w:p w14:paraId="365F006D" w14:textId="77777777" w:rsidR="00CE1BDB" w:rsidRPr="00FA4DC7" w:rsidRDefault="00CE1BDB" w:rsidP="00EF49A7">
            <w:pPr>
              <w:jc w:val="right"/>
              <w:rPr>
                <w:rFonts w:cs="Arial"/>
                <w:color w:val="000000"/>
                <w:sz w:val="22"/>
                <w:szCs w:val="22"/>
              </w:rPr>
            </w:pPr>
            <w:r w:rsidRPr="00FA4DC7">
              <w:rPr>
                <w:rFonts w:cs="Arial"/>
                <w:color w:val="000000"/>
                <w:sz w:val="22"/>
                <w:szCs w:val="22"/>
              </w:rPr>
              <w:t>597</w:t>
            </w:r>
          </w:p>
        </w:tc>
        <w:tc>
          <w:tcPr>
            <w:tcW w:w="1417" w:type="dxa"/>
            <w:shd w:val="clear" w:color="auto" w:fill="auto"/>
            <w:noWrap/>
            <w:vAlign w:val="center"/>
            <w:hideMark/>
          </w:tcPr>
          <w:p w14:paraId="75A01BCD" w14:textId="77777777" w:rsidR="00CE1BDB" w:rsidRPr="00FA4DC7" w:rsidRDefault="00CE1BDB" w:rsidP="00EF49A7">
            <w:pPr>
              <w:jc w:val="right"/>
              <w:rPr>
                <w:rFonts w:cs="Arial"/>
                <w:color w:val="000000"/>
                <w:sz w:val="22"/>
                <w:szCs w:val="22"/>
              </w:rPr>
            </w:pPr>
            <w:r w:rsidRPr="00FA4DC7">
              <w:rPr>
                <w:rFonts w:cs="Arial"/>
                <w:color w:val="000000"/>
                <w:sz w:val="22"/>
                <w:szCs w:val="22"/>
              </w:rPr>
              <w:t>670</w:t>
            </w:r>
          </w:p>
        </w:tc>
        <w:tc>
          <w:tcPr>
            <w:tcW w:w="1599" w:type="dxa"/>
            <w:vAlign w:val="center"/>
          </w:tcPr>
          <w:p w14:paraId="1A578F3F" w14:textId="77777777" w:rsidR="00CE1BDB" w:rsidRPr="00FA4DC7" w:rsidRDefault="00CE1BDB" w:rsidP="00EF49A7">
            <w:pPr>
              <w:jc w:val="right"/>
              <w:rPr>
                <w:rFonts w:cs="Arial"/>
                <w:color w:val="000000"/>
                <w:sz w:val="22"/>
                <w:szCs w:val="22"/>
              </w:rPr>
            </w:pPr>
            <w:r w:rsidRPr="00FA4DC7">
              <w:rPr>
                <w:rFonts w:cs="Arial"/>
                <w:color w:val="000000"/>
                <w:sz w:val="22"/>
                <w:szCs w:val="22"/>
              </w:rPr>
              <w:t>12.2%</w:t>
            </w:r>
          </w:p>
        </w:tc>
      </w:tr>
      <w:tr w:rsidR="00CE1BDB" w:rsidRPr="00FA4DC7" w14:paraId="44ACA7D1" w14:textId="77777777" w:rsidTr="00EF49A7">
        <w:tc>
          <w:tcPr>
            <w:tcW w:w="3397" w:type="dxa"/>
            <w:shd w:val="clear" w:color="auto" w:fill="auto"/>
            <w:noWrap/>
            <w:vAlign w:val="bottom"/>
          </w:tcPr>
          <w:p w14:paraId="409393AA" w14:textId="77777777" w:rsidR="00CE1BDB" w:rsidRPr="00FA4DC7" w:rsidRDefault="00CE1BDB" w:rsidP="00EF49A7">
            <w:pPr>
              <w:rPr>
                <w:rFonts w:cs="Arial"/>
                <w:color w:val="000000"/>
                <w:sz w:val="22"/>
                <w:szCs w:val="22"/>
              </w:rPr>
            </w:pPr>
            <w:r w:rsidRPr="00FA4DC7">
              <w:rPr>
                <w:rFonts w:cs="Arial"/>
                <w:color w:val="000000"/>
                <w:sz w:val="22"/>
                <w:szCs w:val="22"/>
              </w:rPr>
              <w:t>Dementia (75-84)</w:t>
            </w:r>
          </w:p>
        </w:tc>
        <w:tc>
          <w:tcPr>
            <w:tcW w:w="1520" w:type="dxa"/>
            <w:shd w:val="clear" w:color="auto" w:fill="auto"/>
            <w:noWrap/>
            <w:vAlign w:val="center"/>
          </w:tcPr>
          <w:p w14:paraId="7894AE75" w14:textId="77777777" w:rsidR="00CE1BDB" w:rsidRPr="00FA4DC7" w:rsidRDefault="00CE1BDB" w:rsidP="00EF49A7">
            <w:pPr>
              <w:jc w:val="right"/>
              <w:rPr>
                <w:rFonts w:cs="Arial"/>
                <w:color w:val="000000"/>
                <w:sz w:val="22"/>
                <w:szCs w:val="22"/>
              </w:rPr>
            </w:pPr>
            <w:r w:rsidRPr="00FA4DC7">
              <w:rPr>
                <w:rFonts w:cs="Arial"/>
                <w:color w:val="000000"/>
                <w:sz w:val="22"/>
                <w:szCs w:val="22"/>
              </w:rPr>
              <w:t>1,187</w:t>
            </w:r>
          </w:p>
        </w:tc>
        <w:tc>
          <w:tcPr>
            <w:tcW w:w="1417" w:type="dxa"/>
            <w:shd w:val="clear" w:color="auto" w:fill="auto"/>
            <w:noWrap/>
            <w:vAlign w:val="center"/>
          </w:tcPr>
          <w:p w14:paraId="7AF5A634" w14:textId="77777777" w:rsidR="00CE1BDB" w:rsidRPr="00FA4DC7" w:rsidRDefault="00CE1BDB" w:rsidP="00EF49A7">
            <w:pPr>
              <w:jc w:val="right"/>
              <w:rPr>
                <w:rFonts w:cs="Arial"/>
                <w:color w:val="000000"/>
                <w:sz w:val="22"/>
                <w:szCs w:val="22"/>
              </w:rPr>
            </w:pPr>
            <w:r w:rsidRPr="00FA4DC7">
              <w:rPr>
                <w:rFonts w:cs="Arial"/>
                <w:color w:val="000000"/>
                <w:sz w:val="22"/>
                <w:szCs w:val="22"/>
              </w:rPr>
              <w:t>1,706</w:t>
            </w:r>
          </w:p>
        </w:tc>
        <w:tc>
          <w:tcPr>
            <w:tcW w:w="1599" w:type="dxa"/>
            <w:vAlign w:val="center"/>
          </w:tcPr>
          <w:p w14:paraId="3CF601B7" w14:textId="77777777" w:rsidR="00CE1BDB" w:rsidRPr="00FA4DC7" w:rsidRDefault="00CE1BDB" w:rsidP="00EF49A7">
            <w:pPr>
              <w:jc w:val="right"/>
              <w:rPr>
                <w:rFonts w:cs="Arial"/>
                <w:color w:val="000000"/>
                <w:sz w:val="22"/>
                <w:szCs w:val="22"/>
              </w:rPr>
            </w:pPr>
            <w:r w:rsidRPr="00FA4DC7">
              <w:rPr>
                <w:rFonts w:cs="Arial"/>
                <w:color w:val="000000"/>
                <w:sz w:val="22"/>
                <w:szCs w:val="22"/>
              </w:rPr>
              <w:t>43.7%</w:t>
            </w:r>
          </w:p>
        </w:tc>
      </w:tr>
      <w:tr w:rsidR="00CE1BDB" w:rsidRPr="00FA4DC7" w14:paraId="04D32550" w14:textId="77777777" w:rsidTr="00EF49A7">
        <w:tc>
          <w:tcPr>
            <w:tcW w:w="3397" w:type="dxa"/>
            <w:shd w:val="clear" w:color="auto" w:fill="auto"/>
            <w:noWrap/>
            <w:vAlign w:val="bottom"/>
          </w:tcPr>
          <w:p w14:paraId="2EAECAB4" w14:textId="77777777" w:rsidR="00CE1BDB" w:rsidRPr="00FA4DC7" w:rsidRDefault="00CE1BDB" w:rsidP="00EF49A7">
            <w:pPr>
              <w:rPr>
                <w:rFonts w:cs="Arial"/>
                <w:color w:val="000000"/>
                <w:sz w:val="22"/>
                <w:szCs w:val="22"/>
              </w:rPr>
            </w:pPr>
            <w:r w:rsidRPr="00FA4DC7">
              <w:rPr>
                <w:rFonts w:cs="Arial"/>
                <w:color w:val="000000"/>
                <w:sz w:val="22"/>
                <w:szCs w:val="22"/>
              </w:rPr>
              <w:t>Dementia (85 and over)</w:t>
            </w:r>
          </w:p>
        </w:tc>
        <w:tc>
          <w:tcPr>
            <w:tcW w:w="1520" w:type="dxa"/>
            <w:shd w:val="clear" w:color="auto" w:fill="auto"/>
            <w:noWrap/>
            <w:vAlign w:val="center"/>
          </w:tcPr>
          <w:p w14:paraId="02A323B3" w14:textId="77777777" w:rsidR="00CE1BDB" w:rsidRPr="00FA4DC7" w:rsidRDefault="00CE1BDB" w:rsidP="00EF49A7">
            <w:pPr>
              <w:jc w:val="right"/>
              <w:rPr>
                <w:rFonts w:cs="Arial"/>
                <w:color w:val="000000"/>
                <w:sz w:val="22"/>
                <w:szCs w:val="22"/>
              </w:rPr>
            </w:pPr>
            <w:r w:rsidRPr="00FA4DC7">
              <w:rPr>
                <w:rFonts w:cs="Arial"/>
                <w:color w:val="000000"/>
                <w:sz w:val="22"/>
                <w:szCs w:val="22"/>
              </w:rPr>
              <w:t>1,201</w:t>
            </w:r>
          </w:p>
        </w:tc>
        <w:tc>
          <w:tcPr>
            <w:tcW w:w="1417" w:type="dxa"/>
            <w:shd w:val="clear" w:color="auto" w:fill="auto"/>
            <w:noWrap/>
            <w:vAlign w:val="center"/>
          </w:tcPr>
          <w:p w14:paraId="479D485E" w14:textId="77777777" w:rsidR="00CE1BDB" w:rsidRPr="00FA4DC7" w:rsidRDefault="00CE1BDB" w:rsidP="00EF49A7">
            <w:pPr>
              <w:jc w:val="right"/>
              <w:rPr>
                <w:rFonts w:cs="Arial"/>
                <w:color w:val="000000"/>
                <w:sz w:val="22"/>
                <w:szCs w:val="22"/>
              </w:rPr>
            </w:pPr>
            <w:r w:rsidRPr="00FA4DC7">
              <w:rPr>
                <w:rFonts w:cs="Arial"/>
                <w:color w:val="000000"/>
                <w:sz w:val="22"/>
                <w:szCs w:val="22"/>
              </w:rPr>
              <w:t>2,041</w:t>
            </w:r>
          </w:p>
        </w:tc>
        <w:tc>
          <w:tcPr>
            <w:tcW w:w="1599" w:type="dxa"/>
            <w:vAlign w:val="center"/>
          </w:tcPr>
          <w:p w14:paraId="77EE1CC8" w14:textId="77777777" w:rsidR="00CE1BDB" w:rsidRPr="00FA4DC7" w:rsidRDefault="00CE1BDB" w:rsidP="00EF49A7">
            <w:pPr>
              <w:jc w:val="right"/>
              <w:rPr>
                <w:rFonts w:cs="Arial"/>
                <w:color w:val="000000"/>
                <w:sz w:val="22"/>
                <w:szCs w:val="22"/>
              </w:rPr>
            </w:pPr>
            <w:r w:rsidRPr="00FA4DC7">
              <w:rPr>
                <w:rFonts w:cs="Arial"/>
                <w:color w:val="000000"/>
                <w:sz w:val="22"/>
                <w:szCs w:val="22"/>
              </w:rPr>
              <w:t>69.9%</w:t>
            </w:r>
          </w:p>
        </w:tc>
      </w:tr>
      <w:tr w:rsidR="00CE1BDB" w:rsidRPr="00FA4DC7" w14:paraId="06750D7D" w14:textId="77777777" w:rsidTr="00EF49A7">
        <w:tc>
          <w:tcPr>
            <w:tcW w:w="3397" w:type="dxa"/>
            <w:shd w:val="clear" w:color="auto" w:fill="auto"/>
            <w:noWrap/>
            <w:vAlign w:val="bottom"/>
          </w:tcPr>
          <w:p w14:paraId="334B1CE5" w14:textId="77777777" w:rsidR="00CE1BDB" w:rsidRPr="00FA4DC7" w:rsidRDefault="00CE1BDB" w:rsidP="00EF49A7">
            <w:pPr>
              <w:rPr>
                <w:rFonts w:cs="Arial"/>
                <w:color w:val="000000"/>
                <w:sz w:val="22"/>
                <w:szCs w:val="22"/>
              </w:rPr>
            </w:pPr>
            <w:r w:rsidRPr="00FA4DC7">
              <w:rPr>
                <w:rFonts w:cs="Arial"/>
                <w:color w:val="000000"/>
                <w:sz w:val="22"/>
                <w:szCs w:val="22"/>
              </w:rPr>
              <w:t>Dementia (total 65+)</w:t>
            </w:r>
          </w:p>
        </w:tc>
        <w:tc>
          <w:tcPr>
            <w:tcW w:w="1520" w:type="dxa"/>
            <w:shd w:val="clear" w:color="auto" w:fill="auto"/>
            <w:noWrap/>
            <w:vAlign w:val="center"/>
          </w:tcPr>
          <w:p w14:paraId="63A044D2" w14:textId="77777777" w:rsidR="00CE1BDB" w:rsidRPr="00FA4DC7" w:rsidRDefault="00CE1BDB" w:rsidP="00EF49A7">
            <w:pPr>
              <w:jc w:val="right"/>
              <w:rPr>
                <w:rFonts w:cs="Arial"/>
                <w:color w:val="000000"/>
                <w:sz w:val="22"/>
                <w:szCs w:val="22"/>
              </w:rPr>
            </w:pPr>
            <w:r w:rsidRPr="00FA4DC7">
              <w:rPr>
                <w:rFonts w:cs="Arial"/>
                <w:color w:val="000000"/>
                <w:sz w:val="22"/>
                <w:szCs w:val="22"/>
              </w:rPr>
              <w:t>2,985</w:t>
            </w:r>
          </w:p>
        </w:tc>
        <w:tc>
          <w:tcPr>
            <w:tcW w:w="1417" w:type="dxa"/>
            <w:shd w:val="clear" w:color="auto" w:fill="auto"/>
            <w:noWrap/>
            <w:vAlign w:val="center"/>
          </w:tcPr>
          <w:p w14:paraId="167D1F02" w14:textId="77777777" w:rsidR="00CE1BDB" w:rsidRPr="00FA4DC7" w:rsidRDefault="00CE1BDB" w:rsidP="00EF49A7">
            <w:pPr>
              <w:jc w:val="right"/>
              <w:rPr>
                <w:rFonts w:cs="Arial"/>
                <w:color w:val="000000"/>
                <w:sz w:val="22"/>
                <w:szCs w:val="22"/>
              </w:rPr>
            </w:pPr>
            <w:r w:rsidRPr="00FA4DC7">
              <w:rPr>
                <w:rFonts w:cs="Arial"/>
                <w:color w:val="000000"/>
                <w:sz w:val="22"/>
                <w:szCs w:val="22"/>
              </w:rPr>
              <w:t>4,417</w:t>
            </w:r>
          </w:p>
        </w:tc>
        <w:tc>
          <w:tcPr>
            <w:tcW w:w="1599" w:type="dxa"/>
            <w:vAlign w:val="center"/>
          </w:tcPr>
          <w:p w14:paraId="591B46B9" w14:textId="77777777" w:rsidR="00CE1BDB" w:rsidRPr="00FA4DC7" w:rsidRDefault="00CE1BDB" w:rsidP="00EF49A7">
            <w:pPr>
              <w:jc w:val="right"/>
              <w:rPr>
                <w:rFonts w:cs="Arial"/>
                <w:color w:val="000000"/>
                <w:sz w:val="22"/>
                <w:szCs w:val="22"/>
              </w:rPr>
            </w:pPr>
            <w:r w:rsidRPr="00FA4DC7">
              <w:rPr>
                <w:rFonts w:cs="Arial"/>
                <w:color w:val="000000"/>
                <w:sz w:val="22"/>
                <w:szCs w:val="22"/>
              </w:rPr>
              <w:t>48.0%</w:t>
            </w:r>
          </w:p>
        </w:tc>
      </w:tr>
    </w:tbl>
    <w:p w14:paraId="53932590" w14:textId="77777777" w:rsidR="00CE1BDB" w:rsidRPr="00FA4DC7" w:rsidRDefault="00CE1BDB" w:rsidP="00CE1BDB">
      <w:pPr>
        <w:ind w:firstLine="709"/>
        <w:rPr>
          <w:rFonts w:cs="Arial"/>
          <w:lang w:eastAsia="en-US"/>
        </w:rPr>
      </w:pPr>
      <w:r w:rsidRPr="00FA4DC7">
        <w:rPr>
          <w:rFonts w:cs="Arial"/>
          <w:lang w:eastAsia="en-US"/>
        </w:rPr>
        <w:t>Source: POPPI/PANSI</w:t>
      </w:r>
    </w:p>
    <w:p w14:paraId="4F14E525" w14:textId="77777777" w:rsidR="00CE1BDB" w:rsidRPr="00FA4DC7" w:rsidRDefault="00CE1BDB" w:rsidP="00CE1BDB">
      <w:pPr>
        <w:pStyle w:val="Reporttext"/>
        <w:numPr>
          <w:ilvl w:val="0"/>
          <w:numId w:val="0"/>
        </w:numPr>
        <w:ind w:left="709"/>
        <w:rPr>
          <w:rFonts w:cs="Arial"/>
        </w:rPr>
      </w:pPr>
    </w:p>
    <w:p w14:paraId="6FA7A27E" w14:textId="77777777" w:rsidR="00CE1BDB" w:rsidRPr="00FA4DC7" w:rsidRDefault="00CE1BDB" w:rsidP="00CE1BDB">
      <w:pPr>
        <w:pStyle w:val="Reporttext"/>
        <w:tabs>
          <w:tab w:val="clear" w:pos="2128"/>
          <w:tab w:val="num" w:pos="1419"/>
        </w:tabs>
        <w:rPr>
          <w:rFonts w:cs="Arial"/>
        </w:rPr>
      </w:pPr>
      <w:r w:rsidRPr="00FA4DC7">
        <w:rPr>
          <w:rFonts w:cs="Arial"/>
        </w:rPr>
        <w:t xml:space="preserve">A report by the </w:t>
      </w:r>
      <w:proofErr w:type="gramStart"/>
      <w:r w:rsidRPr="00FA4DC7">
        <w:rPr>
          <w:rFonts w:cs="Arial"/>
        </w:rPr>
        <w:t>All Party</w:t>
      </w:r>
      <w:proofErr w:type="gramEnd"/>
      <w:r w:rsidRPr="00FA4DC7">
        <w:rPr>
          <w:rFonts w:cs="Arial"/>
        </w:rPr>
        <w:t xml:space="preserve"> Parliamentary Group (APPT) on Housing and Care for Older People published a report on Housing for People with Dementia in July 2021 </w:t>
      </w:r>
      <w:r w:rsidRPr="00FA4DC7">
        <w:rPr>
          <w:rFonts w:cs="Arial"/>
          <w:b/>
          <w:bCs/>
        </w:rPr>
        <w:lastRenderedPageBreak/>
        <w:t>https://www.housinglin.org.uk/_assets/Resources/Housing/Support_materials/Reports/HCOP_APPG_Dementia_Housing_and_Care_Inquiry-LowRes.pdf</w:t>
      </w:r>
    </w:p>
    <w:p w14:paraId="0D11A4C0" w14:textId="77777777" w:rsidR="00CE1BDB" w:rsidRPr="00FA4DC7" w:rsidRDefault="00CE1BDB" w:rsidP="00CE1BDB">
      <w:pPr>
        <w:pStyle w:val="Reporttext"/>
        <w:tabs>
          <w:tab w:val="clear" w:pos="2128"/>
          <w:tab w:val="num" w:pos="1419"/>
        </w:tabs>
        <w:rPr>
          <w:rFonts w:cs="Arial"/>
        </w:rPr>
      </w:pPr>
      <w:r w:rsidRPr="00FA4DC7">
        <w:rPr>
          <w:rFonts w:cs="Arial"/>
        </w:rPr>
        <w:t>This set out 23 recommendations which included:</w:t>
      </w:r>
    </w:p>
    <w:p w14:paraId="78EA1FA8" w14:textId="77777777" w:rsidR="00CE1BDB" w:rsidRPr="00FA4DC7" w:rsidRDefault="00CE1BDB" w:rsidP="005432D2">
      <w:pPr>
        <w:pStyle w:val="bullet"/>
      </w:pPr>
      <w:r w:rsidRPr="00FA4DC7">
        <w:t>Recognise potential future loneliness and how we can maintain our family connections and wider social networks in the communities we live in before or after diagnosis.</w:t>
      </w:r>
    </w:p>
    <w:p w14:paraId="48CD5BEE" w14:textId="77777777" w:rsidR="00CE1BDB" w:rsidRPr="00FA4DC7" w:rsidRDefault="00CE1BDB" w:rsidP="005432D2">
      <w:pPr>
        <w:pStyle w:val="bullet"/>
      </w:pPr>
      <w:r w:rsidRPr="00FA4DC7">
        <w:t>Consider whether to move whilst we are able: rightsizing and moving to the right place and environment whilst able to still develop new routes and make new friends.</w:t>
      </w:r>
    </w:p>
    <w:p w14:paraId="094C8285" w14:textId="77777777" w:rsidR="00CE1BDB" w:rsidRPr="00FA4DC7" w:rsidRDefault="00CE1BDB" w:rsidP="005432D2">
      <w:pPr>
        <w:pStyle w:val="bullet"/>
      </w:pPr>
      <w:r w:rsidRPr="00FA4DC7">
        <w:t xml:space="preserve">Make preventive changes, incrementally, to the home </w:t>
      </w:r>
      <w:proofErr w:type="gramStart"/>
      <w:r w:rsidRPr="00FA4DC7">
        <w:t>environment;</w:t>
      </w:r>
      <w:proofErr w:type="gramEnd"/>
      <w:r w:rsidRPr="00FA4DC7">
        <w:t xml:space="preserve"> such as when upgrading property or installing new technology, or where we require additional personal care and support to help us to live independently. </w:t>
      </w:r>
    </w:p>
    <w:p w14:paraId="5737DF9D" w14:textId="77777777" w:rsidR="00CE1BDB" w:rsidRPr="00FA4DC7" w:rsidRDefault="00CE1BDB" w:rsidP="00CE1BDB">
      <w:pPr>
        <w:pStyle w:val="Reporttext"/>
        <w:tabs>
          <w:tab w:val="clear" w:pos="2128"/>
          <w:tab w:val="num" w:pos="1419"/>
        </w:tabs>
        <w:rPr>
          <w:rFonts w:cs="Arial"/>
        </w:rPr>
      </w:pPr>
      <w:r w:rsidRPr="00FA4DC7">
        <w:rPr>
          <w:rFonts w:cs="Arial"/>
        </w:rPr>
        <w:t>Regarding housing and planning, the report recommended:</w:t>
      </w:r>
    </w:p>
    <w:p w14:paraId="158A65D3" w14:textId="77777777" w:rsidR="00CE1BDB" w:rsidRPr="00FA4DC7" w:rsidRDefault="00CE1BDB" w:rsidP="005432D2">
      <w:pPr>
        <w:pStyle w:val="bullet"/>
      </w:pPr>
      <w:r w:rsidRPr="00FA4DC7">
        <w:t>Support increased provision of Extra Care hosing / assisted living accommodation and retirement housing that is dementia-ready, with top-sliced grant-aid through Homes England.</w:t>
      </w:r>
    </w:p>
    <w:p w14:paraId="797116AE" w14:textId="77777777" w:rsidR="00CE1BDB" w:rsidRPr="00FA4DC7" w:rsidRDefault="00CE1BDB" w:rsidP="005432D2">
      <w:pPr>
        <w:pStyle w:val="bullet"/>
      </w:pPr>
      <w:r w:rsidRPr="00FA4DC7">
        <w:t xml:space="preserve">Strengthen MHCLG guidance to local planning authorities. LPAs should respond to demographic change and the need for more homes designed for older people, including those with dementia, through Local Plans specifying requirements for age-friendly housing. </w:t>
      </w:r>
    </w:p>
    <w:p w14:paraId="028018E9" w14:textId="77777777" w:rsidR="00CE1BDB" w:rsidRPr="00FA4DC7" w:rsidRDefault="00CE1BDB" w:rsidP="00CE1BDB">
      <w:pPr>
        <w:pStyle w:val="Reporttext"/>
        <w:tabs>
          <w:tab w:val="clear" w:pos="2128"/>
          <w:tab w:val="num" w:pos="1419"/>
        </w:tabs>
        <w:rPr>
          <w:rFonts w:cs="Arial"/>
        </w:rPr>
      </w:pPr>
      <w:r w:rsidRPr="00FA4DC7">
        <w:rPr>
          <w:rFonts w:cs="Arial"/>
        </w:rPr>
        <w:t>The need for more dementia specific nursing care is identified in the Medway MPS.</w:t>
      </w:r>
    </w:p>
    <w:p w14:paraId="07485453" w14:textId="77777777" w:rsidR="00CE1BDB" w:rsidRPr="00FA4DC7" w:rsidRDefault="00CE1BDB" w:rsidP="005432D2"/>
    <w:p w14:paraId="7CD7B809" w14:textId="77777777" w:rsidR="00CE1BDB" w:rsidRPr="00FA4DC7" w:rsidRDefault="00CE1BDB" w:rsidP="00CE1BDB">
      <w:pPr>
        <w:pStyle w:val="Heading3"/>
        <w:rPr>
          <w:rFonts w:cs="Arial"/>
        </w:rPr>
      </w:pPr>
      <w:r w:rsidRPr="00FA4DC7">
        <w:rPr>
          <w:rFonts w:cs="Arial"/>
        </w:rPr>
        <w:t>The role of general housing and in particular bungalows and homes that can be adapted to meet a change in needs</w:t>
      </w:r>
    </w:p>
    <w:p w14:paraId="7ABC37D4" w14:textId="54FA20F9" w:rsidR="00CE1BDB" w:rsidRDefault="00CE1BDB" w:rsidP="00CE1BDB">
      <w:pPr>
        <w:pStyle w:val="Reporttext"/>
        <w:tabs>
          <w:tab w:val="clear" w:pos="2128"/>
          <w:tab w:val="num" w:pos="1419"/>
        </w:tabs>
        <w:rPr>
          <w:rFonts w:cs="Arial"/>
        </w:rPr>
      </w:pPr>
      <w:r w:rsidRPr="00FA4DC7">
        <w:rPr>
          <w:rFonts w:cs="Arial"/>
        </w:rPr>
        <w:t xml:space="preserve">The profile of dwellings occupied by households aged 65 and over by age group, using the arc4 national database, is summarised in Table 5.7. This shows that the majority (64%) live in houses, particularly those with 3 or more bedrooms; 22.2% live in bungalows, 13.7% in flats and 1.1% in other dwelling types. Note that in Medway, there is a low proportion of bungalows and the likely dwellings occupied by older people is likely to be skewed towards other property types. </w:t>
      </w:r>
    </w:p>
    <w:p w14:paraId="0C242D54" w14:textId="427219BB" w:rsidR="00270657" w:rsidRDefault="00270657" w:rsidP="00270657">
      <w:pPr>
        <w:pStyle w:val="Reporttext"/>
        <w:numPr>
          <w:ilvl w:val="0"/>
          <w:numId w:val="0"/>
        </w:numPr>
        <w:ind w:left="709"/>
        <w:rPr>
          <w:rFonts w:cs="Arial"/>
        </w:rPr>
      </w:pPr>
    </w:p>
    <w:p w14:paraId="2E520149" w14:textId="1B082C02" w:rsidR="005432D2" w:rsidRDefault="005432D2">
      <w:pPr>
        <w:rPr>
          <w:rFonts w:cs="Arial"/>
          <w:lang w:eastAsia="en-US"/>
        </w:rPr>
      </w:pPr>
      <w:r>
        <w:rPr>
          <w:rFonts w:cs="Arial"/>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54"/>
        <w:gridCol w:w="1265"/>
        <w:gridCol w:w="1265"/>
        <w:gridCol w:w="975"/>
        <w:gridCol w:w="1221"/>
      </w:tblGrid>
      <w:tr w:rsidR="00CE1BDB" w:rsidRPr="00FA4DC7" w14:paraId="7A01C136" w14:textId="77777777" w:rsidTr="005432D2">
        <w:tc>
          <w:tcPr>
            <w:tcW w:w="5000" w:type="pct"/>
            <w:gridSpan w:val="5"/>
            <w:shd w:val="clear" w:color="auto" w:fill="006666"/>
            <w:vAlign w:val="center"/>
            <w:hideMark/>
          </w:tcPr>
          <w:p w14:paraId="21B6B9C7" w14:textId="77777777" w:rsidR="00CE1BDB" w:rsidRPr="00FA4DC7" w:rsidRDefault="00CE1BDB" w:rsidP="00EF49A7">
            <w:pPr>
              <w:pStyle w:val="Tableheading1"/>
              <w:rPr>
                <w:rFonts w:cs="Arial"/>
              </w:rPr>
            </w:pPr>
            <w:bookmarkStart w:id="386" w:name="_Toc83036108"/>
            <w:r w:rsidRPr="00FA4DC7">
              <w:rPr>
                <w:rFonts w:cs="Arial"/>
              </w:rPr>
              <w:lastRenderedPageBreak/>
              <w:t>Table 5.7</w:t>
            </w:r>
            <w:r w:rsidRPr="00FA4DC7">
              <w:rPr>
                <w:rFonts w:cs="Arial"/>
              </w:rPr>
              <w:tab/>
              <w:t>Dwellings occupied by households where the HRP is aged 65 and over</w:t>
            </w:r>
            <w:bookmarkEnd w:id="386"/>
          </w:p>
        </w:tc>
      </w:tr>
      <w:tr w:rsidR="00CE1BDB" w:rsidRPr="00FA4DC7" w14:paraId="5B0FE2C4" w14:textId="77777777" w:rsidTr="005432D2">
        <w:tc>
          <w:tcPr>
            <w:tcW w:w="2426" w:type="pct"/>
            <w:shd w:val="clear" w:color="auto" w:fill="006666"/>
            <w:noWrap/>
            <w:vAlign w:val="bottom"/>
            <w:hideMark/>
          </w:tcPr>
          <w:p w14:paraId="305E1E1E"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 and size</w:t>
            </w:r>
          </w:p>
        </w:tc>
        <w:tc>
          <w:tcPr>
            <w:tcW w:w="689" w:type="pct"/>
            <w:shd w:val="clear" w:color="auto" w:fill="006666"/>
            <w:noWrap/>
            <w:vAlign w:val="bottom"/>
            <w:hideMark/>
          </w:tcPr>
          <w:p w14:paraId="25B63526"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65 to 74</w:t>
            </w:r>
          </w:p>
        </w:tc>
        <w:tc>
          <w:tcPr>
            <w:tcW w:w="689" w:type="pct"/>
            <w:shd w:val="clear" w:color="auto" w:fill="006666"/>
            <w:noWrap/>
            <w:vAlign w:val="bottom"/>
            <w:hideMark/>
          </w:tcPr>
          <w:p w14:paraId="5A21BAE2"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75 to 84</w:t>
            </w:r>
          </w:p>
        </w:tc>
        <w:tc>
          <w:tcPr>
            <w:tcW w:w="531" w:type="pct"/>
            <w:shd w:val="clear" w:color="auto" w:fill="006666"/>
            <w:noWrap/>
            <w:vAlign w:val="bottom"/>
            <w:hideMark/>
          </w:tcPr>
          <w:p w14:paraId="5B0B6643"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85+</w:t>
            </w:r>
          </w:p>
        </w:tc>
        <w:tc>
          <w:tcPr>
            <w:tcW w:w="666" w:type="pct"/>
            <w:shd w:val="clear" w:color="auto" w:fill="006666"/>
            <w:noWrap/>
            <w:vAlign w:val="bottom"/>
            <w:hideMark/>
          </w:tcPr>
          <w:p w14:paraId="5F5F0356"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Total</w:t>
            </w:r>
          </w:p>
        </w:tc>
      </w:tr>
      <w:tr w:rsidR="00CE1BDB" w:rsidRPr="00FA4DC7" w14:paraId="137BECB9" w14:textId="77777777" w:rsidTr="005432D2">
        <w:tc>
          <w:tcPr>
            <w:tcW w:w="2426" w:type="pct"/>
            <w:shd w:val="clear" w:color="auto" w:fill="auto"/>
            <w:noWrap/>
            <w:vAlign w:val="bottom"/>
            <w:hideMark/>
          </w:tcPr>
          <w:p w14:paraId="0B7B61F5" w14:textId="77777777" w:rsidR="00CE1BDB" w:rsidRPr="00FA4DC7" w:rsidRDefault="00CE1BDB" w:rsidP="00EF49A7">
            <w:pPr>
              <w:rPr>
                <w:rFonts w:cs="Arial"/>
                <w:color w:val="000000"/>
                <w:sz w:val="22"/>
                <w:szCs w:val="22"/>
              </w:rPr>
            </w:pPr>
            <w:r w:rsidRPr="00FA4DC7">
              <w:rPr>
                <w:rFonts w:cs="Arial"/>
                <w:color w:val="000000"/>
                <w:sz w:val="22"/>
                <w:szCs w:val="22"/>
              </w:rPr>
              <w:t>1 or 2-bedroom house</w:t>
            </w:r>
          </w:p>
        </w:tc>
        <w:tc>
          <w:tcPr>
            <w:tcW w:w="689" w:type="pct"/>
            <w:shd w:val="clear" w:color="auto" w:fill="auto"/>
            <w:noWrap/>
            <w:vAlign w:val="center"/>
            <w:hideMark/>
          </w:tcPr>
          <w:p w14:paraId="1769A4EF"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13.1%</w:t>
            </w:r>
          </w:p>
        </w:tc>
        <w:tc>
          <w:tcPr>
            <w:tcW w:w="689" w:type="pct"/>
            <w:shd w:val="clear" w:color="auto" w:fill="auto"/>
            <w:noWrap/>
            <w:vAlign w:val="center"/>
            <w:hideMark/>
          </w:tcPr>
          <w:p w14:paraId="4AE92FC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13.6%</w:t>
            </w:r>
          </w:p>
        </w:tc>
        <w:tc>
          <w:tcPr>
            <w:tcW w:w="531" w:type="pct"/>
            <w:shd w:val="clear" w:color="auto" w:fill="auto"/>
            <w:noWrap/>
            <w:vAlign w:val="center"/>
            <w:hideMark/>
          </w:tcPr>
          <w:p w14:paraId="6ED9CB2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12.8%</w:t>
            </w:r>
          </w:p>
        </w:tc>
        <w:tc>
          <w:tcPr>
            <w:tcW w:w="666" w:type="pct"/>
            <w:shd w:val="clear" w:color="auto" w:fill="auto"/>
            <w:noWrap/>
            <w:vAlign w:val="center"/>
            <w:hideMark/>
          </w:tcPr>
          <w:p w14:paraId="3453F21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13.2%</w:t>
            </w:r>
          </w:p>
        </w:tc>
      </w:tr>
      <w:tr w:rsidR="00CE1BDB" w:rsidRPr="00FA4DC7" w14:paraId="60526B62" w14:textId="77777777" w:rsidTr="005432D2">
        <w:tc>
          <w:tcPr>
            <w:tcW w:w="2426" w:type="pct"/>
            <w:shd w:val="clear" w:color="auto" w:fill="auto"/>
            <w:noWrap/>
            <w:vAlign w:val="bottom"/>
            <w:hideMark/>
          </w:tcPr>
          <w:p w14:paraId="143532CD" w14:textId="77777777" w:rsidR="00CE1BDB" w:rsidRPr="00FA4DC7" w:rsidRDefault="00CE1BDB" w:rsidP="00EF49A7">
            <w:pPr>
              <w:rPr>
                <w:rFonts w:cs="Arial"/>
                <w:color w:val="000000"/>
                <w:sz w:val="22"/>
                <w:szCs w:val="22"/>
              </w:rPr>
            </w:pPr>
            <w:r w:rsidRPr="00FA4DC7">
              <w:rPr>
                <w:rFonts w:cs="Arial"/>
                <w:color w:val="000000"/>
                <w:sz w:val="22"/>
                <w:szCs w:val="22"/>
              </w:rPr>
              <w:t>3 or-more bedroom house</w:t>
            </w:r>
          </w:p>
        </w:tc>
        <w:tc>
          <w:tcPr>
            <w:tcW w:w="689" w:type="pct"/>
            <w:shd w:val="clear" w:color="auto" w:fill="auto"/>
            <w:noWrap/>
            <w:vAlign w:val="center"/>
            <w:hideMark/>
          </w:tcPr>
          <w:p w14:paraId="57EAA1C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54.6%</w:t>
            </w:r>
          </w:p>
        </w:tc>
        <w:tc>
          <w:tcPr>
            <w:tcW w:w="689" w:type="pct"/>
            <w:shd w:val="clear" w:color="auto" w:fill="auto"/>
            <w:noWrap/>
            <w:vAlign w:val="center"/>
            <w:hideMark/>
          </w:tcPr>
          <w:p w14:paraId="5F4D888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46.0%</w:t>
            </w:r>
          </w:p>
        </w:tc>
        <w:tc>
          <w:tcPr>
            <w:tcW w:w="531" w:type="pct"/>
            <w:shd w:val="clear" w:color="auto" w:fill="auto"/>
            <w:noWrap/>
            <w:vAlign w:val="center"/>
            <w:hideMark/>
          </w:tcPr>
          <w:p w14:paraId="3C7B0A6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36.1%</w:t>
            </w:r>
          </w:p>
        </w:tc>
        <w:tc>
          <w:tcPr>
            <w:tcW w:w="666" w:type="pct"/>
            <w:shd w:val="clear" w:color="auto" w:fill="auto"/>
            <w:noWrap/>
            <w:vAlign w:val="center"/>
            <w:hideMark/>
          </w:tcPr>
          <w:p w14:paraId="574A816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49.7%</w:t>
            </w:r>
          </w:p>
        </w:tc>
      </w:tr>
      <w:tr w:rsidR="00CE1BDB" w:rsidRPr="00FA4DC7" w14:paraId="0729637B" w14:textId="77777777" w:rsidTr="005432D2">
        <w:tc>
          <w:tcPr>
            <w:tcW w:w="2426" w:type="pct"/>
            <w:shd w:val="clear" w:color="auto" w:fill="auto"/>
            <w:noWrap/>
            <w:vAlign w:val="bottom"/>
            <w:hideMark/>
          </w:tcPr>
          <w:p w14:paraId="54EE8630" w14:textId="77777777" w:rsidR="00CE1BDB" w:rsidRPr="00FA4DC7" w:rsidRDefault="00CE1BDB" w:rsidP="00EF49A7">
            <w:pPr>
              <w:rPr>
                <w:rFonts w:cs="Arial"/>
                <w:color w:val="000000"/>
                <w:sz w:val="22"/>
                <w:szCs w:val="22"/>
              </w:rPr>
            </w:pPr>
            <w:r w:rsidRPr="00FA4DC7">
              <w:rPr>
                <w:rFonts w:cs="Arial"/>
                <w:color w:val="000000"/>
                <w:sz w:val="22"/>
                <w:szCs w:val="22"/>
              </w:rPr>
              <w:t>1-bedroom bungalow</w:t>
            </w:r>
          </w:p>
        </w:tc>
        <w:tc>
          <w:tcPr>
            <w:tcW w:w="689" w:type="pct"/>
            <w:shd w:val="clear" w:color="auto" w:fill="auto"/>
            <w:noWrap/>
            <w:vAlign w:val="center"/>
            <w:hideMark/>
          </w:tcPr>
          <w:p w14:paraId="5D9EB56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3.4%</w:t>
            </w:r>
          </w:p>
        </w:tc>
        <w:tc>
          <w:tcPr>
            <w:tcW w:w="689" w:type="pct"/>
            <w:shd w:val="clear" w:color="auto" w:fill="auto"/>
            <w:noWrap/>
            <w:vAlign w:val="center"/>
            <w:hideMark/>
          </w:tcPr>
          <w:p w14:paraId="2CA1313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5.1%</w:t>
            </w:r>
          </w:p>
        </w:tc>
        <w:tc>
          <w:tcPr>
            <w:tcW w:w="531" w:type="pct"/>
            <w:shd w:val="clear" w:color="auto" w:fill="auto"/>
            <w:noWrap/>
            <w:vAlign w:val="center"/>
            <w:hideMark/>
          </w:tcPr>
          <w:p w14:paraId="3EE8EE4E"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6.6%</w:t>
            </w:r>
          </w:p>
        </w:tc>
        <w:tc>
          <w:tcPr>
            <w:tcW w:w="666" w:type="pct"/>
            <w:shd w:val="clear" w:color="auto" w:fill="auto"/>
            <w:noWrap/>
            <w:vAlign w:val="center"/>
            <w:hideMark/>
          </w:tcPr>
          <w:p w14:paraId="090B077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4.3%</w:t>
            </w:r>
          </w:p>
        </w:tc>
      </w:tr>
      <w:tr w:rsidR="00CE1BDB" w:rsidRPr="00FA4DC7" w14:paraId="395599A4" w14:textId="77777777" w:rsidTr="005432D2">
        <w:tc>
          <w:tcPr>
            <w:tcW w:w="2426" w:type="pct"/>
            <w:shd w:val="clear" w:color="auto" w:fill="auto"/>
            <w:noWrap/>
            <w:vAlign w:val="bottom"/>
            <w:hideMark/>
          </w:tcPr>
          <w:p w14:paraId="59DA0899" w14:textId="77777777" w:rsidR="00CE1BDB" w:rsidRPr="00FA4DC7" w:rsidRDefault="00CE1BDB" w:rsidP="00EF49A7">
            <w:pPr>
              <w:rPr>
                <w:rFonts w:cs="Arial"/>
                <w:color w:val="000000"/>
                <w:sz w:val="22"/>
                <w:szCs w:val="22"/>
              </w:rPr>
            </w:pPr>
            <w:r w:rsidRPr="00FA4DC7">
              <w:rPr>
                <w:rFonts w:cs="Arial"/>
                <w:color w:val="000000"/>
                <w:sz w:val="22"/>
                <w:szCs w:val="22"/>
              </w:rPr>
              <w:t>2 or more-bedroom bungalow</w:t>
            </w:r>
          </w:p>
        </w:tc>
        <w:tc>
          <w:tcPr>
            <w:tcW w:w="689" w:type="pct"/>
            <w:shd w:val="clear" w:color="auto" w:fill="auto"/>
            <w:noWrap/>
            <w:vAlign w:val="center"/>
            <w:hideMark/>
          </w:tcPr>
          <w:p w14:paraId="1C88C826"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15.2%</w:t>
            </w:r>
          </w:p>
        </w:tc>
        <w:tc>
          <w:tcPr>
            <w:tcW w:w="689" w:type="pct"/>
            <w:shd w:val="clear" w:color="auto" w:fill="auto"/>
            <w:noWrap/>
            <w:vAlign w:val="center"/>
            <w:hideMark/>
          </w:tcPr>
          <w:p w14:paraId="4673293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21.0%</w:t>
            </w:r>
          </w:p>
        </w:tc>
        <w:tc>
          <w:tcPr>
            <w:tcW w:w="531" w:type="pct"/>
            <w:shd w:val="clear" w:color="auto" w:fill="auto"/>
            <w:noWrap/>
            <w:vAlign w:val="center"/>
            <w:hideMark/>
          </w:tcPr>
          <w:p w14:paraId="4B018497"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22.4%</w:t>
            </w:r>
          </w:p>
        </w:tc>
        <w:tc>
          <w:tcPr>
            <w:tcW w:w="666" w:type="pct"/>
            <w:shd w:val="clear" w:color="auto" w:fill="auto"/>
            <w:noWrap/>
            <w:vAlign w:val="center"/>
            <w:hideMark/>
          </w:tcPr>
          <w:p w14:paraId="14486BA0"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17.9%</w:t>
            </w:r>
          </w:p>
        </w:tc>
      </w:tr>
      <w:tr w:rsidR="00CE1BDB" w:rsidRPr="00FA4DC7" w14:paraId="33877E29" w14:textId="77777777" w:rsidTr="005432D2">
        <w:tc>
          <w:tcPr>
            <w:tcW w:w="2426" w:type="pct"/>
            <w:shd w:val="clear" w:color="auto" w:fill="auto"/>
            <w:noWrap/>
            <w:vAlign w:val="bottom"/>
            <w:hideMark/>
          </w:tcPr>
          <w:p w14:paraId="23F3EB1E" w14:textId="77777777" w:rsidR="00CE1BDB" w:rsidRPr="00FA4DC7" w:rsidRDefault="00CE1BDB" w:rsidP="00EF49A7">
            <w:pPr>
              <w:rPr>
                <w:rFonts w:cs="Arial"/>
                <w:color w:val="000000"/>
                <w:sz w:val="22"/>
                <w:szCs w:val="22"/>
              </w:rPr>
            </w:pPr>
            <w:r w:rsidRPr="00FA4DC7">
              <w:rPr>
                <w:rFonts w:cs="Arial"/>
                <w:color w:val="000000"/>
                <w:sz w:val="22"/>
                <w:szCs w:val="22"/>
              </w:rPr>
              <w:t>1-bedroom flat</w:t>
            </w:r>
          </w:p>
        </w:tc>
        <w:tc>
          <w:tcPr>
            <w:tcW w:w="689" w:type="pct"/>
            <w:shd w:val="clear" w:color="auto" w:fill="auto"/>
            <w:noWrap/>
            <w:vAlign w:val="center"/>
            <w:hideMark/>
          </w:tcPr>
          <w:p w14:paraId="5F8F9CC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6.2%</w:t>
            </w:r>
          </w:p>
        </w:tc>
        <w:tc>
          <w:tcPr>
            <w:tcW w:w="689" w:type="pct"/>
            <w:shd w:val="clear" w:color="auto" w:fill="auto"/>
            <w:noWrap/>
            <w:vAlign w:val="center"/>
            <w:hideMark/>
          </w:tcPr>
          <w:p w14:paraId="237DCDE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6.1%</w:t>
            </w:r>
          </w:p>
        </w:tc>
        <w:tc>
          <w:tcPr>
            <w:tcW w:w="531" w:type="pct"/>
            <w:shd w:val="clear" w:color="auto" w:fill="auto"/>
            <w:noWrap/>
            <w:vAlign w:val="center"/>
            <w:hideMark/>
          </w:tcPr>
          <w:p w14:paraId="2C5070A2"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8.9%</w:t>
            </w:r>
          </w:p>
        </w:tc>
        <w:tc>
          <w:tcPr>
            <w:tcW w:w="666" w:type="pct"/>
            <w:shd w:val="clear" w:color="auto" w:fill="auto"/>
            <w:noWrap/>
            <w:vAlign w:val="center"/>
            <w:hideMark/>
          </w:tcPr>
          <w:p w14:paraId="24FDB14C"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6.5%</w:t>
            </w:r>
          </w:p>
        </w:tc>
      </w:tr>
      <w:tr w:rsidR="00CE1BDB" w:rsidRPr="00FA4DC7" w14:paraId="104D345A" w14:textId="77777777" w:rsidTr="005432D2">
        <w:tc>
          <w:tcPr>
            <w:tcW w:w="2426" w:type="pct"/>
            <w:shd w:val="clear" w:color="auto" w:fill="auto"/>
            <w:noWrap/>
            <w:vAlign w:val="bottom"/>
            <w:hideMark/>
          </w:tcPr>
          <w:p w14:paraId="6FFFC4A8" w14:textId="77777777" w:rsidR="00CE1BDB" w:rsidRPr="00FA4DC7" w:rsidRDefault="00CE1BDB" w:rsidP="00EF49A7">
            <w:pPr>
              <w:rPr>
                <w:rFonts w:cs="Arial"/>
                <w:color w:val="000000"/>
                <w:sz w:val="22"/>
                <w:szCs w:val="22"/>
              </w:rPr>
            </w:pPr>
            <w:r w:rsidRPr="00FA4DC7">
              <w:rPr>
                <w:rFonts w:cs="Arial"/>
                <w:color w:val="000000"/>
                <w:sz w:val="22"/>
                <w:szCs w:val="22"/>
              </w:rPr>
              <w:t>2 or more-bedroom flat</w:t>
            </w:r>
          </w:p>
        </w:tc>
        <w:tc>
          <w:tcPr>
            <w:tcW w:w="689" w:type="pct"/>
            <w:shd w:val="clear" w:color="auto" w:fill="auto"/>
            <w:noWrap/>
            <w:vAlign w:val="center"/>
            <w:hideMark/>
          </w:tcPr>
          <w:p w14:paraId="4228521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6.5%</w:t>
            </w:r>
          </w:p>
        </w:tc>
        <w:tc>
          <w:tcPr>
            <w:tcW w:w="689" w:type="pct"/>
            <w:shd w:val="clear" w:color="auto" w:fill="auto"/>
            <w:noWrap/>
            <w:vAlign w:val="center"/>
            <w:hideMark/>
          </w:tcPr>
          <w:p w14:paraId="1FE266AB"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7.2%</w:t>
            </w:r>
          </w:p>
        </w:tc>
        <w:tc>
          <w:tcPr>
            <w:tcW w:w="531" w:type="pct"/>
            <w:shd w:val="clear" w:color="auto" w:fill="auto"/>
            <w:noWrap/>
            <w:vAlign w:val="center"/>
            <w:hideMark/>
          </w:tcPr>
          <w:p w14:paraId="4B8982F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11.7%</w:t>
            </w:r>
          </w:p>
        </w:tc>
        <w:tc>
          <w:tcPr>
            <w:tcW w:w="666" w:type="pct"/>
            <w:shd w:val="clear" w:color="auto" w:fill="auto"/>
            <w:noWrap/>
            <w:vAlign w:val="center"/>
            <w:hideMark/>
          </w:tcPr>
          <w:p w14:paraId="757122B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7.3%</w:t>
            </w:r>
          </w:p>
        </w:tc>
      </w:tr>
      <w:tr w:rsidR="00CE1BDB" w:rsidRPr="00FA4DC7" w14:paraId="2E2241CB" w14:textId="77777777" w:rsidTr="005432D2">
        <w:tc>
          <w:tcPr>
            <w:tcW w:w="2426" w:type="pct"/>
            <w:shd w:val="clear" w:color="auto" w:fill="auto"/>
            <w:noWrap/>
            <w:vAlign w:val="bottom"/>
            <w:hideMark/>
          </w:tcPr>
          <w:p w14:paraId="7CDE15F7" w14:textId="77777777" w:rsidR="00CE1BDB" w:rsidRPr="00FA4DC7" w:rsidRDefault="00CE1BDB" w:rsidP="00EF49A7">
            <w:pPr>
              <w:rPr>
                <w:rFonts w:cs="Arial"/>
                <w:color w:val="000000"/>
                <w:sz w:val="22"/>
                <w:szCs w:val="22"/>
              </w:rPr>
            </w:pPr>
            <w:r w:rsidRPr="00FA4DC7">
              <w:rPr>
                <w:rFonts w:cs="Arial"/>
                <w:color w:val="000000"/>
                <w:sz w:val="22"/>
                <w:szCs w:val="22"/>
              </w:rPr>
              <w:t>Other</w:t>
            </w:r>
          </w:p>
        </w:tc>
        <w:tc>
          <w:tcPr>
            <w:tcW w:w="689" w:type="pct"/>
            <w:shd w:val="clear" w:color="auto" w:fill="auto"/>
            <w:noWrap/>
            <w:vAlign w:val="center"/>
            <w:hideMark/>
          </w:tcPr>
          <w:p w14:paraId="6EFDAA8D"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w:t>
            </w:r>
          </w:p>
        </w:tc>
        <w:tc>
          <w:tcPr>
            <w:tcW w:w="689" w:type="pct"/>
            <w:shd w:val="clear" w:color="auto" w:fill="auto"/>
            <w:noWrap/>
            <w:vAlign w:val="center"/>
            <w:hideMark/>
          </w:tcPr>
          <w:p w14:paraId="1484CCF3"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w:t>
            </w:r>
          </w:p>
        </w:tc>
        <w:tc>
          <w:tcPr>
            <w:tcW w:w="531" w:type="pct"/>
            <w:shd w:val="clear" w:color="auto" w:fill="auto"/>
            <w:noWrap/>
            <w:vAlign w:val="center"/>
            <w:hideMark/>
          </w:tcPr>
          <w:p w14:paraId="45B74524"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1.5%</w:t>
            </w:r>
          </w:p>
        </w:tc>
        <w:tc>
          <w:tcPr>
            <w:tcW w:w="666" w:type="pct"/>
            <w:shd w:val="clear" w:color="auto" w:fill="auto"/>
            <w:noWrap/>
            <w:vAlign w:val="center"/>
            <w:hideMark/>
          </w:tcPr>
          <w:p w14:paraId="22E45F2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1.1%</w:t>
            </w:r>
          </w:p>
        </w:tc>
      </w:tr>
      <w:tr w:rsidR="00CE1BDB" w:rsidRPr="00FA4DC7" w14:paraId="4C8EB047" w14:textId="77777777" w:rsidTr="005432D2">
        <w:tc>
          <w:tcPr>
            <w:tcW w:w="2426" w:type="pct"/>
            <w:shd w:val="clear" w:color="auto" w:fill="auto"/>
            <w:noWrap/>
            <w:vAlign w:val="bottom"/>
            <w:hideMark/>
          </w:tcPr>
          <w:p w14:paraId="7342C330" w14:textId="77777777" w:rsidR="00CE1BDB" w:rsidRPr="00FA4DC7" w:rsidRDefault="00CE1BDB" w:rsidP="00EF49A7">
            <w:pPr>
              <w:rPr>
                <w:rFonts w:cs="Arial"/>
                <w:color w:val="000000"/>
                <w:sz w:val="22"/>
                <w:szCs w:val="22"/>
              </w:rPr>
            </w:pPr>
            <w:r w:rsidRPr="00FA4DC7">
              <w:rPr>
                <w:rFonts w:cs="Arial"/>
                <w:color w:val="000000"/>
                <w:sz w:val="22"/>
                <w:szCs w:val="22"/>
              </w:rPr>
              <w:t>Total</w:t>
            </w:r>
          </w:p>
        </w:tc>
        <w:tc>
          <w:tcPr>
            <w:tcW w:w="689" w:type="pct"/>
            <w:shd w:val="clear" w:color="auto" w:fill="auto"/>
            <w:noWrap/>
            <w:vAlign w:val="center"/>
            <w:hideMark/>
          </w:tcPr>
          <w:p w14:paraId="6346FC5A"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100.0%</w:t>
            </w:r>
          </w:p>
        </w:tc>
        <w:tc>
          <w:tcPr>
            <w:tcW w:w="689" w:type="pct"/>
            <w:shd w:val="clear" w:color="auto" w:fill="auto"/>
            <w:noWrap/>
            <w:vAlign w:val="center"/>
            <w:hideMark/>
          </w:tcPr>
          <w:p w14:paraId="354BE289"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100.0%</w:t>
            </w:r>
          </w:p>
        </w:tc>
        <w:tc>
          <w:tcPr>
            <w:tcW w:w="531" w:type="pct"/>
            <w:shd w:val="clear" w:color="auto" w:fill="auto"/>
            <w:noWrap/>
            <w:vAlign w:val="center"/>
            <w:hideMark/>
          </w:tcPr>
          <w:p w14:paraId="3B3E7371"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100.0%</w:t>
            </w:r>
          </w:p>
        </w:tc>
        <w:tc>
          <w:tcPr>
            <w:tcW w:w="666" w:type="pct"/>
            <w:shd w:val="clear" w:color="auto" w:fill="auto"/>
            <w:noWrap/>
            <w:vAlign w:val="center"/>
            <w:hideMark/>
          </w:tcPr>
          <w:p w14:paraId="65DF8F70" w14:textId="77777777" w:rsidR="00CE1BDB" w:rsidRPr="00FA4DC7" w:rsidRDefault="00CE1BDB" w:rsidP="00EF49A7">
            <w:pPr>
              <w:jc w:val="right"/>
              <w:rPr>
                <w:rFonts w:cs="Arial"/>
                <w:color w:val="000000" w:themeColor="text1"/>
                <w:sz w:val="22"/>
                <w:szCs w:val="22"/>
              </w:rPr>
            </w:pPr>
            <w:r w:rsidRPr="00FA4DC7">
              <w:rPr>
                <w:rFonts w:cs="Arial"/>
                <w:color w:val="000000" w:themeColor="text1"/>
                <w:sz w:val="22"/>
                <w:szCs w:val="22"/>
              </w:rPr>
              <w:t>100.0%</w:t>
            </w:r>
          </w:p>
        </w:tc>
      </w:tr>
      <w:tr w:rsidR="00CE1BDB" w:rsidRPr="00FA4DC7" w14:paraId="66504991" w14:textId="77777777" w:rsidTr="005432D2">
        <w:tc>
          <w:tcPr>
            <w:tcW w:w="2426" w:type="pct"/>
            <w:shd w:val="clear" w:color="auto" w:fill="auto"/>
            <w:noWrap/>
            <w:vAlign w:val="bottom"/>
            <w:hideMark/>
          </w:tcPr>
          <w:p w14:paraId="190D5F8C" w14:textId="77777777" w:rsidR="00CE1BDB" w:rsidRPr="00FA4DC7" w:rsidRDefault="00CE1BDB" w:rsidP="00EF49A7">
            <w:pPr>
              <w:rPr>
                <w:rFonts w:cs="Arial"/>
                <w:color w:val="000000"/>
                <w:sz w:val="22"/>
                <w:szCs w:val="22"/>
              </w:rPr>
            </w:pPr>
            <w:r w:rsidRPr="00FA4DC7">
              <w:rPr>
                <w:rFonts w:cs="Arial"/>
                <w:color w:val="000000"/>
                <w:sz w:val="22"/>
                <w:szCs w:val="22"/>
              </w:rPr>
              <w:t>Base</w:t>
            </w:r>
          </w:p>
        </w:tc>
        <w:tc>
          <w:tcPr>
            <w:tcW w:w="689" w:type="pct"/>
            <w:shd w:val="clear" w:color="auto" w:fill="auto"/>
            <w:noWrap/>
            <w:vAlign w:val="center"/>
            <w:hideMark/>
          </w:tcPr>
          <w:p w14:paraId="311749D7" w14:textId="77777777" w:rsidR="00CE1BDB" w:rsidRPr="00FA4DC7" w:rsidRDefault="00CE1BDB" w:rsidP="00EF49A7">
            <w:pPr>
              <w:jc w:val="right"/>
              <w:rPr>
                <w:rFonts w:cs="Arial"/>
                <w:color w:val="000000"/>
                <w:sz w:val="22"/>
                <w:szCs w:val="22"/>
              </w:rPr>
            </w:pPr>
            <w:r w:rsidRPr="00FA4DC7">
              <w:rPr>
                <w:rFonts w:cs="Arial"/>
                <w:color w:val="000000"/>
                <w:sz w:val="22"/>
                <w:szCs w:val="22"/>
              </w:rPr>
              <w:t>349,050</w:t>
            </w:r>
          </w:p>
        </w:tc>
        <w:tc>
          <w:tcPr>
            <w:tcW w:w="689" w:type="pct"/>
            <w:shd w:val="clear" w:color="auto" w:fill="auto"/>
            <w:noWrap/>
            <w:vAlign w:val="center"/>
            <w:hideMark/>
          </w:tcPr>
          <w:p w14:paraId="6578779F" w14:textId="77777777" w:rsidR="00CE1BDB" w:rsidRPr="00FA4DC7" w:rsidRDefault="00CE1BDB" w:rsidP="00EF49A7">
            <w:pPr>
              <w:jc w:val="right"/>
              <w:rPr>
                <w:rFonts w:cs="Arial"/>
                <w:color w:val="000000"/>
                <w:sz w:val="22"/>
                <w:szCs w:val="22"/>
              </w:rPr>
            </w:pPr>
            <w:r w:rsidRPr="00FA4DC7">
              <w:rPr>
                <w:rFonts w:cs="Arial"/>
                <w:color w:val="000000"/>
                <w:sz w:val="22"/>
                <w:szCs w:val="22"/>
              </w:rPr>
              <w:t>200,566</w:t>
            </w:r>
          </w:p>
        </w:tc>
        <w:tc>
          <w:tcPr>
            <w:tcW w:w="531" w:type="pct"/>
            <w:shd w:val="clear" w:color="auto" w:fill="auto"/>
            <w:noWrap/>
            <w:vAlign w:val="center"/>
            <w:hideMark/>
          </w:tcPr>
          <w:p w14:paraId="599209A5" w14:textId="77777777" w:rsidR="00CE1BDB" w:rsidRPr="00FA4DC7" w:rsidRDefault="00CE1BDB" w:rsidP="00EF49A7">
            <w:pPr>
              <w:jc w:val="right"/>
              <w:rPr>
                <w:rFonts w:cs="Arial"/>
                <w:color w:val="000000"/>
                <w:sz w:val="22"/>
                <w:szCs w:val="22"/>
              </w:rPr>
            </w:pPr>
            <w:r w:rsidRPr="00FA4DC7">
              <w:rPr>
                <w:rFonts w:cs="Arial"/>
                <w:color w:val="000000"/>
                <w:sz w:val="22"/>
                <w:szCs w:val="22"/>
              </w:rPr>
              <w:t>69,218</w:t>
            </w:r>
          </w:p>
        </w:tc>
        <w:tc>
          <w:tcPr>
            <w:tcW w:w="666" w:type="pct"/>
            <w:shd w:val="clear" w:color="auto" w:fill="auto"/>
            <w:noWrap/>
            <w:vAlign w:val="center"/>
            <w:hideMark/>
          </w:tcPr>
          <w:p w14:paraId="5288D495" w14:textId="77777777" w:rsidR="00CE1BDB" w:rsidRPr="00FA4DC7" w:rsidRDefault="00CE1BDB" w:rsidP="00EF49A7">
            <w:pPr>
              <w:jc w:val="right"/>
              <w:rPr>
                <w:rFonts w:cs="Arial"/>
                <w:color w:val="000000"/>
                <w:sz w:val="22"/>
                <w:szCs w:val="22"/>
              </w:rPr>
            </w:pPr>
            <w:r w:rsidRPr="00FA4DC7">
              <w:rPr>
                <w:rFonts w:cs="Arial"/>
                <w:color w:val="000000"/>
                <w:sz w:val="22"/>
                <w:szCs w:val="22"/>
              </w:rPr>
              <w:t>618,834</w:t>
            </w:r>
          </w:p>
        </w:tc>
      </w:tr>
    </w:tbl>
    <w:p w14:paraId="31234007" w14:textId="77777777" w:rsidR="00CE1BDB" w:rsidRPr="00FA4DC7" w:rsidRDefault="00CE1BDB" w:rsidP="00CE1BDB">
      <w:pPr>
        <w:pStyle w:val="Reporttext"/>
        <w:numPr>
          <w:ilvl w:val="0"/>
          <w:numId w:val="0"/>
        </w:numPr>
        <w:rPr>
          <w:rFonts w:cs="Arial"/>
          <w:color w:val="000000"/>
          <w:sz w:val="20"/>
          <w:szCs w:val="20"/>
          <w:lang w:val="en-US"/>
        </w:rPr>
      </w:pPr>
      <w:r w:rsidRPr="00FA4DC7">
        <w:rPr>
          <w:rFonts w:cs="Arial"/>
          <w:color w:val="000000"/>
          <w:sz w:val="20"/>
          <w:szCs w:val="20"/>
          <w:lang w:val="en-US"/>
        </w:rPr>
        <w:t>Source: arc4 national database</w:t>
      </w:r>
    </w:p>
    <w:p w14:paraId="305C2C27" w14:textId="77777777" w:rsidR="00CE1BDB" w:rsidRPr="00FA4DC7" w:rsidRDefault="00CE1BDB" w:rsidP="00CE1BDB">
      <w:pPr>
        <w:pStyle w:val="Reporttext"/>
        <w:numPr>
          <w:ilvl w:val="0"/>
          <w:numId w:val="0"/>
        </w:numPr>
        <w:ind w:left="1418"/>
        <w:rPr>
          <w:rFonts w:cs="Arial"/>
          <w:highlight w:val="yellow"/>
        </w:rPr>
      </w:pPr>
    </w:p>
    <w:p w14:paraId="5B16A550" w14:textId="77777777" w:rsidR="00CE1BDB" w:rsidRPr="00FA4DC7" w:rsidRDefault="00CE1BDB" w:rsidP="00CE1BDB">
      <w:pPr>
        <w:pStyle w:val="Reporttext"/>
        <w:rPr>
          <w:rFonts w:cs="Arial"/>
          <w:lang w:val="en-US"/>
        </w:rPr>
      </w:pPr>
      <w:r w:rsidRPr="00FA4DC7">
        <w:rPr>
          <w:rFonts w:cs="Arial"/>
        </w:rPr>
        <w:t xml:space="preserve">The provision of appropriate adaptations to existing dwelling stock can help people lead independent lives. </w:t>
      </w:r>
      <w:r w:rsidRPr="00FA4DC7">
        <w:rPr>
          <w:rFonts w:cs="Arial"/>
          <w:lang w:val="en-US"/>
        </w:rPr>
        <w:t>PPG also asks councils to consider the extent to which existing dwelling stock can help meet the needs of older people (source: PPG 2019 Paragraph: 017 Reference ID: 2a-017-20190220).</w:t>
      </w:r>
    </w:p>
    <w:p w14:paraId="0ED0E367" w14:textId="77777777" w:rsidR="00CE1BDB" w:rsidRPr="00FA4DC7" w:rsidRDefault="00CE1BDB" w:rsidP="00CE1BDB">
      <w:pPr>
        <w:pStyle w:val="Reporttext"/>
        <w:rPr>
          <w:rFonts w:cs="Arial"/>
        </w:rPr>
      </w:pPr>
      <w:r w:rsidRPr="00FA4DC7">
        <w:rPr>
          <w:rFonts w:cs="Arial"/>
        </w:rPr>
        <w:t xml:space="preserve">Given that the majority of older people want to remain in their own homes with help and support when needed, the arc4 national database provides a useful insight into the proportion of households who need care and support and the extent which properties are adapted (Table 5.8). </w:t>
      </w:r>
    </w:p>
    <w:p w14:paraId="7EB0AB20" w14:textId="77777777" w:rsidR="00CE1BDB" w:rsidRPr="00FA4DC7" w:rsidRDefault="00CE1BDB" w:rsidP="00CE1BDB">
      <w:pPr>
        <w:pStyle w:val="Reporttext"/>
        <w:rPr>
          <w:rFonts w:cs="Arial"/>
        </w:rPr>
      </w:pPr>
      <w:r w:rsidRPr="00FA4DC7">
        <w:rPr>
          <w:rFonts w:cs="Arial"/>
        </w:rPr>
        <w:t xml:space="preserve">Table 5.8 shows that 7.6% of all households require care and support to enable them to stay in their home. This is highest amongst 75 and over age groups and from households living in affordable housing. Of households with a household reference person aged 85 and over, 31.2% require help and support to enable occupiers to stay in their own home. </w:t>
      </w:r>
    </w:p>
    <w:p w14:paraId="5AA1DA1E" w14:textId="77777777" w:rsidR="00CE1BDB" w:rsidRPr="00FA4DC7" w:rsidRDefault="00CE1BDB" w:rsidP="00CE1BDB">
      <w:pPr>
        <w:pStyle w:val="Reporttext"/>
        <w:rPr>
          <w:rFonts w:cs="Arial"/>
        </w:rPr>
      </w:pPr>
      <w:r w:rsidRPr="00FA4DC7">
        <w:rPr>
          <w:rFonts w:cs="Arial"/>
        </w:rPr>
        <w:t xml:space="preserve">62.8% of households have sufficient space for a carer to stay overnight if needed – and this increases </w:t>
      </w:r>
      <w:proofErr w:type="gramStart"/>
      <w:r w:rsidRPr="00FA4DC7">
        <w:rPr>
          <w:rFonts w:cs="Arial"/>
        </w:rPr>
        <w:t>to  72</w:t>
      </w:r>
      <w:proofErr w:type="gramEnd"/>
      <w:r w:rsidRPr="00FA4DC7">
        <w:rPr>
          <w:rFonts w:cs="Arial"/>
        </w:rPr>
        <w:t xml:space="preserve">% across 75 and over older age groups. Owner occupiers were most likely to have space available, but private and in particular social renters were less likely. Around 40% of respondents in affordable housing had sufficient space for a </w:t>
      </w:r>
      <w:proofErr w:type="spellStart"/>
      <w:r w:rsidRPr="00FA4DC7">
        <w:rPr>
          <w:rFonts w:cs="Arial"/>
        </w:rPr>
        <w:t>carer</w:t>
      </w:r>
      <w:proofErr w:type="spellEnd"/>
      <w:r w:rsidRPr="00FA4DC7">
        <w:rPr>
          <w:rFonts w:cs="Arial"/>
        </w:rPr>
        <w:t xml:space="preserve">. </w:t>
      </w:r>
    </w:p>
    <w:p w14:paraId="0E399588" w14:textId="77777777" w:rsidR="00CE1BDB" w:rsidRPr="00FA4DC7" w:rsidRDefault="00CE1BDB" w:rsidP="00CE1BDB">
      <w:pPr>
        <w:pStyle w:val="Reporttext"/>
        <w:rPr>
          <w:rFonts w:cs="Arial"/>
        </w:rPr>
      </w:pPr>
      <w:r w:rsidRPr="00FA4DC7">
        <w:rPr>
          <w:rFonts w:cs="Arial"/>
        </w:rPr>
        <w:t>Around 7.5% of all dwellings had been adapted or purpose-built for a person with a long-term illness, health problem or disability. This was highest amongst affordable housing occupants (19%) and lowest amongst owner occupiers (4.7%). Older people were more likely to live in an adapted home, with 14.8% of households with a HRP aged 75-84 and 25.5% with a HRP aged 85+ living in adapted homes.</w:t>
      </w:r>
    </w:p>
    <w:p w14:paraId="522A33B5" w14:textId="4E469DD6" w:rsidR="005432D2" w:rsidRDefault="005432D2">
      <w:pPr>
        <w:rPr>
          <w:rFonts w:cs="Arial"/>
          <w:lang w:eastAsia="en-US"/>
        </w:rPr>
      </w:pPr>
      <w:r>
        <w:rPr>
          <w:rFonts w:cs="Arial"/>
        </w:rPr>
        <w:br w:type="page"/>
      </w:r>
    </w:p>
    <w:tbl>
      <w:tblPr>
        <w:tblW w:w="5000" w:type="pct"/>
        <w:tblLook w:val="04A0" w:firstRow="1" w:lastRow="0" w:firstColumn="1" w:lastColumn="0" w:noHBand="0" w:noVBand="1"/>
      </w:tblPr>
      <w:tblGrid>
        <w:gridCol w:w="2127"/>
        <w:gridCol w:w="2058"/>
        <w:gridCol w:w="2671"/>
        <w:gridCol w:w="2324"/>
      </w:tblGrid>
      <w:tr w:rsidR="00CE1BDB" w:rsidRPr="00FA4DC7" w14:paraId="0CB9C323" w14:textId="77777777" w:rsidTr="005432D2">
        <w:tc>
          <w:tcPr>
            <w:tcW w:w="5000" w:type="pct"/>
            <w:gridSpan w:val="4"/>
            <w:tcBorders>
              <w:top w:val="single" w:sz="8" w:space="0" w:color="000000"/>
              <w:left w:val="nil"/>
              <w:bottom w:val="single" w:sz="8" w:space="0" w:color="000000"/>
              <w:right w:val="single" w:sz="8" w:space="0" w:color="000000"/>
            </w:tcBorders>
            <w:shd w:val="clear" w:color="000000" w:fill="006666"/>
          </w:tcPr>
          <w:p w14:paraId="2264B67E" w14:textId="74CC5B8C" w:rsidR="00CE1BDB" w:rsidRPr="00FA4DC7" w:rsidRDefault="00CE1BDB" w:rsidP="00EF49A7">
            <w:pPr>
              <w:pStyle w:val="Tableheading1"/>
              <w:rPr>
                <w:rFonts w:cs="Arial"/>
                <w:color w:val="FFFFFF"/>
                <w:szCs w:val="22"/>
              </w:rPr>
            </w:pPr>
            <w:bookmarkStart w:id="387" w:name="_Toc83036109"/>
            <w:r w:rsidRPr="00FA4DC7">
              <w:rPr>
                <w:rFonts w:cs="Arial"/>
              </w:rPr>
              <w:lastRenderedPageBreak/>
              <w:t>Table</w:t>
            </w:r>
            <w:r w:rsidRPr="00FA4DC7">
              <w:rPr>
                <w:rFonts w:cs="Arial"/>
                <w:color w:val="FFFFFF"/>
                <w:szCs w:val="22"/>
              </w:rPr>
              <w:t xml:space="preserve"> 5.8 </w:t>
            </w:r>
            <w:r w:rsidR="0035224C">
              <w:rPr>
                <w:rFonts w:cs="Arial"/>
                <w:color w:val="FFFFFF"/>
                <w:szCs w:val="22"/>
              </w:rPr>
              <w:tab/>
            </w:r>
            <w:r w:rsidRPr="00FA4DC7">
              <w:rPr>
                <w:rFonts w:cs="Arial"/>
                <w:color w:val="FFFFFF"/>
                <w:szCs w:val="22"/>
              </w:rPr>
              <w:t>Adaptations, support needs and space for carer by tenure and age group</w:t>
            </w:r>
            <w:bookmarkEnd w:id="387"/>
          </w:p>
        </w:tc>
      </w:tr>
      <w:tr w:rsidR="00CE1BDB" w:rsidRPr="00FA4DC7" w14:paraId="0F194F6C" w14:textId="77777777" w:rsidTr="005432D2">
        <w:tc>
          <w:tcPr>
            <w:tcW w:w="1158" w:type="pct"/>
            <w:tcBorders>
              <w:top w:val="single" w:sz="8" w:space="0" w:color="000000"/>
              <w:left w:val="nil"/>
              <w:bottom w:val="single" w:sz="8" w:space="0" w:color="000000"/>
              <w:right w:val="single" w:sz="8" w:space="0" w:color="000000"/>
            </w:tcBorders>
            <w:shd w:val="clear" w:color="000000" w:fill="006666"/>
          </w:tcPr>
          <w:p w14:paraId="4D7FD481" w14:textId="77777777" w:rsidR="00CE1BDB" w:rsidRPr="00FA4DC7" w:rsidRDefault="00CE1BDB" w:rsidP="00EF49A7">
            <w:pPr>
              <w:jc w:val="center"/>
              <w:rPr>
                <w:rFonts w:cs="Arial"/>
                <w:color w:val="FFFFFF"/>
                <w:sz w:val="22"/>
                <w:szCs w:val="22"/>
              </w:rPr>
            </w:pPr>
          </w:p>
        </w:tc>
        <w:tc>
          <w:tcPr>
            <w:tcW w:w="1121" w:type="pct"/>
            <w:tcBorders>
              <w:top w:val="single" w:sz="8" w:space="0" w:color="000000"/>
              <w:left w:val="nil"/>
              <w:bottom w:val="single" w:sz="8" w:space="0" w:color="000000"/>
              <w:right w:val="single" w:sz="8" w:space="0" w:color="000000"/>
            </w:tcBorders>
            <w:shd w:val="clear" w:color="000000" w:fill="006666"/>
            <w:vAlign w:val="bottom"/>
            <w:hideMark/>
          </w:tcPr>
          <w:p w14:paraId="3C083AF2" w14:textId="77777777" w:rsidR="00CE1BDB" w:rsidRPr="00FA4DC7" w:rsidRDefault="00CE1BDB" w:rsidP="005432D2">
            <w:pPr>
              <w:jc w:val="center"/>
              <w:rPr>
                <w:rFonts w:cs="Arial"/>
                <w:color w:val="FFFFFF"/>
                <w:sz w:val="22"/>
                <w:szCs w:val="22"/>
              </w:rPr>
            </w:pPr>
            <w:r w:rsidRPr="00FA4DC7">
              <w:rPr>
                <w:rFonts w:cs="Arial"/>
                <w:color w:val="FFFFFF"/>
                <w:sz w:val="22"/>
                <w:szCs w:val="22"/>
              </w:rPr>
              <w:t xml:space="preserve">Is there sufficient space in your home for a carer to </w:t>
            </w:r>
            <w:proofErr w:type="gramStart"/>
            <w:r w:rsidRPr="00FA4DC7">
              <w:rPr>
                <w:rFonts w:cs="Arial"/>
                <w:color w:val="FFFFFF"/>
                <w:sz w:val="22"/>
                <w:szCs w:val="22"/>
              </w:rPr>
              <w:t>stay  overnight</w:t>
            </w:r>
            <w:proofErr w:type="gramEnd"/>
            <w:r w:rsidRPr="00FA4DC7">
              <w:rPr>
                <w:rFonts w:cs="Arial"/>
                <w:color w:val="FFFFFF"/>
                <w:sz w:val="22"/>
                <w:szCs w:val="22"/>
              </w:rPr>
              <w:t>, if this was needed?</w:t>
            </w:r>
          </w:p>
        </w:tc>
        <w:tc>
          <w:tcPr>
            <w:tcW w:w="1455" w:type="pct"/>
            <w:tcBorders>
              <w:top w:val="single" w:sz="8" w:space="0" w:color="000000"/>
              <w:left w:val="nil"/>
              <w:bottom w:val="single" w:sz="8" w:space="0" w:color="000000"/>
              <w:right w:val="single" w:sz="8" w:space="0" w:color="000000"/>
            </w:tcBorders>
            <w:shd w:val="clear" w:color="000000" w:fill="006666"/>
            <w:vAlign w:val="bottom"/>
            <w:hideMark/>
          </w:tcPr>
          <w:p w14:paraId="22CA26D7" w14:textId="77777777" w:rsidR="00CE1BDB" w:rsidRPr="00FA4DC7" w:rsidRDefault="00CE1BDB" w:rsidP="005432D2">
            <w:pPr>
              <w:jc w:val="center"/>
              <w:rPr>
                <w:rFonts w:cs="Arial"/>
                <w:color w:val="FFFFFF"/>
                <w:sz w:val="22"/>
                <w:szCs w:val="22"/>
              </w:rPr>
            </w:pPr>
            <w:r w:rsidRPr="00FA4DC7">
              <w:rPr>
                <w:rFonts w:cs="Arial"/>
                <w:color w:val="FFFFFF"/>
                <w:sz w:val="22"/>
                <w:szCs w:val="22"/>
              </w:rPr>
              <w:t xml:space="preserve">Do you, or any other members of your household, </w:t>
            </w:r>
            <w:proofErr w:type="gramStart"/>
            <w:r w:rsidRPr="00FA4DC7">
              <w:rPr>
                <w:rFonts w:cs="Arial"/>
                <w:color w:val="FFFFFF"/>
                <w:sz w:val="22"/>
                <w:szCs w:val="22"/>
              </w:rPr>
              <w:t>require  care</w:t>
            </w:r>
            <w:proofErr w:type="gramEnd"/>
            <w:r w:rsidRPr="00FA4DC7">
              <w:rPr>
                <w:rFonts w:cs="Arial"/>
                <w:color w:val="FFFFFF"/>
                <w:sz w:val="22"/>
                <w:szCs w:val="22"/>
              </w:rPr>
              <w:t xml:space="preserve"> or support to enable you/them to stay in this home?</w:t>
            </w:r>
          </w:p>
        </w:tc>
        <w:tc>
          <w:tcPr>
            <w:tcW w:w="1266" w:type="pct"/>
            <w:tcBorders>
              <w:top w:val="single" w:sz="8" w:space="0" w:color="000000"/>
              <w:left w:val="nil"/>
              <w:bottom w:val="single" w:sz="8" w:space="0" w:color="000000"/>
              <w:right w:val="single" w:sz="8" w:space="0" w:color="000000"/>
            </w:tcBorders>
            <w:shd w:val="clear" w:color="000000" w:fill="006666"/>
            <w:vAlign w:val="bottom"/>
            <w:hideMark/>
          </w:tcPr>
          <w:p w14:paraId="4040C02D" w14:textId="77777777" w:rsidR="00CE1BDB" w:rsidRPr="00FA4DC7" w:rsidRDefault="00CE1BDB" w:rsidP="005432D2">
            <w:pPr>
              <w:jc w:val="center"/>
              <w:rPr>
                <w:rFonts w:cs="Arial"/>
                <w:color w:val="FFFFFF"/>
                <w:sz w:val="22"/>
                <w:szCs w:val="22"/>
              </w:rPr>
            </w:pPr>
            <w:r w:rsidRPr="00FA4DC7">
              <w:rPr>
                <w:rFonts w:cs="Arial"/>
                <w:color w:val="FFFFFF"/>
                <w:sz w:val="22"/>
                <w:szCs w:val="22"/>
              </w:rPr>
              <w:t>Has your current home been adapted or purpose-built for a person with a long-term illness, health problem or disability?</w:t>
            </w:r>
          </w:p>
        </w:tc>
      </w:tr>
      <w:tr w:rsidR="00CE1BDB" w:rsidRPr="00FA4DC7" w14:paraId="7E794563"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tcPr>
          <w:p w14:paraId="5908AA3D" w14:textId="77777777" w:rsidR="00CE1BDB" w:rsidRPr="00FA4DC7" w:rsidRDefault="00CE1BDB" w:rsidP="005432D2">
            <w:pPr>
              <w:rPr>
                <w:rFonts w:cs="Arial"/>
                <w:color w:val="000000" w:themeColor="text1"/>
                <w:sz w:val="22"/>
                <w:szCs w:val="22"/>
              </w:rPr>
            </w:pPr>
            <w:r w:rsidRPr="00FA4DC7">
              <w:rPr>
                <w:rFonts w:cs="Arial"/>
                <w:color w:val="000000" w:themeColor="text1"/>
                <w:sz w:val="22"/>
                <w:szCs w:val="22"/>
              </w:rPr>
              <w:t>Tenure</w:t>
            </w:r>
          </w:p>
        </w:tc>
        <w:tc>
          <w:tcPr>
            <w:tcW w:w="1121" w:type="pct"/>
            <w:tcBorders>
              <w:top w:val="single" w:sz="8" w:space="0" w:color="000000"/>
              <w:left w:val="nil"/>
              <w:bottom w:val="single" w:sz="8" w:space="0" w:color="000000"/>
              <w:right w:val="single" w:sz="8" w:space="0" w:color="000000"/>
            </w:tcBorders>
            <w:shd w:val="clear" w:color="000000" w:fill="auto"/>
            <w:vAlign w:val="center"/>
            <w:hideMark/>
          </w:tcPr>
          <w:p w14:paraId="3C77D55B"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Yes (%)</w:t>
            </w:r>
          </w:p>
        </w:tc>
        <w:tc>
          <w:tcPr>
            <w:tcW w:w="1455" w:type="pct"/>
            <w:tcBorders>
              <w:top w:val="single" w:sz="8" w:space="0" w:color="000000"/>
              <w:left w:val="nil"/>
              <w:bottom w:val="single" w:sz="8" w:space="0" w:color="000000"/>
              <w:right w:val="single" w:sz="8" w:space="0" w:color="000000"/>
            </w:tcBorders>
            <w:shd w:val="clear" w:color="000000" w:fill="auto"/>
            <w:vAlign w:val="center"/>
            <w:hideMark/>
          </w:tcPr>
          <w:p w14:paraId="5C40CCD0"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Yes (%)</w:t>
            </w:r>
          </w:p>
        </w:tc>
        <w:tc>
          <w:tcPr>
            <w:tcW w:w="1266" w:type="pct"/>
            <w:tcBorders>
              <w:top w:val="single" w:sz="8" w:space="0" w:color="000000"/>
              <w:left w:val="nil"/>
              <w:bottom w:val="single" w:sz="8" w:space="0" w:color="000000"/>
              <w:right w:val="single" w:sz="8" w:space="0" w:color="000000"/>
            </w:tcBorders>
            <w:shd w:val="clear" w:color="000000" w:fill="auto"/>
            <w:vAlign w:val="center"/>
            <w:hideMark/>
          </w:tcPr>
          <w:p w14:paraId="3CFE2FB7"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Yes (%)</w:t>
            </w:r>
          </w:p>
        </w:tc>
      </w:tr>
      <w:tr w:rsidR="00CE1BDB" w:rsidRPr="00FA4DC7" w14:paraId="5EC658CE"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0D67D2DD" w14:textId="77777777" w:rsidR="00CE1BDB" w:rsidRPr="00FA4DC7" w:rsidRDefault="00CE1BDB" w:rsidP="005432D2">
            <w:pPr>
              <w:rPr>
                <w:rFonts w:cs="Arial"/>
                <w:color w:val="000000" w:themeColor="text1"/>
                <w:sz w:val="22"/>
                <w:szCs w:val="22"/>
              </w:rPr>
            </w:pPr>
            <w:r w:rsidRPr="00FA4DC7">
              <w:rPr>
                <w:rFonts w:cs="Arial"/>
                <w:color w:val="000000" w:themeColor="text1"/>
              </w:rPr>
              <w:t>Owner Occupied</w:t>
            </w:r>
          </w:p>
        </w:tc>
        <w:tc>
          <w:tcPr>
            <w:tcW w:w="1121" w:type="pct"/>
            <w:tcBorders>
              <w:top w:val="single" w:sz="8" w:space="0" w:color="000000"/>
              <w:left w:val="nil"/>
              <w:bottom w:val="single" w:sz="8" w:space="0" w:color="000000"/>
              <w:right w:val="single" w:sz="8" w:space="0" w:color="000000"/>
            </w:tcBorders>
            <w:shd w:val="clear" w:color="000000" w:fill="auto"/>
            <w:vAlign w:val="center"/>
          </w:tcPr>
          <w:p w14:paraId="63113157"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73.6%</w:t>
            </w:r>
          </w:p>
        </w:tc>
        <w:tc>
          <w:tcPr>
            <w:tcW w:w="1455" w:type="pct"/>
            <w:tcBorders>
              <w:top w:val="single" w:sz="8" w:space="0" w:color="000000"/>
              <w:left w:val="nil"/>
              <w:bottom w:val="single" w:sz="8" w:space="0" w:color="000000"/>
              <w:right w:val="single" w:sz="8" w:space="0" w:color="000000"/>
            </w:tcBorders>
            <w:shd w:val="clear" w:color="000000" w:fill="auto"/>
            <w:vAlign w:val="center"/>
          </w:tcPr>
          <w:p w14:paraId="259EB445"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5.3%</w:t>
            </w:r>
          </w:p>
        </w:tc>
        <w:tc>
          <w:tcPr>
            <w:tcW w:w="1266" w:type="pct"/>
            <w:tcBorders>
              <w:top w:val="single" w:sz="8" w:space="0" w:color="000000"/>
              <w:left w:val="nil"/>
              <w:bottom w:val="single" w:sz="8" w:space="0" w:color="000000"/>
              <w:right w:val="single" w:sz="8" w:space="0" w:color="000000"/>
            </w:tcBorders>
            <w:shd w:val="clear" w:color="000000" w:fill="auto"/>
            <w:vAlign w:val="center"/>
          </w:tcPr>
          <w:p w14:paraId="5476707D"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4.7%</w:t>
            </w:r>
          </w:p>
        </w:tc>
      </w:tr>
      <w:tr w:rsidR="00CE1BDB" w:rsidRPr="00FA4DC7" w14:paraId="3416FB7D"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7A49B82A" w14:textId="77777777" w:rsidR="00CE1BDB" w:rsidRPr="00FA4DC7" w:rsidRDefault="00CE1BDB" w:rsidP="005432D2">
            <w:pPr>
              <w:rPr>
                <w:rFonts w:cs="Arial"/>
                <w:color w:val="000000" w:themeColor="text1"/>
                <w:sz w:val="22"/>
                <w:szCs w:val="22"/>
              </w:rPr>
            </w:pPr>
            <w:r w:rsidRPr="00FA4DC7">
              <w:rPr>
                <w:rFonts w:cs="Arial"/>
                <w:color w:val="000000" w:themeColor="text1"/>
              </w:rPr>
              <w:t>Private Rented</w:t>
            </w:r>
          </w:p>
        </w:tc>
        <w:tc>
          <w:tcPr>
            <w:tcW w:w="1121" w:type="pct"/>
            <w:tcBorders>
              <w:top w:val="single" w:sz="8" w:space="0" w:color="000000"/>
              <w:left w:val="nil"/>
              <w:bottom w:val="single" w:sz="8" w:space="0" w:color="000000"/>
              <w:right w:val="single" w:sz="8" w:space="0" w:color="000000"/>
            </w:tcBorders>
            <w:shd w:val="clear" w:color="000000" w:fill="auto"/>
            <w:vAlign w:val="center"/>
          </w:tcPr>
          <w:p w14:paraId="792B2195"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45.1%</w:t>
            </w:r>
          </w:p>
        </w:tc>
        <w:tc>
          <w:tcPr>
            <w:tcW w:w="1455" w:type="pct"/>
            <w:tcBorders>
              <w:top w:val="single" w:sz="8" w:space="0" w:color="000000"/>
              <w:left w:val="nil"/>
              <w:bottom w:val="single" w:sz="8" w:space="0" w:color="000000"/>
              <w:right w:val="single" w:sz="8" w:space="0" w:color="000000"/>
            </w:tcBorders>
            <w:shd w:val="clear" w:color="000000" w:fill="auto"/>
            <w:vAlign w:val="center"/>
          </w:tcPr>
          <w:p w14:paraId="06B45AED"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7.9%</w:t>
            </w:r>
          </w:p>
        </w:tc>
        <w:tc>
          <w:tcPr>
            <w:tcW w:w="1266" w:type="pct"/>
            <w:tcBorders>
              <w:top w:val="single" w:sz="8" w:space="0" w:color="000000"/>
              <w:left w:val="nil"/>
              <w:bottom w:val="single" w:sz="8" w:space="0" w:color="000000"/>
              <w:right w:val="single" w:sz="8" w:space="0" w:color="000000"/>
            </w:tcBorders>
            <w:shd w:val="clear" w:color="000000" w:fill="auto"/>
            <w:vAlign w:val="center"/>
          </w:tcPr>
          <w:p w14:paraId="5010EB12"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5.0%</w:t>
            </w:r>
          </w:p>
        </w:tc>
      </w:tr>
      <w:tr w:rsidR="00CE1BDB" w:rsidRPr="00FA4DC7" w14:paraId="563F4AB0"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70BABE1A" w14:textId="77777777" w:rsidR="00CE1BDB" w:rsidRPr="00FA4DC7" w:rsidRDefault="00CE1BDB" w:rsidP="005432D2">
            <w:pPr>
              <w:rPr>
                <w:rFonts w:cs="Arial"/>
                <w:color w:val="000000" w:themeColor="text1"/>
                <w:sz w:val="22"/>
                <w:szCs w:val="22"/>
              </w:rPr>
            </w:pPr>
            <w:r w:rsidRPr="00FA4DC7">
              <w:rPr>
                <w:rFonts w:cs="Arial"/>
                <w:color w:val="000000" w:themeColor="text1"/>
              </w:rPr>
              <w:t>Affordable</w:t>
            </w:r>
          </w:p>
        </w:tc>
        <w:tc>
          <w:tcPr>
            <w:tcW w:w="1121" w:type="pct"/>
            <w:tcBorders>
              <w:top w:val="single" w:sz="8" w:space="0" w:color="000000"/>
              <w:left w:val="nil"/>
              <w:bottom w:val="single" w:sz="8" w:space="0" w:color="000000"/>
              <w:right w:val="single" w:sz="8" w:space="0" w:color="000000"/>
            </w:tcBorders>
            <w:shd w:val="clear" w:color="000000" w:fill="auto"/>
            <w:vAlign w:val="center"/>
          </w:tcPr>
          <w:p w14:paraId="471BE787"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39.8%</w:t>
            </w:r>
          </w:p>
        </w:tc>
        <w:tc>
          <w:tcPr>
            <w:tcW w:w="1455" w:type="pct"/>
            <w:tcBorders>
              <w:top w:val="single" w:sz="8" w:space="0" w:color="000000"/>
              <w:left w:val="nil"/>
              <w:bottom w:val="single" w:sz="8" w:space="0" w:color="000000"/>
              <w:right w:val="single" w:sz="8" w:space="0" w:color="000000"/>
            </w:tcBorders>
            <w:shd w:val="clear" w:color="000000" w:fill="auto"/>
            <w:vAlign w:val="center"/>
          </w:tcPr>
          <w:p w14:paraId="148DF818"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15.6%</w:t>
            </w:r>
          </w:p>
        </w:tc>
        <w:tc>
          <w:tcPr>
            <w:tcW w:w="1266" w:type="pct"/>
            <w:tcBorders>
              <w:top w:val="single" w:sz="8" w:space="0" w:color="000000"/>
              <w:left w:val="nil"/>
              <w:bottom w:val="single" w:sz="8" w:space="0" w:color="000000"/>
              <w:right w:val="single" w:sz="8" w:space="0" w:color="000000"/>
            </w:tcBorders>
            <w:shd w:val="clear" w:color="000000" w:fill="auto"/>
            <w:vAlign w:val="center"/>
          </w:tcPr>
          <w:p w14:paraId="2573603A"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19.0%</w:t>
            </w:r>
          </w:p>
        </w:tc>
      </w:tr>
      <w:tr w:rsidR="00CE1BDB" w:rsidRPr="00FA4DC7" w14:paraId="003468B0"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tcPr>
          <w:p w14:paraId="552135ED" w14:textId="77777777" w:rsidR="00CE1BDB" w:rsidRPr="00FA4DC7" w:rsidRDefault="00CE1BDB" w:rsidP="005432D2">
            <w:pPr>
              <w:rPr>
                <w:rFonts w:cs="Arial"/>
                <w:b/>
                <w:bCs/>
                <w:color w:val="000000" w:themeColor="text1"/>
                <w:sz w:val="22"/>
                <w:szCs w:val="22"/>
              </w:rPr>
            </w:pPr>
            <w:r w:rsidRPr="00FA4DC7">
              <w:rPr>
                <w:rFonts w:cs="Arial"/>
                <w:b/>
                <w:bCs/>
                <w:color w:val="000000" w:themeColor="text1"/>
                <w:sz w:val="22"/>
                <w:szCs w:val="22"/>
              </w:rPr>
              <w:t>All tenures</w:t>
            </w:r>
          </w:p>
        </w:tc>
        <w:tc>
          <w:tcPr>
            <w:tcW w:w="1121" w:type="pct"/>
            <w:tcBorders>
              <w:top w:val="single" w:sz="8" w:space="0" w:color="000000"/>
              <w:left w:val="nil"/>
              <w:bottom w:val="single" w:sz="8" w:space="0" w:color="000000"/>
              <w:right w:val="single" w:sz="8" w:space="0" w:color="000000"/>
            </w:tcBorders>
            <w:shd w:val="clear" w:color="000000" w:fill="auto"/>
            <w:vAlign w:val="center"/>
          </w:tcPr>
          <w:p w14:paraId="761EA5D4" w14:textId="77777777" w:rsidR="00CE1BDB" w:rsidRPr="00FA4DC7" w:rsidRDefault="00CE1BDB" w:rsidP="00EF49A7">
            <w:pPr>
              <w:jc w:val="center"/>
              <w:rPr>
                <w:rFonts w:cs="Arial"/>
                <w:b/>
                <w:bCs/>
                <w:color w:val="000000" w:themeColor="text1"/>
                <w:sz w:val="22"/>
                <w:szCs w:val="22"/>
              </w:rPr>
            </w:pPr>
            <w:r w:rsidRPr="00FA4DC7">
              <w:rPr>
                <w:rFonts w:cs="Arial"/>
                <w:b/>
                <w:bCs/>
                <w:color w:val="000000" w:themeColor="text1"/>
                <w:sz w:val="22"/>
                <w:szCs w:val="22"/>
              </w:rPr>
              <w:t>62.8%</w:t>
            </w:r>
          </w:p>
        </w:tc>
        <w:tc>
          <w:tcPr>
            <w:tcW w:w="1455" w:type="pct"/>
            <w:tcBorders>
              <w:top w:val="single" w:sz="8" w:space="0" w:color="000000"/>
              <w:left w:val="nil"/>
              <w:bottom w:val="single" w:sz="8" w:space="0" w:color="000000"/>
              <w:right w:val="single" w:sz="8" w:space="0" w:color="000000"/>
            </w:tcBorders>
            <w:shd w:val="clear" w:color="000000" w:fill="auto"/>
            <w:vAlign w:val="center"/>
          </w:tcPr>
          <w:p w14:paraId="10CCA2F7" w14:textId="77777777" w:rsidR="00CE1BDB" w:rsidRPr="00FA4DC7" w:rsidRDefault="00CE1BDB" w:rsidP="00EF49A7">
            <w:pPr>
              <w:jc w:val="center"/>
              <w:rPr>
                <w:rFonts w:cs="Arial"/>
                <w:b/>
                <w:bCs/>
                <w:color w:val="000000" w:themeColor="text1"/>
                <w:sz w:val="22"/>
                <w:szCs w:val="22"/>
              </w:rPr>
            </w:pPr>
            <w:r w:rsidRPr="00FA4DC7">
              <w:rPr>
                <w:rFonts w:cs="Arial"/>
                <w:b/>
                <w:bCs/>
                <w:color w:val="000000" w:themeColor="text1"/>
                <w:sz w:val="22"/>
                <w:szCs w:val="22"/>
              </w:rPr>
              <w:t>7.6%</w:t>
            </w:r>
          </w:p>
        </w:tc>
        <w:tc>
          <w:tcPr>
            <w:tcW w:w="1266" w:type="pct"/>
            <w:tcBorders>
              <w:top w:val="single" w:sz="8" w:space="0" w:color="000000"/>
              <w:left w:val="nil"/>
              <w:bottom w:val="single" w:sz="8" w:space="0" w:color="000000"/>
              <w:right w:val="single" w:sz="8" w:space="0" w:color="000000"/>
            </w:tcBorders>
            <w:shd w:val="clear" w:color="000000" w:fill="auto"/>
            <w:vAlign w:val="center"/>
          </w:tcPr>
          <w:p w14:paraId="15949568" w14:textId="77777777" w:rsidR="00CE1BDB" w:rsidRPr="00FA4DC7" w:rsidRDefault="00CE1BDB" w:rsidP="00EF49A7">
            <w:pPr>
              <w:jc w:val="center"/>
              <w:rPr>
                <w:rFonts w:cs="Arial"/>
                <w:b/>
                <w:bCs/>
                <w:color w:val="000000" w:themeColor="text1"/>
                <w:sz w:val="22"/>
                <w:szCs w:val="22"/>
              </w:rPr>
            </w:pPr>
            <w:r w:rsidRPr="00FA4DC7">
              <w:rPr>
                <w:rFonts w:cs="Arial"/>
                <w:b/>
                <w:bCs/>
                <w:color w:val="000000" w:themeColor="text1"/>
                <w:sz w:val="22"/>
                <w:szCs w:val="22"/>
              </w:rPr>
              <w:t>7.5%</w:t>
            </w:r>
          </w:p>
        </w:tc>
      </w:tr>
      <w:tr w:rsidR="00CE1BDB" w:rsidRPr="00FA4DC7" w14:paraId="4B32BA14"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tcPr>
          <w:p w14:paraId="75A0DA5C" w14:textId="77777777" w:rsidR="00CE1BDB" w:rsidRPr="00FA4DC7" w:rsidRDefault="00CE1BDB" w:rsidP="005432D2">
            <w:pPr>
              <w:rPr>
                <w:rFonts w:cs="Arial"/>
                <w:color w:val="000000" w:themeColor="text1"/>
                <w:sz w:val="22"/>
                <w:szCs w:val="22"/>
              </w:rPr>
            </w:pPr>
            <w:r w:rsidRPr="00FA4DC7">
              <w:rPr>
                <w:rFonts w:cs="Arial"/>
                <w:color w:val="000000" w:themeColor="text1"/>
                <w:sz w:val="22"/>
                <w:szCs w:val="22"/>
              </w:rPr>
              <w:t>Age of household reference person</w:t>
            </w:r>
          </w:p>
        </w:tc>
        <w:tc>
          <w:tcPr>
            <w:tcW w:w="1121" w:type="pct"/>
            <w:tcBorders>
              <w:top w:val="single" w:sz="8" w:space="0" w:color="000000"/>
              <w:left w:val="nil"/>
              <w:bottom w:val="single" w:sz="8" w:space="0" w:color="000000"/>
              <w:right w:val="single" w:sz="8" w:space="0" w:color="000000"/>
            </w:tcBorders>
            <w:shd w:val="clear" w:color="000000" w:fill="auto"/>
            <w:vAlign w:val="center"/>
          </w:tcPr>
          <w:p w14:paraId="36E604FE"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Yes (%)</w:t>
            </w:r>
          </w:p>
        </w:tc>
        <w:tc>
          <w:tcPr>
            <w:tcW w:w="1455" w:type="pct"/>
            <w:tcBorders>
              <w:top w:val="single" w:sz="8" w:space="0" w:color="000000"/>
              <w:left w:val="nil"/>
              <w:bottom w:val="single" w:sz="8" w:space="0" w:color="000000"/>
              <w:right w:val="single" w:sz="8" w:space="0" w:color="000000"/>
            </w:tcBorders>
            <w:shd w:val="clear" w:color="000000" w:fill="auto"/>
            <w:vAlign w:val="center"/>
          </w:tcPr>
          <w:p w14:paraId="315A5905"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Yes (%)</w:t>
            </w:r>
          </w:p>
        </w:tc>
        <w:tc>
          <w:tcPr>
            <w:tcW w:w="1266" w:type="pct"/>
            <w:tcBorders>
              <w:top w:val="single" w:sz="8" w:space="0" w:color="000000"/>
              <w:left w:val="nil"/>
              <w:bottom w:val="single" w:sz="8" w:space="0" w:color="000000"/>
              <w:right w:val="single" w:sz="8" w:space="0" w:color="000000"/>
            </w:tcBorders>
            <w:shd w:val="clear" w:color="000000" w:fill="auto"/>
            <w:vAlign w:val="center"/>
          </w:tcPr>
          <w:p w14:paraId="7215D900"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Yes (%)</w:t>
            </w:r>
          </w:p>
        </w:tc>
      </w:tr>
      <w:tr w:rsidR="00CE1BDB" w:rsidRPr="00FA4DC7" w14:paraId="135BC189"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74196C73" w14:textId="77777777" w:rsidR="00CE1BDB" w:rsidRPr="00FA4DC7" w:rsidRDefault="00CE1BDB" w:rsidP="005432D2">
            <w:pPr>
              <w:rPr>
                <w:rFonts w:cs="Arial"/>
                <w:color w:val="000000" w:themeColor="text1"/>
                <w:sz w:val="22"/>
                <w:szCs w:val="22"/>
              </w:rPr>
            </w:pPr>
            <w:r w:rsidRPr="00FA4DC7">
              <w:rPr>
                <w:rFonts w:cs="Arial"/>
                <w:color w:val="000000" w:themeColor="text1"/>
              </w:rPr>
              <w:t>Under 65</w:t>
            </w:r>
          </w:p>
        </w:tc>
        <w:tc>
          <w:tcPr>
            <w:tcW w:w="1121" w:type="pct"/>
            <w:tcBorders>
              <w:top w:val="single" w:sz="8" w:space="0" w:color="000000"/>
              <w:left w:val="nil"/>
              <w:bottom w:val="single" w:sz="8" w:space="0" w:color="000000"/>
              <w:right w:val="single" w:sz="8" w:space="0" w:color="000000"/>
            </w:tcBorders>
            <w:shd w:val="clear" w:color="000000" w:fill="auto"/>
            <w:vAlign w:val="bottom"/>
          </w:tcPr>
          <w:p w14:paraId="0E627A28"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59.6%</w:t>
            </w:r>
          </w:p>
        </w:tc>
        <w:tc>
          <w:tcPr>
            <w:tcW w:w="1455" w:type="pct"/>
            <w:tcBorders>
              <w:top w:val="single" w:sz="8" w:space="0" w:color="000000"/>
              <w:left w:val="nil"/>
              <w:bottom w:val="single" w:sz="8" w:space="0" w:color="000000"/>
              <w:right w:val="single" w:sz="8" w:space="0" w:color="000000"/>
            </w:tcBorders>
            <w:shd w:val="clear" w:color="000000" w:fill="auto"/>
            <w:vAlign w:val="bottom"/>
          </w:tcPr>
          <w:p w14:paraId="72F5061A"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6.2%</w:t>
            </w:r>
          </w:p>
        </w:tc>
        <w:tc>
          <w:tcPr>
            <w:tcW w:w="1266" w:type="pct"/>
            <w:tcBorders>
              <w:top w:val="single" w:sz="8" w:space="0" w:color="000000"/>
              <w:left w:val="nil"/>
              <w:bottom w:val="single" w:sz="8" w:space="0" w:color="000000"/>
              <w:right w:val="single" w:sz="8" w:space="0" w:color="000000"/>
            </w:tcBorders>
            <w:shd w:val="clear" w:color="000000" w:fill="auto"/>
            <w:vAlign w:val="bottom"/>
          </w:tcPr>
          <w:p w14:paraId="3CF80EC7"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5.8%</w:t>
            </w:r>
          </w:p>
        </w:tc>
      </w:tr>
      <w:tr w:rsidR="00CE1BDB" w:rsidRPr="00FA4DC7" w14:paraId="7DC98F3A"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421C650F" w14:textId="77777777" w:rsidR="00CE1BDB" w:rsidRPr="00FA4DC7" w:rsidRDefault="00CE1BDB" w:rsidP="005432D2">
            <w:pPr>
              <w:rPr>
                <w:rFonts w:cs="Arial"/>
                <w:color w:val="000000" w:themeColor="text1"/>
                <w:sz w:val="22"/>
                <w:szCs w:val="22"/>
              </w:rPr>
            </w:pPr>
            <w:r w:rsidRPr="00FA4DC7">
              <w:rPr>
                <w:rFonts w:cs="Arial"/>
                <w:color w:val="000000" w:themeColor="text1"/>
              </w:rPr>
              <w:t>65 to 74</w:t>
            </w:r>
          </w:p>
        </w:tc>
        <w:tc>
          <w:tcPr>
            <w:tcW w:w="1121" w:type="pct"/>
            <w:tcBorders>
              <w:top w:val="single" w:sz="8" w:space="0" w:color="000000"/>
              <w:left w:val="nil"/>
              <w:bottom w:val="single" w:sz="8" w:space="0" w:color="000000"/>
              <w:right w:val="single" w:sz="8" w:space="0" w:color="000000"/>
            </w:tcBorders>
            <w:shd w:val="clear" w:color="000000" w:fill="auto"/>
            <w:vAlign w:val="bottom"/>
          </w:tcPr>
          <w:p w14:paraId="565DC471"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73.9%</w:t>
            </w:r>
          </w:p>
        </w:tc>
        <w:tc>
          <w:tcPr>
            <w:tcW w:w="1455" w:type="pct"/>
            <w:tcBorders>
              <w:top w:val="single" w:sz="8" w:space="0" w:color="000000"/>
              <w:left w:val="nil"/>
              <w:bottom w:val="single" w:sz="8" w:space="0" w:color="000000"/>
              <w:right w:val="single" w:sz="8" w:space="0" w:color="000000"/>
            </w:tcBorders>
            <w:shd w:val="clear" w:color="000000" w:fill="auto"/>
            <w:vAlign w:val="bottom"/>
          </w:tcPr>
          <w:p w14:paraId="664614A4"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7.4%</w:t>
            </w:r>
          </w:p>
        </w:tc>
        <w:tc>
          <w:tcPr>
            <w:tcW w:w="1266" w:type="pct"/>
            <w:tcBorders>
              <w:top w:val="single" w:sz="8" w:space="0" w:color="000000"/>
              <w:left w:val="nil"/>
              <w:bottom w:val="single" w:sz="8" w:space="0" w:color="000000"/>
              <w:right w:val="single" w:sz="8" w:space="0" w:color="000000"/>
            </w:tcBorders>
            <w:shd w:val="clear" w:color="000000" w:fill="auto"/>
            <w:vAlign w:val="bottom"/>
          </w:tcPr>
          <w:p w14:paraId="2992BF81"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10.4%</w:t>
            </w:r>
          </w:p>
        </w:tc>
      </w:tr>
      <w:tr w:rsidR="00CE1BDB" w:rsidRPr="00FA4DC7" w14:paraId="426DB8F0"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38889C55" w14:textId="77777777" w:rsidR="00CE1BDB" w:rsidRPr="00FA4DC7" w:rsidRDefault="00CE1BDB" w:rsidP="005432D2">
            <w:pPr>
              <w:rPr>
                <w:rFonts w:cs="Arial"/>
                <w:color w:val="000000" w:themeColor="text1"/>
                <w:sz w:val="22"/>
                <w:szCs w:val="22"/>
              </w:rPr>
            </w:pPr>
            <w:r w:rsidRPr="00FA4DC7">
              <w:rPr>
                <w:rFonts w:cs="Arial"/>
                <w:color w:val="000000" w:themeColor="text1"/>
              </w:rPr>
              <w:t>75 to 84</w:t>
            </w:r>
          </w:p>
        </w:tc>
        <w:tc>
          <w:tcPr>
            <w:tcW w:w="1121" w:type="pct"/>
            <w:tcBorders>
              <w:top w:val="single" w:sz="8" w:space="0" w:color="000000"/>
              <w:left w:val="nil"/>
              <w:bottom w:val="single" w:sz="8" w:space="0" w:color="000000"/>
              <w:right w:val="single" w:sz="8" w:space="0" w:color="000000"/>
            </w:tcBorders>
            <w:shd w:val="clear" w:color="000000" w:fill="auto"/>
            <w:vAlign w:val="bottom"/>
          </w:tcPr>
          <w:p w14:paraId="6BE230E2"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71.2%</w:t>
            </w:r>
          </w:p>
        </w:tc>
        <w:tc>
          <w:tcPr>
            <w:tcW w:w="1455" w:type="pct"/>
            <w:tcBorders>
              <w:top w:val="single" w:sz="8" w:space="0" w:color="000000"/>
              <w:left w:val="nil"/>
              <w:bottom w:val="single" w:sz="8" w:space="0" w:color="000000"/>
              <w:right w:val="single" w:sz="8" w:space="0" w:color="000000"/>
            </w:tcBorders>
            <w:shd w:val="clear" w:color="000000" w:fill="auto"/>
            <w:vAlign w:val="bottom"/>
          </w:tcPr>
          <w:p w14:paraId="5F7A3D4B"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12.6%</w:t>
            </w:r>
          </w:p>
        </w:tc>
        <w:tc>
          <w:tcPr>
            <w:tcW w:w="1266" w:type="pct"/>
            <w:tcBorders>
              <w:top w:val="single" w:sz="8" w:space="0" w:color="000000"/>
              <w:left w:val="nil"/>
              <w:bottom w:val="single" w:sz="8" w:space="0" w:color="000000"/>
              <w:right w:val="single" w:sz="8" w:space="0" w:color="000000"/>
            </w:tcBorders>
            <w:shd w:val="clear" w:color="000000" w:fill="auto"/>
            <w:vAlign w:val="bottom"/>
          </w:tcPr>
          <w:p w14:paraId="6F8E555D"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14.8%</w:t>
            </w:r>
          </w:p>
        </w:tc>
      </w:tr>
      <w:tr w:rsidR="00CE1BDB" w:rsidRPr="00FA4DC7" w14:paraId="107E0500"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065C9540" w14:textId="77777777" w:rsidR="00CE1BDB" w:rsidRPr="00FA4DC7" w:rsidRDefault="00CE1BDB" w:rsidP="005432D2">
            <w:pPr>
              <w:rPr>
                <w:rFonts w:cs="Arial"/>
                <w:color w:val="000000" w:themeColor="text1"/>
                <w:sz w:val="22"/>
                <w:szCs w:val="22"/>
              </w:rPr>
            </w:pPr>
            <w:r w:rsidRPr="00FA4DC7">
              <w:rPr>
                <w:rFonts w:cs="Arial"/>
                <w:color w:val="000000" w:themeColor="text1"/>
              </w:rPr>
              <w:t>85 and over</w:t>
            </w:r>
          </w:p>
        </w:tc>
        <w:tc>
          <w:tcPr>
            <w:tcW w:w="1121" w:type="pct"/>
            <w:tcBorders>
              <w:top w:val="single" w:sz="8" w:space="0" w:color="000000"/>
              <w:left w:val="nil"/>
              <w:bottom w:val="single" w:sz="8" w:space="0" w:color="000000"/>
              <w:right w:val="single" w:sz="8" w:space="0" w:color="000000"/>
            </w:tcBorders>
            <w:shd w:val="clear" w:color="000000" w:fill="auto"/>
            <w:vAlign w:val="bottom"/>
          </w:tcPr>
          <w:p w14:paraId="28D6655C"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71.2%</w:t>
            </w:r>
          </w:p>
        </w:tc>
        <w:tc>
          <w:tcPr>
            <w:tcW w:w="1455" w:type="pct"/>
            <w:tcBorders>
              <w:top w:val="single" w:sz="8" w:space="0" w:color="000000"/>
              <w:left w:val="nil"/>
              <w:bottom w:val="single" w:sz="8" w:space="0" w:color="000000"/>
              <w:right w:val="single" w:sz="8" w:space="0" w:color="000000"/>
            </w:tcBorders>
            <w:shd w:val="clear" w:color="000000" w:fill="auto"/>
            <w:vAlign w:val="bottom"/>
          </w:tcPr>
          <w:p w14:paraId="43FB3B3C"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31.2%</w:t>
            </w:r>
          </w:p>
        </w:tc>
        <w:tc>
          <w:tcPr>
            <w:tcW w:w="1266" w:type="pct"/>
            <w:tcBorders>
              <w:top w:val="single" w:sz="8" w:space="0" w:color="000000"/>
              <w:left w:val="nil"/>
              <w:bottom w:val="single" w:sz="8" w:space="0" w:color="000000"/>
              <w:right w:val="single" w:sz="8" w:space="0" w:color="000000"/>
            </w:tcBorders>
            <w:shd w:val="clear" w:color="000000" w:fill="auto"/>
            <w:vAlign w:val="bottom"/>
          </w:tcPr>
          <w:p w14:paraId="181C4B36" w14:textId="77777777" w:rsidR="00CE1BDB" w:rsidRPr="00FA4DC7" w:rsidRDefault="00CE1BDB" w:rsidP="00EF49A7">
            <w:pPr>
              <w:jc w:val="center"/>
              <w:rPr>
                <w:rFonts w:cs="Arial"/>
                <w:color w:val="000000" w:themeColor="text1"/>
                <w:sz w:val="22"/>
                <w:szCs w:val="22"/>
              </w:rPr>
            </w:pPr>
            <w:r w:rsidRPr="00FA4DC7">
              <w:rPr>
                <w:rFonts w:cs="Arial"/>
                <w:color w:val="000000" w:themeColor="text1"/>
                <w:sz w:val="22"/>
                <w:szCs w:val="22"/>
              </w:rPr>
              <w:t>25.5%</w:t>
            </w:r>
          </w:p>
        </w:tc>
      </w:tr>
      <w:tr w:rsidR="00CE1BDB" w:rsidRPr="00FA4DC7" w14:paraId="6A9B2795" w14:textId="77777777" w:rsidTr="005432D2">
        <w:tc>
          <w:tcPr>
            <w:tcW w:w="1158" w:type="pct"/>
            <w:tcBorders>
              <w:top w:val="single" w:sz="8" w:space="0" w:color="000000"/>
              <w:left w:val="single" w:sz="8" w:space="0" w:color="000000"/>
              <w:bottom w:val="single" w:sz="8" w:space="0" w:color="000000"/>
              <w:right w:val="single" w:sz="8" w:space="0" w:color="000000"/>
            </w:tcBorders>
            <w:shd w:val="clear" w:color="000000" w:fill="auto"/>
            <w:vAlign w:val="bottom"/>
          </w:tcPr>
          <w:p w14:paraId="4D92952F" w14:textId="77777777" w:rsidR="00CE1BDB" w:rsidRPr="00FA4DC7" w:rsidRDefault="00CE1BDB" w:rsidP="005432D2">
            <w:pPr>
              <w:rPr>
                <w:rFonts w:cs="Arial"/>
                <w:b/>
                <w:bCs/>
                <w:color w:val="000000" w:themeColor="text1"/>
              </w:rPr>
            </w:pPr>
            <w:r w:rsidRPr="00FA4DC7">
              <w:rPr>
                <w:rFonts w:cs="Arial"/>
                <w:b/>
                <w:bCs/>
                <w:color w:val="000000" w:themeColor="text1"/>
              </w:rPr>
              <w:t>All age groups</w:t>
            </w:r>
          </w:p>
        </w:tc>
        <w:tc>
          <w:tcPr>
            <w:tcW w:w="1121" w:type="pct"/>
            <w:tcBorders>
              <w:top w:val="single" w:sz="8" w:space="0" w:color="000000"/>
              <w:left w:val="nil"/>
              <w:bottom w:val="single" w:sz="8" w:space="0" w:color="000000"/>
              <w:right w:val="single" w:sz="8" w:space="0" w:color="000000"/>
            </w:tcBorders>
            <w:shd w:val="clear" w:color="000000" w:fill="auto"/>
            <w:vAlign w:val="center"/>
          </w:tcPr>
          <w:p w14:paraId="0B721128" w14:textId="77777777" w:rsidR="00CE1BDB" w:rsidRPr="00FA4DC7" w:rsidRDefault="00CE1BDB" w:rsidP="00EF49A7">
            <w:pPr>
              <w:jc w:val="center"/>
              <w:rPr>
                <w:rFonts w:cs="Arial"/>
                <w:b/>
                <w:bCs/>
                <w:color w:val="000000" w:themeColor="text1"/>
                <w:sz w:val="22"/>
                <w:szCs w:val="22"/>
              </w:rPr>
            </w:pPr>
            <w:r w:rsidRPr="00FA4DC7">
              <w:rPr>
                <w:rFonts w:cs="Arial"/>
                <w:b/>
                <w:bCs/>
                <w:color w:val="000000" w:themeColor="text1"/>
                <w:sz w:val="22"/>
                <w:szCs w:val="22"/>
              </w:rPr>
              <w:t>62.8%</w:t>
            </w:r>
          </w:p>
        </w:tc>
        <w:tc>
          <w:tcPr>
            <w:tcW w:w="1455" w:type="pct"/>
            <w:tcBorders>
              <w:top w:val="single" w:sz="8" w:space="0" w:color="000000"/>
              <w:left w:val="nil"/>
              <w:bottom w:val="single" w:sz="8" w:space="0" w:color="000000"/>
              <w:right w:val="single" w:sz="8" w:space="0" w:color="000000"/>
            </w:tcBorders>
            <w:shd w:val="clear" w:color="000000" w:fill="auto"/>
            <w:vAlign w:val="center"/>
          </w:tcPr>
          <w:p w14:paraId="3208E048" w14:textId="77777777" w:rsidR="00CE1BDB" w:rsidRPr="00FA4DC7" w:rsidRDefault="00CE1BDB" w:rsidP="00EF49A7">
            <w:pPr>
              <w:jc w:val="center"/>
              <w:rPr>
                <w:rFonts w:cs="Arial"/>
                <w:b/>
                <w:bCs/>
                <w:color w:val="000000" w:themeColor="text1"/>
                <w:sz w:val="22"/>
                <w:szCs w:val="22"/>
              </w:rPr>
            </w:pPr>
            <w:r w:rsidRPr="00FA4DC7">
              <w:rPr>
                <w:rFonts w:cs="Arial"/>
                <w:b/>
                <w:bCs/>
                <w:color w:val="000000" w:themeColor="text1"/>
                <w:sz w:val="22"/>
                <w:szCs w:val="22"/>
              </w:rPr>
              <w:t>7.6%</w:t>
            </w:r>
          </w:p>
        </w:tc>
        <w:tc>
          <w:tcPr>
            <w:tcW w:w="1266" w:type="pct"/>
            <w:tcBorders>
              <w:top w:val="single" w:sz="8" w:space="0" w:color="000000"/>
              <w:left w:val="nil"/>
              <w:bottom w:val="single" w:sz="8" w:space="0" w:color="000000"/>
              <w:right w:val="single" w:sz="8" w:space="0" w:color="000000"/>
            </w:tcBorders>
            <w:shd w:val="clear" w:color="000000" w:fill="auto"/>
            <w:vAlign w:val="center"/>
          </w:tcPr>
          <w:p w14:paraId="1990FF34" w14:textId="77777777" w:rsidR="00CE1BDB" w:rsidRPr="00FA4DC7" w:rsidRDefault="00CE1BDB" w:rsidP="00EF49A7">
            <w:pPr>
              <w:jc w:val="center"/>
              <w:rPr>
                <w:rFonts w:cs="Arial"/>
                <w:b/>
                <w:bCs/>
                <w:color w:val="000000" w:themeColor="text1"/>
                <w:sz w:val="22"/>
                <w:szCs w:val="22"/>
              </w:rPr>
            </w:pPr>
            <w:r w:rsidRPr="00FA4DC7">
              <w:rPr>
                <w:rFonts w:cs="Arial"/>
                <w:b/>
                <w:bCs/>
                <w:color w:val="000000" w:themeColor="text1"/>
                <w:sz w:val="22"/>
                <w:szCs w:val="22"/>
              </w:rPr>
              <w:t>7.5%</w:t>
            </w:r>
          </w:p>
        </w:tc>
      </w:tr>
    </w:tbl>
    <w:p w14:paraId="5D4A7A16" w14:textId="77777777" w:rsidR="00CE1BDB" w:rsidRPr="00FA4DC7" w:rsidRDefault="00CE1BDB" w:rsidP="005432D2">
      <w:pPr>
        <w:pStyle w:val="Reporttext"/>
        <w:numPr>
          <w:ilvl w:val="0"/>
          <w:numId w:val="0"/>
        </w:numPr>
        <w:ind w:left="709" w:hanging="709"/>
        <w:rPr>
          <w:rFonts w:cs="Arial"/>
        </w:rPr>
      </w:pPr>
      <w:r w:rsidRPr="00FA4DC7">
        <w:rPr>
          <w:rFonts w:cs="Arial"/>
        </w:rPr>
        <w:t>Source: arc4 database</w:t>
      </w:r>
    </w:p>
    <w:p w14:paraId="0D3A7A9B" w14:textId="77777777" w:rsidR="00CE1BDB" w:rsidRPr="00FA4DC7" w:rsidRDefault="00CE1BDB" w:rsidP="00CE1BDB">
      <w:pPr>
        <w:pStyle w:val="Reporttext"/>
        <w:numPr>
          <w:ilvl w:val="0"/>
          <w:numId w:val="0"/>
        </w:numPr>
        <w:ind w:left="709"/>
        <w:rPr>
          <w:rFonts w:cs="Arial"/>
        </w:rPr>
      </w:pPr>
    </w:p>
    <w:p w14:paraId="177E5345" w14:textId="77777777" w:rsidR="00CE1BDB" w:rsidRPr="00FA4DC7" w:rsidRDefault="00CE1BDB" w:rsidP="00CE1BDB">
      <w:pPr>
        <w:pStyle w:val="Heading3"/>
        <w:rPr>
          <w:rFonts w:cs="Arial"/>
        </w:rPr>
      </w:pPr>
      <w:r w:rsidRPr="00FA4DC7">
        <w:rPr>
          <w:rFonts w:cs="Arial"/>
        </w:rPr>
        <w:t>Estimating future need for adaptations and home improvement</w:t>
      </w:r>
    </w:p>
    <w:p w14:paraId="644D3211" w14:textId="77777777" w:rsidR="00CE1BDB" w:rsidRPr="00FA4DC7" w:rsidRDefault="00CE1BDB" w:rsidP="00CE1BDB">
      <w:pPr>
        <w:pStyle w:val="Reporttext"/>
        <w:rPr>
          <w:rFonts w:cs="Arial"/>
        </w:rPr>
      </w:pPr>
      <w:r w:rsidRPr="00FA4DC7">
        <w:rPr>
          <w:rFonts w:cs="Arial"/>
        </w:rPr>
        <w:t xml:space="preserve">The arc4 national database provides evidence of the range of adaptations and home improvements needs based on the age group of the household reference person (Table 5.9). </w:t>
      </w:r>
    </w:p>
    <w:p w14:paraId="00869244" w14:textId="77777777" w:rsidR="00CE1BDB" w:rsidRPr="00FA4DC7" w:rsidRDefault="00CE1BDB" w:rsidP="00CE1BDB">
      <w:pPr>
        <w:pStyle w:val="Reporttext"/>
        <w:rPr>
          <w:rFonts w:cs="Arial"/>
        </w:rPr>
      </w:pPr>
      <w:r w:rsidRPr="00FA4DC7">
        <w:rPr>
          <w:rFonts w:cs="Arial"/>
        </w:rPr>
        <w:t xml:space="preserve">Better heating, more insulation and double glazing were most frequently mentioned improvements needed, particularly amongst under 65 households. The need for a downstairs toilet was mentioned by older groups. </w:t>
      </w:r>
    </w:p>
    <w:p w14:paraId="45A5F73F" w14:textId="77777777" w:rsidR="00CE1BDB" w:rsidRPr="00FA4DC7" w:rsidRDefault="00CE1BDB" w:rsidP="00CE1BDB">
      <w:pPr>
        <w:pStyle w:val="Reporttext"/>
        <w:rPr>
          <w:rFonts w:cs="Arial"/>
        </w:rPr>
      </w:pPr>
      <w:r w:rsidRPr="00FA4DC7">
        <w:rPr>
          <w:rFonts w:cs="Arial"/>
        </w:rPr>
        <w:t xml:space="preserve">Regarding adaptations, these were mainly mentioned by older households and most frequently mentioned were bathroom adaptations, internal and external handrails/grabrails and kitchen adaptations. The need for adaptations was generally highest amongst the 75+ age group. </w:t>
      </w:r>
    </w:p>
    <w:p w14:paraId="0B0AFCBD" w14:textId="77777777" w:rsidR="00CE1BDB" w:rsidRPr="00FA4DC7" w:rsidRDefault="00CE1BDB" w:rsidP="00CE1BDB">
      <w:pPr>
        <w:pStyle w:val="Reporttext"/>
        <w:rPr>
          <w:rFonts w:cs="Arial"/>
        </w:rPr>
      </w:pPr>
      <w:r w:rsidRPr="00FA4DC7">
        <w:rPr>
          <w:rFonts w:cs="Arial"/>
        </w:rPr>
        <w:t xml:space="preserve">These requirements are self-determined by residents responding to the household survey and may not necessarily reflect actual requirements following an independent assessment in the home. </w:t>
      </w:r>
    </w:p>
    <w:p w14:paraId="3F8E9D3A" w14:textId="77777777" w:rsidR="00CE1BDB" w:rsidRPr="00FA4DC7" w:rsidRDefault="00CE1BDB" w:rsidP="00CE1BDB">
      <w:pPr>
        <w:pStyle w:val="Reporttext"/>
        <w:numPr>
          <w:ilvl w:val="0"/>
          <w:numId w:val="0"/>
        </w:numPr>
        <w:rPr>
          <w:rFonts w:cs="Arial"/>
          <w:highlight w:val="yellow"/>
        </w:rPr>
      </w:pPr>
    </w:p>
    <w:p w14:paraId="5D32873F" w14:textId="2054DF65" w:rsidR="005432D2" w:rsidRDefault="005432D2">
      <w:pPr>
        <w:rPr>
          <w:rFonts w:cs="Arial"/>
          <w:highlight w:val="yellow"/>
          <w:lang w:eastAsia="en-US"/>
        </w:rPr>
      </w:pPr>
      <w:r>
        <w:rPr>
          <w:rFonts w:cs="Arial"/>
          <w:highlight w:val="yellow"/>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915"/>
        <w:gridCol w:w="1074"/>
        <w:gridCol w:w="1102"/>
        <w:gridCol w:w="960"/>
        <w:gridCol w:w="1024"/>
        <w:gridCol w:w="1105"/>
      </w:tblGrid>
      <w:tr w:rsidR="00CE1BDB" w:rsidRPr="00FA4DC7" w14:paraId="2FACB465" w14:textId="77777777" w:rsidTr="005432D2">
        <w:trPr>
          <w:trHeight w:val="340"/>
        </w:trPr>
        <w:tc>
          <w:tcPr>
            <w:tcW w:w="5000" w:type="pct"/>
            <w:gridSpan w:val="6"/>
            <w:shd w:val="clear" w:color="auto" w:fill="006666"/>
            <w:vAlign w:val="center"/>
            <w:hideMark/>
          </w:tcPr>
          <w:p w14:paraId="7993A1A2" w14:textId="77777777" w:rsidR="00CE1BDB" w:rsidRPr="00FA4DC7" w:rsidRDefault="00CE1BDB" w:rsidP="00EF49A7">
            <w:pPr>
              <w:pStyle w:val="Tableheading1"/>
              <w:rPr>
                <w:rFonts w:cs="Arial"/>
                <w:b w:val="0"/>
                <w:bCs w:val="0"/>
                <w:color w:val="FFFFFF"/>
                <w:szCs w:val="22"/>
              </w:rPr>
            </w:pPr>
            <w:bookmarkStart w:id="388" w:name="RANGE!L94"/>
            <w:bookmarkStart w:id="389" w:name="_Toc83036110"/>
            <w:r w:rsidRPr="00FA4DC7">
              <w:rPr>
                <w:rFonts w:cs="Arial"/>
                <w:szCs w:val="22"/>
              </w:rPr>
              <w:lastRenderedPageBreak/>
              <w:t>Table 5.9</w:t>
            </w:r>
            <w:r w:rsidRPr="00FA4DC7">
              <w:rPr>
                <w:rFonts w:cs="Arial"/>
                <w:color w:val="FFFFFF"/>
                <w:szCs w:val="22"/>
              </w:rPr>
              <w:t xml:space="preserve"> </w:t>
            </w:r>
            <w:r w:rsidRPr="00FA4DC7">
              <w:rPr>
                <w:rFonts w:cs="Arial"/>
                <w:color w:val="FFFFFF"/>
                <w:szCs w:val="22"/>
              </w:rPr>
              <w:tab/>
              <w:t>Adaptations and home improvements required by age group</w:t>
            </w:r>
            <w:bookmarkEnd w:id="388"/>
            <w:bookmarkEnd w:id="389"/>
            <w:r w:rsidRPr="00FA4DC7">
              <w:rPr>
                <w:rFonts w:cs="Arial"/>
                <w:b w:val="0"/>
                <w:bCs w:val="0"/>
                <w:color w:val="FFFFFF"/>
                <w:szCs w:val="22"/>
              </w:rPr>
              <w:t> </w:t>
            </w:r>
          </w:p>
        </w:tc>
      </w:tr>
      <w:tr w:rsidR="00CE1BDB" w:rsidRPr="00FA4DC7" w14:paraId="054ACC6B" w14:textId="77777777" w:rsidTr="005432D2">
        <w:trPr>
          <w:trHeight w:val="340"/>
        </w:trPr>
        <w:tc>
          <w:tcPr>
            <w:tcW w:w="2132" w:type="pct"/>
            <w:vMerge w:val="restart"/>
            <w:shd w:val="clear" w:color="auto" w:fill="006666"/>
            <w:vAlign w:val="bottom"/>
            <w:hideMark/>
          </w:tcPr>
          <w:p w14:paraId="0F9159F1" w14:textId="77777777" w:rsidR="00CE1BDB" w:rsidRPr="00FA4DC7" w:rsidRDefault="00CE1BDB" w:rsidP="00EF49A7">
            <w:pPr>
              <w:rPr>
                <w:rFonts w:cs="Arial"/>
                <w:b/>
                <w:bCs/>
                <w:color w:val="FFFFFF"/>
                <w:sz w:val="22"/>
                <w:szCs w:val="22"/>
              </w:rPr>
            </w:pPr>
            <w:r w:rsidRPr="00FA4DC7">
              <w:rPr>
                <w:rFonts w:cs="Arial"/>
                <w:b/>
                <w:bCs/>
                <w:color w:val="FFFFFF"/>
                <w:sz w:val="22"/>
                <w:szCs w:val="22"/>
              </w:rPr>
              <w:t>Adaptation/improvement required</w:t>
            </w:r>
          </w:p>
        </w:tc>
        <w:tc>
          <w:tcPr>
            <w:tcW w:w="2266" w:type="pct"/>
            <w:gridSpan w:val="4"/>
            <w:shd w:val="clear" w:color="auto" w:fill="006666"/>
            <w:noWrap/>
            <w:vAlign w:val="bottom"/>
            <w:hideMark/>
          </w:tcPr>
          <w:p w14:paraId="56341E75"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Age group (% of households)</w:t>
            </w:r>
          </w:p>
        </w:tc>
        <w:tc>
          <w:tcPr>
            <w:tcW w:w="602" w:type="pct"/>
            <w:vMerge w:val="restart"/>
            <w:shd w:val="clear" w:color="auto" w:fill="006666"/>
            <w:vAlign w:val="bottom"/>
            <w:hideMark/>
          </w:tcPr>
          <w:p w14:paraId="28815947"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Total</w:t>
            </w:r>
          </w:p>
        </w:tc>
      </w:tr>
      <w:tr w:rsidR="00CE1BDB" w:rsidRPr="00FA4DC7" w14:paraId="4CFE6214" w14:textId="77777777" w:rsidTr="005432D2">
        <w:trPr>
          <w:trHeight w:val="320"/>
        </w:trPr>
        <w:tc>
          <w:tcPr>
            <w:tcW w:w="2132" w:type="pct"/>
            <w:vMerge/>
            <w:shd w:val="clear" w:color="auto" w:fill="006666"/>
            <w:vAlign w:val="center"/>
            <w:hideMark/>
          </w:tcPr>
          <w:p w14:paraId="2190CD42" w14:textId="77777777" w:rsidR="00CE1BDB" w:rsidRPr="00FA4DC7" w:rsidRDefault="00CE1BDB" w:rsidP="00EF49A7">
            <w:pPr>
              <w:rPr>
                <w:rFonts w:cs="Arial"/>
                <w:b/>
                <w:bCs/>
                <w:color w:val="FFFFFF"/>
                <w:sz w:val="22"/>
                <w:szCs w:val="22"/>
              </w:rPr>
            </w:pPr>
          </w:p>
        </w:tc>
        <w:tc>
          <w:tcPr>
            <w:tcW w:w="585" w:type="pct"/>
            <w:shd w:val="clear" w:color="auto" w:fill="006666"/>
            <w:noWrap/>
            <w:vAlign w:val="bottom"/>
            <w:hideMark/>
          </w:tcPr>
          <w:p w14:paraId="4B1F3325" w14:textId="77777777" w:rsidR="00CE1BDB" w:rsidRPr="00FA4DC7" w:rsidRDefault="00CE1BDB" w:rsidP="00EF49A7">
            <w:pPr>
              <w:jc w:val="center"/>
              <w:rPr>
                <w:rFonts w:cs="Arial"/>
                <w:color w:val="FFFFFF"/>
                <w:sz w:val="22"/>
                <w:szCs w:val="22"/>
              </w:rPr>
            </w:pPr>
            <w:r w:rsidRPr="00FA4DC7">
              <w:rPr>
                <w:rFonts w:cs="Arial"/>
                <w:color w:val="FFFFFF"/>
                <w:sz w:val="22"/>
                <w:szCs w:val="22"/>
              </w:rPr>
              <w:t>Under 45</w:t>
            </w:r>
          </w:p>
        </w:tc>
        <w:tc>
          <w:tcPr>
            <w:tcW w:w="600" w:type="pct"/>
            <w:shd w:val="clear" w:color="auto" w:fill="006666"/>
            <w:noWrap/>
            <w:vAlign w:val="bottom"/>
            <w:hideMark/>
          </w:tcPr>
          <w:p w14:paraId="06F9E7F0" w14:textId="77777777" w:rsidR="00CE1BDB" w:rsidRPr="00FA4DC7" w:rsidRDefault="00CE1BDB" w:rsidP="00EF49A7">
            <w:pPr>
              <w:jc w:val="center"/>
              <w:rPr>
                <w:rFonts w:cs="Arial"/>
                <w:color w:val="FFFFFF"/>
                <w:sz w:val="22"/>
                <w:szCs w:val="22"/>
              </w:rPr>
            </w:pPr>
            <w:r w:rsidRPr="00FA4DC7">
              <w:rPr>
                <w:rFonts w:cs="Arial"/>
                <w:color w:val="FFFFFF"/>
                <w:sz w:val="22"/>
                <w:szCs w:val="22"/>
              </w:rPr>
              <w:t>45-64</w:t>
            </w:r>
          </w:p>
        </w:tc>
        <w:tc>
          <w:tcPr>
            <w:tcW w:w="523" w:type="pct"/>
            <w:shd w:val="clear" w:color="auto" w:fill="006666"/>
            <w:noWrap/>
            <w:vAlign w:val="bottom"/>
            <w:hideMark/>
          </w:tcPr>
          <w:p w14:paraId="3C439F54" w14:textId="77777777" w:rsidR="00CE1BDB" w:rsidRPr="00FA4DC7" w:rsidRDefault="00CE1BDB" w:rsidP="00EF49A7">
            <w:pPr>
              <w:jc w:val="center"/>
              <w:rPr>
                <w:rFonts w:cs="Arial"/>
                <w:color w:val="FFFFFF"/>
                <w:sz w:val="22"/>
                <w:szCs w:val="22"/>
              </w:rPr>
            </w:pPr>
            <w:r w:rsidRPr="00FA4DC7">
              <w:rPr>
                <w:rFonts w:cs="Arial"/>
                <w:color w:val="FFFFFF"/>
                <w:sz w:val="22"/>
                <w:szCs w:val="22"/>
              </w:rPr>
              <w:t>65-74</w:t>
            </w:r>
          </w:p>
        </w:tc>
        <w:tc>
          <w:tcPr>
            <w:tcW w:w="558" w:type="pct"/>
            <w:shd w:val="clear" w:color="auto" w:fill="006666"/>
            <w:noWrap/>
            <w:vAlign w:val="bottom"/>
            <w:hideMark/>
          </w:tcPr>
          <w:p w14:paraId="09443BC0" w14:textId="77777777" w:rsidR="00CE1BDB" w:rsidRPr="00FA4DC7" w:rsidRDefault="00CE1BDB" w:rsidP="00EF49A7">
            <w:pPr>
              <w:jc w:val="center"/>
              <w:rPr>
                <w:rFonts w:cs="Arial"/>
                <w:color w:val="FFFFFF"/>
                <w:sz w:val="22"/>
                <w:szCs w:val="22"/>
              </w:rPr>
            </w:pPr>
            <w:r w:rsidRPr="00FA4DC7">
              <w:rPr>
                <w:rFonts w:cs="Arial"/>
                <w:color w:val="FFFFFF"/>
                <w:sz w:val="22"/>
                <w:szCs w:val="22"/>
              </w:rPr>
              <w:t>75+</w:t>
            </w:r>
          </w:p>
        </w:tc>
        <w:tc>
          <w:tcPr>
            <w:tcW w:w="602" w:type="pct"/>
            <w:vMerge/>
            <w:shd w:val="clear" w:color="auto" w:fill="006666"/>
            <w:noWrap/>
            <w:vAlign w:val="bottom"/>
            <w:hideMark/>
          </w:tcPr>
          <w:p w14:paraId="19B4ED40" w14:textId="77777777" w:rsidR="00CE1BDB" w:rsidRPr="00FA4DC7" w:rsidRDefault="00CE1BDB" w:rsidP="00EF49A7">
            <w:pPr>
              <w:jc w:val="center"/>
              <w:rPr>
                <w:rFonts w:cs="Arial"/>
                <w:color w:val="FFFFFF"/>
                <w:sz w:val="22"/>
                <w:szCs w:val="22"/>
              </w:rPr>
            </w:pPr>
          </w:p>
        </w:tc>
      </w:tr>
      <w:tr w:rsidR="00CE1BDB" w:rsidRPr="00FA4DC7" w14:paraId="28EA1252" w14:textId="77777777" w:rsidTr="005432D2">
        <w:trPr>
          <w:trHeight w:val="320"/>
        </w:trPr>
        <w:tc>
          <w:tcPr>
            <w:tcW w:w="5000" w:type="pct"/>
            <w:gridSpan w:val="6"/>
            <w:shd w:val="clear" w:color="auto" w:fill="auto"/>
            <w:noWrap/>
            <w:vAlign w:val="center"/>
            <w:hideMark/>
          </w:tcPr>
          <w:p w14:paraId="56056B16" w14:textId="77777777" w:rsidR="00CE1BDB" w:rsidRPr="00FA4DC7" w:rsidRDefault="00CE1BDB" w:rsidP="00EF49A7">
            <w:pPr>
              <w:rPr>
                <w:rFonts w:cs="Arial"/>
                <w:color w:val="000000"/>
                <w:sz w:val="22"/>
                <w:szCs w:val="22"/>
              </w:rPr>
            </w:pPr>
            <w:r w:rsidRPr="00FA4DC7">
              <w:rPr>
                <w:rFonts w:cs="Arial"/>
                <w:b/>
                <w:bCs/>
                <w:color w:val="000000"/>
                <w:sz w:val="22"/>
                <w:szCs w:val="22"/>
              </w:rPr>
              <w:t>Home improvement</w:t>
            </w:r>
          </w:p>
        </w:tc>
      </w:tr>
      <w:tr w:rsidR="00CE1BDB" w:rsidRPr="00FA4DC7" w14:paraId="3B25E40A" w14:textId="77777777" w:rsidTr="005432D2">
        <w:trPr>
          <w:trHeight w:val="320"/>
        </w:trPr>
        <w:tc>
          <w:tcPr>
            <w:tcW w:w="2132" w:type="pct"/>
            <w:shd w:val="clear" w:color="000000" w:fill="E2EFDA"/>
            <w:noWrap/>
            <w:vAlign w:val="center"/>
            <w:hideMark/>
          </w:tcPr>
          <w:p w14:paraId="36CD99C6" w14:textId="77777777" w:rsidR="00CE1BDB" w:rsidRPr="00FA4DC7" w:rsidRDefault="00CE1BDB" w:rsidP="00EF49A7">
            <w:pPr>
              <w:rPr>
                <w:rFonts w:cs="Arial"/>
                <w:color w:val="000000"/>
                <w:sz w:val="22"/>
                <w:szCs w:val="22"/>
              </w:rPr>
            </w:pPr>
            <w:r w:rsidRPr="00FA4DC7">
              <w:rPr>
                <w:rFonts w:cs="Arial"/>
                <w:color w:val="000000"/>
                <w:sz w:val="22"/>
                <w:szCs w:val="22"/>
              </w:rPr>
              <w:t>More insulation (loft, wall cavities)</w:t>
            </w:r>
          </w:p>
        </w:tc>
        <w:tc>
          <w:tcPr>
            <w:tcW w:w="585" w:type="pct"/>
            <w:shd w:val="clear" w:color="000000" w:fill="E2EFDA"/>
            <w:noWrap/>
            <w:vAlign w:val="center"/>
            <w:hideMark/>
          </w:tcPr>
          <w:p w14:paraId="08910D6F" w14:textId="77777777" w:rsidR="00CE1BDB" w:rsidRPr="00FA4DC7" w:rsidRDefault="00CE1BDB" w:rsidP="005432D2">
            <w:pPr>
              <w:jc w:val="right"/>
              <w:rPr>
                <w:rFonts w:cs="Arial"/>
                <w:color w:val="000000"/>
                <w:sz w:val="22"/>
                <w:szCs w:val="22"/>
              </w:rPr>
            </w:pPr>
            <w:r w:rsidRPr="00FA4DC7">
              <w:rPr>
                <w:rFonts w:cs="Arial"/>
                <w:color w:val="000000"/>
                <w:sz w:val="22"/>
                <w:szCs w:val="22"/>
              </w:rPr>
              <w:t>26.7%</w:t>
            </w:r>
          </w:p>
        </w:tc>
        <w:tc>
          <w:tcPr>
            <w:tcW w:w="600" w:type="pct"/>
            <w:shd w:val="clear" w:color="000000" w:fill="E2EFDA"/>
            <w:noWrap/>
            <w:vAlign w:val="center"/>
            <w:hideMark/>
          </w:tcPr>
          <w:p w14:paraId="3FBD2042" w14:textId="77777777" w:rsidR="00CE1BDB" w:rsidRPr="00FA4DC7" w:rsidRDefault="00CE1BDB" w:rsidP="005432D2">
            <w:pPr>
              <w:jc w:val="right"/>
              <w:rPr>
                <w:rFonts w:cs="Arial"/>
                <w:color w:val="000000"/>
                <w:sz w:val="22"/>
                <w:szCs w:val="22"/>
              </w:rPr>
            </w:pPr>
            <w:r w:rsidRPr="00FA4DC7">
              <w:rPr>
                <w:rFonts w:cs="Arial"/>
                <w:color w:val="000000"/>
                <w:sz w:val="22"/>
                <w:szCs w:val="22"/>
              </w:rPr>
              <w:t>19.5%</w:t>
            </w:r>
          </w:p>
        </w:tc>
        <w:tc>
          <w:tcPr>
            <w:tcW w:w="523" w:type="pct"/>
            <w:shd w:val="clear" w:color="000000" w:fill="E2EFDA"/>
            <w:noWrap/>
            <w:vAlign w:val="center"/>
            <w:hideMark/>
          </w:tcPr>
          <w:p w14:paraId="558B6203" w14:textId="77777777" w:rsidR="00CE1BDB" w:rsidRPr="00FA4DC7" w:rsidRDefault="00CE1BDB" w:rsidP="005432D2">
            <w:pPr>
              <w:jc w:val="right"/>
              <w:rPr>
                <w:rFonts w:cs="Arial"/>
                <w:color w:val="000000"/>
                <w:sz w:val="22"/>
                <w:szCs w:val="22"/>
              </w:rPr>
            </w:pPr>
            <w:r w:rsidRPr="00FA4DC7">
              <w:rPr>
                <w:rFonts w:cs="Arial"/>
                <w:color w:val="000000"/>
                <w:sz w:val="22"/>
                <w:szCs w:val="22"/>
              </w:rPr>
              <w:t>12.2%</w:t>
            </w:r>
          </w:p>
        </w:tc>
        <w:tc>
          <w:tcPr>
            <w:tcW w:w="558" w:type="pct"/>
            <w:shd w:val="clear" w:color="000000" w:fill="E2EFDA"/>
            <w:noWrap/>
            <w:vAlign w:val="center"/>
            <w:hideMark/>
          </w:tcPr>
          <w:p w14:paraId="5F3BE55B" w14:textId="77777777" w:rsidR="00CE1BDB" w:rsidRPr="00FA4DC7" w:rsidRDefault="00CE1BDB" w:rsidP="005432D2">
            <w:pPr>
              <w:jc w:val="right"/>
              <w:rPr>
                <w:rFonts w:cs="Arial"/>
                <w:color w:val="000000"/>
                <w:sz w:val="22"/>
                <w:szCs w:val="22"/>
              </w:rPr>
            </w:pPr>
            <w:r w:rsidRPr="00FA4DC7">
              <w:rPr>
                <w:rFonts w:cs="Arial"/>
                <w:color w:val="000000"/>
                <w:sz w:val="22"/>
                <w:szCs w:val="22"/>
              </w:rPr>
              <w:t>7.5%</w:t>
            </w:r>
          </w:p>
        </w:tc>
        <w:tc>
          <w:tcPr>
            <w:tcW w:w="602" w:type="pct"/>
            <w:shd w:val="clear" w:color="000000" w:fill="E2EFDA"/>
            <w:noWrap/>
            <w:vAlign w:val="center"/>
            <w:hideMark/>
          </w:tcPr>
          <w:p w14:paraId="17DAACDA" w14:textId="77777777" w:rsidR="00CE1BDB" w:rsidRPr="00FA4DC7" w:rsidRDefault="00CE1BDB" w:rsidP="005432D2">
            <w:pPr>
              <w:jc w:val="right"/>
              <w:rPr>
                <w:rFonts w:cs="Arial"/>
                <w:color w:val="000000"/>
                <w:sz w:val="22"/>
                <w:szCs w:val="22"/>
              </w:rPr>
            </w:pPr>
            <w:r w:rsidRPr="00FA4DC7">
              <w:rPr>
                <w:rFonts w:cs="Arial"/>
                <w:color w:val="000000"/>
                <w:sz w:val="22"/>
                <w:szCs w:val="22"/>
              </w:rPr>
              <w:t>19.2%</w:t>
            </w:r>
          </w:p>
        </w:tc>
      </w:tr>
      <w:tr w:rsidR="00CE1BDB" w:rsidRPr="00FA4DC7" w14:paraId="6B2DA0E7" w14:textId="77777777" w:rsidTr="005432D2">
        <w:trPr>
          <w:trHeight w:val="320"/>
        </w:trPr>
        <w:tc>
          <w:tcPr>
            <w:tcW w:w="2132" w:type="pct"/>
            <w:shd w:val="clear" w:color="000000" w:fill="E2EFDA"/>
            <w:noWrap/>
            <w:vAlign w:val="center"/>
            <w:hideMark/>
          </w:tcPr>
          <w:p w14:paraId="37AA19FE" w14:textId="77777777" w:rsidR="00CE1BDB" w:rsidRPr="00FA4DC7" w:rsidRDefault="00CE1BDB" w:rsidP="00EF49A7">
            <w:pPr>
              <w:rPr>
                <w:rFonts w:cs="Arial"/>
                <w:color w:val="000000"/>
                <w:sz w:val="22"/>
                <w:szCs w:val="22"/>
              </w:rPr>
            </w:pPr>
            <w:r w:rsidRPr="00FA4DC7">
              <w:rPr>
                <w:rFonts w:cs="Arial"/>
                <w:color w:val="000000"/>
                <w:sz w:val="22"/>
                <w:szCs w:val="22"/>
              </w:rPr>
              <w:t>Community alarm service</w:t>
            </w:r>
          </w:p>
        </w:tc>
        <w:tc>
          <w:tcPr>
            <w:tcW w:w="585" w:type="pct"/>
            <w:shd w:val="clear" w:color="000000" w:fill="E2EFDA"/>
            <w:noWrap/>
            <w:vAlign w:val="center"/>
            <w:hideMark/>
          </w:tcPr>
          <w:p w14:paraId="13B3EE42" w14:textId="77777777" w:rsidR="00CE1BDB" w:rsidRPr="00FA4DC7" w:rsidRDefault="00CE1BDB" w:rsidP="005432D2">
            <w:pPr>
              <w:jc w:val="right"/>
              <w:rPr>
                <w:rFonts w:cs="Arial"/>
                <w:color w:val="000000"/>
                <w:sz w:val="22"/>
                <w:szCs w:val="22"/>
              </w:rPr>
            </w:pPr>
            <w:r w:rsidRPr="00FA4DC7">
              <w:rPr>
                <w:rFonts w:cs="Arial"/>
                <w:color w:val="000000"/>
                <w:sz w:val="22"/>
                <w:szCs w:val="22"/>
              </w:rPr>
              <w:t>3.2%</w:t>
            </w:r>
          </w:p>
        </w:tc>
        <w:tc>
          <w:tcPr>
            <w:tcW w:w="600" w:type="pct"/>
            <w:shd w:val="clear" w:color="000000" w:fill="E2EFDA"/>
            <w:noWrap/>
            <w:vAlign w:val="center"/>
            <w:hideMark/>
          </w:tcPr>
          <w:p w14:paraId="78C80A4D" w14:textId="77777777" w:rsidR="00CE1BDB" w:rsidRPr="00FA4DC7" w:rsidRDefault="00CE1BDB" w:rsidP="005432D2">
            <w:pPr>
              <w:jc w:val="right"/>
              <w:rPr>
                <w:rFonts w:cs="Arial"/>
                <w:color w:val="000000"/>
                <w:sz w:val="22"/>
                <w:szCs w:val="22"/>
              </w:rPr>
            </w:pPr>
            <w:r w:rsidRPr="00FA4DC7">
              <w:rPr>
                <w:rFonts w:cs="Arial"/>
                <w:color w:val="000000"/>
                <w:sz w:val="22"/>
                <w:szCs w:val="22"/>
              </w:rPr>
              <w:t>4.0%</w:t>
            </w:r>
          </w:p>
        </w:tc>
        <w:tc>
          <w:tcPr>
            <w:tcW w:w="523" w:type="pct"/>
            <w:shd w:val="clear" w:color="000000" w:fill="E2EFDA"/>
            <w:noWrap/>
            <w:vAlign w:val="center"/>
            <w:hideMark/>
          </w:tcPr>
          <w:p w14:paraId="2D40323F" w14:textId="77777777" w:rsidR="00CE1BDB" w:rsidRPr="00FA4DC7" w:rsidRDefault="00CE1BDB" w:rsidP="005432D2">
            <w:pPr>
              <w:jc w:val="right"/>
              <w:rPr>
                <w:rFonts w:cs="Arial"/>
                <w:color w:val="000000"/>
                <w:sz w:val="22"/>
                <w:szCs w:val="22"/>
              </w:rPr>
            </w:pPr>
            <w:r w:rsidRPr="00FA4DC7">
              <w:rPr>
                <w:rFonts w:cs="Arial"/>
                <w:color w:val="000000"/>
                <w:sz w:val="22"/>
                <w:szCs w:val="22"/>
              </w:rPr>
              <w:t>6.1%</w:t>
            </w:r>
          </w:p>
        </w:tc>
        <w:tc>
          <w:tcPr>
            <w:tcW w:w="558" w:type="pct"/>
            <w:shd w:val="clear" w:color="000000" w:fill="E2EFDA"/>
            <w:noWrap/>
            <w:vAlign w:val="center"/>
            <w:hideMark/>
          </w:tcPr>
          <w:p w14:paraId="12D4618C" w14:textId="77777777" w:rsidR="00CE1BDB" w:rsidRPr="00FA4DC7" w:rsidRDefault="00CE1BDB" w:rsidP="005432D2">
            <w:pPr>
              <w:jc w:val="right"/>
              <w:rPr>
                <w:rFonts w:cs="Arial"/>
                <w:color w:val="000000"/>
                <w:sz w:val="22"/>
                <w:szCs w:val="22"/>
              </w:rPr>
            </w:pPr>
            <w:r w:rsidRPr="00FA4DC7">
              <w:rPr>
                <w:rFonts w:cs="Arial"/>
                <w:color w:val="000000"/>
                <w:sz w:val="22"/>
                <w:szCs w:val="22"/>
              </w:rPr>
              <w:t>11.4%</w:t>
            </w:r>
          </w:p>
        </w:tc>
        <w:tc>
          <w:tcPr>
            <w:tcW w:w="602" w:type="pct"/>
            <w:shd w:val="clear" w:color="000000" w:fill="E2EFDA"/>
            <w:noWrap/>
            <w:vAlign w:val="center"/>
            <w:hideMark/>
          </w:tcPr>
          <w:p w14:paraId="78AEF659" w14:textId="77777777" w:rsidR="00CE1BDB" w:rsidRPr="00FA4DC7" w:rsidRDefault="00CE1BDB" w:rsidP="005432D2">
            <w:pPr>
              <w:jc w:val="right"/>
              <w:rPr>
                <w:rFonts w:cs="Arial"/>
                <w:color w:val="000000"/>
                <w:sz w:val="22"/>
                <w:szCs w:val="22"/>
              </w:rPr>
            </w:pPr>
            <w:r w:rsidRPr="00FA4DC7">
              <w:rPr>
                <w:rFonts w:cs="Arial"/>
                <w:color w:val="000000"/>
                <w:sz w:val="22"/>
                <w:szCs w:val="22"/>
              </w:rPr>
              <w:t>4.9%</w:t>
            </w:r>
          </w:p>
        </w:tc>
      </w:tr>
      <w:tr w:rsidR="00CE1BDB" w:rsidRPr="00FA4DC7" w14:paraId="66564CDA" w14:textId="77777777" w:rsidTr="005432D2">
        <w:trPr>
          <w:trHeight w:val="320"/>
        </w:trPr>
        <w:tc>
          <w:tcPr>
            <w:tcW w:w="2132" w:type="pct"/>
            <w:shd w:val="clear" w:color="000000" w:fill="E2EFDA"/>
            <w:noWrap/>
            <w:vAlign w:val="center"/>
            <w:hideMark/>
          </w:tcPr>
          <w:p w14:paraId="50829F66" w14:textId="77777777" w:rsidR="00CE1BDB" w:rsidRPr="00FA4DC7" w:rsidRDefault="00CE1BDB" w:rsidP="00EF49A7">
            <w:pPr>
              <w:rPr>
                <w:rFonts w:cs="Arial"/>
                <w:color w:val="000000"/>
                <w:sz w:val="22"/>
                <w:szCs w:val="22"/>
              </w:rPr>
            </w:pPr>
            <w:r w:rsidRPr="00FA4DC7">
              <w:rPr>
                <w:rFonts w:cs="Arial"/>
                <w:color w:val="000000"/>
                <w:sz w:val="22"/>
                <w:szCs w:val="22"/>
              </w:rPr>
              <w:t>Better heating</w:t>
            </w:r>
          </w:p>
        </w:tc>
        <w:tc>
          <w:tcPr>
            <w:tcW w:w="585" w:type="pct"/>
            <w:shd w:val="clear" w:color="000000" w:fill="E2EFDA"/>
            <w:noWrap/>
            <w:vAlign w:val="center"/>
            <w:hideMark/>
          </w:tcPr>
          <w:p w14:paraId="3E29F208" w14:textId="77777777" w:rsidR="00CE1BDB" w:rsidRPr="00FA4DC7" w:rsidRDefault="00CE1BDB" w:rsidP="005432D2">
            <w:pPr>
              <w:jc w:val="right"/>
              <w:rPr>
                <w:rFonts w:cs="Arial"/>
                <w:color w:val="000000"/>
                <w:sz w:val="22"/>
                <w:szCs w:val="22"/>
              </w:rPr>
            </w:pPr>
            <w:r w:rsidRPr="00FA4DC7">
              <w:rPr>
                <w:rFonts w:cs="Arial"/>
                <w:color w:val="000000"/>
                <w:sz w:val="22"/>
                <w:szCs w:val="22"/>
              </w:rPr>
              <w:t>24.1%</w:t>
            </w:r>
          </w:p>
        </w:tc>
        <w:tc>
          <w:tcPr>
            <w:tcW w:w="600" w:type="pct"/>
            <w:shd w:val="clear" w:color="000000" w:fill="E2EFDA"/>
            <w:noWrap/>
            <w:vAlign w:val="center"/>
            <w:hideMark/>
          </w:tcPr>
          <w:p w14:paraId="6A36FEE9" w14:textId="77777777" w:rsidR="00CE1BDB" w:rsidRPr="00FA4DC7" w:rsidRDefault="00CE1BDB" w:rsidP="005432D2">
            <w:pPr>
              <w:jc w:val="right"/>
              <w:rPr>
                <w:rFonts w:cs="Arial"/>
                <w:color w:val="000000"/>
                <w:sz w:val="22"/>
                <w:szCs w:val="22"/>
              </w:rPr>
            </w:pPr>
            <w:r w:rsidRPr="00FA4DC7">
              <w:rPr>
                <w:rFonts w:cs="Arial"/>
                <w:color w:val="000000"/>
                <w:sz w:val="22"/>
                <w:szCs w:val="22"/>
              </w:rPr>
              <w:t>21.5%</w:t>
            </w:r>
          </w:p>
        </w:tc>
        <w:tc>
          <w:tcPr>
            <w:tcW w:w="523" w:type="pct"/>
            <w:shd w:val="clear" w:color="000000" w:fill="E2EFDA"/>
            <w:noWrap/>
            <w:vAlign w:val="center"/>
            <w:hideMark/>
          </w:tcPr>
          <w:p w14:paraId="5ADE20F6" w14:textId="77777777" w:rsidR="00CE1BDB" w:rsidRPr="00FA4DC7" w:rsidRDefault="00CE1BDB" w:rsidP="005432D2">
            <w:pPr>
              <w:jc w:val="right"/>
              <w:rPr>
                <w:rFonts w:cs="Arial"/>
                <w:color w:val="000000"/>
                <w:sz w:val="22"/>
                <w:szCs w:val="22"/>
              </w:rPr>
            </w:pPr>
            <w:r w:rsidRPr="00FA4DC7">
              <w:rPr>
                <w:rFonts w:cs="Arial"/>
                <w:color w:val="000000"/>
                <w:sz w:val="22"/>
                <w:szCs w:val="22"/>
              </w:rPr>
              <w:t>15.9%</w:t>
            </w:r>
          </w:p>
        </w:tc>
        <w:tc>
          <w:tcPr>
            <w:tcW w:w="558" w:type="pct"/>
            <w:shd w:val="clear" w:color="000000" w:fill="E2EFDA"/>
            <w:noWrap/>
            <w:vAlign w:val="center"/>
            <w:hideMark/>
          </w:tcPr>
          <w:p w14:paraId="16A361EC" w14:textId="77777777" w:rsidR="00CE1BDB" w:rsidRPr="00FA4DC7" w:rsidRDefault="00CE1BDB" w:rsidP="005432D2">
            <w:pPr>
              <w:jc w:val="right"/>
              <w:rPr>
                <w:rFonts w:cs="Arial"/>
                <w:color w:val="000000"/>
                <w:sz w:val="22"/>
                <w:szCs w:val="22"/>
              </w:rPr>
            </w:pPr>
            <w:r w:rsidRPr="00FA4DC7">
              <w:rPr>
                <w:rFonts w:cs="Arial"/>
                <w:color w:val="000000"/>
                <w:sz w:val="22"/>
                <w:szCs w:val="22"/>
              </w:rPr>
              <w:t>13.3%</w:t>
            </w:r>
          </w:p>
        </w:tc>
        <w:tc>
          <w:tcPr>
            <w:tcW w:w="602" w:type="pct"/>
            <w:shd w:val="clear" w:color="000000" w:fill="E2EFDA"/>
            <w:noWrap/>
            <w:vAlign w:val="center"/>
            <w:hideMark/>
          </w:tcPr>
          <w:p w14:paraId="14F06B6F" w14:textId="77777777" w:rsidR="00CE1BDB" w:rsidRPr="00FA4DC7" w:rsidRDefault="00CE1BDB" w:rsidP="005432D2">
            <w:pPr>
              <w:jc w:val="right"/>
              <w:rPr>
                <w:rFonts w:cs="Arial"/>
                <w:color w:val="000000"/>
                <w:sz w:val="22"/>
                <w:szCs w:val="22"/>
              </w:rPr>
            </w:pPr>
            <w:r w:rsidRPr="00FA4DC7">
              <w:rPr>
                <w:rFonts w:cs="Arial"/>
                <w:color w:val="000000"/>
                <w:sz w:val="22"/>
                <w:szCs w:val="22"/>
              </w:rPr>
              <w:t>20.5%</w:t>
            </w:r>
          </w:p>
        </w:tc>
      </w:tr>
      <w:tr w:rsidR="00CE1BDB" w:rsidRPr="00FA4DC7" w14:paraId="09D14CB4" w14:textId="77777777" w:rsidTr="005432D2">
        <w:trPr>
          <w:trHeight w:val="320"/>
        </w:trPr>
        <w:tc>
          <w:tcPr>
            <w:tcW w:w="2132" w:type="pct"/>
            <w:shd w:val="clear" w:color="000000" w:fill="E2EFDA"/>
            <w:noWrap/>
            <w:vAlign w:val="center"/>
            <w:hideMark/>
          </w:tcPr>
          <w:p w14:paraId="17CF24A2" w14:textId="77777777" w:rsidR="00CE1BDB" w:rsidRPr="00FA4DC7" w:rsidRDefault="00CE1BDB" w:rsidP="00EF49A7">
            <w:pPr>
              <w:rPr>
                <w:rFonts w:cs="Arial"/>
                <w:color w:val="000000"/>
                <w:sz w:val="22"/>
                <w:szCs w:val="22"/>
              </w:rPr>
            </w:pPr>
            <w:r w:rsidRPr="00FA4DC7">
              <w:rPr>
                <w:rFonts w:cs="Arial"/>
                <w:color w:val="000000"/>
                <w:sz w:val="22"/>
                <w:szCs w:val="22"/>
              </w:rPr>
              <w:t>Double glazing</w:t>
            </w:r>
          </w:p>
        </w:tc>
        <w:tc>
          <w:tcPr>
            <w:tcW w:w="585" w:type="pct"/>
            <w:shd w:val="clear" w:color="000000" w:fill="E2EFDA"/>
            <w:noWrap/>
            <w:vAlign w:val="center"/>
            <w:hideMark/>
          </w:tcPr>
          <w:p w14:paraId="00BD21BD" w14:textId="77777777" w:rsidR="00CE1BDB" w:rsidRPr="00FA4DC7" w:rsidRDefault="00CE1BDB" w:rsidP="005432D2">
            <w:pPr>
              <w:jc w:val="right"/>
              <w:rPr>
                <w:rFonts w:cs="Arial"/>
                <w:color w:val="000000"/>
                <w:sz w:val="22"/>
                <w:szCs w:val="22"/>
              </w:rPr>
            </w:pPr>
            <w:r w:rsidRPr="00FA4DC7">
              <w:rPr>
                <w:rFonts w:cs="Arial"/>
                <w:color w:val="000000"/>
                <w:sz w:val="22"/>
                <w:szCs w:val="22"/>
              </w:rPr>
              <w:t>20.8%</w:t>
            </w:r>
          </w:p>
        </w:tc>
        <w:tc>
          <w:tcPr>
            <w:tcW w:w="600" w:type="pct"/>
            <w:shd w:val="clear" w:color="000000" w:fill="E2EFDA"/>
            <w:noWrap/>
            <w:vAlign w:val="center"/>
            <w:hideMark/>
          </w:tcPr>
          <w:p w14:paraId="72C3FCB0" w14:textId="77777777" w:rsidR="00CE1BDB" w:rsidRPr="00FA4DC7" w:rsidRDefault="00CE1BDB" w:rsidP="005432D2">
            <w:pPr>
              <w:jc w:val="right"/>
              <w:rPr>
                <w:rFonts w:cs="Arial"/>
                <w:color w:val="000000"/>
                <w:sz w:val="22"/>
                <w:szCs w:val="22"/>
              </w:rPr>
            </w:pPr>
            <w:r w:rsidRPr="00FA4DC7">
              <w:rPr>
                <w:rFonts w:cs="Arial"/>
                <w:color w:val="000000"/>
                <w:sz w:val="22"/>
                <w:szCs w:val="22"/>
              </w:rPr>
              <w:t>17.5%</w:t>
            </w:r>
          </w:p>
        </w:tc>
        <w:tc>
          <w:tcPr>
            <w:tcW w:w="523" w:type="pct"/>
            <w:shd w:val="clear" w:color="000000" w:fill="E2EFDA"/>
            <w:noWrap/>
            <w:vAlign w:val="center"/>
            <w:hideMark/>
          </w:tcPr>
          <w:p w14:paraId="63C1F282" w14:textId="77777777" w:rsidR="00CE1BDB" w:rsidRPr="00FA4DC7" w:rsidRDefault="00CE1BDB" w:rsidP="005432D2">
            <w:pPr>
              <w:jc w:val="right"/>
              <w:rPr>
                <w:rFonts w:cs="Arial"/>
                <w:color w:val="000000"/>
                <w:sz w:val="22"/>
                <w:szCs w:val="22"/>
              </w:rPr>
            </w:pPr>
            <w:r w:rsidRPr="00FA4DC7">
              <w:rPr>
                <w:rFonts w:cs="Arial"/>
                <w:color w:val="000000"/>
                <w:sz w:val="22"/>
                <w:szCs w:val="22"/>
              </w:rPr>
              <w:t>10.8%</w:t>
            </w:r>
          </w:p>
        </w:tc>
        <w:tc>
          <w:tcPr>
            <w:tcW w:w="558" w:type="pct"/>
            <w:shd w:val="clear" w:color="000000" w:fill="E2EFDA"/>
            <w:noWrap/>
            <w:vAlign w:val="center"/>
            <w:hideMark/>
          </w:tcPr>
          <w:p w14:paraId="2281534C" w14:textId="77777777" w:rsidR="00CE1BDB" w:rsidRPr="00FA4DC7" w:rsidRDefault="00CE1BDB" w:rsidP="005432D2">
            <w:pPr>
              <w:jc w:val="right"/>
              <w:rPr>
                <w:rFonts w:cs="Arial"/>
                <w:color w:val="000000"/>
                <w:sz w:val="22"/>
                <w:szCs w:val="22"/>
              </w:rPr>
            </w:pPr>
            <w:r w:rsidRPr="00FA4DC7">
              <w:rPr>
                <w:rFonts w:cs="Arial"/>
                <w:color w:val="000000"/>
                <w:sz w:val="22"/>
                <w:szCs w:val="22"/>
              </w:rPr>
              <w:t>7.8%</w:t>
            </w:r>
          </w:p>
        </w:tc>
        <w:tc>
          <w:tcPr>
            <w:tcW w:w="602" w:type="pct"/>
            <w:shd w:val="clear" w:color="000000" w:fill="E2EFDA"/>
            <w:noWrap/>
            <w:vAlign w:val="center"/>
            <w:hideMark/>
          </w:tcPr>
          <w:p w14:paraId="56655DEE" w14:textId="77777777" w:rsidR="00CE1BDB" w:rsidRPr="00FA4DC7" w:rsidRDefault="00CE1BDB" w:rsidP="005432D2">
            <w:pPr>
              <w:jc w:val="right"/>
              <w:rPr>
                <w:rFonts w:cs="Arial"/>
                <w:color w:val="000000"/>
                <w:sz w:val="22"/>
                <w:szCs w:val="22"/>
              </w:rPr>
            </w:pPr>
            <w:r w:rsidRPr="00FA4DC7">
              <w:rPr>
                <w:rFonts w:cs="Arial"/>
                <w:color w:val="000000"/>
                <w:sz w:val="22"/>
                <w:szCs w:val="22"/>
              </w:rPr>
              <w:t>16.4%</w:t>
            </w:r>
          </w:p>
        </w:tc>
      </w:tr>
      <w:tr w:rsidR="00CE1BDB" w:rsidRPr="00FA4DC7" w14:paraId="61F8E069" w14:textId="77777777" w:rsidTr="005432D2">
        <w:trPr>
          <w:trHeight w:val="320"/>
        </w:trPr>
        <w:tc>
          <w:tcPr>
            <w:tcW w:w="2132" w:type="pct"/>
            <w:shd w:val="clear" w:color="000000" w:fill="E2EFDA"/>
            <w:noWrap/>
            <w:vAlign w:val="center"/>
            <w:hideMark/>
          </w:tcPr>
          <w:p w14:paraId="3D7855AE" w14:textId="77777777" w:rsidR="00CE1BDB" w:rsidRPr="00FA4DC7" w:rsidRDefault="00CE1BDB" w:rsidP="00EF49A7">
            <w:pPr>
              <w:rPr>
                <w:rFonts w:cs="Arial"/>
                <w:color w:val="000000"/>
                <w:sz w:val="22"/>
                <w:szCs w:val="22"/>
              </w:rPr>
            </w:pPr>
            <w:r w:rsidRPr="00FA4DC7">
              <w:rPr>
                <w:rFonts w:cs="Arial"/>
                <w:color w:val="000000"/>
                <w:sz w:val="22"/>
                <w:szCs w:val="22"/>
              </w:rPr>
              <w:t>Improved ventilation</w:t>
            </w:r>
          </w:p>
        </w:tc>
        <w:tc>
          <w:tcPr>
            <w:tcW w:w="585" w:type="pct"/>
            <w:shd w:val="clear" w:color="000000" w:fill="E2EFDA"/>
            <w:noWrap/>
            <w:vAlign w:val="center"/>
            <w:hideMark/>
          </w:tcPr>
          <w:p w14:paraId="4C7BC835" w14:textId="77777777" w:rsidR="00CE1BDB" w:rsidRPr="00FA4DC7" w:rsidRDefault="00CE1BDB" w:rsidP="005432D2">
            <w:pPr>
              <w:jc w:val="right"/>
              <w:rPr>
                <w:rFonts w:cs="Arial"/>
                <w:color w:val="000000"/>
                <w:sz w:val="22"/>
                <w:szCs w:val="22"/>
              </w:rPr>
            </w:pPr>
            <w:r w:rsidRPr="00FA4DC7">
              <w:rPr>
                <w:rFonts w:cs="Arial"/>
                <w:color w:val="000000"/>
                <w:sz w:val="22"/>
                <w:szCs w:val="22"/>
              </w:rPr>
              <w:t>8.6%</w:t>
            </w:r>
          </w:p>
        </w:tc>
        <w:tc>
          <w:tcPr>
            <w:tcW w:w="600" w:type="pct"/>
            <w:shd w:val="clear" w:color="000000" w:fill="E2EFDA"/>
            <w:noWrap/>
            <w:vAlign w:val="center"/>
            <w:hideMark/>
          </w:tcPr>
          <w:p w14:paraId="43BC647B" w14:textId="77777777" w:rsidR="00CE1BDB" w:rsidRPr="00FA4DC7" w:rsidRDefault="00CE1BDB" w:rsidP="005432D2">
            <w:pPr>
              <w:jc w:val="right"/>
              <w:rPr>
                <w:rFonts w:cs="Arial"/>
                <w:color w:val="000000"/>
                <w:sz w:val="22"/>
                <w:szCs w:val="22"/>
              </w:rPr>
            </w:pPr>
            <w:r w:rsidRPr="00FA4DC7">
              <w:rPr>
                <w:rFonts w:cs="Arial"/>
                <w:color w:val="000000"/>
                <w:sz w:val="22"/>
                <w:szCs w:val="22"/>
              </w:rPr>
              <w:t>4.4%</w:t>
            </w:r>
          </w:p>
        </w:tc>
        <w:tc>
          <w:tcPr>
            <w:tcW w:w="523" w:type="pct"/>
            <w:shd w:val="clear" w:color="000000" w:fill="E2EFDA"/>
            <w:noWrap/>
            <w:vAlign w:val="center"/>
            <w:hideMark/>
          </w:tcPr>
          <w:p w14:paraId="2D67AA9C" w14:textId="77777777" w:rsidR="00CE1BDB" w:rsidRPr="00FA4DC7" w:rsidRDefault="00CE1BDB" w:rsidP="005432D2">
            <w:pPr>
              <w:jc w:val="right"/>
              <w:rPr>
                <w:rFonts w:cs="Arial"/>
                <w:color w:val="000000"/>
                <w:sz w:val="22"/>
                <w:szCs w:val="22"/>
              </w:rPr>
            </w:pPr>
            <w:r w:rsidRPr="00FA4DC7">
              <w:rPr>
                <w:rFonts w:cs="Arial"/>
                <w:color w:val="000000"/>
                <w:sz w:val="22"/>
                <w:szCs w:val="22"/>
              </w:rPr>
              <w:t>2.5%</w:t>
            </w:r>
          </w:p>
        </w:tc>
        <w:tc>
          <w:tcPr>
            <w:tcW w:w="558" w:type="pct"/>
            <w:shd w:val="clear" w:color="000000" w:fill="E2EFDA"/>
            <w:noWrap/>
            <w:vAlign w:val="center"/>
            <w:hideMark/>
          </w:tcPr>
          <w:p w14:paraId="7D08FA09" w14:textId="77777777" w:rsidR="00CE1BDB" w:rsidRPr="00FA4DC7" w:rsidRDefault="00CE1BDB" w:rsidP="005432D2">
            <w:pPr>
              <w:jc w:val="right"/>
              <w:rPr>
                <w:rFonts w:cs="Arial"/>
                <w:color w:val="000000"/>
                <w:sz w:val="22"/>
                <w:szCs w:val="22"/>
              </w:rPr>
            </w:pPr>
            <w:r w:rsidRPr="00FA4DC7">
              <w:rPr>
                <w:rFonts w:cs="Arial"/>
                <w:color w:val="000000"/>
                <w:sz w:val="22"/>
                <w:szCs w:val="22"/>
              </w:rPr>
              <w:t>1.6%</w:t>
            </w:r>
          </w:p>
        </w:tc>
        <w:tc>
          <w:tcPr>
            <w:tcW w:w="602" w:type="pct"/>
            <w:shd w:val="clear" w:color="000000" w:fill="E2EFDA"/>
            <w:noWrap/>
            <w:vAlign w:val="center"/>
            <w:hideMark/>
          </w:tcPr>
          <w:p w14:paraId="5C6D2387" w14:textId="77777777" w:rsidR="00CE1BDB" w:rsidRPr="00FA4DC7" w:rsidRDefault="00CE1BDB" w:rsidP="005432D2">
            <w:pPr>
              <w:jc w:val="right"/>
              <w:rPr>
                <w:rFonts w:cs="Arial"/>
                <w:color w:val="000000"/>
                <w:sz w:val="22"/>
                <w:szCs w:val="22"/>
              </w:rPr>
            </w:pPr>
            <w:r w:rsidRPr="00FA4DC7">
              <w:rPr>
                <w:rFonts w:cs="Arial"/>
                <w:color w:val="000000"/>
                <w:sz w:val="22"/>
                <w:szCs w:val="22"/>
              </w:rPr>
              <w:t>5.0%</w:t>
            </w:r>
          </w:p>
        </w:tc>
      </w:tr>
      <w:tr w:rsidR="00CE1BDB" w:rsidRPr="00FA4DC7" w14:paraId="2AA91A06" w14:textId="77777777" w:rsidTr="005432D2">
        <w:trPr>
          <w:trHeight w:val="320"/>
        </w:trPr>
        <w:tc>
          <w:tcPr>
            <w:tcW w:w="2132" w:type="pct"/>
            <w:shd w:val="clear" w:color="000000" w:fill="E2EFDA"/>
            <w:noWrap/>
            <w:vAlign w:val="center"/>
            <w:hideMark/>
          </w:tcPr>
          <w:p w14:paraId="23C60B57" w14:textId="77777777" w:rsidR="00CE1BDB" w:rsidRPr="00FA4DC7" w:rsidRDefault="00CE1BDB" w:rsidP="00EF49A7">
            <w:pPr>
              <w:rPr>
                <w:rFonts w:cs="Arial"/>
                <w:color w:val="000000"/>
                <w:sz w:val="22"/>
                <w:szCs w:val="22"/>
              </w:rPr>
            </w:pPr>
            <w:r w:rsidRPr="00FA4DC7">
              <w:rPr>
                <w:rFonts w:cs="Arial"/>
                <w:color w:val="000000"/>
                <w:sz w:val="22"/>
                <w:szCs w:val="22"/>
              </w:rPr>
              <w:t>Downstairs WC</w:t>
            </w:r>
          </w:p>
        </w:tc>
        <w:tc>
          <w:tcPr>
            <w:tcW w:w="585" w:type="pct"/>
            <w:shd w:val="clear" w:color="000000" w:fill="E2EFDA"/>
            <w:noWrap/>
            <w:vAlign w:val="center"/>
            <w:hideMark/>
          </w:tcPr>
          <w:p w14:paraId="7FADD15B" w14:textId="77777777" w:rsidR="00CE1BDB" w:rsidRPr="00FA4DC7" w:rsidRDefault="00CE1BDB" w:rsidP="005432D2">
            <w:pPr>
              <w:jc w:val="right"/>
              <w:rPr>
                <w:rFonts w:cs="Arial"/>
                <w:color w:val="000000"/>
                <w:sz w:val="22"/>
                <w:szCs w:val="22"/>
              </w:rPr>
            </w:pPr>
            <w:r w:rsidRPr="00FA4DC7">
              <w:rPr>
                <w:rFonts w:cs="Arial"/>
                <w:color w:val="000000"/>
                <w:sz w:val="22"/>
                <w:szCs w:val="22"/>
              </w:rPr>
              <w:t>5.8%</w:t>
            </w:r>
          </w:p>
        </w:tc>
        <w:tc>
          <w:tcPr>
            <w:tcW w:w="600" w:type="pct"/>
            <w:shd w:val="clear" w:color="000000" w:fill="E2EFDA"/>
            <w:noWrap/>
            <w:vAlign w:val="center"/>
            <w:hideMark/>
          </w:tcPr>
          <w:p w14:paraId="4A459E92" w14:textId="77777777" w:rsidR="00CE1BDB" w:rsidRPr="00FA4DC7" w:rsidRDefault="00CE1BDB" w:rsidP="005432D2">
            <w:pPr>
              <w:jc w:val="right"/>
              <w:rPr>
                <w:rFonts w:cs="Arial"/>
                <w:color w:val="000000"/>
                <w:sz w:val="22"/>
                <w:szCs w:val="22"/>
              </w:rPr>
            </w:pPr>
            <w:r w:rsidRPr="00FA4DC7">
              <w:rPr>
                <w:rFonts w:cs="Arial"/>
                <w:color w:val="000000"/>
                <w:sz w:val="22"/>
                <w:szCs w:val="22"/>
              </w:rPr>
              <w:t>8.1%</w:t>
            </w:r>
          </w:p>
        </w:tc>
        <w:tc>
          <w:tcPr>
            <w:tcW w:w="523" w:type="pct"/>
            <w:shd w:val="clear" w:color="000000" w:fill="E2EFDA"/>
            <w:noWrap/>
            <w:vAlign w:val="center"/>
            <w:hideMark/>
          </w:tcPr>
          <w:p w14:paraId="6BE13375" w14:textId="77777777" w:rsidR="00CE1BDB" w:rsidRPr="00FA4DC7" w:rsidRDefault="00CE1BDB" w:rsidP="005432D2">
            <w:pPr>
              <w:jc w:val="right"/>
              <w:rPr>
                <w:rFonts w:cs="Arial"/>
                <w:color w:val="000000"/>
                <w:sz w:val="22"/>
                <w:szCs w:val="22"/>
              </w:rPr>
            </w:pPr>
            <w:r w:rsidRPr="00FA4DC7">
              <w:rPr>
                <w:rFonts w:cs="Arial"/>
                <w:color w:val="000000"/>
                <w:sz w:val="22"/>
                <w:szCs w:val="22"/>
              </w:rPr>
              <w:t>10.0%</w:t>
            </w:r>
          </w:p>
        </w:tc>
        <w:tc>
          <w:tcPr>
            <w:tcW w:w="558" w:type="pct"/>
            <w:shd w:val="clear" w:color="000000" w:fill="E2EFDA"/>
            <w:noWrap/>
            <w:vAlign w:val="center"/>
            <w:hideMark/>
          </w:tcPr>
          <w:p w14:paraId="39800957" w14:textId="77777777" w:rsidR="00CE1BDB" w:rsidRPr="00FA4DC7" w:rsidRDefault="00CE1BDB" w:rsidP="005432D2">
            <w:pPr>
              <w:jc w:val="right"/>
              <w:rPr>
                <w:rFonts w:cs="Arial"/>
                <w:color w:val="000000"/>
                <w:sz w:val="22"/>
                <w:szCs w:val="22"/>
              </w:rPr>
            </w:pPr>
            <w:r w:rsidRPr="00FA4DC7">
              <w:rPr>
                <w:rFonts w:cs="Arial"/>
                <w:color w:val="000000"/>
                <w:sz w:val="22"/>
                <w:szCs w:val="22"/>
              </w:rPr>
              <w:t>11.0%</w:t>
            </w:r>
          </w:p>
        </w:tc>
        <w:tc>
          <w:tcPr>
            <w:tcW w:w="602" w:type="pct"/>
            <w:shd w:val="clear" w:color="000000" w:fill="E2EFDA"/>
            <w:noWrap/>
            <w:vAlign w:val="center"/>
            <w:hideMark/>
          </w:tcPr>
          <w:p w14:paraId="7FF30F91" w14:textId="77777777" w:rsidR="00CE1BDB" w:rsidRPr="00FA4DC7" w:rsidRDefault="00CE1BDB" w:rsidP="005432D2">
            <w:pPr>
              <w:jc w:val="right"/>
              <w:rPr>
                <w:rFonts w:cs="Arial"/>
                <w:color w:val="000000"/>
                <w:sz w:val="22"/>
                <w:szCs w:val="22"/>
              </w:rPr>
            </w:pPr>
            <w:r w:rsidRPr="00FA4DC7">
              <w:rPr>
                <w:rFonts w:cs="Arial"/>
                <w:color w:val="000000"/>
                <w:sz w:val="22"/>
                <w:szCs w:val="22"/>
              </w:rPr>
              <w:t>8.0%</w:t>
            </w:r>
          </w:p>
        </w:tc>
      </w:tr>
      <w:tr w:rsidR="00CE1BDB" w:rsidRPr="00FA4DC7" w14:paraId="4B6BBF6B" w14:textId="77777777" w:rsidTr="005432D2">
        <w:trPr>
          <w:trHeight w:val="320"/>
        </w:trPr>
        <w:tc>
          <w:tcPr>
            <w:tcW w:w="2132" w:type="pct"/>
            <w:shd w:val="clear" w:color="000000" w:fill="E2EFDA"/>
            <w:noWrap/>
            <w:vAlign w:val="center"/>
            <w:hideMark/>
          </w:tcPr>
          <w:p w14:paraId="345824D5" w14:textId="77777777" w:rsidR="00CE1BDB" w:rsidRPr="00FA4DC7" w:rsidRDefault="00CE1BDB" w:rsidP="00EF49A7">
            <w:pPr>
              <w:rPr>
                <w:rFonts w:cs="Arial"/>
                <w:color w:val="000000"/>
                <w:sz w:val="22"/>
                <w:szCs w:val="22"/>
              </w:rPr>
            </w:pPr>
            <w:r w:rsidRPr="00FA4DC7">
              <w:rPr>
                <w:rFonts w:cs="Arial"/>
                <w:color w:val="000000"/>
                <w:sz w:val="22"/>
                <w:szCs w:val="22"/>
              </w:rPr>
              <w:t>Increase the size of property (</w:t>
            </w:r>
            <w:proofErr w:type="gramStart"/>
            <w:r w:rsidRPr="00FA4DC7">
              <w:rPr>
                <w:rFonts w:cs="Arial"/>
                <w:color w:val="000000"/>
                <w:sz w:val="22"/>
                <w:szCs w:val="22"/>
              </w:rPr>
              <w:t>e.g.</w:t>
            </w:r>
            <w:proofErr w:type="gramEnd"/>
            <w:r w:rsidRPr="00FA4DC7">
              <w:rPr>
                <w:rFonts w:cs="Arial"/>
                <w:color w:val="000000"/>
                <w:sz w:val="22"/>
                <w:szCs w:val="22"/>
              </w:rPr>
              <w:t xml:space="preserve"> extension, loft conversion)</w:t>
            </w:r>
          </w:p>
        </w:tc>
        <w:tc>
          <w:tcPr>
            <w:tcW w:w="585" w:type="pct"/>
            <w:shd w:val="clear" w:color="000000" w:fill="E2EFDA"/>
            <w:noWrap/>
            <w:vAlign w:val="center"/>
            <w:hideMark/>
          </w:tcPr>
          <w:p w14:paraId="3489D240" w14:textId="77777777" w:rsidR="00CE1BDB" w:rsidRPr="00FA4DC7" w:rsidRDefault="00CE1BDB" w:rsidP="005432D2">
            <w:pPr>
              <w:jc w:val="right"/>
              <w:rPr>
                <w:rFonts w:cs="Arial"/>
                <w:color w:val="000000"/>
                <w:sz w:val="22"/>
                <w:szCs w:val="22"/>
              </w:rPr>
            </w:pPr>
            <w:r w:rsidRPr="00FA4DC7">
              <w:rPr>
                <w:rFonts w:cs="Arial"/>
                <w:color w:val="000000"/>
                <w:sz w:val="22"/>
                <w:szCs w:val="22"/>
              </w:rPr>
              <w:t>17.8%</w:t>
            </w:r>
          </w:p>
        </w:tc>
        <w:tc>
          <w:tcPr>
            <w:tcW w:w="600" w:type="pct"/>
            <w:shd w:val="clear" w:color="000000" w:fill="E2EFDA"/>
            <w:noWrap/>
            <w:vAlign w:val="center"/>
            <w:hideMark/>
          </w:tcPr>
          <w:p w14:paraId="2653B70B" w14:textId="77777777" w:rsidR="00CE1BDB" w:rsidRPr="00FA4DC7" w:rsidRDefault="00CE1BDB" w:rsidP="005432D2">
            <w:pPr>
              <w:jc w:val="right"/>
              <w:rPr>
                <w:rFonts w:cs="Arial"/>
                <w:color w:val="000000"/>
                <w:sz w:val="22"/>
                <w:szCs w:val="22"/>
              </w:rPr>
            </w:pPr>
            <w:r w:rsidRPr="00FA4DC7">
              <w:rPr>
                <w:rFonts w:cs="Arial"/>
                <w:color w:val="000000"/>
                <w:sz w:val="22"/>
                <w:szCs w:val="22"/>
              </w:rPr>
              <w:t>6.6%</w:t>
            </w:r>
          </w:p>
        </w:tc>
        <w:tc>
          <w:tcPr>
            <w:tcW w:w="523" w:type="pct"/>
            <w:shd w:val="clear" w:color="000000" w:fill="E2EFDA"/>
            <w:noWrap/>
            <w:vAlign w:val="center"/>
            <w:hideMark/>
          </w:tcPr>
          <w:p w14:paraId="74A1FA02" w14:textId="77777777" w:rsidR="00CE1BDB" w:rsidRPr="00FA4DC7" w:rsidRDefault="00CE1BDB" w:rsidP="005432D2">
            <w:pPr>
              <w:jc w:val="right"/>
              <w:rPr>
                <w:rFonts w:cs="Arial"/>
                <w:color w:val="000000"/>
                <w:sz w:val="22"/>
                <w:szCs w:val="22"/>
              </w:rPr>
            </w:pPr>
            <w:r w:rsidRPr="00FA4DC7">
              <w:rPr>
                <w:rFonts w:cs="Arial"/>
                <w:color w:val="000000"/>
                <w:sz w:val="22"/>
                <w:szCs w:val="22"/>
              </w:rPr>
              <w:t>2.8%</w:t>
            </w:r>
          </w:p>
        </w:tc>
        <w:tc>
          <w:tcPr>
            <w:tcW w:w="558" w:type="pct"/>
            <w:shd w:val="clear" w:color="000000" w:fill="E2EFDA"/>
            <w:noWrap/>
            <w:vAlign w:val="center"/>
            <w:hideMark/>
          </w:tcPr>
          <w:p w14:paraId="050116D7" w14:textId="77777777" w:rsidR="00CE1BDB" w:rsidRPr="00FA4DC7" w:rsidRDefault="00CE1BDB" w:rsidP="005432D2">
            <w:pPr>
              <w:jc w:val="right"/>
              <w:rPr>
                <w:rFonts w:cs="Arial"/>
                <w:color w:val="000000"/>
                <w:sz w:val="22"/>
                <w:szCs w:val="22"/>
              </w:rPr>
            </w:pPr>
            <w:r w:rsidRPr="00FA4DC7">
              <w:rPr>
                <w:rFonts w:cs="Arial"/>
                <w:color w:val="000000"/>
                <w:sz w:val="22"/>
                <w:szCs w:val="22"/>
              </w:rPr>
              <w:t>1.7%</w:t>
            </w:r>
          </w:p>
        </w:tc>
        <w:tc>
          <w:tcPr>
            <w:tcW w:w="602" w:type="pct"/>
            <w:shd w:val="clear" w:color="000000" w:fill="E2EFDA"/>
            <w:noWrap/>
            <w:vAlign w:val="center"/>
            <w:hideMark/>
          </w:tcPr>
          <w:p w14:paraId="15D5F02E" w14:textId="77777777" w:rsidR="00CE1BDB" w:rsidRPr="00FA4DC7" w:rsidRDefault="00CE1BDB" w:rsidP="005432D2">
            <w:pPr>
              <w:jc w:val="right"/>
              <w:rPr>
                <w:rFonts w:cs="Arial"/>
                <w:color w:val="000000"/>
                <w:sz w:val="22"/>
                <w:szCs w:val="22"/>
              </w:rPr>
            </w:pPr>
            <w:r w:rsidRPr="00FA4DC7">
              <w:rPr>
                <w:rFonts w:cs="Arial"/>
                <w:color w:val="000000"/>
                <w:sz w:val="22"/>
                <w:szCs w:val="22"/>
              </w:rPr>
              <w:t>8.8%</w:t>
            </w:r>
          </w:p>
        </w:tc>
      </w:tr>
      <w:tr w:rsidR="00CE1BDB" w:rsidRPr="00FA4DC7" w14:paraId="05E1C55C" w14:textId="77777777" w:rsidTr="005432D2">
        <w:trPr>
          <w:trHeight w:val="320"/>
        </w:trPr>
        <w:tc>
          <w:tcPr>
            <w:tcW w:w="5000" w:type="pct"/>
            <w:gridSpan w:val="6"/>
            <w:shd w:val="clear" w:color="auto" w:fill="auto"/>
            <w:noWrap/>
            <w:vAlign w:val="center"/>
            <w:hideMark/>
          </w:tcPr>
          <w:p w14:paraId="7F9B5A3D" w14:textId="77777777" w:rsidR="00CE1BDB" w:rsidRPr="00FA4DC7" w:rsidRDefault="00CE1BDB" w:rsidP="00EF49A7">
            <w:pPr>
              <w:rPr>
                <w:rFonts w:cs="Arial"/>
                <w:color w:val="000000"/>
                <w:sz w:val="22"/>
                <w:szCs w:val="22"/>
              </w:rPr>
            </w:pPr>
            <w:r w:rsidRPr="00FA4DC7">
              <w:rPr>
                <w:rFonts w:cs="Arial"/>
                <w:b/>
                <w:bCs/>
                <w:color w:val="000000"/>
                <w:sz w:val="22"/>
                <w:szCs w:val="22"/>
              </w:rPr>
              <w:t>Adaptations</w:t>
            </w:r>
          </w:p>
        </w:tc>
      </w:tr>
      <w:tr w:rsidR="00CE1BDB" w:rsidRPr="00FA4DC7" w14:paraId="0CF05C9B" w14:textId="77777777" w:rsidTr="005432D2">
        <w:trPr>
          <w:trHeight w:val="320"/>
        </w:trPr>
        <w:tc>
          <w:tcPr>
            <w:tcW w:w="2132" w:type="pct"/>
            <w:shd w:val="clear" w:color="000000" w:fill="BDD7EE"/>
            <w:noWrap/>
            <w:vAlign w:val="center"/>
            <w:hideMark/>
          </w:tcPr>
          <w:p w14:paraId="415CFCD0" w14:textId="77777777" w:rsidR="00CE1BDB" w:rsidRPr="00FA4DC7" w:rsidRDefault="00CE1BDB" w:rsidP="00EF49A7">
            <w:pPr>
              <w:rPr>
                <w:rFonts w:cs="Arial"/>
                <w:color w:val="000000"/>
                <w:sz w:val="22"/>
                <w:szCs w:val="22"/>
              </w:rPr>
            </w:pPr>
            <w:r w:rsidRPr="00FA4DC7">
              <w:rPr>
                <w:rFonts w:cs="Arial"/>
                <w:color w:val="000000"/>
                <w:sz w:val="22"/>
                <w:szCs w:val="22"/>
              </w:rPr>
              <w:t>Adaptations to bathroom</w:t>
            </w:r>
          </w:p>
        </w:tc>
        <w:tc>
          <w:tcPr>
            <w:tcW w:w="585" w:type="pct"/>
            <w:shd w:val="clear" w:color="000000" w:fill="BDD7EE"/>
            <w:noWrap/>
            <w:vAlign w:val="center"/>
            <w:hideMark/>
          </w:tcPr>
          <w:p w14:paraId="275B9FB7" w14:textId="77777777" w:rsidR="00CE1BDB" w:rsidRPr="00FA4DC7" w:rsidRDefault="00CE1BDB" w:rsidP="005432D2">
            <w:pPr>
              <w:jc w:val="right"/>
              <w:rPr>
                <w:rFonts w:cs="Arial"/>
                <w:color w:val="000000"/>
                <w:sz w:val="22"/>
                <w:szCs w:val="22"/>
              </w:rPr>
            </w:pPr>
            <w:r w:rsidRPr="00FA4DC7">
              <w:rPr>
                <w:rFonts w:cs="Arial"/>
                <w:color w:val="000000"/>
                <w:sz w:val="22"/>
                <w:szCs w:val="22"/>
              </w:rPr>
              <w:t>7.9%</w:t>
            </w:r>
          </w:p>
        </w:tc>
        <w:tc>
          <w:tcPr>
            <w:tcW w:w="600" w:type="pct"/>
            <w:shd w:val="clear" w:color="000000" w:fill="BDD7EE"/>
            <w:noWrap/>
            <w:vAlign w:val="center"/>
            <w:hideMark/>
          </w:tcPr>
          <w:p w14:paraId="010AF565" w14:textId="77777777" w:rsidR="00CE1BDB" w:rsidRPr="00FA4DC7" w:rsidRDefault="00CE1BDB" w:rsidP="005432D2">
            <w:pPr>
              <w:jc w:val="right"/>
              <w:rPr>
                <w:rFonts w:cs="Arial"/>
                <w:color w:val="000000"/>
                <w:sz w:val="22"/>
                <w:szCs w:val="22"/>
              </w:rPr>
            </w:pPr>
            <w:r w:rsidRPr="00FA4DC7">
              <w:rPr>
                <w:rFonts w:cs="Arial"/>
                <w:color w:val="000000"/>
                <w:sz w:val="22"/>
                <w:szCs w:val="22"/>
              </w:rPr>
              <w:t>13.6%</w:t>
            </w:r>
          </w:p>
        </w:tc>
        <w:tc>
          <w:tcPr>
            <w:tcW w:w="523" w:type="pct"/>
            <w:shd w:val="clear" w:color="000000" w:fill="BDD7EE"/>
            <w:noWrap/>
            <w:vAlign w:val="center"/>
            <w:hideMark/>
          </w:tcPr>
          <w:p w14:paraId="1C74C2DD" w14:textId="77777777" w:rsidR="00CE1BDB" w:rsidRPr="00FA4DC7" w:rsidRDefault="00CE1BDB" w:rsidP="005432D2">
            <w:pPr>
              <w:jc w:val="right"/>
              <w:rPr>
                <w:rFonts w:cs="Arial"/>
                <w:color w:val="000000"/>
                <w:sz w:val="22"/>
                <w:szCs w:val="22"/>
              </w:rPr>
            </w:pPr>
            <w:r w:rsidRPr="00FA4DC7">
              <w:rPr>
                <w:rFonts w:cs="Arial"/>
                <w:color w:val="000000"/>
                <w:sz w:val="22"/>
                <w:szCs w:val="22"/>
              </w:rPr>
              <w:t>18.6%</w:t>
            </w:r>
          </w:p>
        </w:tc>
        <w:tc>
          <w:tcPr>
            <w:tcW w:w="558" w:type="pct"/>
            <w:shd w:val="clear" w:color="000000" w:fill="BDD7EE"/>
            <w:noWrap/>
            <w:vAlign w:val="center"/>
            <w:hideMark/>
          </w:tcPr>
          <w:p w14:paraId="46646157" w14:textId="77777777" w:rsidR="00CE1BDB" w:rsidRPr="00FA4DC7" w:rsidRDefault="00CE1BDB" w:rsidP="005432D2">
            <w:pPr>
              <w:jc w:val="right"/>
              <w:rPr>
                <w:rFonts w:cs="Arial"/>
                <w:color w:val="000000"/>
                <w:sz w:val="22"/>
                <w:szCs w:val="22"/>
              </w:rPr>
            </w:pPr>
            <w:r w:rsidRPr="00FA4DC7">
              <w:rPr>
                <w:rFonts w:cs="Arial"/>
                <w:color w:val="000000"/>
                <w:sz w:val="22"/>
                <w:szCs w:val="22"/>
              </w:rPr>
              <w:t>21.8%</w:t>
            </w:r>
          </w:p>
        </w:tc>
        <w:tc>
          <w:tcPr>
            <w:tcW w:w="602" w:type="pct"/>
            <w:shd w:val="clear" w:color="000000" w:fill="BDD7EE"/>
            <w:noWrap/>
            <w:vAlign w:val="center"/>
            <w:hideMark/>
          </w:tcPr>
          <w:p w14:paraId="13F72FC5" w14:textId="77777777" w:rsidR="00CE1BDB" w:rsidRPr="00FA4DC7" w:rsidRDefault="00CE1BDB" w:rsidP="005432D2">
            <w:pPr>
              <w:jc w:val="right"/>
              <w:rPr>
                <w:rFonts w:cs="Arial"/>
                <w:color w:val="000000"/>
                <w:sz w:val="22"/>
                <w:szCs w:val="22"/>
              </w:rPr>
            </w:pPr>
            <w:r w:rsidRPr="00FA4DC7">
              <w:rPr>
                <w:rFonts w:cs="Arial"/>
                <w:color w:val="000000"/>
                <w:sz w:val="22"/>
                <w:szCs w:val="22"/>
              </w:rPr>
              <w:t>13.6%</w:t>
            </w:r>
          </w:p>
        </w:tc>
      </w:tr>
      <w:tr w:rsidR="00CE1BDB" w:rsidRPr="00FA4DC7" w14:paraId="3367C60E" w14:textId="77777777" w:rsidTr="005432D2">
        <w:trPr>
          <w:trHeight w:val="320"/>
        </w:trPr>
        <w:tc>
          <w:tcPr>
            <w:tcW w:w="2132" w:type="pct"/>
            <w:shd w:val="clear" w:color="000000" w:fill="BDD7EE"/>
            <w:noWrap/>
            <w:vAlign w:val="center"/>
            <w:hideMark/>
          </w:tcPr>
          <w:p w14:paraId="7C1D5715" w14:textId="77777777" w:rsidR="00CE1BDB" w:rsidRPr="00FA4DC7" w:rsidRDefault="00CE1BDB" w:rsidP="00EF49A7">
            <w:pPr>
              <w:rPr>
                <w:rFonts w:cs="Arial"/>
                <w:color w:val="000000"/>
                <w:sz w:val="22"/>
                <w:szCs w:val="22"/>
              </w:rPr>
            </w:pPr>
            <w:r w:rsidRPr="00FA4DC7">
              <w:rPr>
                <w:rFonts w:cs="Arial"/>
                <w:color w:val="000000"/>
                <w:sz w:val="22"/>
                <w:szCs w:val="22"/>
              </w:rPr>
              <w:t>Adaptations to kitchen</w:t>
            </w:r>
          </w:p>
        </w:tc>
        <w:tc>
          <w:tcPr>
            <w:tcW w:w="585" w:type="pct"/>
            <w:shd w:val="clear" w:color="000000" w:fill="BDD7EE"/>
            <w:noWrap/>
            <w:vAlign w:val="center"/>
            <w:hideMark/>
          </w:tcPr>
          <w:p w14:paraId="0CA2CA5A" w14:textId="77777777" w:rsidR="00CE1BDB" w:rsidRPr="00FA4DC7" w:rsidRDefault="00CE1BDB" w:rsidP="005432D2">
            <w:pPr>
              <w:jc w:val="right"/>
              <w:rPr>
                <w:rFonts w:cs="Arial"/>
                <w:color w:val="000000"/>
                <w:sz w:val="22"/>
                <w:szCs w:val="22"/>
              </w:rPr>
            </w:pPr>
            <w:r w:rsidRPr="00FA4DC7">
              <w:rPr>
                <w:rFonts w:cs="Arial"/>
                <w:color w:val="000000"/>
                <w:sz w:val="22"/>
                <w:szCs w:val="22"/>
              </w:rPr>
              <w:t>9.4%</w:t>
            </w:r>
          </w:p>
        </w:tc>
        <w:tc>
          <w:tcPr>
            <w:tcW w:w="600" w:type="pct"/>
            <w:shd w:val="clear" w:color="000000" w:fill="BDD7EE"/>
            <w:noWrap/>
            <w:vAlign w:val="center"/>
            <w:hideMark/>
          </w:tcPr>
          <w:p w14:paraId="5C398CC6" w14:textId="77777777" w:rsidR="00CE1BDB" w:rsidRPr="00FA4DC7" w:rsidRDefault="00CE1BDB" w:rsidP="005432D2">
            <w:pPr>
              <w:jc w:val="right"/>
              <w:rPr>
                <w:rFonts w:cs="Arial"/>
                <w:color w:val="000000"/>
                <w:sz w:val="22"/>
                <w:szCs w:val="22"/>
              </w:rPr>
            </w:pPr>
            <w:r w:rsidRPr="00FA4DC7">
              <w:rPr>
                <w:rFonts w:cs="Arial"/>
                <w:color w:val="000000"/>
                <w:sz w:val="22"/>
                <w:szCs w:val="22"/>
              </w:rPr>
              <w:t>8.3%</w:t>
            </w:r>
          </w:p>
        </w:tc>
        <w:tc>
          <w:tcPr>
            <w:tcW w:w="523" w:type="pct"/>
            <w:shd w:val="clear" w:color="000000" w:fill="BDD7EE"/>
            <w:noWrap/>
            <w:vAlign w:val="center"/>
            <w:hideMark/>
          </w:tcPr>
          <w:p w14:paraId="26DA7CF8" w14:textId="77777777" w:rsidR="00CE1BDB" w:rsidRPr="00FA4DC7" w:rsidRDefault="00CE1BDB" w:rsidP="005432D2">
            <w:pPr>
              <w:jc w:val="right"/>
              <w:rPr>
                <w:rFonts w:cs="Arial"/>
                <w:color w:val="000000"/>
                <w:sz w:val="22"/>
                <w:szCs w:val="22"/>
              </w:rPr>
            </w:pPr>
            <w:r w:rsidRPr="00FA4DC7">
              <w:rPr>
                <w:rFonts w:cs="Arial"/>
                <w:color w:val="000000"/>
                <w:sz w:val="22"/>
                <w:szCs w:val="22"/>
              </w:rPr>
              <w:t>6.3%</w:t>
            </w:r>
          </w:p>
        </w:tc>
        <w:tc>
          <w:tcPr>
            <w:tcW w:w="558" w:type="pct"/>
            <w:shd w:val="clear" w:color="000000" w:fill="BDD7EE"/>
            <w:noWrap/>
            <w:vAlign w:val="center"/>
            <w:hideMark/>
          </w:tcPr>
          <w:p w14:paraId="26F9054B" w14:textId="77777777" w:rsidR="00CE1BDB" w:rsidRPr="00FA4DC7" w:rsidRDefault="00CE1BDB" w:rsidP="005432D2">
            <w:pPr>
              <w:jc w:val="right"/>
              <w:rPr>
                <w:rFonts w:cs="Arial"/>
                <w:color w:val="000000"/>
                <w:sz w:val="22"/>
                <w:szCs w:val="22"/>
              </w:rPr>
            </w:pPr>
            <w:r w:rsidRPr="00FA4DC7">
              <w:rPr>
                <w:rFonts w:cs="Arial"/>
                <w:color w:val="000000"/>
                <w:sz w:val="22"/>
                <w:szCs w:val="22"/>
              </w:rPr>
              <w:t>7.2%</w:t>
            </w:r>
          </w:p>
        </w:tc>
        <w:tc>
          <w:tcPr>
            <w:tcW w:w="602" w:type="pct"/>
            <w:shd w:val="clear" w:color="000000" w:fill="BDD7EE"/>
            <w:noWrap/>
            <w:vAlign w:val="center"/>
            <w:hideMark/>
          </w:tcPr>
          <w:p w14:paraId="3A4CE7DC" w14:textId="77777777" w:rsidR="00CE1BDB" w:rsidRPr="00FA4DC7" w:rsidRDefault="00CE1BDB" w:rsidP="005432D2">
            <w:pPr>
              <w:jc w:val="right"/>
              <w:rPr>
                <w:rFonts w:cs="Arial"/>
                <w:color w:val="000000"/>
                <w:sz w:val="22"/>
                <w:szCs w:val="22"/>
              </w:rPr>
            </w:pPr>
            <w:r w:rsidRPr="00FA4DC7">
              <w:rPr>
                <w:rFonts w:cs="Arial"/>
                <w:color w:val="000000"/>
                <w:sz w:val="22"/>
                <w:szCs w:val="22"/>
              </w:rPr>
              <w:t>8.2%</w:t>
            </w:r>
          </w:p>
        </w:tc>
      </w:tr>
      <w:tr w:rsidR="00CE1BDB" w:rsidRPr="00FA4DC7" w14:paraId="0CCA98DF" w14:textId="77777777" w:rsidTr="005432D2">
        <w:trPr>
          <w:trHeight w:val="320"/>
        </w:trPr>
        <w:tc>
          <w:tcPr>
            <w:tcW w:w="2132" w:type="pct"/>
            <w:shd w:val="clear" w:color="000000" w:fill="BDD7EE"/>
            <w:noWrap/>
            <w:vAlign w:val="center"/>
            <w:hideMark/>
          </w:tcPr>
          <w:p w14:paraId="2F25C67A" w14:textId="77777777" w:rsidR="00CE1BDB" w:rsidRPr="00FA4DC7" w:rsidRDefault="00CE1BDB" w:rsidP="00EF49A7">
            <w:pPr>
              <w:rPr>
                <w:rFonts w:cs="Arial"/>
                <w:color w:val="000000"/>
                <w:sz w:val="22"/>
                <w:szCs w:val="22"/>
              </w:rPr>
            </w:pPr>
            <w:r w:rsidRPr="00FA4DC7">
              <w:rPr>
                <w:rFonts w:cs="Arial"/>
                <w:color w:val="000000"/>
                <w:sz w:val="22"/>
                <w:szCs w:val="22"/>
              </w:rPr>
              <w:t>External handrails /grab rails</w:t>
            </w:r>
          </w:p>
        </w:tc>
        <w:tc>
          <w:tcPr>
            <w:tcW w:w="585" w:type="pct"/>
            <w:shd w:val="clear" w:color="000000" w:fill="BDD7EE"/>
            <w:noWrap/>
            <w:vAlign w:val="center"/>
            <w:hideMark/>
          </w:tcPr>
          <w:p w14:paraId="573C036C" w14:textId="77777777" w:rsidR="00CE1BDB" w:rsidRPr="00FA4DC7" w:rsidRDefault="00CE1BDB" w:rsidP="005432D2">
            <w:pPr>
              <w:jc w:val="right"/>
              <w:rPr>
                <w:rFonts w:cs="Arial"/>
                <w:color w:val="000000"/>
                <w:sz w:val="22"/>
                <w:szCs w:val="22"/>
              </w:rPr>
            </w:pPr>
            <w:r w:rsidRPr="00FA4DC7">
              <w:rPr>
                <w:rFonts w:cs="Arial"/>
                <w:color w:val="000000"/>
                <w:sz w:val="22"/>
                <w:szCs w:val="22"/>
              </w:rPr>
              <w:t>4.0%</w:t>
            </w:r>
          </w:p>
        </w:tc>
        <w:tc>
          <w:tcPr>
            <w:tcW w:w="600" w:type="pct"/>
            <w:shd w:val="clear" w:color="000000" w:fill="BDD7EE"/>
            <w:noWrap/>
            <w:vAlign w:val="center"/>
            <w:hideMark/>
          </w:tcPr>
          <w:p w14:paraId="345C1C8E" w14:textId="77777777" w:rsidR="00CE1BDB" w:rsidRPr="00FA4DC7" w:rsidRDefault="00CE1BDB" w:rsidP="005432D2">
            <w:pPr>
              <w:jc w:val="right"/>
              <w:rPr>
                <w:rFonts w:cs="Arial"/>
                <w:color w:val="000000"/>
                <w:sz w:val="22"/>
                <w:szCs w:val="22"/>
              </w:rPr>
            </w:pPr>
            <w:r w:rsidRPr="00FA4DC7">
              <w:rPr>
                <w:rFonts w:cs="Arial"/>
                <w:color w:val="000000"/>
                <w:sz w:val="22"/>
                <w:szCs w:val="22"/>
              </w:rPr>
              <w:t>7.2%</w:t>
            </w:r>
          </w:p>
        </w:tc>
        <w:tc>
          <w:tcPr>
            <w:tcW w:w="523" w:type="pct"/>
            <w:shd w:val="clear" w:color="000000" w:fill="BDD7EE"/>
            <w:noWrap/>
            <w:vAlign w:val="center"/>
            <w:hideMark/>
          </w:tcPr>
          <w:p w14:paraId="4CC030A7" w14:textId="77777777" w:rsidR="00CE1BDB" w:rsidRPr="00FA4DC7" w:rsidRDefault="00CE1BDB" w:rsidP="005432D2">
            <w:pPr>
              <w:jc w:val="right"/>
              <w:rPr>
                <w:rFonts w:cs="Arial"/>
                <w:color w:val="000000"/>
                <w:sz w:val="22"/>
                <w:szCs w:val="22"/>
              </w:rPr>
            </w:pPr>
            <w:r w:rsidRPr="00FA4DC7">
              <w:rPr>
                <w:rFonts w:cs="Arial"/>
                <w:color w:val="000000"/>
                <w:sz w:val="22"/>
                <w:szCs w:val="22"/>
              </w:rPr>
              <w:t>10.5%</w:t>
            </w:r>
          </w:p>
        </w:tc>
        <w:tc>
          <w:tcPr>
            <w:tcW w:w="558" w:type="pct"/>
            <w:shd w:val="clear" w:color="000000" w:fill="BDD7EE"/>
            <w:noWrap/>
            <w:vAlign w:val="center"/>
            <w:hideMark/>
          </w:tcPr>
          <w:p w14:paraId="041751EF" w14:textId="77777777" w:rsidR="00CE1BDB" w:rsidRPr="00FA4DC7" w:rsidRDefault="00CE1BDB" w:rsidP="005432D2">
            <w:pPr>
              <w:jc w:val="right"/>
              <w:rPr>
                <w:rFonts w:cs="Arial"/>
                <w:color w:val="000000"/>
                <w:sz w:val="22"/>
                <w:szCs w:val="22"/>
              </w:rPr>
            </w:pPr>
            <w:r w:rsidRPr="00FA4DC7">
              <w:rPr>
                <w:rFonts w:cs="Arial"/>
                <w:color w:val="000000"/>
                <w:sz w:val="22"/>
                <w:szCs w:val="22"/>
              </w:rPr>
              <w:t>14.9%</w:t>
            </w:r>
          </w:p>
        </w:tc>
        <w:tc>
          <w:tcPr>
            <w:tcW w:w="602" w:type="pct"/>
            <w:shd w:val="clear" w:color="000000" w:fill="BDD7EE"/>
            <w:noWrap/>
            <w:vAlign w:val="center"/>
            <w:hideMark/>
          </w:tcPr>
          <w:p w14:paraId="0DAEFA72" w14:textId="77777777" w:rsidR="00CE1BDB" w:rsidRPr="00FA4DC7" w:rsidRDefault="00CE1BDB" w:rsidP="005432D2">
            <w:pPr>
              <w:jc w:val="right"/>
              <w:rPr>
                <w:rFonts w:cs="Arial"/>
                <w:color w:val="000000"/>
                <w:sz w:val="22"/>
                <w:szCs w:val="22"/>
              </w:rPr>
            </w:pPr>
            <w:r w:rsidRPr="00FA4DC7">
              <w:rPr>
                <w:rFonts w:cs="Arial"/>
                <w:color w:val="000000"/>
                <w:sz w:val="22"/>
                <w:szCs w:val="22"/>
              </w:rPr>
              <w:t>7.6%</w:t>
            </w:r>
          </w:p>
        </w:tc>
      </w:tr>
      <w:tr w:rsidR="00CE1BDB" w:rsidRPr="00FA4DC7" w14:paraId="77B4012F" w14:textId="77777777" w:rsidTr="005432D2">
        <w:trPr>
          <w:trHeight w:val="320"/>
        </w:trPr>
        <w:tc>
          <w:tcPr>
            <w:tcW w:w="2132" w:type="pct"/>
            <w:shd w:val="clear" w:color="000000" w:fill="BDD7EE"/>
            <w:noWrap/>
            <w:vAlign w:val="center"/>
            <w:hideMark/>
          </w:tcPr>
          <w:p w14:paraId="535751FE" w14:textId="77777777" w:rsidR="00CE1BDB" w:rsidRPr="00FA4DC7" w:rsidRDefault="00CE1BDB" w:rsidP="00EF49A7">
            <w:pPr>
              <w:rPr>
                <w:rFonts w:cs="Arial"/>
                <w:color w:val="000000"/>
                <w:sz w:val="22"/>
                <w:szCs w:val="22"/>
              </w:rPr>
            </w:pPr>
            <w:r w:rsidRPr="00FA4DC7">
              <w:rPr>
                <w:rFonts w:cs="Arial"/>
                <w:color w:val="000000"/>
                <w:sz w:val="22"/>
                <w:szCs w:val="22"/>
              </w:rPr>
              <w:t>Internal handrails /grab rails</w:t>
            </w:r>
          </w:p>
        </w:tc>
        <w:tc>
          <w:tcPr>
            <w:tcW w:w="585" w:type="pct"/>
            <w:shd w:val="clear" w:color="000000" w:fill="BDD7EE"/>
            <w:noWrap/>
            <w:vAlign w:val="center"/>
            <w:hideMark/>
          </w:tcPr>
          <w:p w14:paraId="57F152D7" w14:textId="77777777" w:rsidR="00CE1BDB" w:rsidRPr="00FA4DC7" w:rsidRDefault="00CE1BDB" w:rsidP="005432D2">
            <w:pPr>
              <w:jc w:val="right"/>
              <w:rPr>
                <w:rFonts w:cs="Arial"/>
                <w:color w:val="000000"/>
                <w:sz w:val="22"/>
                <w:szCs w:val="22"/>
              </w:rPr>
            </w:pPr>
            <w:r w:rsidRPr="00FA4DC7">
              <w:rPr>
                <w:rFonts w:cs="Arial"/>
                <w:color w:val="000000"/>
                <w:sz w:val="22"/>
                <w:szCs w:val="22"/>
              </w:rPr>
              <w:t>5.3%</w:t>
            </w:r>
          </w:p>
        </w:tc>
        <w:tc>
          <w:tcPr>
            <w:tcW w:w="600" w:type="pct"/>
            <w:shd w:val="clear" w:color="000000" w:fill="BDD7EE"/>
            <w:noWrap/>
            <w:vAlign w:val="center"/>
            <w:hideMark/>
          </w:tcPr>
          <w:p w14:paraId="6003EC94" w14:textId="77777777" w:rsidR="00CE1BDB" w:rsidRPr="00FA4DC7" w:rsidRDefault="00CE1BDB" w:rsidP="005432D2">
            <w:pPr>
              <w:jc w:val="right"/>
              <w:rPr>
                <w:rFonts w:cs="Arial"/>
                <w:color w:val="000000"/>
                <w:sz w:val="22"/>
                <w:szCs w:val="22"/>
              </w:rPr>
            </w:pPr>
            <w:r w:rsidRPr="00FA4DC7">
              <w:rPr>
                <w:rFonts w:cs="Arial"/>
                <w:color w:val="000000"/>
                <w:sz w:val="22"/>
                <w:szCs w:val="22"/>
              </w:rPr>
              <w:t>9.4%</w:t>
            </w:r>
          </w:p>
        </w:tc>
        <w:tc>
          <w:tcPr>
            <w:tcW w:w="523" w:type="pct"/>
            <w:shd w:val="clear" w:color="000000" w:fill="BDD7EE"/>
            <w:noWrap/>
            <w:vAlign w:val="center"/>
            <w:hideMark/>
          </w:tcPr>
          <w:p w14:paraId="1197C7E1" w14:textId="77777777" w:rsidR="00CE1BDB" w:rsidRPr="00FA4DC7" w:rsidRDefault="00CE1BDB" w:rsidP="005432D2">
            <w:pPr>
              <w:jc w:val="right"/>
              <w:rPr>
                <w:rFonts w:cs="Arial"/>
                <w:color w:val="000000"/>
                <w:sz w:val="22"/>
                <w:szCs w:val="22"/>
              </w:rPr>
            </w:pPr>
            <w:r w:rsidRPr="00FA4DC7">
              <w:rPr>
                <w:rFonts w:cs="Arial"/>
                <w:color w:val="000000"/>
                <w:sz w:val="22"/>
                <w:szCs w:val="22"/>
              </w:rPr>
              <w:t>12.9%</w:t>
            </w:r>
          </w:p>
        </w:tc>
        <w:tc>
          <w:tcPr>
            <w:tcW w:w="558" w:type="pct"/>
            <w:shd w:val="clear" w:color="000000" w:fill="BDD7EE"/>
            <w:noWrap/>
            <w:vAlign w:val="center"/>
            <w:hideMark/>
          </w:tcPr>
          <w:p w14:paraId="06DBBB9D" w14:textId="77777777" w:rsidR="00CE1BDB" w:rsidRPr="00FA4DC7" w:rsidRDefault="00CE1BDB" w:rsidP="005432D2">
            <w:pPr>
              <w:jc w:val="right"/>
              <w:rPr>
                <w:rFonts w:cs="Arial"/>
                <w:color w:val="000000"/>
                <w:sz w:val="22"/>
                <w:szCs w:val="22"/>
              </w:rPr>
            </w:pPr>
            <w:r w:rsidRPr="00FA4DC7">
              <w:rPr>
                <w:rFonts w:cs="Arial"/>
                <w:color w:val="000000"/>
                <w:sz w:val="22"/>
                <w:szCs w:val="22"/>
              </w:rPr>
              <w:t>18.0%</w:t>
            </w:r>
          </w:p>
        </w:tc>
        <w:tc>
          <w:tcPr>
            <w:tcW w:w="602" w:type="pct"/>
            <w:shd w:val="clear" w:color="000000" w:fill="BDD7EE"/>
            <w:noWrap/>
            <w:vAlign w:val="center"/>
            <w:hideMark/>
          </w:tcPr>
          <w:p w14:paraId="36B92457" w14:textId="77777777" w:rsidR="00CE1BDB" w:rsidRPr="00FA4DC7" w:rsidRDefault="00CE1BDB" w:rsidP="005432D2">
            <w:pPr>
              <w:jc w:val="right"/>
              <w:rPr>
                <w:rFonts w:cs="Arial"/>
                <w:color w:val="000000"/>
                <w:sz w:val="22"/>
                <w:szCs w:val="22"/>
              </w:rPr>
            </w:pPr>
            <w:r w:rsidRPr="00FA4DC7">
              <w:rPr>
                <w:rFonts w:cs="Arial"/>
                <w:color w:val="000000"/>
                <w:sz w:val="22"/>
                <w:szCs w:val="22"/>
              </w:rPr>
              <w:t>9.7%</w:t>
            </w:r>
          </w:p>
        </w:tc>
      </w:tr>
      <w:tr w:rsidR="00CE1BDB" w:rsidRPr="00FA4DC7" w14:paraId="4E0577C3" w14:textId="77777777" w:rsidTr="005432D2">
        <w:trPr>
          <w:trHeight w:val="320"/>
        </w:trPr>
        <w:tc>
          <w:tcPr>
            <w:tcW w:w="2132" w:type="pct"/>
            <w:shd w:val="clear" w:color="000000" w:fill="BDD7EE"/>
            <w:noWrap/>
            <w:vAlign w:val="center"/>
            <w:hideMark/>
          </w:tcPr>
          <w:p w14:paraId="4F9E5146" w14:textId="77777777" w:rsidR="00CE1BDB" w:rsidRPr="00FA4DC7" w:rsidRDefault="00CE1BDB" w:rsidP="00EF49A7">
            <w:pPr>
              <w:rPr>
                <w:rFonts w:cs="Arial"/>
                <w:color w:val="000000"/>
                <w:sz w:val="22"/>
                <w:szCs w:val="22"/>
              </w:rPr>
            </w:pPr>
            <w:r w:rsidRPr="00FA4DC7">
              <w:rPr>
                <w:rFonts w:cs="Arial"/>
                <w:color w:val="000000"/>
                <w:sz w:val="22"/>
                <w:szCs w:val="22"/>
              </w:rPr>
              <w:t>Stair lift / vertical lift</w:t>
            </w:r>
          </w:p>
        </w:tc>
        <w:tc>
          <w:tcPr>
            <w:tcW w:w="585" w:type="pct"/>
            <w:shd w:val="clear" w:color="000000" w:fill="BDD7EE"/>
            <w:noWrap/>
            <w:vAlign w:val="center"/>
            <w:hideMark/>
          </w:tcPr>
          <w:p w14:paraId="07A0C52C" w14:textId="77777777" w:rsidR="00CE1BDB" w:rsidRPr="00FA4DC7" w:rsidRDefault="00CE1BDB" w:rsidP="005432D2">
            <w:pPr>
              <w:jc w:val="right"/>
              <w:rPr>
                <w:rFonts w:cs="Arial"/>
                <w:color w:val="000000"/>
                <w:sz w:val="22"/>
                <w:szCs w:val="22"/>
              </w:rPr>
            </w:pPr>
            <w:r w:rsidRPr="00FA4DC7">
              <w:rPr>
                <w:rFonts w:cs="Arial"/>
                <w:color w:val="000000"/>
                <w:sz w:val="22"/>
                <w:szCs w:val="22"/>
              </w:rPr>
              <w:t>3.1%</w:t>
            </w:r>
          </w:p>
        </w:tc>
        <w:tc>
          <w:tcPr>
            <w:tcW w:w="600" w:type="pct"/>
            <w:shd w:val="clear" w:color="000000" w:fill="BDD7EE"/>
            <w:noWrap/>
            <w:vAlign w:val="center"/>
            <w:hideMark/>
          </w:tcPr>
          <w:p w14:paraId="3DB8DB30" w14:textId="77777777" w:rsidR="00CE1BDB" w:rsidRPr="00FA4DC7" w:rsidRDefault="00CE1BDB" w:rsidP="005432D2">
            <w:pPr>
              <w:jc w:val="right"/>
              <w:rPr>
                <w:rFonts w:cs="Arial"/>
                <w:color w:val="000000"/>
                <w:sz w:val="22"/>
                <w:szCs w:val="22"/>
              </w:rPr>
            </w:pPr>
            <w:r w:rsidRPr="00FA4DC7">
              <w:rPr>
                <w:rFonts w:cs="Arial"/>
                <w:color w:val="000000"/>
                <w:sz w:val="22"/>
                <w:szCs w:val="22"/>
              </w:rPr>
              <w:t>6.5%</w:t>
            </w:r>
          </w:p>
        </w:tc>
        <w:tc>
          <w:tcPr>
            <w:tcW w:w="523" w:type="pct"/>
            <w:shd w:val="clear" w:color="000000" w:fill="BDD7EE"/>
            <w:noWrap/>
            <w:vAlign w:val="center"/>
            <w:hideMark/>
          </w:tcPr>
          <w:p w14:paraId="77BD8EBC" w14:textId="77777777" w:rsidR="00CE1BDB" w:rsidRPr="00FA4DC7" w:rsidRDefault="00CE1BDB" w:rsidP="005432D2">
            <w:pPr>
              <w:jc w:val="right"/>
              <w:rPr>
                <w:rFonts w:cs="Arial"/>
                <w:color w:val="000000"/>
                <w:sz w:val="22"/>
                <w:szCs w:val="22"/>
              </w:rPr>
            </w:pPr>
            <w:r w:rsidRPr="00FA4DC7">
              <w:rPr>
                <w:rFonts w:cs="Arial"/>
                <w:color w:val="000000"/>
                <w:sz w:val="22"/>
                <w:szCs w:val="22"/>
              </w:rPr>
              <w:t>10.3%</w:t>
            </w:r>
          </w:p>
        </w:tc>
        <w:tc>
          <w:tcPr>
            <w:tcW w:w="558" w:type="pct"/>
            <w:shd w:val="clear" w:color="000000" w:fill="BDD7EE"/>
            <w:noWrap/>
            <w:vAlign w:val="center"/>
            <w:hideMark/>
          </w:tcPr>
          <w:p w14:paraId="3E19BB62" w14:textId="77777777" w:rsidR="00CE1BDB" w:rsidRPr="00FA4DC7" w:rsidRDefault="00CE1BDB" w:rsidP="005432D2">
            <w:pPr>
              <w:jc w:val="right"/>
              <w:rPr>
                <w:rFonts w:cs="Arial"/>
                <w:color w:val="000000"/>
                <w:sz w:val="22"/>
                <w:szCs w:val="22"/>
              </w:rPr>
            </w:pPr>
            <w:r w:rsidRPr="00FA4DC7">
              <w:rPr>
                <w:rFonts w:cs="Arial"/>
                <w:color w:val="000000"/>
                <w:sz w:val="22"/>
                <w:szCs w:val="22"/>
              </w:rPr>
              <w:t>15.0%</w:t>
            </w:r>
          </w:p>
        </w:tc>
        <w:tc>
          <w:tcPr>
            <w:tcW w:w="602" w:type="pct"/>
            <w:shd w:val="clear" w:color="000000" w:fill="BDD7EE"/>
            <w:noWrap/>
            <w:vAlign w:val="center"/>
            <w:hideMark/>
          </w:tcPr>
          <w:p w14:paraId="7C366674" w14:textId="77777777" w:rsidR="00CE1BDB" w:rsidRPr="00FA4DC7" w:rsidRDefault="00CE1BDB" w:rsidP="005432D2">
            <w:pPr>
              <w:jc w:val="right"/>
              <w:rPr>
                <w:rFonts w:cs="Arial"/>
                <w:color w:val="000000"/>
                <w:sz w:val="22"/>
                <w:szCs w:val="22"/>
              </w:rPr>
            </w:pPr>
            <w:r w:rsidRPr="00FA4DC7">
              <w:rPr>
                <w:rFonts w:cs="Arial"/>
                <w:color w:val="000000"/>
                <w:sz w:val="22"/>
                <w:szCs w:val="22"/>
              </w:rPr>
              <w:t>7.0%</w:t>
            </w:r>
          </w:p>
        </w:tc>
      </w:tr>
      <w:tr w:rsidR="00CE1BDB" w:rsidRPr="00FA4DC7" w14:paraId="2F46EC52" w14:textId="77777777" w:rsidTr="005432D2">
        <w:trPr>
          <w:trHeight w:val="320"/>
        </w:trPr>
        <w:tc>
          <w:tcPr>
            <w:tcW w:w="2132" w:type="pct"/>
            <w:shd w:val="clear" w:color="000000" w:fill="BDD7EE"/>
            <w:noWrap/>
            <w:vAlign w:val="center"/>
            <w:hideMark/>
          </w:tcPr>
          <w:p w14:paraId="42D044FD" w14:textId="77777777" w:rsidR="00CE1BDB" w:rsidRPr="00FA4DC7" w:rsidRDefault="00CE1BDB" w:rsidP="00EF49A7">
            <w:pPr>
              <w:rPr>
                <w:rFonts w:cs="Arial"/>
                <w:color w:val="000000"/>
                <w:sz w:val="22"/>
                <w:szCs w:val="22"/>
              </w:rPr>
            </w:pPr>
            <w:r w:rsidRPr="00FA4DC7">
              <w:rPr>
                <w:rFonts w:cs="Arial"/>
                <w:color w:val="000000"/>
                <w:sz w:val="22"/>
                <w:szCs w:val="22"/>
              </w:rPr>
              <w:t>Adaptations relating to sensory needs</w:t>
            </w:r>
          </w:p>
        </w:tc>
        <w:tc>
          <w:tcPr>
            <w:tcW w:w="585" w:type="pct"/>
            <w:shd w:val="clear" w:color="000000" w:fill="BDD7EE"/>
            <w:noWrap/>
            <w:vAlign w:val="center"/>
            <w:hideMark/>
          </w:tcPr>
          <w:p w14:paraId="4AF36CE2" w14:textId="77777777" w:rsidR="00CE1BDB" w:rsidRPr="00FA4DC7" w:rsidRDefault="00CE1BDB" w:rsidP="005432D2">
            <w:pPr>
              <w:jc w:val="right"/>
              <w:rPr>
                <w:rFonts w:cs="Arial"/>
                <w:color w:val="000000"/>
                <w:sz w:val="22"/>
                <w:szCs w:val="22"/>
              </w:rPr>
            </w:pPr>
            <w:r w:rsidRPr="00FA4DC7">
              <w:rPr>
                <w:rFonts w:cs="Arial"/>
                <w:color w:val="000000"/>
                <w:sz w:val="22"/>
                <w:szCs w:val="22"/>
              </w:rPr>
              <w:t>7.5%</w:t>
            </w:r>
          </w:p>
        </w:tc>
        <w:tc>
          <w:tcPr>
            <w:tcW w:w="600" w:type="pct"/>
            <w:shd w:val="clear" w:color="000000" w:fill="BDD7EE"/>
            <w:noWrap/>
            <w:vAlign w:val="center"/>
            <w:hideMark/>
          </w:tcPr>
          <w:p w14:paraId="77A5052C" w14:textId="77777777" w:rsidR="00CE1BDB" w:rsidRPr="00FA4DC7" w:rsidRDefault="00CE1BDB" w:rsidP="005432D2">
            <w:pPr>
              <w:jc w:val="right"/>
              <w:rPr>
                <w:rFonts w:cs="Arial"/>
                <w:color w:val="000000"/>
                <w:sz w:val="22"/>
                <w:szCs w:val="22"/>
              </w:rPr>
            </w:pPr>
            <w:r w:rsidRPr="00FA4DC7">
              <w:rPr>
                <w:rFonts w:cs="Arial"/>
                <w:color w:val="000000"/>
                <w:sz w:val="22"/>
                <w:szCs w:val="22"/>
              </w:rPr>
              <w:t>5.2%</w:t>
            </w:r>
          </w:p>
        </w:tc>
        <w:tc>
          <w:tcPr>
            <w:tcW w:w="523" w:type="pct"/>
            <w:shd w:val="clear" w:color="000000" w:fill="BDD7EE"/>
            <w:noWrap/>
            <w:vAlign w:val="center"/>
            <w:hideMark/>
          </w:tcPr>
          <w:p w14:paraId="10C4587B" w14:textId="77777777" w:rsidR="00CE1BDB" w:rsidRPr="00FA4DC7" w:rsidRDefault="00CE1BDB" w:rsidP="005432D2">
            <w:pPr>
              <w:jc w:val="right"/>
              <w:rPr>
                <w:rFonts w:cs="Arial"/>
                <w:color w:val="000000"/>
                <w:sz w:val="22"/>
                <w:szCs w:val="22"/>
              </w:rPr>
            </w:pPr>
            <w:r w:rsidRPr="00FA4DC7">
              <w:rPr>
                <w:rFonts w:cs="Arial"/>
                <w:color w:val="000000"/>
                <w:sz w:val="22"/>
                <w:szCs w:val="22"/>
              </w:rPr>
              <w:t>3.8%</w:t>
            </w:r>
          </w:p>
        </w:tc>
        <w:tc>
          <w:tcPr>
            <w:tcW w:w="558" w:type="pct"/>
            <w:shd w:val="clear" w:color="000000" w:fill="BDD7EE"/>
            <w:noWrap/>
            <w:vAlign w:val="center"/>
            <w:hideMark/>
          </w:tcPr>
          <w:p w14:paraId="578324F3" w14:textId="77777777" w:rsidR="00CE1BDB" w:rsidRPr="00FA4DC7" w:rsidRDefault="00CE1BDB" w:rsidP="005432D2">
            <w:pPr>
              <w:jc w:val="right"/>
              <w:rPr>
                <w:rFonts w:cs="Arial"/>
                <w:color w:val="000000"/>
                <w:sz w:val="22"/>
                <w:szCs w:val="22"/>
              </w:rPr>
            </w:pPr>
            <w:r w:rsidRPr="00FA4DC7">
              <w:rPr>
                <w:rFonts w:cs="Arial"/>
                <w:color w:val="000000"/>
                <w:sz w:val="22"/>
                <w:szCs w:val="22"/>
              </w:rPr>
              <w:t>2.6%</w:t>
            </w:r>
          </w:p>
        </w:tc>
        <w:tc>
          <w:tcPr>
            <w:tcW w:w="602" w:type="pct"/>
            <w:shd w:val="clear" w:color="000000" w:fill="BDD7EE"/>
            <w:noWrap/>
            <w:vAlign w:val="center"/>
            <w:hideMark/>
          </w:tcPr>
          <w:p w14:paraId="5D2D55F1" w14:textId="77777777" w:rsidR="00CE1BDB" w:rsidRPr="00FA4DC7" w:rsidRDefault="00CE1BDB" w:rsidP="005432D2">
            <w:pPr>
              <w:jc w:val="right"/>
              <w:rPr>
                <w:rFonts w:cs="Arial"/>
                <w:color w:val="000000"/>
                <w:sz w:val="22"/>
                <w:szCs w:val="22"/>
              </w:rPr>
            </w:pPr>
            <w:r w:rsidRPr="00FA4DC7">
              <w:rPr>
                <w:rFonts w:cs="Arial"/>
                <w:color w:val="000000"/>
                <w:sz w:val="22"/>
                <w:szCs w:val="22"/>
              </w:rPr>
              <w:t>5.4%</w:t>
            </w:r>
          </w:p>
        </w:tc>
      </w:tr>
      <w:tr w:rsidR="00CE1BDB" w:rsidRPr="00FA4DC7" w14:paraId="4BD07727" w14:textId="77777777" w:rsidTr="005432D2">
        <w:trPr>
          <w:trHeight w:val="320"/>
        </w:trPr>
        <w:tc>
          <w:tcPr>
            <w:tcW w:w="2132" w:type="pct"/>
            <w:shd w:val="clear" w:color="000000" w:fill="BDD7EE"/>
            <w:noWrap/>
            <w:vAlign w:val="center"/>
            <w:hideMark/>
          </w:tcPr>
          <w:p w14:paraId="4EE4E399" w14:textId="77777777" w:rsidR="00CE1BDB" w:rsidRPr="00FA4DC7" w:rsidRDefault="00CE1BDB" w:rsidP="00EF49A7">
            <w:pPr>
              <w:rPr>
                <w:rFonts w:cs="Arial"/>
                <w:color w:val="000000"/>
                <w:sz w:val="22"/>
                <w:szCs w:val="22"/>
              </w:rPr>
            </w:pPr>
            <w:r w:rsidRPr="00FA4DC7">
              <w:rPr>
                <w:rFonts w:cs="Arial"/>
                <w:color w:val="000000"/>
                <w:sz w:val="22"/>
                <w:szCs w:val="22"/>
              </w:rPr>
              <w:t>Improvements to access (</w:t>
            </w:r>
            <w:proofErr w:type="gramStart"/>
            <w:r w:rsidRPr="00FA4DC7">
              <w:rPr>
                <w:rFonts w:cs="Arial"/>
                <w:color w:val="000000"/>
                <w:sz w:val="22"/>
                <w:szCs w:val="22"/>
              </w:rPr>
              <w:t>e.g.</w:t>
            </w:r>
            <w:proofErr w:type="gramEnd"/>
            <w:r w:rsidRPr="00FA4DC7">
              <w:rPr>
                <w:rFonts w:cs="Arial"/>
                <w:color w:val="000000"/>
                <w:sz w:val="22"/>
                <w:szCs w:val="22"/>
              </w:rPr>
              <w:t xml:space="preserve"> level access in and around home)</w:t>
            </w:r>
          </w:p>
        </w:tc>
        <w:tc>
          <w:tcPr>
            <w:tcW w:w="585" w:type="pct"/>
            <w:shd w:val="clear" w:color="000000" w:fill="BDD7EE"/>
            <w:noWrap/>
            <w:vAlign w:val="center"/>
            <w:hideMark/>
          </w:tcPr>
          <w:p w14:paraId="3DFC4E4E" w14:textId="77777777" w:rsidR="00CE1BDB" w:rsidRPr="00FA4DC7" w:rsidRDefault="00CE1BDB" w:rsidP="005432D2">
            <w:pPr>
              <w:jc w:val="right"/>
              <w:rPr>
                <w:rFonts w:cs="Arial"/>
                <w:color w:val="000000"/>
                <w:sz w:val="22"/>
                <w:szCs w:val="22"/>
              </w:rPr>
            </w:pPr>
            <w:r w:rsidRPr="00FA4DC7">
              <w:rPr>
                <w:rFonts w:cs="Arial"/>
                <w:color w:val="000000"/>
                <w:sz w:val="22"/>
                <w:szCs w:val="22"/>
              </w:rPr>
              <w:t>3.3%</w:t>
            </w:r>
          </w:p>
        </w:tc>
        <w:tc>
          <w:tcPr>
            <w:tcW w:w="600" w:type="pct"/>
            <w:shd w:val="clear" w:color="000000" w:fill="BDD7EE"/>
            <w:noWrap/>
            <w:vAlign w:val="center"/>
            <w:hideMark/>
          </w:tcPr>
          <w:p w14:paraId="1354EB7E" w14:textId="77777777" w:rsidR="00CE1BDB" w:rsidRPr="00FA4DC7" w:rsidRDefault="00CE1BDB" w:rsidP="005432D2">
            <w:pPr>
              <w:jc w:val="right"/>
              <w:rPr>
                <w:rFonts w:cs="Arial"/>
                <w:color w:val="000000"/>
                <w:sz w:val="22"/>
                <w:szCs w:val="22"/>
              </w:rPr>
            </w:pPr>
            <w:r w:rsidRPr="00FA4DC7">
              <w:rPr>
                <w:rFonts w:cs="Arial"/>
                <w:color w:val="000000"/>
                <w:sz w:val="22"/>
                <w:szCs w:val="22"/>
              </w:rPr>
              <w:t>4.4%</w:t>
            </w:r>
          </w:p>
        </w:tc>
        <w:tc>
          <w:tcPr>
            <w:tcW w:w="523" w:type="pct"/>
            <w:shd w:val="clear" w:color="000000" w:fill="BDD7EE"/>
            <w:noWrap/>
            <w:vAlign w:val="center"/>
            <w:hideMark/>
          </w:tcPr>
          <w:p w14:paraId="3BDAFC7E" w14:textId="77777777" w:rsidR="00CE1BDB" w:rsidRPr="00FA4DC7" w:rsidRDefault="00CE1BDB" w:rsidP="005432D2">
            <w:pPr>
              <w:jc w:val="right"/>
              <w:rPr>
                <w:rFonts w:cs="Arial"/>
                <w:color w:val="000000"/>
                <w:sz w:val="22"/>
                <w:szCs w:val="22"/>
              </w:rPr>
            </w:pPr>
            <w:r w:rsidRPr="00FA4DC7">
              <w:rPr>
                <w:rFonts w:cs="Arial"/>
                <w:color w:val="000000"/>
                <w:sz w:val="22"/>
                <w:szCs w:val="22"/>
              </w:rPr>
              <w:t>4.4%</w:t>
            </w:r>
          </w:p>
        </w:tc>
        <w:tc>
          <w:tcPr>
            <w:tcW w:w="558" w:type="pct"/>
            <w:shd w:val="clear" w:color="000000" w:fill="BDD7EE"/>
            <w:noWrap/>
            <w:vAlign w:val="center"/>
            <w:hideMark/>
          </w:tcPr>
          <w:p w14:paraId="5B153EB2" w14:textId="77777777" w:rsidR="00CE1BDB" w:rsidRPr="00FA4DC7" w:rsidRDefault="00CE1BDB" w:rsidP="005432D2">
            <w:pPr>
              <w:jc w:val="right"/>
              <w:rPr>
                <w:rFonts w:cs="Arial"/>
                <w:color w:val="000000"/>
                <w:sz w:val="22"/>
                <w:szCs w:val="22"/>
              </w:rPr>
            </w:pPr>
            <w:r w:rsidRPr="00FA4DC7">
              <w:rPr>
                <w:rFonts w:cs="Arial"/>
                <w:color w:val="000000"/>
                <w:sz w:val="22"/>
                <w:szCs w:val="22"/>
              </w:rPr>
              <w:t>6.5%</w:t>
            </w:r>
          </w:p>
        </w:tc>
        <w:tc>
          <w:tcPr>
            <w:tcW w:w="602" w:type="pct"/>
            <w:shd w:val="clear" w:color="000000" w:fill="BDD7EE"/>
            <w:noWrap/>
            <w:vAlign w:val="center"/>
            <w:hideMark/>
          </w:tcPr>
          <w:p w14:paraId="59131318" w14:textId="77777777" w:rsidR="00CE1BDB" w:rsidRPr="00FA4DC7" w:rsidRDefault="00CE1BDB" w:rsidP="005432D2">
            <w:pPr>
              <w:jc w:val="right"/>
              <w:rPr>
                <w:rFonts w:cs="Arial"/>
                <w:color w:val="000000"/>
                <w:sz w:val="22"/>
                <w:szCs w:val="22"/>
              </w:rPr>
            </w:pPr>
            <w:r w:rsidRPr="00FA4DC7">
              <w:rPr>
                <w:rFonts w:cs="Arial"/>
                <w:color w:val="000000"/>
                <w:sz w:val="22"/>
                <w:szCs w:val="22"/>
              </w:rPr>
              <w:t>4.3%</w:t>
            </w:r>
          </w:p>
        </w:tc>
      </w:tr>
      <w:tr w:rsidR="00CE1BDB" w:rsidRPr="00FA4DC7" w14:paraId="60AC87C8" w14:textId="77777777" w:rsidTr="005432D2">
        <w:trPr>
          <w:trHeight w:val="320"/>
        </w:trPr>
        <w:tc>
          <w:tcPr>
            <w:tcW w:w="2132" w:type="pct"/>
            <w:shd w:val="clear" w:color="000000" w:fill="BDD7EE"/>
            <w:noWrap/>
            <w:vAlign w:val="center"/>
            <w:hideMark/>
          </w:tcPr>
          <w:p w14:paraId="1778018A" w14:textId="77777777" w:rsidR="00CE1BDB" w:rsidRPr="00FA4DC7" w:rsidRDefault="00CE1BDB" w:rsidP="00EF49A7">
            <w:pPr>
              <w:rPr>
                <w:rFonts w:cs="Arial"/>
                <w:color w:val="000000"/>
                <w:sz w:val="22"/>
                <w:szCs w:val="22"/>
              </w:rPr>
            </w:pPr>
            <w:r w:rsidRPr="00FA4DC7">
              <w:rPr>
                <w:rFonts w:cs="Arial"/>
                <w:color w:val="000000"/>
                <w:sz w:val="22"/>
                <w:szCs w:val="22"/>
              </w:rPr>
              <w:t>Wheelchair adaptations (including door widening and ramps)</w:t>
            </w:r>
          </w:p>
        </w:tc>
        <w:tc>
          <w:tcPr>
            <w:tcW w:w="585" w:type="pct"/>
            <w:shd w:val="clear" w:color="000000" w:fill="BDD7EE"/>
            <w:noWrap/>
            <w:vAlign w:val="center"/>
            <w:hideMark/>
          </w:tcPr>
          <w:p w14:paraId="71DFD3F6" w14:textId="77777777" w:rsidR="00CE1BDB" w:rsidRPr="00FA4DC7" w:rsidRDefault="00CE1BDB" w:rsidP="005432D2">
            <w:pPr>
              <w:jc w:val="right"/>
              <w:rPr>
                <w:rFonts w:cs="Arial"/>
                <w:color w:val="000000"/>
                <w:sz w:val="22"/>
                <w:szCs w:val="22"/>
              </w:rPr>
            </w:pPr>
            <w:r w:rsidRPr="00FA4DC7">
              <w:rPr>
                <w:rFonts w:cs="Arial"/>
                <w:color w:val="000000"/>
                <w:sz w:val="22"/>
                <w:szCs w:val="22"/>
              </w:rPr>
              <w:t>3.1%</w:t>
            </w:r>
          </w:p>
        </w:tc>
        <w:tc>
          <w:tcPr>
            <w:tcW w:w="600" w:type="pct"/>
            <w:shd w:val="clear" w:color="000000" w:fill="BDD7EE"/>
            <w:noWrap/>
            <w:vAlign w:val="center"/>
            <w:hideMark/>
          </w:tcPr>
          <w:p w14:paraId="32D3737D" w14:textId="77777777" w:rsidR="00CE1BDB" w:rsidRPr="00FA4DC7" w:rsidRDefault="00CE1BDB" w:rsidP="005432D2">
            <w:pPr>
              <w:jc w:val="right"/>
              <w:rPr>
                <w:rFonts w:cs="Arial"/>
                <w:color w:val="000000"/>
                <w:sz w:val="22"/>
                <w:szCs w:val="22"/>
              </w:rPr>
            </w:pPr>
            <w:r w:rsidRPr="00FA4DC7">
              <w:rPr>
                <w:rFonts w:cs="Arial"/>
                <w:color w:val="000000"/>
                <w:sz w:val="22"/>
                <w:szCs w:val="22"/>
              </w:rPr>
              <w:t>4.2%</w:t>
            </w:r>
          </w:p>
        </w:tc>
        <w:tc>
          <w:tcPr>
            <w:tcW w:w="523" w:type="pct"/>
            <w:shd w:val="clear" w:color="000000" w:fill="BDD7EE"/>
            <w:noWrap/>
            <w:vAlign w:val="center"/>
            <w:hideMark/>
          </w:tcPr>
          <w:p w14:paraId="75024445" w14:textId="77777777" w:rsidR="00CE1BDB" w:rsidRPr="00FA4DC7" w:rsidRDefault="00CE1BDB" w:rsidP="005432D2">
            <w:pPr>
              <w:jc w:val="right"/>
              <w:rPr>
                <w:rFonts w:cs="Arial"/>
                <w:color w:val="000000"/>
                <w:sz w:val="22"/>
                <w:szCs w:val="22"/>
              </w:rPr>
            </w:pPr>
            <w:r w:rsidRPr="00FA4DC7">
              <w:rPr>
                <w:rFonts w:cs="Arial"/>
                <w:color w:val="000000"/>
                <w:sz w:val="22"/>
                <w:szCs w:val="22"/>
              </w:rPr>
              <w:t>4.6%</w:t>
            </w:r>
          </w:p>
        </w:tc>
        <w:tc>
          <w:tcPr>
            <w:tcW w:w="558" w:type="pct"/>
            <w:shd w:val="clear" w:color="000000" w:fill="BDD7EE"/>
            <w:noWrap/>
            <w:vAlign w:val="center"/>
            <w:hideMark/>
          </w:tcPr>
          <w:p w14:paraId="7301FE4E" w14:textId="77777777" w:rsidR="00CE1BDB" w:rsidRPr="00FA4DC7" w:rsidRDefault="00CE1BDB" w:rsidP="005432D2">
            <w:pPr>
              <w:jc w:val="right"/>
              <w:rPr>
                <w:rFonts w:cs="Arial"/>
                <w:color w:val="000000"/>
                <w:sz w:val="22"/>
                <w:szCs w:val="22"/>
              </w:rPr>
            </w:pPr>
            <w:r w:rsidRPr="00FA4DC7">
              <w:rPr>
                <w:rFonts w:cs="Arial"/>
                <w:color w:val="000000"/>
                <w:sz w:val="22"/>
                <w:szCs w:val="22"/>
              </w:rPr>
              <w:t>7.0%</w:t>
            </w:r>
          </w:p>
        </w:tc>
        <w:tc>
          <w:tcPr>
            <w:tcW w:w="602" w:type="pct"/>
            <w:shd w:val="clear" w:color="000000" w:fill="BDD7EE"/>
            <w:noWrap/>
            <w:vAlign w:val="center"/>
            <w:hideMark/>
          </w:tcPr>
          <w:p w14:paraId="2E85DE43" w14:textId="77777777" w:rsidR="00CE1BDB" w:rsidRPr="00FA4DC7" w:rsidRDefault="00CE1BDB" w:rsidP="005432D2">
            <w:pPr>
              <w:jc w:val="right"/>
              <w:rPr>
                <w:rFonts w:cs="Arial"/>
                <w:color w:val="000000"/>
                <w:sz w:val="22"/>
                <w:szCs w:val="22"/>
              </w:rPr>
            </w:pPr>
            <w:r w:rsidRPr="00FA4DC7">
              <w:rPr>
                <w:rFonts w:cs="Arial"/>
                <w:color w:val="000000"/>
                <w:sz w:val="22"/>
                <w:szCs w:val="22"/>
              </w:rPr>
              <w:t>4.2%</w:t>
            </w:r>
          </w:p>
        </w:tc>
      </w:tr>
      <w:tr w:rsidR="00CE1BDB" w:rsidRPr="00FA4DC7" w14:paraId="19C617A5" w14:textId="77777777" w:rsidTr="005432D2">
        <w:trPr>
          <w:trHeight w:val="320"/>
        </w:trPr>
        <w:tc>
          <w:tcPr>
            <w:tcW w:w="2132" w:type="pct"/>
            <w:shd w:val="clear" w:color="000000" w:fill="BDD7EE"/>
            <w:noWrap/>
            <w:vAlign w:val="center"/>
            <w:hideMark/>
          </w:tcPr>
          <w:p w14:paraId="55E1DC85" w14:textId="77777777" w:rsidR="00CE1BDB" w:rsidRPr="00FA4DC7" w:rsidRDefault="00CE1BDB" w:rsidP="00EF49A7">
            <w:pPr>
              <w:rPr>
                <w:rFonts w:cs="Arial"/>
                <w:color w:val="000000"/>
                <w:sz w:val="22"/>
                <w:szCs w:val="22"/>
              </w:rPr>
            </w:pPr>
            <w:r w:rsidRPr="00FA4DC7">
              <w:rPr>
                <w:rFonts w:cs="Arial"/>
                <w:color w:val="000000"/>
                <w:sz w:val="22"/>
                <w:szCs w:val="22"/>
              </w:rPr>
              <w:t>Lever door handles</w:t>
            </w:r>
          </w:p>
        </w:tc>
        <w:tc>
          <w:tcPr>
            <w:tcW w:w="585" w:type="pct"/>
            <w:shd w:val="clear" w:color="000000" w:fill="BDD7EE"/>
            <w:noWrap/>
            <w:vAlign w:val="center"/>
            <w:hideMark/>
          </w:tcPr>
          <w:p w14:paraId="54D5C47D" w14:textId="77777777" w:rsidR="00CE1BDB" w:rsidRPr="00FA4DC7" w:rsidRDefault="00CE1BDB" w:rsidP="005432D2">
            <w:pPr>
              <w:jc w:val="right"/>
              <w:rPr>
                <w:rFonts w:cs="Arial"/>
                <w:color w:val="000000"/>
                <w:sz w:val="22"/>
                <w:szCs w:val="22"/>
              </w:rPr>
            </w:pPr>
            <w:r w:rsidRPr="00FA4DC7">
              <w:rPr>
                <w:rFonts w:cs="Arial"/>
                <w:color w:val="000000"/>
                <w:sz w:val="22"/>
                <w:szCs w:val="22"/>
              </w:rPr>
              <w:t>2.2%</w:t>
            </w:r>
          </w:p>
        </w:tc>
        <w:tc>
          <w:tcPr>
            <w:tcW w:w="600" w:type="pct"/>
            <w:shd w:val="clear" w:color="000000" w:fill="BDD7EE"/>
            <w:noWrap/>
            <w:vAlign w:val="center"/>
            <w:hideMark/>
          </w:tcPr>
          <w:p w14:paraId="27DFD803" w14:textId="77777777" w:rsidR="00CE1BDB" w:rsidRPr="00FA4DC7" w:rsidRDefault="00CE1BDB" w:rsidP="005432D2">
            <w:pPr>
              <w:jc w:val="right"/>
              <w:rPr>
                <w:rFonts w:cs="Arial"/>
                <w:color w:val="000000"/>
                <w:sz w:val="22"/>
                <w:szCs w:val="22"/>
              </w:rPr>
            </w:pPr>
            <w:r w:rsidRPr="00FA4DC7">
              <w:rPr>
                <w:rFonts w:cs="Arial"/>
                <w:color w:val="000000"/>
                <w:sz w:val="22"/>
                <w:szCs w:val="22"/>
              </w:rPr>
              <w:t>2.9%</w:t>
            </w:r>
          </w:p>
        </w:tc>
        <w:tc>
          <w:tcPr>
            <w:tcW w:w="523" w:type="pct"/>
            <w:shd w:val="clear" w:color="000000" w:fill="BDD7EE"/>
            <w:noWrap/>
            <w:vAlign w:val="center"/>
            <w:hideMark/>
          </w:tcPr>
          <w:p w14:paraId="516EB472" w14:textId="77777777" w:rsidR="00CE1BDB" w:rsidRPr="00FA4DC7" w:rsidRDefault="00CE1BDB" w:rsidP="005432D2">
            <w:pPr>
              <w:jc w:val="right"/>
              <w:rPr>
                <w:rFonts w:cs="Arial"/>
                <w:color w:val="000000"/>
                <w:sz w:val="22"/>
                <w:szCs w:val="22"/>
              </w:rPr>
            </w:pPr>
            <w:r w:rsidRPr="00FA4DC7">
              <w:rPr>
                <w:rFonts w:cs="Arial"/>
                <w:color w:val="000000"/>
                <w:sz w:val="22"/>
                <w:szCs w:val="22"/>
              </w:rPr>
              <w:t>2.5%</w:t>
            </w:r>
          </w:p>
        </w:tc>
        <w:tc>
          <w:tcPr>
            <w:tcW w:w="558" w:type="pct"/>
            <w:shd w:val="clear" w:color="000000" w:fill="BDD7EE"/>
            <w:noWrap/>
            <w:vAlign w:val="center"/>
            <w:hideMark/>
          </w:tcPr>
          <w:p w14:paraId="1F0D4C96" w14:textId="77777777" w:rsidR="00CE1BDB" w:rsidRPr="00FA4DC7" w:rsidRDefault="00CE1BDB" w:rsidP="005432D2">
            <w:pPr>
              <w:jc w:val="right"/>
              <w:rPr>
                <w:rFonts w:cs="Arial"/>
                <w:color w:val="000000"/>
                <w:sz w:val="22"/>
                <w:szCs w:val="22"/>
              </w:rPr>
            </w:pPr>
            <w:r w:rsidRPr="00FA4DC7">
              <w:rPr>
                <w:rFonts w:cs="Arial"/>
                <w:color w:val="000000"/>
                <w:sz w:val="22"/>
                <w:szCs w:val="22"/>
              </w:rPr>
              <w:t>2.7%</w:t>
            </w:r>
          </w:p>
        </w:tc>
        <w:tc>
          <w:tcPr>
            <w:tcW w:w="602" w:type="pct"/>
            <w:shd w:val="clear" w:color="000000" w:fill="BDD7EE"/>
            <w:noWrap/>
            <w:vAlign w:val="center"/>
            <w:hideMark/>
          </w:tcPr>
          <w:p w14:paraId="5C3FE1CB" w14:textId="77777777" w:rsidR="00CE1BDB" w:rsidRPr="00FA4DC7" w:rsidRDefault="00CE1BDB" w:rsidP="005432D2">
            <w:pPr>
              <w:jc w:val="right"/>
              <w:rPr>
                <w:rFonts w:cs="Arial"/>
                <w:color w:val="000000"/>
                <w:sz w:val="22"/>
                <w:szCs w:val="22"/>
              </w:rPr>
            </w:pPr>
            <w:r w:rsidRPr="00FA4DC7">
              <w:rPr>
                <w:rFonts w:cs="Arial"/>
                <w:color w:val="000000"/>
                <w:sz w:val="22"/>
                <w:szCs w:val="22"/>
              </w:rPr>
              <w:t>2.6%</w:t>
            </w:r>
          </w:p>
        </w:tc>
      </w:tr>
      <w:tr w:rsidR="00CE1BDB" w:rsidRPr="00FA4DC7" w14:paraId="472F7D41" w14:textId="77777777" w:rsidTr="005432D2">
        <w:trPr>
          <w:trHeight w:val="320"/>
        </w:trPr>
        <w:tc>
          <w:tcPr>
            <w:tcW w:w="2132" w:type="pct"/>
            <w:shd w:val="clear" w:color="000000" w:fill="BDD7EE"/>
            <w:noWrap/>
            <w:vAlign w:val="center"/>
            <w:hideMark/>
          </w:tcPr>
          <w:p w14:paraId="5F85C1D2" w14:textId="77777777" w:rsidR="00CE1BDB" w:rsidRPr="00FA4DC7" w:rsidRDefault="00CE1BDB" w:rsidP="00EF49A7">
            <w:pPr>
              <w:rPr>
                <w:rFonts w:cs="Arial"/>
                <w:color w:val="000000"/>
                <w:sz w:val="22"/>
                <w:szCs w:val="22"/>
              </w:rPr>
            </w:pPr>
            <w:r w:rsidRPr="00FA4DC7">
              <w:rPr>
                <w:rFonts w:cs="Arial"/>
                <w:color w:val="000000"/>
                <w:sz w:val="22"/>
                <w:szCs w:val="22"/>
              </w:rPr>
              <w:t>Room for a carer</w:t>
            </w:r>
          </w:p>
        </w:tc>
        <w:tc>
          <w:tcPr>
            <w:tcW w:w="585" w:type="pct"/>
            <w:shd w:val="clear" w:color="000000" w:fill="BDD7EE"/>
            <w:noWrap/>
            <w:vAlign w:val="center"/>
            <w:hideMark/>
          </w:tcPr>
          <w:p w14:paraId="29698DED" w14:textId="77777777" w:rsidR="00CE1BDB" w:rsidRPr="00FA4DC7" w:rsidRDefault="00CE1BDB" w:rsidP="005432D2">
            <w:pPr>
              <w:jc w:val="right"/>
              <w:rPr>
                <w:rFonts w:cs="Arial"/>
                <w:color w:val="000000"/>
                <w:sz w:val="22"/>
                <w:szCs w:val="22"/>
              </w:rPr>
            </w:pPr>
            <w:r w:rsidRPr="00FA4DC7">
              <w:rPr>
                <w:rFonts w:cs="Arial"/>
                <w:color w:val="000000"/>
                <w:sz w:val="22"/>
                <w:szCs w:val="22"/>
              </w:rPr>
              <w:t>2.6%</w:t>
            </w:r>
          </w:p>
        </w:tc>
        <w:tc>
          <w:tcPr>
            <w:tcW w:w="600" w:type="pct"/>
            <w:shd w:val="clear" w:color="000000" w:fill="BDD7EE"/>
            <w:noWrap/>
            <w:vAlign w:val="center"/>
            <w:hideMark/>
          </w:tcPr>
          <w:p w14:paraId="51768182" w14:textId="77777777" w:rsidR="00CE1BDB" w:rsidRPr="00FA4DC7" w:rsidRDefault="00CE1BDB" w:rsidP="005432D2">
            <w:pPr>
              <w:jc w:val="right"/>
              <w:rPr>
                <w:rFonts w:cs="Arial"/>
                <w:color w:val="000000"/>
                <w:sz w:val="22"/>
                <w:szCs w:val="22"/>
              </w:rPr>
            </w:pPr>
            <w:r w:rsidRPr="00FA4DC7">
              <w:rPr>
                <w:rFonts w:cs="Arial"/>
                <w:color w:val="000000"/>
                <w:sz w:val="22"/>
                <w:szCs w:val="22"/>
              </w:rPr>
              <w:t>3.2%</w:t>
            </w:r>
          </w:p>
        </w:tc>
        <w:tc>
          <w:tcPr>
            <w:tcW w:w="523" w:type="pct"/>
            <w:shd w:val="clear" w:color="000000" w:fill="BDD7EE"/>
            <w:noWrap/>
            <w:vAlign w:val="center"/>
            <w:hideMark/>
          </w:tcPr>
          <w:p w14:paraId="4A532BD9" w14:textId="77777777" w:rsidR="00CE1BDB" w:rsidRPr="00FA4DC7" w:rsidRDefault="00CE1BDB" w:rsidP="005432D2">
            <w:pPr>
              <w:jc w:val="right"/>
              <w:rPr>
                <w:rFonts w:cs="Arial"/>
                <w:color w:val="000000"/>
                <w:sz w:val="22"/>
                <w:szCs w:val="22"/>
              </w:rPr>
            </w:pPr>
            <w:r w:rsidRPr="00FA4DC7">
              <w:rPr>
                <w:rFonts w:cs="Arial"/>
                <w:color w:val="000000"/>
                <w:sz w:val="22"/>
                <w:szCs w:val="22"/>
              </w:rPr>
              <w:t>2.2%</w:t>
            </w:r>
          </w:p>
        </w:tc>
        <w:tc>
          <w:tcPr>
            <w:tcW w:w="558" w:type="pct"/>
            <w:shd w:val="clear" w:color="000000" w:fill="BDD7EE"/>
            <w:noWrap/>
            <w:vAlign w:val="center"/>
            <w:hideMark/>
          </w:tcPr>
          <w:p w14:paraId="73C5F294" w14:textId="77777777" w:rsidR="00CE1BDB" w:rsidRPr="00FA4DC7" w:rsidRDefault="00CE1BDB" w:rsidP="005432D2">
            <w:pPr>
              <w:jc w:val="right"/>
              <w:rPr>
                <w:rFonts w:cs="Arial"/>
                <w:color w:val="000000"/>
                <w:sz w:val="22"/>
                <w:szCs w:val="22"/>
              </w:rPr>
            </w:pPr>
            <w:r w:rsidRPr="00FA4DC7">
              <w:rPr>
                <w:rFonts w:cs="Arial"/>
                <w:color w:val="000000"/>
                <w:sz w:val="22"/>
                <w:szCs w:val="22"/>
              </w:rPr>
              <w:t>3.6%</w:t>
            </w:r>
          </w:p>
        </w:tc>
        <w:tc>
          <w:tcPr>
            <w:tcW w:w="602" w:type="pct"/>
            <w:shd w:val="clear" w:color="000000" w:fill="BDD7EE"/>
            <w:noWrap/>
            <w:vAlign w:val="center"/>
            <w:hideMark/>
          </w:tcPr>
          <w:p w14:paraId="0BF8144D" w14:textId="77777777" w:rsidR="00CE1BDB" w:rsidRPr="00FA4DC7" w:rsidRDefault="00CE1BDB" w:rsidP="005432D2">
            <w:pPr>
              <w:jc w:val="right"/>
              <w:rPr>
                <w:rFonts w:cs="Arial"/>
                <w:color w:val="000000"/>
                <w:sz w:val="22"/>
                <w:szCs w:val="22"/>
              </w:rPr>
            </w:pPr>
            <w:r w:rsidRPr="00FA4DC7">
              <w:rPr>
                <w:rFonts w:cs="Arial"/>
                <w:color w:val="000000"/>
                <w:sz w:val="22"/>
                <w:szCs w:val="22"/>
              </w:rPr>
              <w:t>2.9%</w:t>
            </w:r>
          </w:p>
        </w:tc>
      </w:tr>
      <w:tr w:rsidR="00CE1BDB" w:rsidRPr="00FA4DC7" w14:paraId="3212F35D" w14:textId="77777777" w:rsidTr="005432D2">
        <w:trPr>
          <w:trHeight w:val="320"/>
        </w:trPr>
        <w:tc>
          <w:tcPr>
            <w:tcW w:w="2132" w:type="pct"/>
            <w:shd w:val="clear" w:color="auto" w:fill="auto"/>
            <w:noWrap/>
            <w:vAlign w:val="center"/>
            <w:hideMark/>
          </w:tcPr>
          <w:p w14:paraId="03E4F1B2" w14:textId="77777777" w:rsidR="00CE1BDB" w:rsidRPr="00FA4DC7" w:rsidRDefault="00CE1BDB" w:rsidP="00EF49A7">
            <w:pPr>
              <w:rPr>
                <w:rFonts w:cs="Arial"/>
                <w:color w:val="000000"/>
                <w:sz w:val="22"/>
                <w:szCs w:val="22"/>
              </w:rPr>
            </w:pPr>
            <w:r w:rsidRPr="00FA4DC7">
              <w:rPr>
                <w:rFonts w:cs="Arial"/>
                <w:color w:val="000000"/>
                <w:sz w:val="22"/>
                <w:szCs w:val="22"/>
              </w:rPr>
              <w:t>Base (all households)</w:t>
            </w:r>
          </w:p>
        </w:tc>
        <w:tc>
          <w:tcPr>
            <w:tcW w:w="585" w:type="pct"/>
            <w:shd w:val="clear" w:color="auto" w:fill="auto"/>
            <w:noWrap/>
            <w:vAlign w:val="center"/>
            <w:hideMark/>
          </w:tcPr>
          <w:p w14:paraId="0118ED4B" w14:textId="77777777" w:rsidR="00CE1BDB" w:rsidRPr="00FA4DC7" w:rsidRDefault="00CE1BDB" w:rsidP="005432D2">
            <w:pPr>
              <w:jc w:val="right"/>
              <w:rPr>
                <w:rFonts w:cs="Arial"/>
                <w:color w:val="000000"/>
                <w:sz w:val="22"/>
                <w:szCs w:val="22"/>
              </w:rPr>
            </w:pPr>
            <w:r w:rsidRPr="00FA4DC7">
              <w:rPr>
                <w:rFonts w:cs="Arial"/>
                <w:color w:val="000000"/>
                <w:sz w:val="22"/>
                <w:szCs w:val="22"/>
              </w:rPr>
              <w:t>106,161</w:t>
            </w:r>
          </w:p>
        </w:tc>
        <w:tc>
          <w:tcPr>
            <w:tcW w:w="600" w:type="pct"/>
            <w:shd w:val="clear" w:color="auto" w:fill="auto"/>
            <w:noWrap/>
            <w:vAlign w:val="center"/>
            <w:hideMark/>
          </w:tcPr>
          <w:p w14:paraId="34540F7E" w14:textId="77777777" w:rsidR="00CE1BDB" w:rsidRPr="00FA4DC7" w:rsidRDefault="00CE1BDB" w:rsidP="005432D2">
            <w:pPr>
              <w:jc w:val="right"/>
              <w:rPr>
                <w:rFonts w:cs="Arial"/>
                <w:color w:val="000000"/>
                <w:sz w:val="22"/>
                <w:szCs w:val="22"/>
              </w:rPr>
            </w:pPr>
            <w:r w:rsidRPr="00FA4DC7">
              <w:rPr>
                <w:rFonts w:cs="Arial"/>
                <w:color w:val="000000"/>
                <w:sz w:val="22"/>
                <w:szCs w:val="22"/>
              </w:rPr>
              <w:t>179,922</w:t>
            </w:r>
          </w:p>
        </w:tc>
        <w:tc>
          <w:tcPr>
            <w:tcW w:w="523" w:type="pct"/>
            <w:shd w:val="clear" w:color="auto" w:fill="auto"/>
            <w:noWrap/>
            <w:vAlign w:val="center"/>
            <w:hideMark/>
          </w:tcPr>
          <w:p w14:paraId="17E325ED" w14:textId="77777777" w:rsidR="00CE1BDB" w:rsidRPr="00FA4DC7" w:rsidRDefault="00CE1BDB" w:rsidP="005432D2">
            <w:pPr>
              <w:jc w:val="right"/>
              <w:rPr>
                <w:rFonts w:cs="Arial"/>
                <w:color w:val="000000"/>
                <w:sz w:val="22"/>
                <w:szCs w:val="22"/>
              </w:rPr>
            </w:pPr>
            <w:r w:rsidRPr="00FA4DC7">
              <w:rPr>
                <w:rFonts w:cs="Arial"/>
                <w:color w:val="000000"/>
                <w:sz w:val="22"/>
                <w:szCs w:val="22"/>
              </w:rPr>
              <w:t>56,235</w:t>
            </w:r>
          </w:p>
        </w:tc>
        <w:tc>
          <w:tcPr>
            <w:tcW w:w="558" w:type="pct"/>
            <w:shd w:val="clear" w:color="auto" w:fill="auto"/>
            <w:noWrap/>
            <w:vAlign w:val="center"/>
            <w:hideMark/>
          </w:tcPr>
          <w:p w14:paraId="0032A937" w14:textId="77777777" w:rsidR="00CE1BDB" w:rsidRPr="00FA4DC7" w:rsidRDefault="00CE1BDB" w:rsidP="005432D2">
            <w:pPr>
              <w:jc w:val="right"/>
              <w:rPr>
                <w:rFonts w:cs="Arial"/>
                <w:color w:val="000000"/>
                <w:sz w:val="22"/>
                <w:szCs w:val="22"/>
              </w:rPr>
            </w:pPr>
            <w:r w:rsidRPr="00FA4DC7">
              <w:rPr>
                <w:rFonts w:cs="Arial"/>
                <w:color w:val="000000"/>
                <w:sz w:val="22"/>
                <w:szCs w:val="22"/>
              </w:rPr>
              <w:t>49,085</w:t>
            </w:r>
          </w:p>
        </w:tc>
        <w:tc>
          <w:tcPr>
            <w:tcW w:w="602" w:type="pct"/>
            <w:shd w:val="clear" w:color="auto" w:fill="auto"/>
            <w:noWrap/>
            <w:vAlign w:val="center"/>
            <w:hideMark/>
          </w:tcPr>
          <w:p w14:paraId="32924FFA" w14:textId="77777777" w:rsidR="00CE1BDB" w:rsidRPr="00FA4DC7" w:rsidRDefault="00CE1BDB" w:rsidP="005432D2">
            <w:pPr>
              <w:jc w:val="right"/>
              <w:rPr>
                <w:rFonts w:cs="Arial"/>
                <w:color w:val="000000"/>
                <w:sz w:val="22"/>
                <w:szCs w:val="22"/>
              </w:rPr>
            </w:pPr>
            <w:r w:rsidRPr="00FA4DC7">
              <w:rPr>
                <w:rFonts w:cs="Arial"/>
                <w:color w:val="000000"/>
                <w:sz w:val="22"/>
                <w:szCs w:val="22"/>
              </w:rPr>
              <w:t>391,403</w:t>
            </w:r>
          </w:p>
        </w:tc>
      </w:tr>
    </w:tbl>
    <w:p w14:paraId="1C0F1695" w14:textId="77777777" w:rsidR="00CE1BDB" w:rsidRPr="00FA4DC7" w:rsidRDefault="00CE1BDB" w:rsidP="00CE1BDB">
      <w:pPr>
        <w:pStyle w:val="Reporttext"/>
        <w:numPr>
          <w:ilvl w:val="0"/>
          <w:numId w:val="0"/>
        </w:numPr>
        <w:rPr>
          <w:rFonts w:cs="Arial"/>
          <w:color w:val="000000"/>
          <w:sz w:val="22"/>
          <w:szCs w:val="22"/>
          <w:lang w:val="en-US"/>
        </w:rPr>
      </w:pPr>
      <w:r w:rsidRPr="00FA4DC7">
        <w:rPr>
          <w:rFonts w:cs="Arial"/>
          <w:color w:val="000000"/>
          <w:sz w:val="22"/>
          <w:szCs w:val="22"/>
          <w:lang w:val="en-US"/>
        </w:rPr>
        <w:t>Source: arc4 national database</w:t>
      </w:r>
    </w:p>
    <w:p w14:paraId="09E22185" w14:textId="77777777" w:rsidR="00CE1BDB" w:rsidRPr="00FA4DC7" w:rsidRDefault="00CE1BDB" w:rsidP="00CE1BDB">
      <w:pPr>
        <w:rPr>
          <w:rFonts w:cs="Arial"/>
        </w:rPr>
      </w:pPr>
    </w:p>
    <w:p w14:paraId="432C9CCF" w14:textId="77777777" w:rsidR="00CE1BDB" w:rsidRPr="00FA4DC7" w:rsidRDefault="00CE1BDB" w:rsidP="00CE1BDB">
      <w:pPr>
        <w:pStyle w:val="Reporttext"/>
        <w:rPr>
          <w:rFonts w:cs="Arial"/>
        </w:rPr>
      </w:pPr>
      <w:r w:rsidRPr="00FA4DC7">
        <w:rPr>
          <w:rFonts w:cs="Arial"/>
        </w:rPr>
        <w:t>Resources for aids and adaptations remain limited, particularly for households in the private sector (owner occupation or privately rented accommodation). However, the provision of appropriate adaptations is essential to older households in maintaining independent living. Alternative sources of funding, such as equity loans, could be considered to finance remedial measures required by older person households. It should be pointed out that whilst local authorities will assess anyone’s needs, assistance is currently means tested and some older person households will self-fund.</w:t>
      </w:r>
    </w:p>
    <w:p w14:paraId="218876D9" w14:textId="77777777" w:rsidR="00CE1BDB" w:rsidRPr="00FA4DC7" w:rsidRDefault="00CE1BDB" w:rsidP="005432D2"/>
    <w:p w14:paraId="0B442320" w14:textId="77777777" w:rsidR="00CE1BDB" w:rsidRPr="00FA4DC7" w:rsidRDefault="00CE1BDB" w:rsidP="00CE1BDB">
      <w:pPr>
        <w:pStyle w:val="Heading3"/>
        <w:rPr>
          <w:rFonts w:cs="Arial"/>
        </w:rPr>
      </w:pPr>
      <w:r w:rsidRPr="00FA4DC7">
        <w:rPr>
          <w:rFonts w:cs="Arial"/>
        </w:rPr>
        <w:t>Assistance in the home</w:t>
      </w:r>
    </w:p>
    <w:p w14:paraId="50043041" w14:textId="77777777" w:rsidR="00CE1BDB" w:rsidRPr="00FA4DC7" w:rsidRDefault="00CE1BDB" w:rsidP="00CE1BDB">
      <w:pPr>
        <w:pStyle w:val="Reporttext"/>
        <w:rPr>
          <w:rFonts w:cs="Arial"/>
        </w:rPr>
      </w:pPr>
      <w:r w:rsidRPr="00FA4DC7">
        <w:rPr>
          <w:rFonts w:cs="Arial"/>
        </w:rPr>
        <w:t xml:space="preserve">The arc4 national database also provides information on a range of practical assistance required from households by age group (Table 5.10). Overall, the highest level of need is for help with repair and maintenance of the home, help with gardening and help with cleaning the home. For all types of assistance, the </w:t>
      </w:r>
      <w:r w:rsidRPr="00FA4DC7">
        <w:rPr>
          <w:rFonts w:cs="Arial"/>
        </w:rPr>
        <w:lastRenderedPageBreak/>
        <w:t xml:space="preserve">level of need increases with age which includes the need for company/friendship, mentioned by one-third of people aged 75 and over. </w:t>
      </w:r>
    </w:p>
    <w:p w14:paraId="4BBC1F34" w14:textId="77777777" w:rsidR="00CE1BDB" w:rsidRPr="00FA4DC7" w:rsidRDefault="00CE1BDB" w:rsidP="00CE1BDB">
      <w:pPr>
        <w:rPr>
          <w:rFonts w:cs="Arial"/>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55"/>
        <w:gridCol w:w="1121"/>
        <w:gridCol w:w="924"/>
        <w:gridCol w:w="958"/>
        <w:gridCol w:w="848"/>
        <w:gridCol w:w="1074"/>
      </w:tblGrid>
      <w:tr w:rsidR="00CE1BDB" w:rsidRPr="005432D2" w14:paraId="7EB42A4A" w14:textId="77777777" w:rsidTr="005432D2">
        <w:trPr>
          <w:cantSplit/>
        </w:trPr>
        <w:tc>
          <w:tcPr>
            <w:tcW w:w="5000" w:type="pct"/>
            <w:gridSpan w:val="6"/>
            <w:shd w:val="clear" w:color="auto" w:fill="006666"/>
            <w:noWrap/>
            <w:vAlign w:val="bottom"/>
          </w:tcPr>
          <w:p w14:paraId="0B05F5D2" w14:textId="77777777" w:rsidR="00CE1BDB" w:rsidRPr="005432D2" w:rsidRDefault="00CE1BDB" w:rsidP="00EF49A7">
            <w:pPr>
              <w:pStyle w:val="Tableheading1"/>
              <w:rPr>
                <w:rFonts w:cs="Arial"/>
                <w:color w:val="FFFFFF"/>
                <w:szCs w:val="22"/>
              </w:rPr>
            </w:pPr>
            <w:bookmarkStart w:id="390" w:name="_Toc83036111"/>
            <w:r w:rsidRPr="005432D2">
              <w:rPr>
                <w:rFonts w:cs="Arial"/>
                <w:szCs w:val="22"/>
              </w:rPr>
              <w:t>Table 5.10</w:t>
            </w:r>
            <w:r w:rsidRPr="005432D2">
              <w:rPr>
                <w:rFonts w:cs="Arial"/>
                <w:szCs w:val="22"/>
              </w:rPr>
              <w:tab/>
              <w:t>Type of assistance required age group</w:t>
            </w:r>
            <w:bookmarkEnd w:id="390"/>
          </w:p>
        </w:tc>
      </w:tr>
      <w:tr w:rsidR="00CE1BDB" w:rsidRPr="005432D2" w14:paraId="3B63C49C" w14:textId="77777777" w:rsidTr="005432D2">
        <w:trPr>
          <w:cantSplit/>
        </w:trPr>
        <w:tc>
          <w:tcPr>
            <w:tcW w:w="2339" w:type="pct"/>
            <w:vMerge w:val="restart"/>
            <w:shd w:val="clear" w:color="auto" w:fill="006666"/>
            <w:noWrap/>
            <w:vAlign w:val="bottom"/>
            <w:hideMark/>
          </w:tcPr>
          <w:p w14:paraId="60C75124" w14:textId="77777777" w:rsidR="00CE1BDB" w:rsidRPr="005432D2" w:rsidRDefault="00CE1BDB" w:rsidP="00EF49A7">
            <w:pPr>
              <w:rPr>
                <w:rFonts w:cs="Arial"/>
                <w:b/>
                <w:bCs/>
                <w:color w:val="FFFFFF" w:themeColor="background1"/>
                <w:sz w:val="22"/>
                <w:szCs w:val="22"/>
                <w:lang w:eastAsia="en-US"/>
              </w:rPr>
            </w:pPr>
            <w:r w:rsidRPr="005432D2">
              <w:rPr>
                <w:rFonts w:cs="Arial"/>
                <w:b/>
                <w:bCs/>
                <w:color w:val="FFFFFF" w:themeColor="background1"/>
                <w:sz w:val="22"/>
                <w:szCs w:val="22"/>
                <w:lang w:eastAsia="en-US"/>
              </w:rPr>
              <w:t>Type of help needed now or in next 5 years</w:t>
            </w:r>
          </w:p>
        </w:tc>
        <w:tc>
          <w:tcPr>
            <w:tcW w:w="2661" w:type="pct"/>
            <w:gridSpan w:val="5"/>
            <w:shd w:val="clear" w:color="auto" w:fill="006666"/>
            <w:noWrap/>
            <w:vAlign w:val="bottom"/>
            <w:hideMark/>
          </w:tcPr>
          <w:p w14:paraId="5980C072" w14:textId="77777777" w:rsidR="00CE1BDB" w:rsidRPr="005432D2" w:rsidRDefault="00CE1BDB" w:rsidP="00EF49A7">
            <w:pPr>
              <w:jc w:val="center"/>
              <w:rPr>
                <w:rFonts w:cs="Arial"/>
                <w:b/>
                <w:bCs/>
                <w:color w:val="FFFFFF" w:themeColor="background1"/>
                <w:sz w:val="22"/>
                <w:szCs w:val="22"/>
                <w:lang w:eastAsia="en-US"/>
              </w:rPr>
            </w:pPr>
            <w:r w:rsidRPr="005432D2">
              <w:rPr>
                <w:rFonts w:cs="Arial"/>
                <w:b/>
                <w:bCs/>
                <w:color w:val="FFFFFF" w:themeColor="background1"/>
                <w:sz w:val="22"/>
                <w:szCs w:val="22"/>
                <w:lang w:eastAsia="en-US"/>
              </w:rPr>
              <w:t xml:space="preserve">% </w:t>
            </w:r>
            <w:proofErr w:type="gramStart"/>
            <w:r w:rsidRPr="005432D2">
              <w:rPr>
                <w:rFonts w:cs="Arial"/>
                <w:b/>
                <w:bCs/>
                <w:color w:val="FFFFFF" w:themeColor="background1"/>
                <w:sz w:val="22"/>
                <w:szCs w:val="22"/>
                <w:lang w:eastAsia="en-US"/>
              </w:rPr>
              <w:t>households</w:t>
            </w:r>
            <w:proofErr w:type="gramEnd"/>
            <w:r w:rsidRPr="005432D2">
              <w:rPr>
                <w:rFonts w:cs="Arial"/>
                <w:b/>
                <w:bCs/>
                <w:color w:val="FFFFFF" w:themeColor="background1"/>
                <w:sz w:val="22"/>
                <w:szCs w:val="22"/>
                <w:lang w:eastAsia="en-US"/>
              </w:rPr>
              <w:t xml:space="preserve"> needing help by age group of HRP</w:t>
            </w:r>
          </w:p>
        </w:tc>
      </w:tr>
      <w:tr w:rsidR="00CE1BDB" w:rsidRPr="005432D2" w14:paraId="2367CE90" w14:textId="77777777" w:rsidTr="005432D2">
        <w:trPr>
          <w:cantSplit/>
        </w:trPr>
        <w:tc>
          <w:tcPr>
            <w:tcW w:w="2339" w:type="pct"/>
            <w:vMerge/>
            <w:shd w:val="clear" w:color="auto" w:fill="006666"/>
            <w:noWrap/>
            <w:vAlign w:val="bottom"/>
            <w:hideMark/>
          </w:tcPr>
          <w:p w14:paraId="7D7A5D6C" w14:textId="77777777" w:rsidR="00CE1BDB" w:rsidRPr="005432D2" w:rsidRDefault="00CE1BDB" w:rsidP="00EF49A7">
            <w:pPr>
              <w:rPr>
                <w:rFonts w:cs="Arial"/>
                <w:b/>
                <w:bCs/>
                <w:color w:val="FFFFFF" w:themeColor="background1"/>
                <w:sz w:val="22"/>
                <w:szCs w:val="22"/>
                <w:lang w:eastAsia="en-US"/>
              </w:rPr>
            </w:pPr>
          </w:p>
        </w:tc>
        <w:tc>
          <w:tcPr>
            <w:tcW w:w="607" w:type="pct"/>
            <w:shd w:val="clear" w:color="auto" w:fill="006666"/>
            <w:noWrap/>
            <w:vAlign w:val="bottom"/>
            <w:hideMark/>
          </w:tcPr>
          <w:p w14:paraId="5A5F06BF" w14:textId="77777777" w:rsidR="00CE1BDB" w:rsidRPr="005432D2" w:rsidRDefault="00CE1BDB" w:rsidP="00EF49A7">
            <w:pPr>
              <w:jc w:val="center"/>
              <w:rPr>
                <w:rFonts w:cs="Arial"/>
                <w:b/>
                <w:bCs/>
                <w:color w:val="FFFFFF" w:themeColor="background1"/>
                <w:sz w:val="22"/>
                <w:szCs w:val="22"/>
                <w:lang w:eastAsia="en-US"/>
              </w:rPr>
            </w:pPr>
            <w:r w:rsidRPr="005432D2">
              <w:rPr>
                <w:rFonts w:cs="Arial"/>
                <w:b/>
                <w:bCs/>
                <w:color w:val="FFFFFF" w:themeColor="background1"/>
                <w:sz w:val="22"/>
                <w:szCs w:val="22"/>
                <w:lang w:eastAsia="en-US"/>
              </w:rPr>
              <w:t>Under 45</w:t>
            </w:r>
          </w:p>
        </w:tc>
        <w:tc>
          <w:tcPr>
            <w:tcW w:w="498" w:type="pct"/>
            <w:shd w:val="clear" w:color="auto" w:fill="006666"/>
            <w:noWrap/>
            <w:vAlign w:val="bottom"/>
            <w:hideMark/>
          </w:tcPr>
          <w:p w14:paraId="0A92B9D0" w14:textId="77777777" w:rsidR="00CE1BDB" w:rsidRPr="005432D2" w:rsidRDefault="00CE1BDB" w:rsidP="00EF49A7">
            <w:pPr>
              <w:jc w:val="center"/>
              <w:rPr>
                <w:rFonts w:cs="Arial"/>
                <w:b/>
                <w:bCs/>
                <w:color w:val="FFFFFF" w:themeColor="background1"/>
                <w:sz w:val="22"/>
                <w:szCs w:val="22"/>
                <w:lang w:eastAsia="en-US"/>
              </w:rPr>
            </w:pPr>
            <w:r w:rsidRPr="005432D2">
              <w:rPr>
                <w:rFonts w:cs="Arial"/>
                <w:b/>
                <w:bCs/>
                <w:color w:val="FFFFFF" w:themeColor="background1"/>
                <w:sz w:val="22"/>
                <w:szCs w:val="22"/>
                <w:lang w:eastAsia="en-US"/>
              </w:rPr>
              <w:t>45-64</w:t>
            </w:r>
          </w:p>
        </w:tc>
        <w:tc>
          <w:tcPr>
            <w:tcW w:w="517" w:type="pct"/>
            <w:shd w:val="clear" w:color="auto" w:fill="006666"/>
            <w:noWrap/>
            <w:vAlign w:val="bottom"/>
            <w:hideMark/>
          </w:tcPr>
          <w:p w14:paraId="39EF0DAC" w14:textId="77777777" w:rsidR="00CE1BDB" w:rsidRPr="005432D2" w:rsidRDefault="00CE1BDB" w:rsidP="00EF49A7">
            <w:pPr>
              <w:jc w:val="center"/>
              <w:rPr>
                <w:rFonts w:cs="Arial"/>
                <w:b/>
                <w:bCs/>
                <w:color w:val="FFFFFF" w:themeColor="background1"/>
                <w:sz w:val="22"/>
                <w:szCs w:val="22"/>
                <w:lang w:eastAsia="en-US"/>
              </w:rPr>
            </w:pPr>
            <w:r w:rsidRPr="005432D2">
              <w:rPr>
                <w:rFonts w:cs="Arial"/>
                <w:b/>
                <w:bCs/>
                <w:color w:val="FFFFFF" w:themeColor="background1"/>
                <w:sz w:val="22"/>
                <w:szCs w:val="22"/>
                <w:lang w:eastAsia="en-US"/>
              </w:rPr>
              <w:t>65-74</w:t>
            </w:r>
          </w:p>
        </w:tc>
        <w:tc>
          <w:tcPr>
            <w:tcW w:w="457" w:type="pct"/>
            <w:shd w:val="clear" w:color="auto" w:fill="006666"/>
            <w:noWrap/>
            <w:vAlign w:val="bottom"/>
            <w:hideMark/>
          </w:tcPr>
          <w:p w14:paraId="22EC404D" w14:textId="77777777" w:rsidR="00CE1BDB" w:rsidRPr="005432D2" w:rsidRDefault="00CE1BDB" w:rsidP="00EF49A7">
            <w:pPr>
              <w:jc w:val="center"/>
              <w:rPr>
                <w:rFonts w:cs="Arial"/>
                <w:b/>
                <w:bCs/>
                <w:color w:val="FFFFFF" w:themeColor="background1"/>
                <w:sz w:val="22"/>
                <w:szCs w:val="22"/>
                <w:lang w:eastAsia="en-US"/>
              </w:rPr>
            </w:pPr>
            <w:r w:rsidRPr="005432D2">
              <w:rPr>
                <w:rFonts w:cs="Arial"/>
                <w:b/>
                <w:bCs/>
                <w:color w:val="FFFFFF" w:themeColor="background1"/>
                <w:sz w:val="22"/>
                <w:szCs w:val="22"/>
                <w:lang w:eastAsia="en-US"/>
              </w:rPr>
              <w:t>75+</w:t>
            </w:r>
          </w:p>
        </w:tc>
        <w:tc>
          <w:tcPr>
            <w:tcW w:w="582" w:type="pct"/>
            <w:shd w:val="clear" w:color="auto" w:fill="006666"/>
            <w:noWrap/>
            <w:vAlign w:val="bottom"/>
            <w:hideMark/>
          </w:tcPr>
          <w:p w14:paraId="5C6B8205" w14:textId="77777777" w:rsidR="00CE1BDB" w:rsidRPr="005432D2" w:rsidRDefault="00CE1BDB" w:rsidP="00EF49A7">
            <w:pPr>
              <w:jc w:val="center"/>
              <w:rPr>
                <w:rFonts w:cs="Arial"/>
                <w:b/>
                <w:bCs/>
                <w:color w:val="FFFFFF" w:themeColor="background1"/>
                <w:sz w:val="22"/>
                <w:szCs w:val="22"/>
                <w:lang w:eastAsia="en-US"/>
              </w:rPr>
            </w:pPr>
            <w:r w:rsidRPr="005432D2">
              <w:rPr>
                <w:rFonts w:cs="Arial"/>
                <w:b/>
                <w:bCs/>
                <w:color w:val="FFFFFF" w:themeColor="background1"/>
                <w:sz w:val="22"/>
                <w:szCs w:val="22"/>
                <w:lang w:eastAsia="en-US"/>
              </w:rPr>
              <w:t>All</w:t>
            </w:r>
          </w:p>
        </w:tc>
      </w:tr>
      <w:tr w:rsidR="00CE1BDB" w:rsidRPr="005432D2" w14:paraId="179B736B" w14:textId="77777777" w:rsidTr="005432D2">
        <w:trPr>
          <w:cantSplit/>
        </w:trPr>
        <w:tc>
          <w:tcPr>
            <w:tcW w:w="2339" w:type="pct"/>
            <w:shd w:val="clear" w:color="auto" w:fill="auto"/>
            <w:noWrap/>
            <w:vAlign w:val="bottom"/>
            <w:hideMark/>
          </w:tcPr>
          <w:p w14:paraId="606C2E7F" w14:textId="77777777" w:rsidR="00CE1BDB" w:rsidRPr="005432D2" w:rsidRDefault="00CE1BDB" w:rsidP="00EF49A7">
            <w:pPr>
              <w:rPr>
                <w:rFonts w:cs="Arial"/>
                <w:color w:val="000000"/>
                <w:sz w:val="22"/>
                <w:szCs w:val="22"/>
              </w:rPr>
            </w:pPr>
            <w:r w:rsidRPr="005432D2">
              <w:rPr>
                <w:rFonts w:cs="Arial"/>
                <w:color w:val="000000"/>
                <w:sz w:val="22"/>
                <w:szCs w:val="22"/>
              </w:rPr>
              <w:t>Help with repair and maintenance of home</w:t>
            </w:r>
          </w:p>
        </w:tc>
        <w:tc>
          <w:tcPr>
            <w:tcW w:w="607" w:type="pct"/>
            <w:shd w:val="clear" w:color="auto" w:fill="auto"/>
            <w:noWrap/>
            <w:vAlign w:val="center"/>
          </w:tcPr>
          <w:p w14:paraId="3140A337"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30.4%</w:t>
            </w:r>
          </w:p>
        </w:tc>
        <w:tc>
          <w:tcPr>
            <w:tcW w:w="498" w:type="pct"/>
            <w:shd w:val="clear" w:color="auto" w:fill="auto"/>
            <w:noWrap/>
            <w:vAlign w:val="center"/>
          </w:tcPr>
          <w:p w14:paraId="17C25019"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35.8%</w:t>
            </w:r>
          </w:p>
        </w:tc>
        <w:tc>
          <w:tcPr>
            <w:tcW w:w="517" w:type="pct"/>
            <w:shd w:val="clear" w:color="auto" w:fill="auto"/>
            <w:noWrap/>
            <w:vAlign w:val="center"/>
          </w:tcPr>
          <w:p w14:paraId="14877DC4"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45.3%</w:t>
            </w:r>
          </w:p>
        </w:tc>
        <w:tc>
          <w:tcPr>
            <w:tcW w:w="457" w:type="pct"/>
            <w:shd w:val="clear" w:color="auto" w:fill="auto"/>
            <w:noWrap/>
            <w:vAlign w:val="center"/>
          </w:tcPr>
          <w:p w14:paraId="2CF081E6"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52.1%</w:t>
            </w:r>
          </w:p>
        </w:tc>
        <w:tc>
          <w:tcPr>
            <w:tcW w:w="582" w:type="pct"/>
            <w:shd w:val="clear" w:color="auto" w:fill="auto"/>
            <w:noWrap/>
            <w:vAlign w:val="center"/>
          </w:tcPr>
          <w:p w14:paraId="21B42927"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38.2%</w:t>
            </w:r>
          </w:p>
        </w:tc>
      </w:tr>
      <w:tr w:rsidR="00CE1BDB" w:rsidRPr="005432D2" w14:paraId="5A375418" w14:textId="77777777" w:rsidTr="005432D2">
        <w:trPr>
          <w:cantSplit/>
        </w:trPr>
        <w:tc>
          <w:tcPr>
            <w:tcW w:w="2339" w:type="pct"/>
            <w:shd w:val="clear" w:color="auto" w:fill="auto"/>
            <w:noWrap/>
            <w:vAlign w:val="bottom"/>
            <w:hideMark/>
          </w:tcPr>
          <w:p w14:paraId="41A796D4" w14:textId="77777777" w:rsidR="00CE1BDB" w:rsidRPr="005432D2" w:rsidRDefault="00CE1BDB" w:rsidP="00EF49A7">
            <w:pPr>
              <w:rPr>
                <w:rFonts w:cs="Arial"/>
                <w:color w:val="000000"/>
                <w:sz w:val="22"/>
                <w:szCs w:val="22"/>
              </w:rPr>
            </w:pPr>
            <w:r w:rsidRPr="005432D2">
              <w:rPr>
                <w:rFonts w:cs="Arial"/>
                <w:color w:val="000000"/>
                <w:sz w:val="22"/>
                <w:szCs w:val="22"/>
              </w:rPr>
              <w:t>Help with gardening</w:t>
            </w:r>
          </w:p>
        </w:tc>
        <w:tc>
          <w:tcPr>
            <w:tcW w:w="607" w:type="pct"/>
            <w:shd w:val="clear" w:color="auto" w:fill="auto"/>
            <w:noWrap/>
            <w:vAlign w:val="center"/>
          </w:tcPr>
          <w:p w14:paraId="55521D61"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17.1%</w:t>
            </w:r>
          </w:p>
        </w:tc>
        <w:tc>
          <w:tcPr>
            <w:tcW w:w="498" w:type="pct"/>
            <w:shd w:val="clear" w:color="auto" w:fill="auto"/>
            <w:noWrap/>
            <w:vAlign w:val="center"/>
          </w:tcPr>
          <w:p w14:paraId="4A3DEE53"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26.8%</w:t>
            </w:r>
          </w:p>
        </w:tc>
        <w:tc>
          <w:tcPr>
            <w:tcW w:w="517" w:type="pct"/>
            <w:shd w:val="clear" w:color="auto" w:fill="auto"/>
            <w:noWrap/>
            <w:vAlign w:val="center"/>
          </w:tcPr>
          <w:p w14:paraId="44ECC90F"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46.1%</w:t>
            </w:r>
          </w:p>
        </w:tc>
        <w:tc>
          <w:tcPr>
            <w:tcW w:w="457" w:type="pct"/>
            <w:shd w:val="clear" w:color="auto" w:fill="auto"/>
            <w:noWrap/>
            <w:vAlign w:val="center"/>
          </w:tcPr>
          <w:p w14:paraId="4AEA154C"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64.8%</w:t>
            </w:r>
          </w:p>
        </w:tc>
        <w:tc>
          <w:tcPr>
            <w:tcW w:w="582" w:type="pct"/>
            <w:shd w:val="clear" w:color="auto" w:fill="auto"/>
            <w:noWrap/>
            <w:vAlign w:val="center"/>
          </w:tcPr>
          <w:p w14:paraId="113FDE14"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32.6%</w:t>
            </w:r>
          </w:p>
        </w:tc>
      </w:tr>
      <w:tr w:rsidR="00CE1BDB" w:rsidRPr="005432D2" w14:paraId="741135C2" w14:textId="77777777" w:rsidTr="005432D2">
        <w:trPr>
          <w:cantSplit/>
        </w:trPr>
        <w:tc>
          <w:tcPr>
            <w:tcW w:w="2339" w:type="pct"/>
            <w:shd w:val="clear" w:color="auto" w:fill="auto"/>
            <w:noWrap/>
            <w:vAlign w:val="bottom"/>
            <w:hideMark/>
          </w:tcPr>
          <w:p w14:paraId="17A20AB7" w14:textId="77777777" w:rsidR="00CE1BDB" w:rsidRPr="005432D2" w:rsidRDefault="00CE1BDB" w:rsidP="00EF49A7">
            <w:pPr>
              <w:rPr>
                <w:rFonts w:cs="Arial"/>
                <w:color w:val="000000"/>
                <w:sz w:val="22"/>
                <w:szCs w:val="22"/>
              </w:rPr>
            </w:pPr>
            <w:r w:rsidRPr="005432D2">
              <w:rPr>
                <w:rFonts w:cs="Arial"/>
                <w:color w:val="000000"/>
                <w:sz w:val="22"/>
                <w:szCs w:val="22"/>
              </w:rPr>
              <w:t>Help with cleaning home</w:t>
            </w:r>
          </w:p>
        </w:tc>
        <w:tc>
          <w:tcPr>
            <w:tcW w:w="607" w:type="pct"/>
            <w:shd w:val="clear" w:color="auto" w:fill="auto"/>
            <w:noWrap/>
            <w:vAlign w:val="center"/>
          </w:tcPr>
          <w:p w14:paraId="3E81DAD5"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11.6%</w:t>
            </w:r>
          </w:p>
        </w:tc>
        <w:tc>
          <w:tcPr>
            <w:tcW w:w="498" w:type="pct"/>
            <w:shd w:val="clear" w:color="auto" w:fill="auto"/>
            <w:noWrap/>
            <w:vAlign w:val="center"/>
          </w:tcPr>
          <w:p w14:paraId="16B4FABE"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19.3%</w:t>
            </w:r>
          </w:p>
        </w:tc>
        <w:tc>
          <w:tcPr>
            <w:tcW w:w="517" w:type="pct"/>
            <w:shd w:val="clear" w:color="auto" w:fill="auto"/>
            <w:noWrap/>
            <w:vAlign w:val="center"/>
          </w:tcPr>
          <w:p w14:paraId="38040AF0"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30.5%</w:t>
            </w:r>
          </w:p>
        </w:tc>
        <w:tc>
          <w:tcPr>
            <w:tcW w:w="457" w:type="pct"/>
            <w:shd w:val="clear" w:color="auto" w:fill="auto"/>
            <w:noWrap/>
            <w:vAlign w:val="center"/>
          </w:tcPr>
          <w:p w14:paraId="0E2470B5"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52.8%</w:t>
            </w:r>
          </w:p>
        </w:tc>
        <w:tc>
          <w:tcPr>
            <w:tcW w:w="582" w:type="pct"/>
            <w:shd w:val="clear" w:color="auto" w:fill="auto"/>
            <w:noWrap/>
            <w:vAlign w:val="center"/>
          </w:tcPr>
          <w:p w14:paraId="2704893A"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23.7%</w:t>
            </w:r>
          </w:p>
        </w:tc>
      </w:tr>
      <w:tr w:rsidR="00CE1BDB" w:rsidRPr="005432D2" w14:paraId="5ED29127" w14:textId="77777777" w:rsidTr="005432D2">
        <w:trPr>
          <w:cantSplit/>
        </w:trPr>
        <w:tc>
          <w:tcPr>
            <w:tcW w:w="2339" w:type="pct"/>
            <w:shd w:val="clear" w:color="auto" w:fill="auto"/>
            <w:noWrap/>
            <w:vAlign w:val="bottom"/>
            <w:hideMark/>
          </w:tcPr>
          <w:p w14:paraId="53483C73" w14:textId="77777777" w:rsidR="00CE1BDB" w:rsidRPr="005432D2" w:rsidRDefault="00CE1BDB" w:rsidP="00EF49A7">
            <w:pPr>
              <w:rPr>
                <w:rFonts w:cs="Arial"/>
                <w:color w:val="000000"/>
                <w:sz w:val="22"/>
                <w:szCs w:val="22"/>
              </w:rPr>
            </w:pPr>
            <w:r w:rsidRPr="005432D2">
              <w:rPr>
                <w:rFonts w:cs="Arial"/>
                <w:color w:val="000000"/>
                <w:sz w:val="22"/>
                <w:szCs w:val="22"/>
              </w:rPr>
              <w:t>Help with other practical tasks</w:t>
            </w:r>
          </w:p>
        </w:tc>
        <w:tc>
          <w:tcPr>
            <w:tcW w:w="607" w:type="pct"/>
            <w:shd w:val="clear" w:color="auto" w:fill="auto"/>
            <w:noWrap/>
            <w:vAlign w:val="center"/>
          </w:tcPr>
          <w:p w14:paraId="1543F40D"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9.8%</w:t>
            </w:r>
          </w:p>
        </w:tc>
        <w:tc>
          <w:tcPr>
            <w:tcW w:w="498" w:type="pct"/>
            <w:shd w:val="clear" w:color="auto" w:fill="auto"/>
            <w:noWrap/>
            <w:vAlign w:val="center"/>
          </w:tcPr>
          <w:p w14:paraId="6AF65C41"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16.6%</w:t>
            </w:r>
          </w:p>
        </w:tc>
        <w:tc>
          <w:tcPr>
            <w:tcW w:w="517" w:type="pct"/>
            <w:shd w:val="clear" w:color="auto" w:fill="auto"/>
            <w:noWrap/>
            <w:vAlign w:val="center"/>
          </w:tcPr>
          <w:p w14:paraId="083E1909"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24.2%</w:t>
            </w:r>
          </w:p>
        </w:tc>
        <w:tc>
          <w:tcPr>
            <w:tcW w:w="457" w:type="pct"/>
            <w:shd w:val="clear" w:color="auto" w:fill="auto"/>
            <w:noWrap/>
            <w:vAlign w:val="center"/>
          </w:tcPr>
          <w:p w14:paraId="515325A4"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44.2%</w:t>
            </w:r>
          </w:p>
        </w:tc>
        <w:tc>
          <w:tcPr>
            <w:tcW w:w="582" w:type="pct"/>
            <w:shd w:val="clear" w:color="auto" w:fill="auto"/>
            <w:noWrap/>
            <w:vAlign w:val="center"/>
          </w:tcPr>
          <w:p w14:paraId="7DD7E755"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19.9%</w:t>
            </w:r>
          </w:p>
        </w:tc>
      </w:tr>
      <w:tr w:rsidR="00CE1BDB" w:rsidRPr="005432D2" w14:paraId="4CEE7FD0" w14:textId="77777777" w:rsidTr="005432D2">
        <w:trPr>
          <w:cantSplit/>
        </w:trPr>
        <w:tc>
          <w:tcPr>
            <w:tcW w:w="2339" w:type="pct"/>
            <w:shd w:val="clear" w:color="auto" w:fill="auto"/>
            <w:noWrap/>
            <w:vAlign w:val="bottom"/>
            <w:hideMark/>
          </w:tcPr>
          <w:p w14:paraId="4F1766F3" w14:textId="77777777" w:rsidR="00CE1BDB" w:rsidRPr="005432D2" w:rsidRDefault="00CE1BDB" w:rsidP="00EF49A7">
            <w:pPr>
              <w:rPr>
                <w:rFonts w:cs="Arial"/>
                <w:color w:val="000000"/>
                <w:sz w:val="22"/>
                <w:szCs w:val="22"/>
              </w:rPr>
            </w:pPr>
            <w:r w:rsidRPr="005432D2">
              <w:rPr>
                <w:rFonts w:cs="Arial"/>
                <w:color w:val="000000"/>
                <w:sz w:val="22"/>
                <w:szCs w:val="22"/>
              </w:rPr>
              <w:t>Help with personal care</w:t>
            </w:r>
          </w:p>
        </w:tc>
        <w:tc>
          <w:tcPr>
            <w:tcW w:w="607" w:type="pct"/>
            <w:shd w:val="clear" w:color="auto" w:fill="auto"/>
            <w:noWrap/>
            <w:vAlign w:val="center"/>
          </w:tcPr>
          <w:p w14:paraId="4FD553B0"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9.0%</w:t>
            </w:r>
          </w:p>
        </w:tc>
        <w:tc>
          <w:tcPr>
            <w:tcW w:w="498" w:type="pct"/>
            <w:shd w:val="clear" w:color="auto" w:fill="auto"/>
            <w:noWrap/>
            <w:vAlign w:val="center"/>
          </w:tcPr>
          <w:p w14:paraId="45F877DB"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14.3%</w:t>
            </w:r>
          </w:p>
        </w:tc>
        <w:tc>
          <w:tcPr>
            <w:tcW w:w="517" w:type="pct"/>
            <w:shd w:val="clear" w:color="auto" w:fill="auto"/>
            <w:noWrap/>
            <w:vAlign w:val="center"/>
          </w:tcPr>
          <w:p w14:paraId="681ADC21"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16.5%</w:t>
            </w:r>
          </w:p>
        </w:tc>
        <w:tc>
          <w:tcPr>
            <w:tcW w:w="457" w:type="pct"/>
            <w:shd w:val="clear" w:color="auto" w:fill="auto"/>
            <w:noWrap/>
            <w:vAlign w:val="center"/>
          </w:tcPr>
          <w:p w14:paraId="697BDA71"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26.7%</w:t>
            </w:r>
          </w:p>
        </w:tc>
        <w:tc>
          <w:tcPr>
            <w:tcW w:w="582" w:type="pct"/>
            <w:shd w:val="clear" w:color="auto" w:fill="auto"/>
            <w:noWrap/>
            <w:vAlign w:val="center"/>
          </w:tcPr>
          <w:p w14:paraId="4F7815F0"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15.1%</w:t>
            </w:r>
          </w:p>
        </w:tc>
      </w:tr>
      <w:tr w:rsidR="00CE1BDB" w:rsidRPr="005432D2" w14:paraId="5B14D259" w14:textId="77777777" w:rsidTr="005432D2">
        <w:trPr>
          <w:cantSplit/>
        </w:trPr>
        <w:tc>
          <w:tcPr>
            <w:tcW w:w="2339" w:type="pct"/>
            <w:shd w:val="clear" w:color="auto" w:fill="auto"/>
            <w:noWrap/>
            <w:vAlign w:val="bottom"/>
            <w:hideMark/>
          </w:tcPr>
          <w:p w14:paraId="74AA306A" w14:textId="77777777" w:rsidR="00CE1BDB" w:rsidRPr="005432D2" w:rsidRDefault="00CE1BDB" w:rsidP="00EF49A7">
            <w:pPr>
              <w:rPr>
                <w:rFonts w:cs="Arial"/>
                <w:color w:val="000000"/>
                <w:sz w:val="22"/>
                <w:szCs w:val="22"/>
              </w:rPr>
            </w:pPr>
            <w:r w:rsidRPr="005432D2">
              <w:rPr>
                <w:rFonts w:cs="Arial"/>
                <w:color w:val="000000"/>
                <w:sz w:val="22"/>
                <w:szCs w:val="22"/>
              </w:rPr>
              <w:t>Want company / friendship</w:t>
            </w:r>
          </w:p>
        </w:tc>
        <w:tc>
          <w:tcPr>
            <w:tcW w:w="607" w:type="pct"/>
            <w:shd w:val="clear" w:color="auto" w:fill="auto"/>
            <w:noWrap/>
            <w:vAlign w:val="center"/>
          </w:tcPr>
          <w:p w14:paraId="40105B41"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9.7%</w:t>
            </w:r>
          </w:p>
        </w:tc>
        <w:tc>
          <w:tcPr>
            <w:tcW w:w="498" w:type="pct"/>
            <w:shd w:val="clear" w:color="auto" w:fill="auto"/>
            <w:noWrap/>
            <w:vAlign w:val="center"/>
          </w:tcPr>
          <w:p w14:paraId="4E89931F"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14.4%</w:t>
            </w:r>
          </w:p>
        </w:tc>
        <w:tc>
          <w:tcPr>
            <w:tcW w:w="517" w:type="pct"/>
            <w:shd w:val="clear" w:color="auto" w:fill="auto"/>
            <w:noWrap/>
            <w:vAlign w:val="center"/>
          </w:tcPr>
          <w:p w14:paraId="0EDDE32F"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17.7%</w:t>
            </w:r>
          </w:p>
        </w:tc>
        <w:tc>
          <w:tcPr>
            <w:tcW w:w="457" w:type="pct"/>
            <w:shd w:val="clear" w:color="auto" w:fill="auto"/>
            <w:noWrap/>
            <w:vAlign w:val="center"/>
          </w:tcPr>
          <w:p w14:paraId="71612A28"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32.2%</w:t>
            </w:r>
          </w:p>
        </w:tc>
        <w:tc>
          <w:tcPr>
            <w:tcW w:w="582" w:type="pct"/>
            <w:shd w:val="clear" w:color="auto" w:fill="auto"/>
            <w:noWrap/>
            <w:vAlign w:val="center"/>
          </w:tcPr>
          <w:p w14:paraId="379B478E"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16.2%</w:t>
            </w:r>
          </w:p>
        </w:tc>
      </w:tr>
      <w:tr w:rsidR="00CE1BDB" w:rsidRPr="005432D2" w14:paraId="58148DFF" w14:textId="77777777" w:rsidTr="005432D2">
        <w:trPr>
          <w:cantSplit/>
        </w:trPr>
        <w:tc>
          <w:tcPr>
            <w:tcW w:w="2339" w:type="pct"/>
            <w:shd w:val="clear" w:color="auto" w:fill="auto"/>
            <w:noWrap/>
            <w:vAlign w:val="bottom"/>
            <w:hideMark/>
          </w:tcPr>
          <w:p w14:paraId="48D69046" w14:textId="77777777" w:rsidR="00CE1BDB" w:rsidRPr="005432D2" w:rsidRDefault="00CE1BDB" w:rsidP="00EF49A7">
            <w:pPr>
              <w:rPr>
                <w:rFonts w:cs="Arial"/>
                <w:color w:val="000000"/>
                <w:sz w:val="22"/>
                <w:szCs w:val="22"/>
              </w:rPr>
            </w:pPr>
            <w:r w:rsidRPr="005432D2">
              <w:rPr>
                <w:rFonts w:cs="Arial"/>
                <w:color w:val="000000"/>
                <w:sz w:val="22"/>
                <w:szCs w:val="22"/>
              </w:rPr>
              <w:t>Base (all households)</w:t>
            </w:r>
          </w:p>
        </w:tc>
        <w:tc>
          <w:tcPr>
            <w:tcW w:w="607" w:type="pct"/>
            <w:shd w:val="clear" w:color="auto" w:fill="auto"/>
            <w:noWrap/>
            <w:tcMar>
              <w:left w:w="0" w:type="dxa"/>
              <w:right w:w="0" w:type="dxa"/>
            </w:tcMar>
            <w:vAlign w:val="center"/>
          </w:tcPr>
          <w:p w14:paraId="6A69B581"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323,285</w:t>
            </w:r>
          </w:p>
        </w:tc>
        <w:tc>
          <w:tcPr>
            <w:tcW w:w="498" w:type="pct"/>
            <w:shd w:val="clear" w:color="auto" w:fill="auto"/>
            <w:noWrap/>
            <w:tcMar>
              <w:left w:w="0" w:type="dxa"/>
              <w:right w:w="0" w:type="dxa"/>
            </w:tcMar>
            <w:vAlign w:val="center"/>
          </w:tcPr>
          <w:p w14:paraId="7464FB2A"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650,785</w:t>
            </w:r>
          </w:p>
        </w:tc>
        <w:tc>
          <w:tcPr>
            <w:tcW w:w="517" w:type="pct"/>
            <w:shd w:val="clear" w:color="auto" w:fill="auto"/>
            <w:noWrap/>
            <w:tcMar>
              <w:left w:w="0" w:type="dxa"/>
              <w:right w:w="0" w:type="dxa"/>
            </w:tcMar>
            <w:vAlign w:val="center"/>
          </w:tcPr>
          <w:p w14:paraId="61046A46"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213,315</w:t>
            </w:r>
          </w:p>
        </w:tc>
        <w:tc>
          <w:tcPr>
            <w:tcW w:w="457" w:type="pct"/>
            <w:shd w:val="clear" w:color="auto" w:fill="auto"/>
            <w:noWrap/>
            <w:tcMar>
              <w:left w:w="0" w:type="dxa"/>
              <w:right w:w="0" w:type="dxa"/>
            </w:tcMar>
            <w:vAlign w:val="center"/>
          </w:tcPr>
          <w:p w14:paraId="016DEE8D"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183,844</w:t>
            </w:r>
          </w:p>
        </w:tc>
        <w:tc>
          <w:tcPr>
            <w:tcW w:w="582" w:type="pct"/>
            <w:shd w:val="clear" w:color="auto" w:fill="auto"/>
            <w:noWrap/>
            <w:tcMar>
              <w:left w:w="0" w:type="dxa"/>
              <w:right w:w="0" w:type="dxa"/>
            </w:tcMar>
            <w:vAlign w:val="center"/>
          </w:tcPr>
          <w:p w14:paraId="71655902" w14:textId="77777777" w:rsidR="00CE1BDB" w:rsidRPr="005432D2" w:rsidRDefault="00CE1BDB" w:rsidP="00EF49A7">
            <w:pPr>
              <w:jc w:val="right"/>
              <w:rPr>
                <w:rFonts w:cs="Arial"/>
                <w:color w:val="000000" w:themeColor="text1"/>
                <w:sz w:val="22"/>
                <w:szCs w:val="22"/>
              </w:rPr>
            </w:pPr>
            <w:r w:rsidRPr="005432D2">
              <w:rPr>
                <w:rFonts w:cs="Arial"/>
                <w:color w:val="000000" w:themeColor="text1"/>
                <w:sz w:val="22"/>
                <w:szCs w:val="22"/>
              </w:rPr>
              <w:t>1,371,229</w:t>
            </w:r>
          </w:p>
        </w:tc>
      </w:tr>
    </w:tbl>
    <w:p w14:paraId="27986726" w14:textId="77777777" w:rsidR="00CE1BDB" w:rsidRPr="00FA4DC7" w:rsidRDefault="00CE1BDB" w:rsidP="00CE1BDB">
      <w:pPr>
        <w:tabs>
          <w:tab w:val="left" w:pos="142"/>
        </w:tabs>
        <w:ind w:left="567" w:hanging="567"/>
        <w:rPr>
          <w:rFonts w:cs="Arial"/>
          <w:sz w:val="22"/>
          <w:szCs w:val="22"/>
        </w:rPr>
      </w:pPr>
      <w:r w:rsidRPr="00FA4DC7">
        <w:rPr>
          <w:rFonts w:cs="Arial"/>
          <w:sz w:val="22"/>
          <w:szCs w:val="22"/>
        </w:rPr>
        <w:t>Source: arc4 national database</w:t>
      </w:r>
    </w:p>
    <w:p w14:paraId="1CB9EBC8" w14:textId="77777777" w:rsidR="00CE1BDB" w:rsidRPr="00FA4DC7" w:rsidRDefault="00CE1BDB" w:rsidP="00CE1BDB">
      <w:pPr>
        <w:rPr>
          <w:rFonts w:cs="Arial"/>
        </w:rPr>
      </w:pPr>
    </w:p>
    <w:p w14:paraId="23971C5E" w14:textId="77777777" w:rsidR="00CE1BDB" w:rsidRPr="00FA4DC7" w:rsidRDefault="00CE1BDB" w:rsidP="00CE1BDB">
      <w:pPr>
        <w:pStyle w:val="Heading2"/>
        <w:rPr>
          <w:rFonts w:cs="Arial"/>
        </w:rPr>
      </w:pPr>
      <w:bookmarkStart w:id="391" w:name="_Toc13046138"/>
      <w:bookmarkStart w:id="392" w:name="_Toc83035677"/>
      <w:r w:rsidRPr="00FA4DC7">
        <w:rPr>
          <w:rFonts w:cs="Arial"/>
        </w:rPr>
        <w:t>Health-related housing need</w:t>
      </w:r>
      <w:bookmarkEnd w:id="391"/>
      <w:bookmarkEnd w:id="392"/>
    </w:p>
    <w:p w14:paraId="77280B47" w14:textId="77777777" w:rsidR="00CE1BDB" w:rsidRPr="00FA4DC7" w:rsidRDefault="00CE1BDB" w:rsidP="00CE1BDB">
      <w:pPr>
        <w:pStyle w:val="Reporttext"/>
        <w:rPr>
          <w:rFonts w:cs="Arial"/>
          <w:lang w:val="en-US"/>
        </w:rPr>
      </w:pPr>
      <w:r w:rsidRPr="00FA4DC7">
        <w:rPr>
          <w:rFonts w:cs="Arial"/>
          <w:lang w:val="en-US"/>
        </w:rPr>
        <w:t>A range of sources can be drawn upon to establish the overall scale of disability/</w:t>
      </w:r>
      <w:r w:rsidRPr="00FA4DC7">
        <w:rPr>
          <w:rFonts w:cs="Arial"/>
        </w:rPr>
        <w:t>support</w:t>
      </w:r>
      <w:r w:rsidRPr="00FA4DC7">
        <w:rPr>
          <w:rFonts w:cs="Arial"/>
          <w:lang w:val="en-US"/>
        </w:rPr>
        <w:t xml:space="preserve"> needs across Medway. In summary:</w:t>
      </w:r>
    </w:p>
    <w:p w14:paraId="5645876C" w14:textId="77777777" w:rsidR="00CE1BDB" w:rsidRPr="00FA4DC7" w:rsidRDefault="00CE1BDB" w:rsidP="00CE1BDB">
      <w:pPr>
        <w:pStyle w:val="bullet"/>
        <w:rPr>
          <w:rFonts w:cs="Arial"/>
          <w:lang w:val="en-US"/>
        </w:rPr>
      </w:pPr>
      <w:r w:rsidRPr="00FA4DC7">
        <w:rPr>
          <w:rFonts w:cs="Arial"/>
          <w:lang w:val="en-US"/>
        </w:rPr>
        <w:t>The 2011 Census reported that across the borough 82.2% were in very good or good health, 12.9% were in fair health and 4.9% in bad/very bad health (particularly across older age groups). A total of 46,363 residents (18%) were in fair/bad/very bad health which compares with 18.3% across England.</w:t>
      </w:r>
    </w:p>
    <w:p w14:paraId="446911FA" w14:textId="77777777" w:rsidR="00CE1BDB" w:rsidRPr="00FA4DC7" w:rsidRDefault="00CE1BDB" w:rsidP="00CE1BDB">
      <w:pPr>
        <w:pStyle w:val="bullet"/>
        <w:rPr>
          <w:rFonts w:cs="Arial"/>
          <w:lang w:val="en-US"/>
        </w:rPr>
      </w:pPr>
      <w:r w:rsidRPr="00FA4DC7">
        <w:rPr>
          <w:rFonts w:cs="Arial"/>
          <w:lang w:val="en-US"/>
        </w:rPr>
        <w:t>7.2% of residents reported that their daily activities were limited ‘a lot’ and 9.0% ‘a little’ which compares with 8.3% and 9.3% respectively across England. This is mainly associated with older age groups.</w:t>
      </w:r>
    </w:p>
    <w:p w14:paraId="0DE37233" w14:textId="77777777" w:rsidR="00CE1BDB" w:rsidRPr="00FA4DC7" w:rsidRDefault="00CE1BDB" w:rsidP="00CE1BDB">
      <w:pPr>
        <w:pStyle w:val="bullet"/>
        <w:rPr>
          <w:rFonts w:cs="Arial"/>
          <w:lang w:val="en-US"/>
        </w:rPr>
      </w:pPr>
      <w:r w:rsidRPr="00FA4DC7">
        <w:rPr>
          <w:rFonts w:cs="Arial"/>
          <w:lang w:val="en-US"/>
        </w:rPr>
        <w:t>8,780 people received Disability Living Allowance in 2018 or 3.1% of the population.</w:t>
      </w:r>
    </w:p>
    <w:p w14:paraId="69A0C1DA" w14:textId="77777777" w:rsidR="00CE1BDB" w:rsidRPr="00FA4DC7" w:rsidRDefault="00CE1BDB" w:rsidP="00CE1BDB">
      <w:pPr>
        <w:pStyle w:val="bullet"/>
        <w:rPr>
          <w:rFonts w:cs="Arial"/>
          <w:lang w:val="en-US"/>
        </w:rPr>
      </w:pPr>
      <w:r w:rsidRPr="00FA4DC7">
        <w:rPr>
          <w:rFonts w:cs="Arial"/>
          <w:lang w:val="en-US"/>
        </w:rPr>
        <w:t xml:space="preserve">The ONS Family Resources Survey 2018/19 estimates that around 21% of the population nationally has a disability. This translates to around 56,980 people across Medway in 2021 and is projected to increase to around 62,410 by 2037 and 63,240 by 2040. </w:t>
      </w:r>
    </w:p>
    <w:p w14:paraId="5739B24B" w14:textId="77777777" w:rsidR="00CE1BDB" w:rsidRPr="00FA4DC7" w:rsidRDefault="00CE1BDB" w:rsidP="00CE1BDB">
      <w:pPr>
        <w:pStyle w:val="bullet"/>
        <w:numPr>
          <w:ilvl w:val="0"/>
          <w:numId w:val="0"/>
        </w:numPr>
        <w:ind w:left="709"/>
        <w:rPr>
          <w:rFonts w:cs="Arial"/>
          <w:highlight w:val="yellow"/>
          <w:lang w:val="en-US"/>
        </w:rPr>
      </w:pPr>
    </w:p>
    <w:p w14:paraId="6A1C2D36" w14:textId="77777777" w:rsidR="00CE1BDB" w:rsidRPr="00FA4DC7" w:rsidRDefault="00CE1BDB" w:rsidP="00CE1BDB">
      <w:pPr>
        <w:pStyle w:val="Heading3"/>
        <w:rPr>
          <w:rFonts w:cs="Arial"/>
        </w:rPr>
      </w:pPr>
      <w:bookmarkStart w:id="393" w:name="_Toc13046143"/>
      <w:r w:rsidRPr="00FA4DC7">
        <w:rPr>
          <w:rFonts w:cs="Arial"/>
        </w:rPr>
        <w:t>Physical disability</w:t>
      </w:r>
    </w:p>
    <w:p w14:paraId="55FF69C6" w14:textId="77777777" w:rsidR="00CE1BDB" w:rsidRPr="00FA4DC7" w:rsidRDefault="00CE1BDB" w:rsidP="00CE1BDB">
      <w:pPr>
        <w:pStyle w:val="Reporttext"/>
        <w:tabs>
          <w:tab w:val="clear" w:pos="2128"/>
          <w:tab w:val="num" w:pos="1419"/>
        </w:tabs>
        <w:rPr>
          <w:rFonts w:cs="Arial"/>
          <w:lang w:val="en-US"/>
        </w:rPr>
      </w:pPr>
      <w:r w:rsidRPr="00FA4DC7">
        <w:rPr>
          <w:rFonts w:cs="Arial"/>
          <w:lang w:val="en-US"/>
        </w:rPr>
        <w:t>POPPI and PANSI (</w:t>
      </w:r>
      <w:r w:rsidRPr="00FA4DC7">
        <w:rPr>
          <w:rFonts w:cs="Arial"/>
        </w:rPr>
        <w:t>Projecting Older People Population Information/Projecting Adult Needs and Service Information, Oxford Brookes University/Institute of Public Care</w:t>
      </w:r>
      <w:r w:rsidRPr="00FA4DC7">
        <w:rPr>
          <w:rStyle w:val="FootnoteReference"/>
          <w:rFonts w:cs="Arial"/>
          <w:lang w:val="en-US"/>
        </w:rPr>
        <w:t xml:space="preserve"> </w:t>
      </w:r>
      <w:r w:rsidRPr="00FA4DC7">
        <w:rPr>
          <w:rFonts w:cs="Arial"/>
          <w:lang w:val="en-US"/>
        </w:rPr>
        <w:t>) provides data on the likely prevalence in 2020 of a range of physical disabilities and how this is expected to change by 2040 (Table 5.11). In 2020, there were an estimated 16,947 people with mobility issues across all age groups which is projected to increase to 20,002 by 2040 mainly due to an increase in the number of people aged 65 with mobility issues.</w:t>
      </w:r>
    </w:p>
    <w:p w14:paraId="4289C61E" w14:textId="77777777" w:rsidR="00CE1BDB" w:rsidRPr="00FA4DC7" w:rsidRDefault="00CE1BDB" w:rsidP="00CE1BDB">
      <w:pPr>
        <w:pStyle w:val="Reporttext"/>
        <w:numPr>
          <w:ilvl w:val="0"/>
          <w:numId w:val="0"/>
        </w:numPr>
        <w:ind w:left="709"/>
        <w:rPr>
          <w:rFonts w:cs="Arial"/>
          <w:highlight w:val="yellow"/>
          <w:lang w:val="en-US"/>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807"/>
        <w:gridCol w:w="1135"/>
        <w:gridCol w:w="955"/>
        <w:gridCol w:w="1283"/>
      </w:tblGrid>
      <w:tr w:rsidR="00CE1BDB" w:rsidRPr="00FA4DC7" w14:paraId="6074D375" w14:textId="77777777" w:rsidTr="005432D2">
        <w:tc>
          <w:tcPr>
            <w:tcW w:w="5000" w:type="pct"/>
            <w:gridSpan w:val="4"/>
            <w:shd w:val="clear" w:color="auto" w:fill="006666"/>
            <w:noWrap/>
            <w:vAlign w:val="bottom"/>
            <w:hideMark/>
          </w:tcPr>
          <w:p w14:paraId="335F0CA5" w14:textId="77777777" w:rsidR="00CE1BDB" w:rsidRPr="00FA4DC7" w:rsidRDefault="00CE1BDB" w:rsidP="00EF49A7">
            <w:pPr>
              <w:pStyle w:val="Tableheading1"/>
              <w:rPr>
                <w:rFonts w:cs="Arial"/>
              </w:rPr>
            </w:pPr>
            <w:bookmarkStart w:id="394" w:name="_Toc54262221"/>
            <w:bookmarkStart w:id="395" w:name="_Toc56502931"/>
            <w:bookmarkStart w:id="396" w:name="_Toc59205092"/>
            <w:bookmarkStart w:id="397" w:name="_Toc83036112"/>
            <w:r w:rsidRPr="00FA4DC7">
              <w:rPr>
                <w:rFonts w:cs="Arial"/>
              </w:rPr>
              <w:lastRenderedPageBreak/>
              <w:t>Table 5.11</w:t>
            </w:r>
            <w:r w:rsidRPr="00FA4DC7">
              <w:rPr>
                <w:rFonts w:cs="Arial"/>
              </w:rPr>
              <w:tab/>
              <w:t>Physical disability prevalence</w:t>
            </w:r>
            <w:bookmarkEnd w:id="394"/>
            <w:bookmarkEnd w:id="395"/>
            <w:bookmarkEnd w:id="396"/>
            <w:bookmarkEnd w:id="397"/>
            <w:r w:rsidRPr="00FA4DC7">
              <w:rPr>
                <w:rFonts w:cs="Arial"/>
              </w:rPr>
              <w:t xml:space="preserve"> </w:t>
            </w:r>
          </w:p>
        </w:tc>
      </w:tr>
      <w:tr w:rsidR="00CE1BDB" w:rsidRPr="00FA4DC7" w14:paraId="53A18898" w14:textId="77777777" w:rsidTr="005432D2">
        <w:tc>
          <w:tcPr>
            <w:tcW w:w="3163" w:type="pct"/>
            <w:shd w:val="clear" w:color="auto" w:fill="006666"/>
            <w:noWrap/>
            <w:vAlign w:val="bottom"/>
          </w:tcPr>
          <w:p w14:paraId="7CE10E36"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Disability (age group)</w:t>
            </w:r>
          </w:p>
        </w:tc>
        <w:tc>
          <w:tcPr>
            <w:tcW w:w="618" w:type="pct"/>
            <w:shd w:val="clear" w:color="auto" w:fill="006666"/>
            <w:noWrap/>
            <w:vAlign w:val="bottom"/>
          </w:tcPr>
          <w:p w14:paraId="60EB1E3C"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2020</w:t>
            </w:r>
          </w:p>
        </w:tc>
        <w:tc>
          <w:tcPr>
            <w:tcW w:w="520" w:type="pct"/>
            <w:shd w:val="clear" w:color="auto" w:fill="006666"/>
            <w:noWrap/>
            <w:vAlign w:val="bottom"/>
          </w:tcPr>
          <w:p w14:paraId="36F3BDF0"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2040</w:t>
            </w:r>
          </w:p>
        </w:tc>
        <w:tc>
          <w:tcPr>
            <w:tcW w:w="699" w:type="pct"/>
            <w:shd w:val="clear" w:color="auto" w:fill="006666"/>
          </w:tcPr>
          <w:p w14:paraId="3FCA675F"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 xml:space="preserve">% </w:t>
            </w:r>
            <w:proofErr w:type="gramStart"/>
            <w:r w:rsidRPr="00FA4DC7">
              <w:rPr>
                <w:rFonts w:cs="Arial"/>
                <w:b/>
                <w:bCs/>
                <w:color w:val="FFFFFF" w:themeColor="background1"/>
                <w:sz w:val="22"/>
                <w:szCs w:val="22"/>
              </w:rPr>
              <w:t>change</w:t>
            </w:r>
            <w:proofErr w:type="gramEnd"/>
            <w:r w:rsidRPr="00FA4DC7">
              <w:rPr>
                <w:rFonts w:cs="Arial"/>
                <w:b/>
                <w:bCs/>
                <w:color w:val="FFFFFF" w:themeColor="background1"/>
                <w:sz w:val="22"/>
                <w:szCs w:val="22"/>
              </w:rPr>
              <w:t xml:space="preserve"> </w:t>
            </w:r>
          </w:p>
          <w:p w14:paraId="52EC706B"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2020-2040</w:t>
            </w:r>
          </w:p>
        </w:tc>
      </w:tr>
      <w:tr w:rsidR="00CE1BDB" w:rsidRPr="00FA4DC7" w14:paraId="0E01FAE9" w14:textId="77777777" w:rsidTr="005432D2">
        <w:tc>
          <w:tcPr>
            <w:tcW w:w="3163" w:type="pct"/>
            <w:shd w:val="clear" w:color="auto" w:fill="auto"/>
            <w:noWrap/>
            <w:vAlign w:val="bottom"/>
            <w:hideMark/>
          </w:tcPr>
          <w:p w14:paraId="7702133F" w14:textId="77777777" w:rsidR="00CE1BDB" w:rsidRPr="00FA4DC7" w:rsidRDefault="00CE1BDB" w:rsidP="00EF49A7">
            <w:pPr>
              <w:rPr>
                <w:rFonts w:cs="Arial"/>
                <w:color w:val="000000"/>
                <w:sz w:val="22"/>
                <w:szCs w:val="22"/>
              </w:rPr>
            </w:pPr>
            <w:r w:rsidRPr="00FA4DC7">
              <w:rPr>
                <w:rFonts w:cs="Arial"/>
                <w:color w:val="000000"/>
                <w:sz w:val="22"/>
                <w:szCs w:val="22"/>
              </w:rPr>
              <w:t>Impaired mobility (18-64)</w:t>
            </w:r>
          </w:p>
        </w:tc>
        <w:tc>
          <w:tcPr>
            <w:tcW w:w="618" w:type="pct"/>
            <w:shd w:val="clear" w:color="auto" w:fill="auto"/>
            <w:noWrap/>
            <w:vAlign w:val="center"/>
          </w:tcPr>
          <w:p w14:paraId="25A94489" w14:textId="77777777" w:rsidR="00CE1BDB" w:rsidRPr="00FA4DC7" w:rsidRDefault="00CE1BDB" w:rsidP="00EF49A7">
            <w:pPr>
              <w:jc w:val="right"/>
              <w:rPr>
                <w:rFonts w:cs="Arial"/>
                <w:color w:val="000000"/>
                <w:sz w:val="22"/>
                <w:szCs w:val="22"/>
              </w:rPr>
            </w:pPr>
            <w:r w:rsidRPr="00FA4DC7">
              <w:rPr>
                <w:rFonts w:cs="Arial"/>
                <w:color w:val="000000"/>
                <w:sz w:val="22"/>
                <w:szCs w:val="22"/>
              </w:rPr>
              <w:t>8,974</w:t>
            </w:r>
          </w:p>
        </w:tc>
        <w:tc>
          <w:tcPr>
            <w:tcW w:w="520" w:type="pct"/>
            <w:shd w:val="clear" w:color="auto" w:fill="auto"/>
            <w:noWrap/>
            <w:vAlign w:val="center"/>
          </w:tcPr>
          <w:p w14:paraId="69B6FDEE" w14:textId="77777777" w:rsidR="00CE1BDB" w:rsidRPr="00FA4DC7" w:rsidRDefault="00CE1BDB" w:rsidP="00EF49A7">
            <w:pPr>
              <w:jc w:val="right"/>
              <w:rPr>
                <w:rFonts w:cs="Arial"/>
                <w:color w:val="000000"/>
                <w:sz w:val="22"/>
                <w:szCs w:val="22"/>
              </w:rPr>
            </w:pPr>
            <w:r w:rsidRPr="00FA4DC7">
              <w:rPr>
                <w:rFonts w:cs="Arial"/>
                <w:color w:val="000000"/>
                <w:sz w:val="22"/>
                <w:szCs w:val="22"/>
              </w:rPr>
              <w:t>8,934</w:t>
            </w:r>
          </w:p>
        </w:tc>
        <w:tc>
          <w:tcPr>
            <w:tcW w:w="699" w:type="pct"/>
            <w:vAlign w:val="center"/>
          </w:tcPr>
          <w:p w14:paraId="2C387C36" w14:textId="77777777" w:rsidR="00CE1BDB" w:rsidRPr="00FA4DC7" w:rsidRDefault="00CE1BDB" w:rsidP="00EF49A7">
            <w:pPr>
              <w:jc w:val="right"/>
              <w:rPr>
                <w:rFonts w:cs="Arial"/>
                <w:color w:val="000000"/>
                <w:sz w:val="22"/>
                <w:szCs w:val="22"/>
              </w:rPr>
            </w:pPr>
            <w:r w:rsidRPr="00FA4DC7">
              <w:rPr>
                <w:rFonts w:cs="Arial"/>
                <w:color w:val="000000"/>
                <w:sz w:val="22"/>
                <w:szCs w:val="22"/>
              </w:rPr>
              <w:t>-0.4%</w:t>
            </w:r>
          </w:p>
        </w:tc>
      </w:tr>
      <w:tr w:rsidR="00CE1BDB" w:rsidRPr="00FA4DC7" w14:paraId="168D0D65" w14:textId="77777777" w:rsidTr="005432D2">
        <w:tc>
          <w:tcPr>
            <w:tcW w:w="3163" w:type="pct"/>
            <w:shd w:val="clear" w:color="auto" w:fill="auto"/>
            <w:noWrap/>
            <w:vAlign w:val="bottom"/>
            <w:hideMark/>
          </w:tcPr>
          <w:p w14:paraId="7D038792" w14:textId="77777777" w:rsidR="00CE1BDB" w:rsidRPr="00FA4DC7" w:rsidRDefault="00CE1BDB" w:rsidP="00EF49A7">
            <w:pPr>
              <w:rPr>
                <w:rFonts w:cs="Arial"/>
                <w:color w:val="000000"/>
                <w:sz w:val="22"/>
                <w:szCs w:val="22"/>
              </w:rPr>
            </w:pPr>
            <w:r w:rsidRPr="00FA4DC7">
              <w:rPr>
                <w:rFonts w:cs="Arial"/>
                <w:color w:val="000000"/>
                <w:sz w:val="22"/>
                <w:szCs w:val="22"/>
              </w:rPr>
              <w:t>Mobility (unable to manage at least one activity on own) (65+)</w:t>
            </w:r>
          </w:p>
        </w:tc>
        <w:tc>
          <w:tcPr>
            <w:tcW w:w="618" w:type="pct"/>
            <w:shd w:val="clear" w:color="auto" w:fill="auto"/>
            <w:noWrap/>
            <w:vAlign w:val="center"/>
          </w:tcPr>
          <w:p w14:paraId="0B74DE75" w14:textId="77777777" w:rsidR="00CE1BDB" w:rsidRPr="00FA4DC7" w:rsidRDefault="00CE1BDB" w:rsidP="00EF49A7">
            <w:pPr>
              <w:jc w:val="right"/>
              <w:rPr>
                <w:rFonts w:cs="Arial"/>
                <w:color w:val="000000"/>
                <w:sz w:val="22"/>
                <w:szCs w:val="22"/>
              </w:rPr>
            </w:pPr>
            <w:r w:rsidRPr="00FA4DC7">
              <w:rPr>
                <w:rFonts w:cs="Arial"/>
                <w:color w:val="000000"/>
                <w:sz w:val="22"/>
                <w:szCs w:val="22"/>
              </w:rPr>
              <w:t>7,973</w:t>
            </w:r>
          </w:p>
        </w:tc>
        <w:tc>
          <w:tcPr>
            <w:tcW w:w="520" w:type="pct"/>
            <w:shd w:val="clear" w:color="auto" w:fill="auto"/>
            <w:noWrap/>
            <w:vAlign w:val="center"/>
          </w:tcPr>
          <w:p w14:paraId="1D86F012" w14:textId="77777777" w:rsidR="00CE1BDB" w:rsidRPr="00FA4DC7" w:rsidRDefault="00CE1BDB" w:rsidP="00EF49A7">
            <w:pPr>
              <w:jc w:val="right"/>
              <w:rPr>
                <w:rFonts w:cs="Arial"/>
                <w:color w:val="000000"/>
                <w:sz w:val="22"/>
                <w:szCs w:val="22"/>
              </w:rPr>
            </w:pPr>
            <w:r w:rsidRPr="00FA4DC7">
              <w:rPr>
                <w:rFonts w:cs="Arial"/>
                <w:color w:val="000000"/>
                <w:sz w:val="22"/>
                <w:szCs w:val="22"/>
              </w:rPr>
              <w:t>11,068</w:t>
            </w:r>
          </w:p>
        </w:tc>
        <w:tc>
          <w:tcPr>
            <w:tcW w:w="699" w:type="pct"/>
            <w:vAlign w:val="center"/>
          </w:tcPr>
          <w:p w14:paraId="5CB4938A" w14:textId="77777777" w:rsidR="00CE1BDB" w:rsidRPr="00FA4DC7" w:rsidRDefault="00CE1BDB" w:rsidP="00EF49A7">
            <w:pPr>
              <w:jc w:val="right"/>
              <w:rPr>
                <w:rFonts w:cs="Arial"/>
                <w:color w:val="000000"/>
                <w:sz w:val="22"/>
                <w:szCs w:val="22"/>
              </w:rPr>
            </w:pPr>
            <w:r w:rsidRPr="00FA4DC7">
              <w:rPr>
                <w:rFonts w:cs="Arial"/>
                <w:color w:val="000000"/>
                <w:sz w:val="22"/>
                <w:szCs w:val="22"/>
              </w:rPr>
              <w:t>38.8%</w:t>
            </w:r>
          </w:p>
        </w:tc>
      </w:tr>
      <w:tr w:rsidR="00CE1BDB" w:rsidRPr="00FA4DC7" w14:paraId="35C0298A" w14:textId="77777777" w:rsidTr="005432D2">
        <w:tc>
          <w:tcPr>
            <w:tcW w:w="3163" w:type="pct"/>
            <w:shd w:val="clear" w:color="auto" w:fill="auto"/>
            <w:noWrap/>
            <w:vAlign w:val="bottom"/>
            <w:hideMark/>
          </w:tcPr>
          <w:p w14:paraId="3C47A3A0" w14:textId="77777777" w:rsidR="00CE1BDB" w:rsidRPr="00FA4DC7" w:rsidRDefault="00CE1BDB" w:rsidP="00EF49A7">
            <w:pPr>
              <w:rPr>
                <w:rFonts w:cs="Arial"/>
                <w:color w:val="000000"/>
                <w:sz w:val="22"/>
                <w:szCs w:val="22"/>
              </w:rPr>
            </w:pPr>
            <w:r w:rsidRPr="00FA4DC7">
              <w:rPr>
                <w:rFonts w:cs="Arial"/>
                <w:color w:val="000000"/>
                <w:sz w:val="22"/>
                <w:szCs w:val="22"/>
              </w:rPr>
              <w:t>Moderate or serious personal care disability (18-64)</w:t>
            </w:r>
          </w:p>
        </w:tc>
        <w:tc>
          <w:tcPr>
            <w:tcW w:w="618" w:type="pct"/>
            <w:shd w:val="clear" w:color="auto" w:fill="auto"/>
            <w:noWrap/>
            <w:vAlign w:val="center"/>
          </w:tcPr>
          <w:p w14:paraId="235CF2FD" w14:textId="77777777" w:rsidR="00CE1BDB" w:rsidRPr="00FA4DC7" w:rsidRDefault="00CE1BDB" w:rsidP="00EF49A7">
            <w:pPr>
              <w:jc w:val="right"/>
              <w:rPr>
                <w:rFonts w:cs="Arial"/>
                <w:color w:val="000000"/>
                <w:sz w:val="22"/>
                <w:szCs w:val="22"/>
              </w:rPr>
            </w:pPr>
            <w:r w:rsidRPr="00FA4DC7">
              <w:rPr>
                <w:rFonts w:cs="Arial"/>
                <w:color w:val="000000"/>
                <w:sz w:val="22"/>
                <w:szCs w:val="22"/>
              </w:rPr>
              <w:t>7,946</w:t>
            </w:r>
          </w:p>
        </w:tc>
        <w:tc>
          <w:tcPr>
            <w:tcW w:w="520" w:type="pct"/>
            <w:shd w:val="clear" w:color="auto" w:fill="auto"/>
            <w:noWrap/>
            <w:vAlign w:val="center"/>
          </w:tcPr>
          <w:p w14:paraId="3FE2A0C9" w14:textId="77777777" w:rsidR="00CE1BDB" w:rsidRPr="00FA4DC7" w:rsidRDefault="00CE1BDB" w:rsidP="00EF49A7">
            <w:pPr>
              <w:jc w:val="right"/>
              <w:rPr>
                <w:rFonts w:cs="Arial"/>
                <w:color w:val="000000"/>
                <w:sz w:val="22"/>
                <w:szCs w:val="22"/>
              </w:rPr>
            </w:pPr>
            <w:r w:rsidRPr="00FA4DC7">
              <w:rPr>
                <w:rFonts w:cs="Arial"/>
                <w:color w:val="000000"/>
                <w:sz w:val="22"/>
                <w:szCs w:val="22"/>
              </w:rPr>
              <w:t>7,942</w:t>
            </w:r>
          </w:p>
        </w:tc>
        <w:tc>
          <w:tcPr>
            <w:tcW w:w="699" w:type="pct"/>
            <w:vAlign w:val="center"/>
          </w:tcPr>
          <w:p w14:paraId="743F26CB" w14:textId="77777777" w:rsidR="00CE1BDB" w:rsidRPr="00FA4DC7" w:rsidRDefault="00CE1BDB" w:rsidP="00EF49A7">
            <w:pPr>
              <w:jc w:val="right"/>
              <w:rPr>
                <w:rFonts w:cs="Arial"/>
                <w:color w:val="000000"/>
                <w:sz w:val="22"/>
                <w:szCs w:val="22"/>
              </w:rPr>
            </w:pPr>
            <w:r w:rsidRPr="00FA4DC7">
              <w:rPr>
                <w:rFonts w:cs="Arial"/>
                <w:color w:val="000000"/>
                <w:sz w:val="22"/>
                <w:szCs w:val="22"/>
              </w:rPr>
              <w:t>-0.1%</w:t>
            </w:r>
          </w:p>
        </w:tc>
      </w:tr>
      <w:tr w:rsidR="00CE1BDB" w:rsidRPr="00FA4DC7" w14:paraId="718ED275" w14:textId="77777777" w:rsidTr="005432D2">
        <w:tc>
          <w:tcPr>
            <w:tcW w:w="3163" w:type="pct"/>
            <w:shd w:val="clear" w:color="auto" w:fill="auto"/>
            <w:noWrap/>
            <w:vAlign w:val="bottom"/>
            <w:hideMark/>
          </w:tcPr>
          <w:p w14:paraId="28066D46" w14:textId="77777777" w:rsidR="00CE1BDB" w:rsidRPr="00FA4DC7" w:rsidRDefault="00CE1BDB" w:rsidP="00EF49A7">
            <w:pPr>
              <w:rPr>
                <w:rFonts w:cs="Arial"/>
                <w:color w:val="000000"/>
                <w:sz w:val="22"/>
                <w:szCs w:val="22"/>
              </w:rPr>
            </w:pPr>
            <w:r w:rsidRPr="00FA4DC7">
              <w:rPr>
                <w:rFonts w:cs="Arial"/>
                <w:color w:val="000000"/>
                <w:sz w:val="22"/>
                <w:szCs w:val="22"/>
              </w:rPr>
              <w:t>Serious visual impairment (18-64)</w:t>
            </w:r>
          </w:p>
        </w:tc>
        <w:tc>
          <w:tcPr>
            <w:tcW w:w="618" w:type="pct"/>
            <w:shd w:val="clear" w:color="auto" w:fill="auto"/>
            <w:noWrap/>
            <w:vAlign w:val="center"/>
          </w:tcPr>
          <w:p w14:paraId="199ADD9D" w14:textId="77777777" w:rsidR="00CE1BDB" w:rsidRPr="00FA4DC7" w:rsidRDefault="00CE1BDB" w:rsidP="00EF49A7">
            <w:pPr>
              <w:jc w:val="right"/>
              <w:rPr>
                <w:rFonts w:cs="Arial"/>
                <w:color w:val="000000"/>
                <w:sz w:val="22"/>
                <w:szCs w:val="22"/>
              </w:rPr>
            </w:pPr>
            <w:r w:rsidRPr="00FA4DC7">
              <w:rPr>
                <w:rFonts w:cs="Arial"/>
                <w:color w:val="000000"/>
                <w:sz w:val="22"/>
                <w:szCs w:val="22"/>
              </w:rPr>
              <w:t>110</w:t>
            </w:r>
          </w:p>
        </w:tc>
        <w:tc>
          <w:tcPr>
            <w:tcW w:w="520" w:type="pct"/>
            <w:shd w:val="clear" w:color="auto" w:fill="auto"/>
            <w:noWrap/>
            <w:vAlign w:val="center"/>
          </w:tcPr>
          <w:p w14:paraId="653498F0" w14:textId="77777777" w:rsidR="00CE1BDB" w:rsidRPr="00FA4DC7" w:rsidRDefault="00CE1BDB" w:rsidP="00EF49A7">
            <w:pPr>
              <w:jc w:val="right"/>
              <w:rPr>
                <w:rFonts w:cs="Arial"/>
                <w:color w:val="000000"/>
                <w:sz w:val="22"/>
                <w:szCs w:val="22"/>
              </w:rPr>
            </w:pPr>
            <w:r w:rsidRPr="00FA4DC7">
              <w:rPr>
                <w:rFonts w:cs="Arial"/>
                <w:color w:val="000000"/>
                <w:sz w:val="22"/>
                <w:szCs w:val="22"/>
              </w:rPr>
              <w:t>110</w:t>
            </w:r>
          </w:p>
        </w:tc>
        <w:tc>
          <w:tcPr>
            <w:tcW w:w="699" w:type="pct"/>
            <w:vAlign w:val="center"/>
          </w:tcPr>
          <w:p w14:paraId="2DDC2547" w14:textId="77777777" w:rsidR="00CE1BDB" w:rsidRPr="00FA4DC7" w:rsidRDefault="00CE1BDB" w:rsidP="00EF49A7">
            <w:pPr>
              <w:jc w:val="right"/>
              <w:rPr>
                <w:rFonts w:cs="Arial"/>
                <w:color w:val="000000"/>
                <w:sz w:val="22"/>
                <w:szCs w:val="22"/>
              </w:rPr>
            </w:pPr>
            <w:r w:rsidRPr="00FA4DC7">
              <w:rPr>
                <w:rFonts w:cs="Arial"/>
                <w:color w:val="000000"/>
                <w:sz w:val="22"/>
                <w:szCs w:val="22"/>
              </w:rPr>
              <w:t>0.0%</w:t>
            </w:r>
          </w:p>
        </w:tc>
      </w:tr>
      <w:tr w:rsidR="00CE1BDB" w:rsidRPr="00FA4DC7" w14:paraId="7A703490" w14:textId="77777777" w:rsidTr="005432D2">
        <w:tc>
          <w:tcPr>
            <w:tcW w:w="3163" w:type="pct"/>
            <w:shd w:val="clear" w:color="auto" w:fill="auto"/>
            <w:noWrap/>
            <w:vAlign w:val="bottom"/>
            <w:hideMark/>
          </w:tcPr>
          <w:p w14:paraId="0F2CBF27" w14:textId="77777777" w:rsidR="00CE1BDB" w:rsidRPr="00FA4DC7" w:rsidRDefault="00CE1BDB" w:rsidP="00EF49A7">
            <w:pPr>
              <w:rPr>
                <w:rFonts w:cs="Arial"/>
                <w:color w:val="000000"/>
                <w:sz w:val="22"/>
                <w:szCs w:val="22"/>
              </w:rPr>
            </w:pPr>
            <w:r w:rsidRPr="00FA4DC7">
              <w:rPr>
                <w:rFonts w:cs="Arial"/>
                <w:color w:val="000000"/>
                <w:sz w:val="22"/>
                <w:szCs w:val="22"/>
              </w:rPr>
              <w:t>Moderate or severe visual impairment (65+)</w:t>
            </w:r>
          </w:p>
        </w:tc>
        <w:tc>
          <w:tcPr>
            <w:tcW w:w="618" w:type="pct"/>
            <w:shd w:val="clear" w:color="auto" w:fill="auto"/>
            <w:noWrap/>
            <w:vAlign w:val="center"/>
          </w:tcPr>
          <w:p w14:paraId="42ADFD54" w14:textId="77777777" w:rsidR="00CE1BDB" w:rsidRPr="00FA4DC7" w:rsidRDefault="00CE1BDB" w:rsidP="00EF49A7">
            <w:pPr>
              <w:jc w:val="right"/>
              <w:rPr>
                <w:rFonts w:cs="Arial"/>
                <w:color w:val="000000"/>
                <w:sz w:val="22"/>
                <w:szCs w:val="22"/>
              </w:rPr>
            </w:pPr>
            <w:r w:rsidRPr="00FA4DC7">
              <w:rPr>
                <w:rFonts w:cs="Arial"/>
                <w:color w:val="000000"/>
                <w:sz w:val="22"/>
                <w:szCs w:val="22"/>
              </w:rPr>
              <w:t>3,885</w:t>
            </w:r>
          </w:p>
        </w:tc>
        <w:tc>
          <w:tcPr>
            <w:tcW w:w="520" w:type="pct"/>
            <w:shd w:val="clear" w:color="auto" w:fill="auto"/>
            <w:noWrap/>
            <w:vAlign w:val="center"/>
          </w:tcPr>
          <w:p w14:paraId="27DC6844" w14:textId="77777777" w:rsidR="00CE1BDB" w:rsidRPr="00FA4DC7" w:rsidRDefault="00CE1BDB" w:rsidP="00EF49A7">
            <w:pPr>
              <w:jc w:val="right"/>
              <w:rPr>
                <w:rFonts w:cs="Arial"/>
                <w:color w:val="000000"/>
                <w:sz w:val="22"/>
                <w:szCs w:val="22"/>
              </w:rPr>
            </w:pPr>
            <w:r w:rsidRPr="00FA4DC7">
              <w:rPr>
                <w:rFonts w:cs="Arial"/>
                <w:color w:val="000000"/>
                <w:sz w:val="22"/>
                <w:szCs w:val="22"/>
              </w:rPr>
              <w:t>5,291</w:t>
            </w:r>
          </w:p>
        </w:tc>
        <w:tc>
          <w:tcPr>
            <w:tcW w:w="699" w:type="pct"/>
            <w:vAlign w:val="center"/>
          </w:tcPr>
          <w:p w14:paraId="4D98CFFE" w14:textId="77777777" w:rsidR="00CE1BDB" w:rsidRPr="00FA4DC7" w:rsidRDefault="00CE1BDB" w:rsidP="00EF49A7">
            <w:pPr>
              <w:jc w:val="right"/>
              <w:rPr>
                <w:rFonts w:cs="Arial"/>
                <w:color w:val="000000"/>
                <w:sz w:val="22"/>
                <w:szCs w:val="22"/>
              </w:rPr>
            </w:pPr>
            <w:r w:rsidRPr="00FA4DC7">
              <w:rPr>
                <w:rFonts w:cs="Arial"/>
                <w:color w:val="000000"/>
                <w:sz w:val="22"/>
                <w:szCs w:val="22"/>
              </w:rPr>
              <w:t>36.2%</w:t>
            </w:r>
          </w:p>
        </w:tc>
      </w:tr>
      <w:tr w:rsidR="00CE1BDB" w:rsidRPr="00FA4DC7" w14:paraId="3B9252C6" w14:textId="77777777" w:rsidTr="005432D2">
        <w:tc>
          <w:tcPr>
            <w:tcW w:w="3163" w:type="pct"/>
            <w:shd w:val="clear" w:color="auto" w:fill="auto"/>
            <w:noWrap/>
            <w:vAlign w:val="bottom"/>
            <w:hideMark/>
          </w:tcPr>
          <w:p w14:paraId="3D9D6ABA" w14:textId="77777777" w:rsidR="00CE1BDB" w:rsidRPr="00FA4DC7" w:rsidRDefault="00CE1BDB" w:rsidP="00EF49A7">
            <w:pPr>
              <w:rPr>
                <w:rFonts w:cs="Arial"/>
                <w:color w:val="000000"/>
                <w:sz w:val="22"/>
                <w:szCs w:val="22"/>
              </w:rPr>
            </w:pPr>
            <w:r w:rsidRPr="00FA4DC7">
              <w:rPr>
                <w:rFonts w:cs="Arial"/>
                <w:color w:val="000000"/>
                <w:sz w:val="22"/>
                <w:szCs w:val="22"/>
              </w:rPr>
              <w:t>Severe hearing loss (18-64)</w:t>
            </w:r>
          </w:p>
        </w:tc>
        <w:tc>
          <w:tcPr>
            <w:tcW w:w="618" w:type="pct"/>
            <w:shd w:val="clear" w:color="auto" w:fill="auto"/>
            <w:noWrap/>
            <w:vAlign w:val="center"/>
          </w:tcPr>
          <w:p w14:paraId="5B14497F" w14:textId="77777777" w:rsidR="00CE1BDB" w:rsidRPr="00FA4DC7" w:rsidRDefault="00CE1BDB" w:rsidP="00EF49A7">
            <w:pPr>
              <w:jc w:val="right"/>
              <w:rPr>
                <w:rFonts w:cs="Arial"/>
                <w:color w:val="000000"/>
                <w:sz w:val="22"/>
                <w:szCs w:val="22"/>
              </w:rPr>
            </w:pPr>
            <w:r w:rsidRPr="00FA4DC7">
              <w:rPr>
                <w:rFonts w:cs="Arial"/>
                <w:color w:val="000000"/>
                <w:sz w:val="22"/>
                <w:szCs w:val="22"/>
              </w:rPr>
              <w:t>984</w:t>
            </w:r>
          </w:p>
        </w:tc>
        <w:tc>
          <w:tcPr>
            <w:tcW w:w="520" w:type="pct"/>
            <w:shd w:val="clear" w:color="auto" w:fill="auto"/>
            <w:noWrap/>
            <w:vAlign w:val="center"/>
          </w:tcPr>
          <w:p w14:paraId="34546481" w14:textId="77777777" w:rsidR="00CE1BDB" w:rsidRPr="00FA4DC7" w:rsidRDefault="00CE1BDB" w:rsidP="00EF49A7">
            <w:pPr>
              <w:jc w:val="right"/>
              <w:rPr>
                <w:rFonts w:cs="Arial"/>
                <w:color w:val="000000"/>
                <w:sz w:val="22"/>
                <w:szCs w:val="22"/>
              </w:rPr>
            </w:pPr>
            <w:r w:rsidRPr="00FA4DC7">
              <w:rPr>
                <w:rFonts w:cs="Arial"/>
                <w:color w:val="000000"/>
                <w:sz w:val="22"/>
                <w:szCs w:val="22"/>
              </w:rPr>
              <w:t>966</w:t>
            </w:r>
          </w:p>
        </w:tc>
        <w:tc>
          <w:tcPr>
            <w:tcW w:w="699" w:type="pct"/>
            <w:vAlign w:val="center"/>
          </w:tcPr>
          <w:p w14:paraId="24A07AC3" w14:textId="77777777" w:rsidR="00CE1BDB" w:rsidRPr="00FA4DC7" w:rsidRDefault="00CE1BDB" w:rsidP="00EF49A7">
            <w:pPr>
              <w:jc w:val="right"/>
              <w:rPr>
                <w:rFonts w:cs="Arial"/>
                <w:color w:val="000000"/>
                <w:sz w:val="22"/>
                <w:szCs w:val="22"/>
              </w:rPr>
            </w:pPr>
            <w:r w:rsidRPr="00FA4DC7">
              <w:rPr>
                <w:rFonts w:cs="Arial"/>
                <w:color w:val="000000"/>
                <w:sz w:val="22"/>
                <w:szCs w:val="22"/>
              </w:rPr>
              <w:t>-1.8%</w:t>
            </w:r>
          </w:p>
        </w:tc>
      </w:tr>
      <w:tr w:rsidR="00CE1BDB" w:rsidRPr="00FA4DC7" w14:paraId="672B4F61" w14:textId="77777777" w:rsidTr="005432D2">
        <w:tc>
          <w:tcPr>
            <w:tcW w:w="3163" w:type="pct"/>
            <w:shd w:val="clear" w:color="auto" w:fill="auto"/>
            <w:noWrap/>
            <w:vAlign w:val="bottom"/>
          </w:tcPr>
          <w:p w14:paraId="777E37CA" w14:textId="77777777" w:rsidR="00CE1BDB" w:rsidRPr="00FA4DC7" w:rsidRDefault="00CE1BDB" w:rsidP="00EF49A7">
            <w:pPr>
              <w:rPr>
                <w:rFonts w:cs="Arial"/>
                <w:color w:val="000000"/>
                <w:sz w:val="22"/>
                <w:szCs w:val="22"/>
              </w:rPr>
            </w:pPr>
            <w:r w:rsidRPr="00FA4DC7">
              <w:rPr>
                <w:rFonts w:cs="Arial"/>
                <w:color w:val="000000"/>
                <w:sz w:val="22"/>
                <w:szCs w:val="22"/>
              </w:rPr>
              <w:t>Severe hearing loss (65+)</w:t>
            </w:r>
          </w:p>
        </w:tc>
        <w:tc>
          <w:tcPr>
            <w:tcW w:w="618" w:type="pct"/>
            <w:shd w:val="clear" w:color="auto" w:fill="auto"/>
            <w:noWrap/>
            <w:vAlign w:val="center"/>
          </w:tcPr>
          <w:p w14:paraId="402F339F" w14:textId="77777777" w:rsidR="00CE1BDB" w:rsidRPr="00FA4DC7" w:rsidRDefault="00CE1BDB" w:rsidP="00EF49A7">
            <w:pPr>
              <w:jc w:val="right"/>
              <w:rPr>
                <w:rFonts w:cs="Arial"/>
                <w:color w:val="000000"/>
                <w:sz w:val="22"/>
                <w:szCs w:val="22"/>
              </w:rPr>
            </w:pPr>
            <w:r w:rsidRPr="00FA4DC7">
              <w:rPr>
                <w:rFonts w:cs="Arial"/>
                <w:color w:val="000000"/>
                <w:sz w:val="22"/>
                <w:szCs w:val="22"/>
              </w:rPr>
              <w:t>3,359</w:t>
            </w:r>
          </w:p>
        </w:tc>
        <w:tc>
          <w:tcPr>
            <w:tcW w:w="520" w:type="pct"/>
            <w:shd w:val="clear" w:color="auto" w:fill="auto"/>
            <w:noWrap/>
            <w:vAlign w:val="center"/>
          </w:tcPr>
          <w:p w14:paraId="6DDC42AF" w14:textId="77777777" w:rsidR="00CE1BDB" w:rsidRPr="00FA4DC7" w:rsidRDefault="00CE1BDB" w:rsidP="00EF49A7">
            <w:pPr>
              <w:jc w:val="right"/>
              <w:rPr>
                <w:rFonts w:cs="Arial"/>
                <w:color w:val="000000"/>
                <w:sz w:val="22"/>
                <w:szCs w:val="22"/>
              </w:rPr>
            </w:pPr>
            <w:r w:rsidRPr="00FA4DC7">
              <w:rPr>
                <w:rFonts w:cs="Arial"/>
                <w:color w:val="000000"/>
                <w:sz w:val="22"/>
                <w:szCs w:val="22"/>
              </w:rPr>
              <w:t>4,845</w:t>
            </w:r>
          </w:p>
        </w:tc>
        <w:tc>
          <w:tcPr>
            <w:tcW w:w="699" w:type="pct"/>
            <w:vAlign w:val="center"/>
          </w:tcPr>
          <w:p w14:paraId="35F7314E" w14:textId="77777777" w:rsidR="00CE1BDB" w:rsidRPr="00FA4DC7" w:rsidRDefault="00CE1BDB" w:rsidP="00EF49A7">
            <w:pPr>
              <w:jc w:val="right"/>
              <w:rPr>
                <w:rFonts w:cs="Arial"/>
                <w:color w:val="000000"/>
                <w:sz w:val="22"/>
                <w:szCs w:val="22"/>
              </w:rPr>
            </w:pPr>
            <w:r w:rsidRPr="00FA4DC7">
              <w:rPr>
                <w:rFonts w:cs="Arial"/>
                <w:color w:val="000000"/>
                <w:sz w:val="22"/>
                <w:szCs w:val="22"/>
              </w:rPr>
              <w:t>44.2%</w:t>
            </w:r>
          </w:p>
        </w:tc>
      </w:tr>
      <w:tr w:rsidR="00CE1BDB" w:rsidRPr="00FA4DC7" w14:paraId="788B8764" w14:textId="77777777" w:rsidTr="005432D2">
        <w:tc>
          <w:tcPr>
            <w:tcW w:w="3163" w:type="pct"/>
            <w:shd w:val="clear" w:color="auto" w:fill="auto"/>
            <w:noWrap/>
            <w:vAlign w:val="bottom"/>
          </w:tcPr>
          <w:p w14:paraId="03913879" w14:textId="77777777" w:rsidR="00CE1BDB" w:rsidRPr="00FA4DC7" w:rsidRDefault="00CE1BDB" w:rsidP="00EF49A7">
            <w:pPr>
              <w:rPr>
                <w:rFonts w:cs="Arial"/>
                <w:color w:val="000000"/>
                <w:sz w:val="22"/>
                <w:szCs w:val="22"/>
              </w:rPr>
            </w:pPr>
            <w:r w:rsidRPr="00FA4DC7">
              <w:rPr>
                <w:rFonts w:cs="Arial"/>
                <w:color w:val="000000"/>
                <w:sz w:val="22"/>
                <w:szCs w:val="22"/>
              </w:rPr>
              <w:t>All with mobility issues (impaired mobility 18-64 and mobility 65+</w:t>
            </w:r>
          </w:p>
        </w:tc>
        <w:tc>
          <w:tcPr>
            <w:tcW w:w="618" w:type="pct"/>
            <w:shd w:val="clear" w:color="auto" w:fill="auto"/>
            <w:noWrap/>
            <w:vAlign w:val="center"/>
          </w:tcPr>
          <w:p w14:paraId="75303393" w14:textId="77777777" w:rsidR="00CE1BDB" w:rsidRPr="00FA4DC7" w:rsidRDefault="00CE1BDB" w:rsidP="00EF49A7">
            <w:pPr>
              <w:jc w:val="right"/>
              <w:rPr>
                <w:rFonts w:cs="Arial"/>
                <w:color w:val="000000"/>
                <w:sz w:val="22"/>
                <w:szCs w:val="22"/>
              </w:rPr>
            </w:pPr>
            <w:r w:rsidRPr="00FA4DC7">
              <w:rPr>
                <w:rFonts w:cs="Arial"/>
                <w:color w:val="000000"/>
                <w:sz w:val="22"/>
                <w:szCs w:val="22"/>
              </w:rPr>
              <w:t>16,947</w:t>
            </w:r>
          </w:p>
        </w:tc>
        <w:tc>
          <w:tcPr>
            <w:tcW w:w="520" w:type="pct"/>
            <w:shd w:val="clear" w:color="auto" w:fill="auto"/>
            <w:noWrap/>
            <w:vAlign w:val="center"/>
          </w:tcPr>
          <w:p w14:paraId="55378264" w14:textId="77777777" w:rsidR="00CE1BDB" w:rsidRPr="00FA4DC7" w:rsidRDefault="00CE1BDB" w:rsidP="00EF49A7">
            <w:pPr>
              <w:jc w:val="right"/>
              <w:rPr>
                <w:rFonts w:cs="Arial"/>
                <w:color w:val="000000"/>
                <w:sz w:val="22"/>
                <w:szCs w:val="22"/>
              </w:rPr>
            </w:pPr>
            <w:r w:rsidRPr="00FA4DC7">
              <w:rPr>
                <w:rFonts w:cs="Arial"/>
                <w:color w:val="000000"/>
                <w:sz w:val="22"/>
                <w:szCs w:val="22"/>
              </w:rPr>
              <w:t>20,002</w:t>
            </w:r>
          </w:p>
        </w:tc>
        <w:tc>
          <w:tcPr>
            <w:tcW w:w="699" w:type="pct"/>
            <w:vAlign w:val="center"/>
          </w:tcPr>
          <w:p w14:paraId="4D92170F" w14:textId="77777777" w:rsidR="00CE1BDB" w:rsidRPr="00FA4DC7" w:rsidRDefault="00CE1BDB" w:rsidP="00EF49A7">
            <w:pPr>
              <w:jc w:val="right"/>
              <w:rPr>
                <w:rFonts w:cs="Arial"/>
                <w:color w:val="000000"/>
                <w:sz w:val="22"/>
                <w:szCs w:val="22"/>
              </w:rPr>
            </w:pPr>
            <w:r w:rsidRPr="00FA4DC7">
              <w:rPr>
                <w:rFonts w:cs="Arial"/>
                <w:color w:val="000000"/>
                <w:sz w:val="22"/>
                <w:szCs w:val="22"/>
              </w:rPr>
              <w:t>18.0%</w:t>
            </w:r>
          </w:p>
        </w:tc>
      </w:tr>
    </w:tbl>
    <w:p w14:paraId="1BD60B94" w14:textId="77777777" w:rsidR="00CE1BDB" w:rsidRPr="00FA4DC7" w:rsidRDefault="00CE1BDB" w:rsidP="00CE1BDB">
      <w:pPr>
        <w:pStyle w:val="Reporttext"/>
        <w:numPr>
          <w:ilvl w:val="0"/>
          <w:numId w:val="0"/>
        </w:numPr>
        <w:ind w:left="709" w:hanging="709"/>
        <w:rPr>
          <w:rFonts w:cs="Arial"/>
          <w:sz w:val="22"/>
          <w:szCs w:val="22"/>
        </w:rPr>
      </w:pPr>
      <w:r w:rsidRPr="00FA4DC7">
        <w:rPr>
          <w:rFonts w:cs="Arial"/>
          <w:sz w:val="22"/>
          <w:szCs w:val="22"/>
        </w:rPr>
        <w:t xml:space="preserve">Source: POPPI/PANSI </w:t>
      </w:r>
    </w:p>
    <w:p w14:paraId="7D86F72A" w14:textId="77777777" w:rsidR="00CE1BDB" w:rsidRPr="00FA4DC7" w:rsidRDefault="00CE1BDB" w:rsidP="00CE1BDB">
      <w:pPr>
        <w:rPr>
          <w:rFonts w:cs="Arial"/>
          <w:highlight w:val="yellow"/>
        </w:rPr>
      </w:pPr>
    </w:p>
    <w:p w14:paraId="3DC5149F" w14:textId="77777777" w:rsidR="00CE1BDB" w:rsidRPr="00FA4DC7" w:rsidRDefault="00CE1BDB" w:rsidP="00CE1BDB">
      <w:pPr>
        <w:pStyle w:val="Heading3"/>
        <w:rPr>
          <w:rFonts w:cs="Arial"/>
          <w:lang w:val="en-US"/>
        </w:rPr>
      </w:pPr>
      <w:r w:rsidRPr="00FA4DC7">
        <w:rPr>
          <w:rFonts w:cs="Arial"/>
        </w:rPr>
        <w:t>Learning disability and autism</w:t>
      </w:r>
    </w:p>
    <w:p w14:paraId="4CB4F619" w14:textId="77777777" w:rsidR="00CE1BDB" w:rsidRPr="00FA4DC7" w:rsidRDefault="00CE1BDB" w:rsidP="00CE1BDB">
      <w:pPr>
        <w:pStyle w:val="Reporttext"/>
        <w:tabs>
          <w:tab w:val="clear" w:pos="2128"/>
          <w:tab w:val="num" w:pos="1419"/>
        </w:tabs>
        <w:rPr>
          <w:rFonts w:cs="Arial"/>
          <w:lang w:val="en-US"/>
        </w:rPr>
      </w:pPr>
      <w:r w:rsidRPr="00FA4DC7">
        <w:rPr>
          <w:rFonts w:cs="Arial"/>
          <w:lang w:val="en-US"/>
        </w:rPr>
        <w:t xml:space="preserve">The number of people across all age groups with moderate or severe learning disabilities is estimated to be around 1,067 in 2020 rising to 1,118 by 2040 (Table 5.12). There is a notable growth in the number of people aged 65 and over with learning disabilities. </w:t>
      </w:r>
      <w:r w:rsidRPr="00FA4DC7">
        <w:rPr>
          <w:rFonts w:cs="Arial"/>
        </w:rPr>
        <w:fldChar w:fldCharType="begin"/>
      </w:r>
      <w:r w:rsidRPr="00FA4DC7">
        <w:rPr>
          <w:rFonts w:cs="Arial"/>
        </w:rPr>
        <w:instrText xml:space="preserve"> LINK Word.Document.12 "/Users/michael/Documents/arc4 MB Current Projects /Wirral 2019 SHMA/Wirral SHMA Update 10 Nov version FULL.docx" "OLE_LINK1" \a \r  \* MERGEFORMAT </w:instrText>
      </w:r>
      <w:r w:rsidRPr="00FA4DC7">
        <w:rPr>
          <w:rFonts w:cs="Arial"/>
        </w:rPr>
        <w:fldChar w:fldCharType="separate"/>
      </w:r>
      <w:r w:rsidRPr="00FA4DC7">
        <w:rPr>
          <w:rFonts w:cs="Arial"/>
          <w:lang w:val="en-US"/>
        </w:rPr>
        <w:t xml:space="preserve">Around 2,099 people have autistic spectrum disorders in 2020 and this is expected to increase to 2,230 by 2040.  </w:t>
      </w:r>
    </w:p>
    <w:p w14:paraId="5551EADB" w14:textId="77777777" w:rsidR="00CE1BDB" w:rsidRPr="00FA4DC7" w:rsidRDefault="00CE1BDB" w:rsidP="00CE1BDB">
      <w:pPr>
        <w:pStyle w:val="Reporttext"/>
        <w:numPr>
          <w:ilvl w:val="0"/>
          <w:numId w:val="0"/>
        </w:numPr>
        <w:ind w:left="709"/>
        <w:rPr>
          <w:rFonts w:cs="Arial"/>
          <w:lang w:val="en-US"/>
        </w:rPr>
      </w:pPr>
      <w:r w:rsidRPr="00FA4DC7">
        <w:rPr>
          <w:rFonts w:cs="Arial"/>
        </w:rPr>
        <w:fldChar w:fldCharType="end"/>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97"/>
        <w:gridCol w:w="1197"/>
        <w:gridCol w:w="1197"/>
        <w:gridCol w:w="1289"/>
      </w:tblGrid>
      <w:tr w:rsidR="00CE1BDB" w:rsidRPr="00FA4DC7" w14:paraId="52470FC6" w14:textId="77777777" w:rsidTr="00EF49A7">
        <w:tc>
          <w:tcPr>
            <w:tcW w:w="5000" w:type="pct"/>
            <w:gridSpan w:val="4"/>
            <w:shd w:val="clear" w:color="auto" w:fill="006666"/>
            <w:noWrap/>
            <w:vAlign w:val="bottom"/>
          </w:tcPr>
          <w:p w14:paraId="42ABC23A" w14:textId="77777777" w:rsidR="00CE1BDB" w:rsidRPr="00FA4DC7" w:rsidRDefault="00CE1BDB" w:rsidP="00EF49A7">
            <w:pPr>
              <w:pStyle w:val="Tableheading1"/>
              <w:rPr>
                <w:rFonts w:cs="Arial"/>
              </w:rPr>
            </w:pPr>
            <w:bookmarkStart w:id="398" w:name="_Toc54262222"/>
            <w:bookmarkStart w:id="399" w:name="_Toc56502932"/>
            <w:bookmarkStart w:id="400" w:name="_Toc59205093"/>
            <w:bookmarkStart w:id="401" w:name="_Toc83036113"/>
            <w:r w:rsidRPr="00FA4DC7">
              <w:rPr>
                <w:rFonts w:cs="Arial"/>
              </w:rPr>
              <w:t>Table 5.12</w:t>
            </w:r>
            <w:r w:rsidRPr="00FA4DC7">
              <w:rPr>
                <w:rFonts w:cs="Arial"/>
              </w:rPr>
              <w:tab/>
              <w:t>Learning disability</w:t>
            </w:r>
            <w:bookmarkEnd w:id="398"/>
            <w:bookmarkEnd w:id="399"/>
            <w:r w:rsidRPr="00FA4DC7">
              <w:rPr>
                <w:rFonts w:cs="Arial"/>
              </w:rPr>
              <w:t xml:space="preserve"> and autism</w:t>
            </w:r>
            <w:bookmarkEnd w:id="400"/>
            <w:bookmarkEnd w:id="401"/>
          </w:p>
        </w:tc>
      </w:tr>
      <w:tr w:rsidR="00CE1BDB" w:rsidRPr="00FA4DC7" w14:paraId="588DA965" w14:textId="77777777" w:rsidTr="00EF49A7">
        <w:tc>
          <w:tcPr>
            <w:tcW w:w="2994" w:type="pct"/>
            <w:shd w:val="clear" w:color="auto" w:fill="006666"/>
            <w:noWrap/>
            <w:vAlign w:val="bottom"/>
          </w:tcPr>
          <w:p w14:paraId="0B34FD91" w14:textId="77777777" w:rsidR="00CE1BDB" w:rsidRPr="00FA4DC7" w:rsidRDefault="00CE1BDB" w:rsidP="00EF49A7">
            <w:pPr>
              <w:rPr>
                <w:rFonts w:cs="Arial"/>
                <w:b/>
                <w:bCs/>
                <w:color w:val="000000"/>
                <w:sz w:val="22"/>
                <w:szCs w:val="22"/>
              </w:rPr>
            </w:pPr>
            <w:r w:rsidRPr="00FA4DC7">
              <w:rPr>
                <w:rFonts w:cs="Arial"/>
                <w:b/>
                <w:bCs/>
                <w:color w:val="FFFFFF" w:themeColor="background1"/>
                <w:sz w:val="22"/>
                <w:szCs w:val="22"/>
              </w:rPr>
              <w:t>Learning disability (age group)</w:t>
            </w:r>
          </w:p>
        </w:tc>
        <w:tc>
          <w:tcPr>
            <w:tcW w:w="652" w:type="pct"/>
            <w:shd w:val="clear" w:color="auto" w:fill="006666"/>
            <w:noWrap/>
            <w:vAlign w:val="bottom"/>
          </w:tcPr>
          <w:p w14:paraId="0AF066F7" w14:textId="77777777" w:rsidR="00CE1BDB" w:rsidRPr="00FA4DC7" w:rsidRDefault="00CE1BDB" w:rsidP="00EF49A7">
            <w:pPr>
              <w:jc w:val="right"/>
              <w:rPr>
                <w:rFonts w:cs="Arial"/>
                <w:b/>
                <w:bCs/>
                <w:color w:val="000000"/>
                <w:sz w:val="22"/>
                <w:szCs w:val="22"/>
              </w:rPr>
            </w:pPr>
            <w:r w:rsidRPr="00FA4DC7">
              <w:rPr>
                <w:rFonts w:cs="Arial"/>
                <w:b/>
                <w:bCs/>
                <w:color w:val="FFFFFF" w:themeColor="background1"/>
                <w:sz w:val="22"/>
                <w:szCs w:val="22"/>
              </w:rPr>
              <w:t>2020</w:t>
            </w:r>
          </w:p>
        </w:tc>
        <w:tc>
          <w:tcPr>
            <w:tcW w:w="652" w:type="pct"/>
            <w:shd w:val="clear" w:color="auto" w:fill="006666"/>
            <w:noWrap/>
            <w:vAlign w:val="bottom"/>
          </w:tcPr>
          <w:p w14:paraId="43AAC98D" w14:textId="77777777" w:rsidR="00CE1BDB" w:rsidRPr="00FA4DC7" w:rsidRDefault="00CE1BDB" w:rsidP="00EF49A7">
            <w:pPr>
              <w:jc w:val="right"/>
              <w:rPr>
                <w:rFonts w:cs="Arial"/>
                <w:b/>
                <w:bCs/>
                <w:color w:val="000000"/>
                <w:sz w:val="22"/>
                <w:szCs w:val="22"/>
              </w:rPr>
            </w:pPr>
            <w:r w:rsidRPr="00FA4DC7">
              <w:rPr>
                <w:rFonts w:cs="Arial"/>
                <w:b/>
                <w:bCs/>
                <w:color w:val="FFFFFF" w:themeColor="background1"/>
                <w:sz w:val="22"/>
                <w:szCs w:val="22"/>
              </w:rPr>
              <w:t>2040</w:t>
            </w:r>
          </w:p>
        </w:tc>
        <w:tc>
          <w:tcPr>
            <w:tcW w:w="702" w:type="pct"/>
            <w:shd w:val="clear" w:color="auto" w:fill="006666"/>
            <w:vAlign w:val="center"/>
          </w:tcPr>
          <w:p w14:paraId="0A030C6E" w14:textId="77777777" w:rsidR="00CE1BDB" w:rsidRPr="00FA4DC7" w:rsidRDefault="00CE1BDB" w:rsidP="00EF49A7">
            <w:pPr>
              <w:jc w:val="right"/>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change</w:t>
            </w:r>
            <w:proofErr w:type="gramEnd"/>
            <w:r w:rsidRPr="00FA4DC7">
              <w:rPr>
                <w:rFonts w:cs="Arial"/>
                <w:b/>
                <w:bCs/>
                <w:color w:val="FFFFFF"/>
                <w:sz w:val="22"/>
                <w:szCs w:val="22"/>
              </w:rPr>
              <w:t xml:space="preserve"> </w:t>
            </w:r>
          </w:p>
          <w:p w14:paraId="32008226"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sz w:val="22"/>
                <w:szCs w:val="22"/>
              </w:rPr>
              <w:t>2020-2040</w:t>
            </w:r>
          </w:p>
        </w:tc>
      </w:tr>
      <w:tr w:rsidR="00CE1BDB" w:rsidRPr="00FA4DC7" w14:paraId="124E9309" w14:textId="77777777" w:rsidTr="00EF49A7">
        <w:tc>
          <w:tcPr>
            <w:tcW w:w="2994" w:type="pct"/>
            <w:shd w:val="clear" w:color="auto" w:fill="auto"/>
            <w:noWrap/>
            <w:vAlign w:val="bottom"/>
            <w:hideMark/>
          </w:tcPr>
          <w:p w14:paraId="4DA86D5E" w14:textId="77777777" w:rsidR="00CE1BDB" w:rsidRPr="00FA4DC7" w:rsidRDefault="00CE1BDB" w:rsidP="00EF49A7">
            <w:pPr>
              <w:rPr>
                <w:rFonts w:cs="Arial"/>
                <w:color w:val="000000"/>
                <w:sz w:val="22"/>
                <w:szCs w:val="22"/>
              </w:rPr>
            </w:pPr>
            <w:r w:rsidRPr="00FA4DC7">
              <w:rPr>
                <w:rFonts w:cs="Arial"/>
                <w:color w:val="000000"/>
                <w:sz w:val="22"/>
                <w:szCs w:val="22"/>
              </w:rPr>
              <w:t>Total (18-64)</w:t>
            </w:r>
          </w:p>
        </w:tc>
        <w:tc>
          <w:tcPr>
            <w:tcW w:w="652" w:type="pct"/>
            <w:shd w:val="clear" w:color="auto" w:fill="auto"/>
            <w:noWrap/>
            <w:vAlign w:val="center"/>
            <w:hideMark/>
          </w:tcPr>
          <w:p w14:paraId="51789BA5" w14:textId="77777777" w:rsidR="00CE1BDB" w:rsidRPr="00FA4DC7" w:rsidRDefault="00CE1BDB" w:rsidP="00EF49A7">
            <w:pPr>
              <w:jc w:val="right"/>
              <w:rPr>
                <w:rFonts w:cs="Arial"/>
                <w:color w:val="000000"/>
                <w:sz w:val="22"/>
                <w:szCs w:val="22"/>
              </w:rPr>
            </w:pPr>
            <w:r w:rsidRPr="00FA4DC7">
              <w:rPr>
                <w:rFonts w:cs="Arial"/>
                <w:color w:val="000000"/>
                <w:sz w:val="22"/>
                <w:szCs w:val="22"/>
              </w:rPr>
              <w:t>3,144</w:t>
            </w:r>
          </w:p>
        </w:tc>
        <w:tc>
          <w:tcPr>
            <w:tcW w:w="652" w:type="pct"/>
            <w:shd w:val="clear" w:color="auto" w:fill="auto"/>
            <w:noWrap/>
            <w:vAlign w:val="center"/>
            <w:hideMark/>
          </w:tcPr>
          <w:p w14:paraId="1AF7E362" w14:textId="77777777" w:rsidR="00CE1BDB" w:rsidRPr="00FA4DC7" w:rsidRDefault="00CE1BDB" w:rsidP="00EF49A7">
            <w:pPr>
              <w:jc w:val="right"/>
              <w:rPr>
                <w:rFonts w:cs="Arial"/>
                <w:color w:val="000000"/>
                <w:sz w:val="22"/>
                <w:szCs w:val="22"/>
              </w:rPr>
            </w:pPr>
            <w:r w:rsidRPr="00FA4DC7">
              <w:rPr>
                <w:rFonts w:cs="Arial"/>
                <w:color w:val="000000"/>
                <w:sz w:val="22"/>
                <w:szCs w:val="22"/>
              </w:rPr>
              <w:t>3,179</w:t>
            </w:r>
          </w:p>
        </w:tc>
        <w:tc>
          <w:tcPr>
            <w:tcW w:w="702" w:type="pct"/>
            <w:vAlign w:val="center"/>
          </w:tcPr>
          <w:p w14:paraId="32DAE34B" w14:textId="77777777" w:rsidR="00CE1BDB" w:rsidRPr="00FA4DC7" w:rsidRDefault="00CE1BDB" w:rsidP="00EF49A7">
            <w:pPr>
              <w:jc w:val="right"/>
              <w:rPr>
                <w:rFonts w:cs="Arial"/>
                <w:color w:val="000000"/>
                <w:sz w:val="22"/>
                <w:szCs w:val="22"/>
              </w:rPr>
            </w:pPr>
            <w:r w:rsidRPr="00FA4DC7">
              <w:rPr>
                <w:rFonts w:cs="Arial"/>
                <w:color w:val="000000"/>
                <w:sz w:val="22"/>
                <w:szCs w:val="22"/>
              </w:rPr>
              <w:t>1.1%</w:t>
            </w:r>
          </w:p>
        </w:tc>
      </w:tr>
      <w:tr w:rsidR="00CE1BDB" w:rsidRPr="00FA4DC7" w14:paraId="42055116" w14:textId="77777777" w:rsidTr="00EF49A7">
        <w:tc>
          <w:tcPr>
            <w:tcW w:w="2994" w:type="pct"/>
            <w:shd w:val="clear" w:color="auto" w:fill="auto"/>
            <w:noWrap/>
            <w:vAlign w:val="bottom"/>
            <w:hideMark/>
          </w:tcPr>
          <w:p w14:paraId="6B6B6B20" w14:textId="77777777" w:rsidR="00CE1BDB" w:rsidRPr="00FA4DC7" w:rsidRDefault="00CE1BDB" w:rsidP="00EF49A7">
            <w:pPr>
              <w:rPr>
                <w:rFonts w:cs="Arial"/>
                <w:color w:val="000000"/>
                <w:sz w:val="22"/>
                <w:szCs w:val="22"/>
              </w:rPr>
            </w:pPr>
            <w:r w:rsidRPr="00FA4DC7">
              <w:rPr>
                <w:rFonts w:cs="Arial"/>
                <w:color w:val="000000"/>
                <w:sz w:val="22"/>
                <w:szCs w:val="22"/>
              </w:rPr>
              <w:t>Total (65+)</w:t>
            </w:r>
          </w:p>
        </w:tc>
        <w:tc>
          <w:tcPr>
            <w:tcW w:w="652" w:type="pct"/>
            <w:shd w:val="clear" w:color="auto" w:fill="auto"/>
            <w:noWrap/>
            <w:vAlign w:val="center"/>
            <w:hideMark/>
          </w:tcPr>
          <w:p w14:paraId="12F9A6EF" w14:textId="77777777" w:rsidR="00CE1BDB" w:rsidRPr="00FA4DC7" w:rsidRDefault="00CE1BDB" w:rsidP="00EF49A7">
            <w:pPr>
              <w:jc w:val="right"/>
              <w:rPr>
                <w:rFonts w:cs="Arial"/>
                <w:color w:val="000000"/>
                <w:sz w:val="22"/>
                <w:szCs w:val="22"/>
              </w:rPr>
            </w:pPr>
            <w:r w:rsidRPr="00FA4DC7">
              <w:rPr>
                <w:rFonts w:cs="Arial"/>
                <w:color w:val="000000"/>
                <w:sz w:val="22"/>
                <w:szCs w:val="22"/>
              </w:rPr>
              <w:t>552</w:t>
            </w:r>
          </w:p>
        </w:tc>
        <w:tc>
          <w:tcPr>
            <w:tcW w:w="652" w:type="pct"/>
            <w:shd w:val="clear" w:color="auto" w:fill="auto"/>
            <w:noWrap/>
            <w:vAlign w:val="center"/>
            <w:hideMark/>
          </w:tcPr>
          <w:p w14:paraId="0E85DF7E" w14:textId="77777777" w:rsidR="00CE1BDB" w:rsidRPr="00FA4DC7" w:rsidRDefault="00CE1BDB" w:rsidP="00EF49A7">
            <w:pPr>
              <w:jc w:val="right"/>
              <w:rPr>
                <w:rFonts w:cs="Arial"/>
                <w:color w:val="000000"/>
                <w:sz w:val="22"/>
                <w:szCs w:val="22"/>
              </w:rPr>
            </w:pPr>
            <w:r w:rsidRPr="00FA4DC7">
              <w:rPr>
                <w:rFonts w:cs="Arial"/>
                <w:color w:val="000000"/>
                <w:sz w:val="22"/>
                <w:szCs w:val="22"/>
              </w:rPr>
              <w:t>709</w:t>
            </w:r>
          </w:p>
        </w:tc>
        <w:tc>
          <w:tcPr>
            <w:tcW w:w="702" w:type="pct"/>
            <w:vAlign w:val="center"/>
          </w:tcPr>
          <w:p w14:paraId="40DB8EE2" w14:textId="77777777" w:rsidR="00CE1BDB" w:rsidRPr="00FA4DC7" w:rsidRDefault="00CE1BDB" w:rsidP="00EF49A7">
            <w:pPr>
              <w:jc w:val="right"/>
              <w:rPr>
                <w:rFonts w:cs="Arial"/>
                <w:color w:val="000000"/>
                <w:sz w:val="22"/>
                <w:szCs w:val="22"/>
              </w:rPr>
            </w:pPr>
            <w:r w:rsidRPr="00FA4DC7">
              <w:rPr>
                <w:rFonts w:cs="Arial"/>
                <w:color w:val="000000"/>
                <w:sz w:val="22"/>
                <w:szCs w:val="22"/>
              </w:rPr>
              <w:t>28.4%</w:t>
            </w:r>
          </w:p>
        </w:tc>
      </w:tr>
      <w:tr w:rsidR="00CE1BDB" w:rsidRPr="00FA4DC7" w14:paraId="6D171330" w14:textId="77777777" w:rsidTr="00EF49A7">
        <w:tc>
          <w:tcPr>
            <w:tcW w:w="2994" w:type="pct"/>
            <w:shd w:val="clear" w:color="auto" w:fill="auto"/>
            <w:noWrap/>
            <w:vAlign w:val="bottom"/>
            <w:hideMark/>
          </w:tcPr>
          <w:p w14:paraId="6104A2CA" w14:textId="77777777" w:rsidR="00CE1BDB" w:rsidRPr="00FA4DC7" w:rsidRDefault="00CE1BDB" w:rsidP="00EF49A7">
            <w:pPr>
              <w:rPr>
                <w:rFonts w:cs="Arial"/>
                <w:color w:val="000000"/>
                <w:sz w:val="22"/>
                <w:szCs w:val="22"/>
              </w:rPr>
            </w:pPr>
            <w:r w:rsidRPr="00FA4DC7">
              <w:rPr>
                <w:rFonts w:cs="Arial"/>
                <w:color w:val="000000"/>
                <w:sz w:val="22"/>
                <w:szCs w:val="22"/>
              </w:rPr>
              <w:t>Moderate or severe (18-64)</w:t>
            </w:r>
          </w:p>
        </w:tc>
        <w:tc>
          <w:tcPr>
            <w:tcW w:w="652" w:type="pct"/>
            <w:shd w:val="clear" w:color="auto" w:fill="auto"/>
            <w:noWrap/>
            <w:vAlign w:val="center"/>
          </w:tcPr>
          <w:p w14:paraId="09E60B82" w14:textId="77777777" w:rsidR="00CE1BDB" w:rsidRPr="00FA4DC7" w:rsidRDefault="00CE1BDB" w:rsidP="00EF49A7">
            <w:pPr>
              <w:jc w:val="right"/>
              <w:rPr>
                <w:rFonts w:cs="Arial"/>
                <w:color w:val="000000"/>
                <w:sz w:val="22"/>
                <w:szCs w:val="22"/>
              </w:rPr>
            </w:pPr>
            <w:r w:rsidRPr="00FA4DC7">
              <w:rPr>
                <w:rFonts w:cs="Arial"/>
                <w:color w:val="000000"/>
                <w:sz w:val="22"/>
                <w:szCs w:val="22"/>
              </w:rPr>
              <w:t>938</w:t>
            </w:r>
          </w:p>
        </w:tc>
        <w:tc>
          <w:tcPr>
            <w:tcW w:w="652" w:type="pct"/>
            <w:shd w:val="clear" w:color="auto" w:fill="auto"/>
            <w:noWrap/>
            <w:vAlign w:val="center"/>
          </w:tcPr>
          <w:p w14:paraId="595431D2" w14:textId="77777777" w:rsidR="00CE1BDB" w:rsidRPr="00FA4DC7" w:rsidRDefault="00CE1BDB" w:rsidP="00EF49A7">
            <w:pPr>
              <w:jc w:val="right"/>
              <w:rPr>
                <w:rFonts w:cs="Arial"/>
                <w:color w:val="000000"/>
                <w:sz w:val="22"/>
                <w:szCs w:val="22"/>
              </w:rPr>
            </w:pPr>
            <w:r w:rsidRPr="00FA4DC7">
              <w:rPr>
                <w:rFonts w:cs="Arial"/>
                <w:color w:val="000000"/>
                <w:sz w:val="22"/>
                <w:szCs w:val="22"/>
              </w:rPr>
              <w:t>958</w:t>
            </w:r>
          </w:p>
        </w:tc>
        <w:tc>
          <w:tcPr>
            <w:tcW w:w="702" w:type="pct"/>
            <w:vAlign w:val="center"/>
          </w:tcPr>
          <w:p w14:paraId="0E083CF4" w14:textId="77777777" w:rsidR="00CE1BDB" w:rsidRPr="00FA4DC7" w:rsidRDefault="00CE1BDB" w:rsidP="00EF49A7">
            <w:pPr>
              <w:jc w:val="right"/>
              <w:rPr>
                <w:rFonts w:cs="Arial"/>
                <w:color w:val="000000"/>
                <w:sz w:val="22"/>
                <w:szCs w:val="22"/>
              </w:rPr>
            </w:pPr>
            <w:r w:rsidRPr="00FA4DC7">
              <w:rPr>
                <w:rFonts w:cs="Arial"/>
                <w:color w:val="000000"/>
                <w:sz w:val="22"/>
                <w:szCs w:val="22"/>
              </w:rPr>
              <w:t>2.1%</w:t>
            </w:r>
          </w:p>
        </w:tc>
      </w:tr>
      <w:tr w:rsidR="00CE1BDB" w:rsidRPr="00FA4DC7" w14:paraId="799CF024" w14:textId="77777777" w:rsidTr="00EF49A7">
        <w:tc>
          <w:tcPr>
            <w:tcW w:w="2994" w:type="pct"/>
            <w:shd w:val="clear" w:color="auto" w:fill="auto"/>
            <w:noWrap/>
            <w:vAlign w:val="bottom"/>
            <w:hideMark/>
          </w:tcPr>
          <w:p w14:paraId="2947FB45" w14:textId="77777777" w:rsidR="00CE1BDB" w:rsidRPr="00FA4DC7" w:rsidRDefault="00CE1BDB" w:rsidP="00EF49A7">
            <w:pPr>
              <w:rPr>
                <w:rFonts w:cs="Arial"/>
                <w:color w:val="000000"/>
                <w:sz w:val="22"/>
                <w:szCs w:val="22"/>
              </w:rPr>
            </w:pPr>
            <w:r w:rsidRPr="00FA4DC7">
              <w:rPr>
                <w:rFonts w:cs="Arial"/>
                <w:color w:val="000000"/>
                <w:sz w:val="22"/>
                <w:szCs w:val="22"/>
              </w:rPr>
              <w:t>Moderate or severe (65+)</w:t>
            </w:r>
          </w:p>
        </w:tc>
        <w:tc>
          <w:tcPr>
            <w:tcW w:w="652" w:type="pct"/>
            <w:shd w:val="clear" w:color="auto" w:fill="auto"/>
            <w:noWrap/>
            <w:vAlign w:val="center"/>
          </w:tcPr>
          <w:p w14:paraId="497F5005" w14:textId="77777777" w:rsidR="00CE1BDB" w:rsidRPr="00FA4DC7" w:rsidRDefault="00CE1BDB" w:rsidP="00EF49A7">
            <w:pPr>
              <w:jc w:val="right"/>
              <w:rPr>
                <w:rFonts w:cs="Arial"/>
                <w:color w:val="000000"/>
                <w:sz w:val="22"/>
                <w:szCs w:val="22"/>
              </w:rPr>
            </w:pPr>
            <w:r w:rsidRPr="00FA4DC7">
              <w:rPr>
                <w:rFonts w:cs="Arial"/>
                <w:color w:val="000000"/>
                <w:sz w:val="22"/>
                <w:szCs w:val="22"/>
              </w:rPr>
              <w:t>129</w:t>
            </w:r>
          </w:p>
        </w:tc>
        <w:tc>
          <w:tcPr>
            <w:tcW w:w="652" w:type="pct"/>
            <w:shd w:val="clear" w:color="auto" w:fill="auto"/>
            <w:noWrap/>
            <w:vAlign w:val="center"/>
          </w:tcPr>
          <w:p w14:paraId="342DB45F" w14:textId="77777777" w:rsidR="00CE1BDB" w:rsidRPr="00FA4DC7" w:rsidRDefault="00CE1BDB" w:rsidP="00EF49A7">
            <w:pPr>
              <w:jc w:val="right"/>
              <w:rPr>
                <w:rFonts w:cs="Arial"/>
                <w:color w:val="000000"/>
                <w:sz w:val="22"/>
                <w:szCs w:val="22"/>
              </w:rPr>
            </w:pPr>
            <w:r w:rsidRPr="00FA4DC7">
              <w:rPr>
                <w:rFonts w:cs="Arial"/>
                <w:color w:val="000000"/>
                <w:sz w:val="22"/>
                <w:szCs w:val="22"/>
              </w:rPr>
              <w:t>160</w:t>
            </w:r>
          </w:p>
        </w:tc>
        <w:tc>
          <w:tcPr>
            <w:tcW w:w="702" w:type="pct"/>
            <w:vAlign w:val="center"/>
          </w:tcPr>
          <w:p w14:paraId="586D7135" w14:textId="77777777" w:rsidR="00CE1BDB" w:rsidRPr="00FA4DC7" w:rsidRDefault="00CE1BDB" w:rsidP="00EF49A7">
            <w:pPr>
              <w:jc w:val="right"/>
              <w:rPr>
                <w:rFonts w:cs="Arial"/>
                <w:color w:val="000000"/>
                <w:sz w:val="22"/>
                <w:szCs w:val="22"/>
              </w:rPr>
            </w:pPr>
            <w:r w:rsidRPr="00FA4DC7">
              <w:rPr>
                <w:rFonts w:cs="Arial"/>
                <w:color w:val="000000"/>
                <w:sz w:val="22"/>
                <w:szCs w:val="22"/>
              </w:rPr>
              <w:t>24.0%</w:t>
            </w:r>
          </w:p>
        </w:tc>
      </w:tr>
      <w:tr w:rsidR="00CE1BDB" w:rsidRPr="00FA4DC7" w14:paraId="6617D864" w14:textId="77777777" w:rsidTr="00EF49A7">
        <w:tc>
          <w:tcPr>
            <w:tcW w:w="2994" w:type="pct"/>
            <w:shd w:val="clear" w:color="auto" w:fill="auto"/>
            <w:noWrap/>
            <w:vAlign w:val="bottom"/>
          </w:tcPr>
          <w:p w14:paraId="14B598E1" w14:textId="77777777" w:rsidR="00CE1BDB" w:rsidRPr="00FA4DC7" w:rsidRDefault="00CE1BDB" w:rsidP="00EF49A7">
            <w:pPr>
              <w:rPr>
                <w:rFonts w:cs="Arial"/>
                <w:color w:val="000000"/>
                <w:sz w:val="22"/>
                <w:szCs w:val="22"/>
              </w:rPr>
            </w:pPr>
            <w:r w:rsidRPr="00FA4DC7">
              <w:rPr>
                <w:rFonts w:cs="Arial"/>
                <w:color w:val="000000"/>
                <w:sz w:val="22"/>
                <w:szCs w:val="22"/>
              </w:rPr>
              <w:t>Moderate or severe (all ages)</w:t>
            </w:r>
          </w:p>
        </w:tc>
        <w:tc>
          <w:tcPr>
            <w:tcW w:w="652" w:type="pct"/>
            <w:shd w:val="clear" w:color="auto" w:fill="auto"/>
            <w:noWrap/>
            <w:vAlign w:val="center"/>
          </w:tcPr>
          <w:p w14:paraId="15B6B6B3" w14:textId="77777777" w:rsidR="00CE1BDB" w:rsidRPr="00FA4DC7" w:rsidRDefault="00CE1BDB" w:rsidP="00EF49A7">
            <w:pPr>
              <w:jc w:val="right"/>
              <w:rPr>
                <w:rFonts w:cs="Arial"/>
                <w:color w:val="000000"/>
                <w:sz w:val="22"/>
                <w:szCs w:val="22"/>
              </w:rPr>
            </w:pPr>
            <w:r w:rsidRPr="00FA4DC7">
              <w:rPr>
                <w:rFonts w:cs="Arial"/>
                <w:color w:val="000000"/>
                <w:sz w:val="22"/>
                <w:szCs w:val="22"/>
              </w:rPr>
              <w:t>1,067</w:t>
            </w:r>
          </w:p>
        </w:tc>
        <w:tc>
          <w:tcPr>
            <w:tcW w:w="652" w:type="pct"/>
            <w:shd w:val="clear" w:color="auto" w:fill="auto"/>
            <w:noWrap/>
            <w:vAlign w:val="center"/>
          </w:tcPr>
          <w:p w14:paraId="1D8BA508" w14:textId="77777777" w:rsidR="00CE1BDB" w:rsidRPr="00FA4DC7" w:rsidRDefault="00CE1BDB" w:rsidP="00EF49A7">
            <w:pPr>
              <w:jc w:val="right"/>
              <w:rPr>
                <w:rFonts w:cs="Arial"/>
                <w:color w:val="000000"/>
                <w:sz w:val="22"/>
                <w:szCs w:val="22"/>
              </w:rPr>
            </w:pPr>
            <w:r w:rsidRPr="00FA4DC7">
              <w:rPr>
                <w:rFonts w:cs="Arial"/>
                <w:color w:val="000000"/>
                <w:sz w:val="22"/>
                <w:szCs w:val="22"/>
              </w:rPr>
              <w:t>1,118</w:t>
            </w:r>
          </w:p>
        </w:tc>
        <w:tc>
          <w:tcPr>
            <w:tcW w:w="702" w:type="pct"/>
            <w:vAlign w:val="center"/>
          </w:tcPr>
          <w:p w14:paraId="1146D9A2" w14:textId="77777777" w:rsidR="00CE1BDB" w:rsidRPr="00FA4DC7" w:rsidRDefault="00CE1BDB" w:rsidP="00EF49A7">
            <w:pPr>
              <w:jc w:val="right"/>
              <w:rPr>
                <w:rFonts w:cs="Arial"/>
                <w:color w:val="000000"/>
                <w:sz w:val="22"/>
                <w:szCs w:val="22"/>
              </w:rPr>
            </w:pPr>
            <w:r w:rsidRPr="00FA4DC7">
              <w:rPr>
                <w:rFonts w:cs="Arial"/>
                <w:color w:val="000000"/>
                <w:sz w:val="22"/>
                <w:szCs w:val="22"/>
              </w:rPr>
              <w:t>4.8%</w:t>
            </w:r>
          </w:p>
        </w:tc>
      </w:tr>
      <w:tr w:rsidR="00CE1BDB" w:rsidRPr="00FA4DC7" w14:paraId="55163573" w14:textId="77777777" w:rsidTr="00EF49A7">
        <w:tc>
          <w:tcPr>
            <w:tcW w:w="2994" w:type="pct"/>
            <w:shd w:val="clear" w:color="auto" w:fill="auto"/>
            <w:noWrap/>
            <w:vAlign w:val="bottom"/>
            <w:hideMark/>
          </w:tcPr>
          <w:p w14:paraId="3BD56B8A" w14:textId="77777777" w:rsidR="00CE1BDB" w:rsidRPr="00FA4DC7" w:rsidRDefault="00CE1BDB" w:rsidP="00EF49A7">
            <w:pPr>
              <w:rPr>
                <w:rFonts w:cs="Arial"/>
                <w:color w:val="000000"/>
                <w:sz w:val="22"/>
                <w:szCs w:val="22"/>
              </w:rPr>
            </w:pPr>
            <w:r w:rsidRPr="00FA4DC7">
              <w:rPr>
                <w:rFonts w:cs="Arial"/>
                <w:color w:val="000000"/>
                <w:sz w:val="22"/>
                <w:szCs w:val="22"/>
              </w:rPr>
              <w:t>People with LD living with a parent (18-64)</w:t>
            </w:r>
          </w:p>
        </w:tc>
        <w:tc>
          <w:tcPr>
            <w:tcW w:w="652" w:type="pct"/>
            <w:shd w:val="clear" w:color="auto" w:fill="auto"/>
            <w:noWrap/>
            <w:vAlign w:val="center"/>
          </w:tcPr>
          <w:p w14:paraId="058B669A" w14:textId="77777777" w:rsidR="00CE1BDB" w:rsidRPr="00FA4DC7" w:rsidRDefault="00CE1BDB" w:rsidP="00EF49A7">
            <w:pPr>
              <w:jc w:val="right"/>
              <w:rPr>
                <w:rFonts w:cs="Arial"/>
                <w:color w:val="000000"/>
                <w:sz w:val="22"/>
                <w:szCs w:val="22"/>
              </w:rPr>
            </w:pPr>
            <w:r w:rsidRPr="00FA4DC7">
              <w:rPr>
                <w:rFonts w:cs="Arial"/>
                <w:color w:val="000000"/>
                <w:sz w:val="22"/>
                <w:szCs w:val="22"/>
              </w:rPr>
              <w:t>349</w:t>
            </w:r>
          </w:p>
        </w:tc>
        <w:tc>
          <w:tcPr>
            <w:tcW w:w="652" w:type="pct"/>
            <w:shd w:val="clear" w:color="auto" w:fill="auto"/>
            <w:noWrap/>
            <w:vAlign w:val="center"/>
          </w:tcPr>
          <w:p w14:paraId="4FEBD0C6" w14:textId="77777777" w:rsidR="00CE1BDB" w:rsidRPr="00FA4DC7" w:rsidRDefault="00CE1BDB" w:rsidP="00EF49A7">
            <w:pPr>
              <w:jc w:val="right"/>
              <w:rPr>
                <w:rFonts w:cs="Arial"/>
                <w:color w:val="000000"/>
                <w:sz w:val="22"/>
                <w:szCs w:val="22"/>
              </w:rPr>
            </w:pPr>
            <w:r w:rsidRPr="00FA4DC7">
              <w:rPr>
                <w:rFonts w:cs="Arial"/>
                <w:color w:val="000000"/>
                <w:sz w:val="22"/>
                <w:szCs w:val="22"/>
              </w:rPr>
              <w:t>358</w:t>
            </w:r>
          </w:p>
        </w:tc>
        <w:tc>
          <w:tcPr>
            <w:tcW w:w="702" w:type="pct"/>
            <w:vAlign w:val="center"/>
          </w:tcPr>
          <w:p w14:paraId="24B529ED" w14:textId="77777777" w:rsidR="00CE1BDB" w:rsidRPr="00FA4DC7" w:rsidRDefault="00CE1BDB" w:rsidP="00EF49A7">
            <w:pPr>
              <w:jc w:val="right"/>
              <w:rPr>
                <w:rFonts w:cs="Arial"/>
                <w:color w:val="000000"/>
                <w:sz w:val="22"/>
                <w:szCs w:val="22"/>
              </w:rPr>
            </w:pPr>
            <w:r w:rsidRPr="00FA4DC7">
              <w:rPr>
                <w:rFonts w:cs="Arial"/>
                <w:color w:val="000000"/>
                <w:sz w:val="22"/>
                <w:szCs w:val="22"/>
              </w:rPr>
              <w:t>2.6%</w:t>
            </w:r>
          </w:p>
        </w:tc>
      </w:tr>
      <w:tr w:rsidR="00CE1BDB" w:rsidRPr="00FA4DC7" w14:paraId="0359221D" w14:textId="77777777" w:rsidTr="00EF49A7">
        <w:tc>
          <w:tcPr>
            <w:tcW w:w="2994" w:type="pct"/>
            <w:shd w:val="clear" w:color="auto" w:fill="auto"/>
            <w:noWrap/>
            <w:vAlign w:val="bottom"/>
            <w:hideMark/>
          </w:tcPr>
          <w:p w14:paraId="500D5A23" w14:textId="77777777" w:rsidR="00CE1BDB" w:rsidRPr="00FA4DC7" w:rsidRDefault="00CE1BDB" w:rsidP="00EF49A7">
            <w:pPr>
              <w:rPr>
                <w:rFonts w:cs="Arial"/>
                <w:color w:val="000000"/>
                <w:sz w:val="22"/>
                <w:szCs w:val="22"/>
              </w:rPr>
            </w:pPr>
            <w:r w:rsidRPr="00FA4DC7">
              <w:rPr>
                <w:rFonts w:cs="Arial"/>
                <w:color w:val="000000"/>
                <w:sz w:val="22"/>
                <w:szCs w:val="22"/>
              </w:rPr>
              <w:t>Downs syndrome (18+)</w:t>
            </w:r>
          </w:p>
        </w:tc>
        <w:tc>
          <w:tcPr>
            <w:tcW w:w="652" w:type="pct"/>
            <w:shd w:val="clear" w:color="auto" w:fill="auto"/>
            <w:noWrap/>
            <w:vAlign w:val="center"/>
          </w:tcPr>
          <w:p w14:paraId="2B47D6FE" w14:textId="77777777" w:rsidR="00CE1BDB" w:rsidRPr="00FA4DC7" w:rsidRDefault="00CE1BDB" w:rsidP="00EF49A7">
            <w:pPr>
              <w:jc w:val="right"/>
              <w:rPr>
                <w:rFonts w:cs="Arial"/>
                <w:color w:val="000000"/>
                <w:sz w:val="22"/>
                <w:szCs w:val="22"/>
              </w:rPr>
            </w:pPr>
            <w:r w:rsidRPr="00FA4DC7">
              <w:rPr>
                <w:rFonts w:cs="Arial"/>
                <w:color w:val="000000"/>
                <w:sz w:val="22"/>
                <w:szCs w:val="22"/>
              </w:rPr>
              <w:t>105</w:t>
            </w:r>
          </w:p>
        </w:tc>
        <w:tc>
          <w:tcPr>
            <w:tcW w:w="652" w:type="pct"/>
            <w:shd w:val="clear" w:color="auto" w:fill="auto"/>
            <w:noWrap/>
            <w:vAlign w:val="center"/>
          </w:tcPr>
          <w:p w14:paraId="7E0FA5C9" w14:textId="77777777" w:rsidR="00CE1BDB" w:rsidRPr="00FA4DC7" w:rsidRDefault="00CE1BDB" w:rsidP="00EF49A7">
            <w:pPr>
              <w:jc w:val="right"/>
              <w:rPr>
                <w:rFonts w:cs="Arial"/>
                <w:color w:val="000000"/>
                <w:sz w:val="22"/>
                <w:szCs w:val="22"/>
              </w:rPr>
            </w:pPr>
            <w:r w:rsidRPr="00FA4DC7">
              <w:rPr>
                <w:rFonts w:cs="Arial"/>
                <w:color w:val="000000"/>
                <w:sz w:val="22"/>
                <w:szCs w:val="22"/>
              </w:rPr>
              <w:t>106</w:t>
            </w:r>
          </w:p>
        </w:tc>
        <w:tc>
          <w:tcPr>
            <w:tcW w:w="702" w:type="pct"/>
            <w:vAlign w:val="center"/>
          </w:tcPr>
          <w:p w14:paraId="39581638" w14:textId="77777777" w:rsidR="00CE1BDB" w:rsidRPr="00FA4DC7" w:rsidRDefault="00CE1BDB" w:rsidP="00EF49A7">
            <w:pPr>
              <w:jc w:val="right"/>
              <w:rPr>
                <w:rFonts w:cs="Arial"/>
                <w:color w:val="000000"/>
                <w:sz w:val="22"/>
                <w:szCs w:val="22"/>
              </w:rPr>
            </w:pPr>
            <w:r w:rsidRPr="00FA4DC7">
              <w:rPr>
                <w:rFonts w:cs="Arial"/>
                <w:color w:val="000000"/>
                <w:sz w:val="22"/>
                <w:szCs w:val="22"/>
              </w:rPr>
              <w:t>1.0%</w:t>
            </w:r>
          </w:p>
        </w:tc>
      </w:tr>
      <w:tr w:rsidR="00CE1BDB" w:rsidRPr="00FA4DC7" w14:paraId="6B1A3D26" w14:textId="77777777" w:rsidTr="00EF49A7">
        <w:tc>
          <w:tcPr>
            <w:tcW w:w="2994" w:type="pct"/>
            <w:shd w:val="clear" w:color="auto" w:fill="auto"/>
            <w:noWrap/>
            <w:vAlign w:val="bottom"/>
            <w:hideMark/>
          </w:tcPr>
          <w:p w14:paraId="0D7E55C1" w14:textId="77777777" w:rsidR="00CE1BDB" w:rsidRPr="00FA4DC7" w:rsidRDefault="00CE1BDB" w:rsidP="00EF49A7">
            <w:pPr>
              <w:rPr>
                <w:rFonts w:cs="Arial"/>
                <w:color w:val="000000"/>
                <w:sz w:val="22"/>
                <w:szCs w:val="22"/>
              </w:rPr>
            </w:pPr>
            <w:r w:rsidRPr="00FA4DC7">
              <w:rPr>
                <w:rFonts w:cs="Arial"/>
                <w:color w:val="000000"/>
                <w:sz w:val="22"/>
                <w:szCs w:val="22"/>
              </w:rPr>
              <w:t>Challenging behaviour (18-64)</w:t>
            </w:r>
          </w:p>
        </w:tc>
        <w:tc>
          <w:tcPr>
            <w:tcW w:w="652" w:type="pct"/>
            <w:shd w:val="clear" w:color="auto" w:fill="auto"/>
            <w:noWrap/>
            <w:vAlign w:val="center"/>
          </w:tcPr>
          <w:p w14:paraId="42AC8ED3" w14:textId="77777777" w:rsidR="00CE1BDB" w:rsidRPr="00FA4DC7" w:rsidRDefault="00CE1BDB" w:rsidP="00EF49A7">
            <w:pPr>
              <w:jc w:val="right"/>
              <w:rPr>
                <w:rFonts w:cs="Arial"/>
                <w:color w:val="000000"/>
                <w:sz w:val="22"/>
                <w:szCs w:val="22"/>
              </w:rPr>
            </w:pPr>
            <w:r w:rsidRPr="00FA4DC7">
              <w:rPr>
                <w:rFonts w:cs="Arial"/>
                <w:color w:val="000000"/>
                <w:sz w:val="22"/>
                <w:szCs w:val="22"/>
              </w:rPr>
              <w:t>76</w:t>
            </w:r>
          </w:p>
        </w:tc>
        <w:tc>
          <w:tcPr>
            <w:tcW w:w="652" w:type="pct"/>
            <w:shd w:val="clear" w:color="auto" w:fill="auto"/>
            <w:noWrap/>
            <w:vAlign w:val="center"/>
          </w:tcPr>
          <w:p w14:paraId="70F019F4" w14:textId="77777777" w:rsidR="00CE1BDB" w:rsidRPr="00FA4DC7" w:rsidRDefault="00CE1BDB" w:rsidP="00EF49A7">
            <w:pPr>
              <w:jc w:val="right"/>
              <w:rPr>
                <w:rFonts w:cs="Arial"/>
                <w:color w:val="000000"/>
                <w:sz w:val="22"/>
                <w:szCs w:val="22"/>
              </w:rPr>
            </w:pPr>
            <w:r w:rsidRPr="00FA4DC7">
              <w:rPr>
                <w:rFonts w:cs="Arial"/>
                <w:color w:val="000000"/>
                <w:sz w:val="22"/>
                <w:szCs w:val="22"/>
              </w:rPr>
              <w:t>76</w:t>
            </w:r>
          </w:p>
        </w:tc>
        <w:tc>
          <w:tcPr>
            <w:tcW w:w="702" w:type="pct"/>
            <w:vAlign w:val="center"/>
          </w:tcPr>
          <w:p w14:paraId="462095A9" w14:textId="77777777" w:rsidR="00CE1BDB" w:rsidRPr="00FA4DC7" w:rsidRDefault="00CE1BDB" w:rsidP="00EF49A7">
            <w:pPr>
              <w:jc w:val="right"/>
              <w:rPr>
                <w:rFonts w:cs="Arial"/>
                <w:color w:val="000000"/>
                <w:sz w:val="22"/>
                <w:szCs w:val="22"/>
              </w:rPr>
            </w:pPr>
            <w:r w:rsidRPr="00FA4DC7">
              <w:rPr>
                <w:rFonts w:cs="Arial"/>
                <w:color w:val="000000"/>
                <w:sz w:val="22"/>
                <w:szCs w:val="22"/>
              </w:rPr>
              <w:t>0.0%</w:t>
            </w:r>
          </w:p>
        </w:tc>
      </w:tr>
      <w:tr w:rsidR="00CE1BDB" w:rsidRPr="00FA4DC7" w14:paraId="4A777C4A" w14:textId="77777777" w:rsidTr="00EF49A7">
        <w:tc>
          <w:tcPr>
            <w:tcW w:w="2994" w:type="pct"/>
            <w:shd w:val="clear" w:color="auto" w:fill="auto"/>
            <w:noWrap/>
            <w:vAlign w:val="bottom"/>
            <w:hideMark/>
          </w:tcPr>
          <w:p w14:paraId="68A8C2F4" w14:textId="77777777" w:rsidR="00CE1BDB" w:rsidRPr="00FA4DC7" w:rsidRDefault="00CE1BDB" w:rsidP="00EF49A7">
            <w:pPr>
              <w:rPr>
                <w:rFonts w:cs="Arial"/>
                <w:color w:val="000000"/>
                <w:sz w:val="22"/>
                <w:szCs w:val="22"/>
              </w:rPr>
            </w:pPr>
            <w:r w:rsidRPr="00FA4DC7">
              <w:rPr>
                <w:rFonts w:cs="Arial"/>
                <w:color w:val="000000"/>
                <w:sz w:val="22"/>
                <w:szCs w:val="22"/>
              </w:rPr>
              <w:t>Autistic spectrum disorders (18-64)</w:t>
            </w:r>
          </w:p>
        </w:tc>
        <w:tc>
          <w:tcPr>
            <w:tcW w:w="652" w:type="pct"/>
            <w:shd w:val="clear" w:color="auto" w:fill="auto"/>
            <w:noWrap/>
            <w:vAlign w:val="center"/>
          </w:tcPr>
          <w:p w14:paraId="2D4BF710" w14:textId="77777777" w:rsidR="00CE1BDB" w:rsidRPr="00FA4DC7" w:rsidRDefault="00CE1BDB" w:rsidP="00EF49A7">
            <w:pPr>
              <w:jc w:val="right"/>
              <w:rPr>
                <w:rFonts w:cs="Arial"/>
                <w:color w:val="000000"/>
                <w:sz w:val="22"/>
                <w:szCs w:val="22"/>
              </w:rPr>
            </w:pPr>
            <w:r w:rsidRPr="00FA4DC7">
              <w:rPr>
                <w:rFonts w:cs="Arial"/>
                <w:color w:val="000000"/>
                <w:sz w:val="22"/>
                <w:szCs w:val="22"/>
              </w:rPr>
              <w:t>1,676</w:t>
            </w:r>
          </w:p>
        </w:tc>
        <w:tc>
          <w:tcPr>
            <w:tcW w:w="652" w:type="pct"/>
            <w:shd w:val="clear" w:color="auto" w:fill="auto"/>
            <w:noWrap/>
            <w:vAlign w:val="center"/>
          </w:tcPr>
          <w:p w14:paraId="5651F448" w14:textId="77777777" w:rsidR="00CE1BDB" w:rsidRPr="00FA4DC7" w:rsidRDefault="00CE1BDB" w:rsidP="00EF49A7">
            <w:pPr>
              <w:jc w:val="right"/>
              <w:rPr>
                <w:rFonts w:cs="Arial"/>
                <w:color w:val="000000"/>
                <w:sz w:val="22"/>
                <w:szCs w:val="22"/>
              </w:rPr>
            </w:pPr>
            <w:r w:rsidRPr="00FA4DC7">
              <w:rPr>
                <w:rFonts w:cs="Arial"/>
                <w:color w:val="000000"/>
                <w:sz w:val="22"/>
                <w:szCs w:val="22"/>
              </w:rPr>
              <w:t>1,681</w:t>
            </w:r>
          </w:p>
        </w:tc>
        <w:tc>
          <w:tcPr>
            <w:tcW w:w="702" w:type="pct"/>
            <w:vAlign w:val="center"/>
          </w:tcPr>
          <w:p w14:paraId="21155556" w14:textId="77777777" w:rsidR="00CE1BDB" w:rsidRPr="00FA4DC7" w:rsidRDefault="00CE1BDB" w:rsidP="00EF49A7">
            <w:pPr>
              <w:jc w:val="right"/>
              <w:rPr>
                <w:rFonts w:cs="Arial"/>
                <w:color w:val="000000"/>
                <w:sz w:val="22"/>
                <w:szCs w:val="22"/>
              </w:rPr>
            </w:pPr>
            <w:r w:rsidRPr="00FA4DC7">
              <w:rPr>
                <w:rFonts w:cs="Arial"/>
                <w:color w:val="000000"/>
                <w:sz w:val="22"/>
                <w:szCs w:val="22"/>
              </w:rPr>
              <w:t>0.3%</w:t>
            </w:r>
          </w:p>
        </w:tc>
      </w:tr>
      <w:tr w:rsidR="00CE1BDB" w:rsidRPr="00FA4DC7" w14:paraId="614EDBA4" w14:textId="77777777" w:rsidTr="00EF49A7">
        <w:tc>
          <w:tcPr>
            <w:tcW w:w="2994" w:type="pct"/>
            <w:shd w:val="clear" w:color="auto" w:fill="auto"/>
            <w:noWrap/>
            <w:vAlign w:val="bottom"/>
            <w:hideMark/>
          </w:tcPr>
          <w:p w14:paraId="64E7F7A0" w14:textId="77777777" w:rsidR="00CE1BDB" w:rsidRPr="00FA4DC7" w:rsidRDefault="00CE1BDB" w:rsidP="00EF49A7">
            <w:pPr>
              <w:rPr>
                <w:rFonts w:cs="Arial"/>
                <w:color w:val="000000"/>
                <w:sz w:val="22"/>
                <w:szCs w:val="22"/>
              </w:rPr>
            </w:pPr>
            <w:r w:rsidRPr="00FA4DC7">
              <w:rPr>
                <w:rFonts w:cs="Arial"/>
                <w:color w:val="000000"/>
                <w:sz w:val="22"/>
                <w:szCs w:val="22"/>
              </w:rPr>
              <w:t>Autistic spectrum disorders (65+)</w:t>
            </w:r>
          </w:p>
        </w:tc>
        <w:tc>
          <w:tcPr>
            <w:tcW w:w="652" w:type="pct"/>
            <w:shd w:val="clear" w:color="auto" w:fill="auto"/>
            <w:noWrap/>
            <w:vAlign w:val="center"/>
          </w:tcPr>
          <w:p w14:paraId="32139FAD" w14:textId="77777777" w:rsidR="00CE1BDB" w:rsidRPr="00FA4DC7" w:rsidRDefault="00CE1BDB" w:rsidP="00EF49A7">
            <w:pPr>
              <w:jc w:val="right"/>
              <w:rPr>
                <w:rFonts w:cs="Arial"/>
                <w:color w:val="000000"/>
                <w:sz w:val="22"/>
                <w:szCs w:val="22"/>
              </w:rPr>
            </w:pPr>
            <w:r w:rsidRPr="00FA4DC7">
              <w:rPr>
                <w:rFonts w:cs="Arial"/>
                <w:color w:val="000000"/>
                <w:sz w:val="22"/>
                <w:szCs w:val="22"/>
              </w:rPr>
              <w:t>423</w:t>
            </w:r>
          </w:p>
        </w:tc>
        <w:tc>
          <w:tcPr>
            <w:tcW w:w="652" w:type="pct"/>
            <w:shd w:val="clear" w:color="auto" w:fill="auto"/>
            <w:noWrap/>
            <w:vAlign w:val="center"/>
          </w:tcPr>
          <w:p w14:paraId="35E16E90" w14:textId="77777777" w:rsidR="00CE1BDB" w:rsidRPr="00FA4DC7" w:rsidRDefault="00CE1BDB" w:rsidP="00EF49A7">
            <w:pPr>
              <w:jc w:val="right"/>
              <w:rPr>
                <w:rFonts w:cs="Arial"/>
                <w:color w:val="000000"/>
                <w:sz w:val="22"/>
                <w:szCs w:val="22"/>
              </w:rPr>
            </w:pPr>
            <w:r w:rsidRPr="00FA4DC7">
              <w:rPr>
                <w:rFonts w:cs="Arial"/>
                <w:color w:val="000000"/>
                <w:sz w:val="22"/>
                <w:szCs w:val="22"/>
              </w:rPr>
              <w:t>549</w:t>
            </w:r>
          </w:p>
        </w:tc>
        <w:tc>
          <w:tcPr>
            <w:tcW w:w="702" w:type="pct"/>
            <w:vAlign w:val="center"/>
          </w:tcPr>
          <w:p w14:paraId="245B656D" w14:textId="77777777" w:rsidR="00CE1BDB" w:rsidRPr="00FA4DC7" w:rsidRDefault="00CE1BDB" w:rsidP="00EF49A7">
            <w:pPr>
              <w:jc w:val="right"/>
              <w:rPr>
                <w:rFonts w:cs="Arial"/>
                <w:color w:val="000000"/>
                <w:sz w:val="22"/>
                <w:szCs w:val="22"/>
              </w:rPr>
            </w:pPr>
            <w:r w:rsidRPr="00FA4DC7">
              <w:rPr>
                <w:rFonts w:cs="Arial"/>
                <w:color w:val="000000"/>
                <w:sz w:val="22"/>
                <w:szCs w:val="22"/>
              </w:rPr>
              <w:t>29.8%</w:t>
            </w:r>
          </w:p>
        </w:tc>
      </w:tr>
    </w:tbl>
    <w:p w14:paraId="294D02A3" w14:textId="77777777" w:rsidR="00CE1BDB" w:rsidRPr="00FA4DC7" w:rsidRDefault="00CE1BDB" w:rsidP="00CE1BDB">
      <w:pPr>
        <w:pStyle w:val="Reporttext"/>
        <w:numPr>
          <w:ilvl w:val="0"/>
          <w:numId w:val="0"/>
        </w:numPr>
        <w:ind w:left="709" w:hanging="709"/>
        <w:rPr>
          <w:rFonts w:cs="Arial"/>
          <w:sz w:val="22"/>
          <w:szCs w:val="22"/>
        </w:rPr>
      </w:pPr>
      <w:r w:rsidRPr="00FA4DC7">
        <w:rPr>
          <w:rFonts w:cs="Arial"/>
          <w:sz w:val="22"/>
          <w:szCs w:val="22"/>
        </w:rPr>
        <w:t>Source: POPPI/PANSI</w:t>
      </w:r>
    </w:p>
    <w:p w14:paraId="0A6AFBD0" w14:textId="77777777" w:rsidR="00CE1BDB" w:rsidRPr="00FA4DC7" w:rsidRDefault="00CE1BDB" w:rsidP="00CE1BDB">
      <w:pPr>
        <w:rPr>
          <w:rFonts w:cs="Arial"/>
          <w:lang w:eastAsia="en-US"/>
        </w:rPr>
      </w:pPr>
    </w:p>
    <w:p w14:paraId="454B10D0" w14:textId="77777777" w:rsidR="00CE1BDB" w:rsidRPr="00FA4DC7" w:rsidRDefault="00CE1BDB" w:rsidP="00CE1BDB">
      <w:pPr>
        <w:pStyle w:val="Reporttext"/>
        <w:tabs>
          <w:tab w:val="clear" w:pos="2128"/>
          <w:tab w:val="num" w:pos="1419"/>
        </w:tabs>
        <w:rPr>
          <w:rFonts w:cs="Arial"/>
        </w:rPr>
      </w:pPr>
      <w:r w:rsidRPr="00FA4DC7">
        <w:rPr>
          <w:rFonts w:cs="Arial"/>
          <w:lang w:val="en-US"/>
        </w:rPr>
        <w:t>The</w:t>
      </w:r>
      <w:r w:rsidRPr="00FA4DC7">
        <w:rPr>
          <w:rFonts w:cs="Arial"/>
        </w:rPr>
        <w:t xml:space="preserve"> Medway MPS 2016/17 notes that the learning disability population overall will increase in its complexity of needs as young people with learning disabilities with extremely complex needs are now living well into adulthood. There are an estimated 20 people with learning disabilities living independently in their own homes with live-in care. There are no nursing homes for people with learning or physical disabilities in Medway. The strategic direction is to support people with learning disabilities to live independently in their own homes and the MPS does not see a need for additional residential care for people with low and moderate learning disabilities in Medway. </w:t>
      </w:r>
    </w:p>
    <w:p w14:paraId="57E1E972" w14:textId="77777777" w:rsidR="00CE1BDB" w:rsidRPr="00FA4DC7" w:rsidRDefault="00CE1BDB" w:rsidP="00CE1BDB">
      <w:pPr>
        <w:pStyle w:val="Heading3"/>
        <w:rPr>
          <w:rFonts w:cs="Arial"/>
          <w:lang w:val="en-US"/>
        </w:rPr>
      </w:pPr>
      <w:r w:rsidRPr="00FA4DC7">
        <w:rPr>
          <w:rFonts w:cs="Arial"/>
        </w:rPr>
        <w:lastRenderedPageBreak/>
        <w:t>Mental health</w:t>
      </w:r>
    </w:p>
    <w:p w14:paraId="10C5AB42" w14:textId="77777777" w:rsidR="00CE1BDB" w:rsidRPr="00FA4DC7" w:rsidRDefault="00CE1BDB" w:rsidP="00CE1BDB">
      <w:pPr>
        <w:pStyle w:val="Reporttext"/>
        <w:rPr>
          <w:rFonts w:cs="Arial"/>
        </w:rPr>
      </w:pPr>
      <w:r w:rsidRPr="00FA4DC7">
        <w:rPr>
          <w:rFonts w:cs="Arial"/>
        </w:rPr>
        <w:t xml:space="preserve">2020 POPPI/PANSI data estimates there are around 31,916 residents with a common mental health disorder (Table 5.13). The number of people aged 18-64 with a </w:t>
      </w:r>
      <w:proofErr w:type="gramStart"/>
      <w:r w:rsidRPr="00FA4DC7">
        <w:rPr>
          <w:rFonts w:cs="Arial"/>
        </w:rPr>
        <w:t>common  mental</w:t>
      </w:r>
      <w:proofErr w:type="gramEnd"/>
      <w:r w:rsidRPr="00FA4DC7">
        <w:rPr>
          <w:rFonts w:cs="Arial"/>
        </w:rPr>
        <w:t xml:space="preserve"> health disorder is expected to remain similar over the period to 2040. Depression amongst people aged 65 or over is expected to increase considerably.</w:t>
      </w:r>
    </w:p>
    <w:p w14:paraId="0A47CB96" w14:textId="77777777" w:rsidR="00CE1BDB" w:rsidRPr="00FA4DC7" w:rsidRDefault="00CE1BDB" w:rsidP="00CE1BDB">
      <w:pPr>
        <w:pStyle w:val="Reporttext"/>
        <w:numPr>
          <w:ilvl w:val="0"/>
          <w:numId w:val="0"/>
        </w:numPr>
        <w:ind w:left="709"/>
        <w:rPr>
          <w:rFonts w:cs="Arial"/>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97"/>
        <w:gridCol w:w="1197"/>
        <w:gridCol w:w="1197"/>
        <w:gridCol w:w="1289"/>
      </w:tblGrid>
      <w:tr w:rsidR="00CE1BDB" w:rsidRPr="00FA4DC7" w14:paraId="37F3171F" w14:textId="77777777" w:rsidTr="00EF49A7">
        <w:tc>
          <w:tcPr>
            <w:tcW w:w="5000" w:type="pct"/>
            <w:gridSpan w:val="4"/>
            <w:shd w:val="clear" w:color="auto" w:fill="006666"/>
            <w:noWrap/>
            <w:vAlign w:val="bottom"/>
          </w:tcPr>
          <w:p w14:paraId="7F59ED57" w14:textId="77777777" w:rsidR="00CE1BDB" w:rsidRPr="00FA4DC7" w:rsidRDefault="00CE1BDB" w:rsidP="00EF49A7">
            <w:pPr>
              <w:pStyle w:val="Tableheading1"/>
              <w:rPr>
                <w:rFonts w:cs="Arial"/>
                <w:szCs w:val="22"/>
              </w:rPr>
            </w:pPr>
            <w:bookmarkStart w:id="402" w:name="_Toc56502934"/>
            <w:bookmarkStart w:id="403" w:name="_Toc59097610"/>
            <w:bookmarkStart w:id="404" w:name="_Toc59205094"/>
            <w:bookmarkStart w:id="405" w:name="_Toc83036114"/>
            <w:r w:rsidRPr="00FA4DC7">
              <w:rPr>
                <w:rFonts w:cs="Arial"/>
              </w:rPr>
              <w:t>Table 5.13</w:t>
            </w:r>
            <w:r w:rsidRPr="00FA4DC7">
              <w:rPr>
                <w:rFonts w:cs="Arial"/>
              </w:rPr>
              <w:tab/>
              <w:t>Mental health prevalence</w:t>
            </w:r>
            <w:bookmarkEnd w:id="402"/>
            <w:bookmarkEnd w:id="403"/>
            <w:bookmarkEnd w:id="404"/>
            <w:bookmarkEnd w:id="405"/>
          </w:p>
        </w:tc>
      </w:tr>
      <w:tr w:rsidR="00CE1BDB" w:rsidRPr="00FA4DC7" w14:paraId="5705449B" w14:textId="77777777" w:rsidTr="00EF49A7">
        <w:tc>
          <w:tcPr>
            <w:tcW w:w="2994" w:type="pct"/>
            <w:shd w:val="clear" w:color="auto" w:fill="006666"/>
            <w:noWrap/>
            <w:vAlign w:val="bottom"/>
          </w:tcPr>
          <w:p w14:paraId="03CAC520"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Mental health 18-64</w:t>
            </w:r>
          </w:p>
        </w:tc>
        <w:tc>
          <w:tcPr>
            <w:tcW w:w="652" w:type="pct"/>
            <w:shd w:val="clear" w:color="auto" w:fill="006666"/>
            <w:noWrap/>
            <w:vAlign w:val="bottom"/>
          </w:tcPr>
          <w:p w14:paraId="14F90D55"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themeColor="background1"/>
                <w:sz w:val="22"/>
                <w:szCs w:val="22"/>
              </w:rPr>
              <w:t>2020</w:t>
            </w:r>
          </w:p>
        </w:tc>
        <w:tc>
          <w:tcPr>
            <w:tcW w:w="652" w:type="pct"/>
            <w:shd w:val="clear" w:color="auto" w:fill="006666"/>
            <w:noWrap/>
            <w:vAlign w:val="bottom"/>
          </w:tcPr>
          <w:p w14:paraId="31812BE7"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themeColor="background1"/>
                <w:sz w:val="22"/>
                <w:szCs w:val="22"/>
              </w:rPr>
              <w:t>2040</w:t>
            </w:r>
          </w:p>
        </w:tc>
        <w:tc>
          <w:tcPr>
            <w:tcW w:w="702" w:type="pct"/>
            <w:shd w:val="clear" w:color="auto" w:fill="006666"/>
          </w:tcPr>
          <w:p w14:paraId="437E1555"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themeColor="background1"/>
                <w:sz w:val="22"/>
                <w:szCs w:val="22"/>
              </w:rPr>
              <w:t xml:space="preserve">% </w:t>
            </w:r>
            <w:proofErr w:type="gramStart"/>
            <w:r w:rsidRPr="00FA4DC7">
              <w:rPr>
                <w:rFonts w:cs="Arial"/>
                <w:b/>
                <w:bCs/>
                <w:color w:val="FFFFFF" w:themeColor="background1"/>
                <w:sz w:val="22"/>
                <w:szCs w:val="22"/>
              </w:rPr>
              <w:t>change</w:t>
            </w:r>
            <w:proofErr w:type="gramEnd"/>
            <w:r w:rsidRPr="00FA4DC7">
              <w:rPr>
                <w:rFonts w:cs="Arial"/>
                <w:b/>
                <w:bCs/>
                <w:color w:val="FFFFFF" w:themeColor="background1"/>
                <w:sz w:val="22"/>
                <w:szCs w:val="22"/>
              </w:rPr>
              <w:t xml:space="preserve"> 2020-2040</w:t>
            </w:r>
          </w:p>
        </w:tc>
      </w:tr>
      <w:tr w:rsidR="00CE1BDB" w:rsidRPr="00FA4DC7" w14:paraId="0008856E" w14:textId="77777777" w:rsidTr="00EF49A7">
        <w:tc>
          <w:tcPr>
            <w:tcW w:w="2994" w:type="pct"/>
            <w:shd w:val="clear" w:color="auto" w:fill="auto"/>
            <w:noWrap/>
            <w:vAlign w:val="bottom"/>
            <w:hideMark/>
          </w:tcPr>
          <w:p w14:paraId="0025C947" w14:textId="77777777" w:rsidR="00CE1BDB" w:rsidRPr="00FA4DC7" w:rsidRDefault="00CE1BDB" w:rsidP="00EF49A7">
            <w:pPr>
              <w:rPr>
                <w:rFonts w:cs="Arial"/>
                <w:color w:val="000000"/>
                <w:sz w:val="22"/>
                <w:szCs w:val="22"/>
              </w:rPr>
            </w:pPr>
            <w:r w:rsidRPr="00FA4DC7">
              <w:rPr>
                <w:rFonts w:cs="Arial"/>
                <w:color w:val="000000"/>
                <w:sz w:val="22"/>
                <w:szCs w:val="22"/>
              </w:rPr>
              <w:t>Common mental disorder</w:t>
            </w:r>
          </w:p>
        </w:tc>
        <w:tc>
          <w:tcPr>
            <w:tcW w:w="652" w:type="pct"/>
            <w:shd w:val="clear" w:color="auto" w:fill="auto"/>
            <w:noWrap/>
            <w:vAlign w:val="center"/>
          </w:tcPr>
          <w:p w14:paraId="44A74989" w14:textId="77777777" w:rsidR="00CE1BDB" w:rsidRPr="00FA4DC7" w:rsidRDefault="00CE1BDB" w:rsidP="00EF49A7">
            <w:pPr>
              <w:jc w:val="right"/>
              <w:rPr>
                <w:rFonts w:cs="Arial"/>
                <w:color w:val="000000"/>
                <w:sz w:val="22"/>
                <w:szCs w:val="22"/>
              </w:rPr>
            </w:pPr>
            <w:r w:rsidRPr="00FA4DC7">
              <w:rPr>
                <w:rFonts w:cs="Arial"/>
                <w:color w:val="000000"/>
                <w:sz w:val="22"/>
                <w:szCs w:val="22"/>
              </w:rPr>
              <w:t>31,916</w:t>
            </w:r>
          </w:p>
        </w:tc>
        <w:tc>
          <w:tcPr>
            <w:tcW w:w="652" w:type="pct"/>
            <w:shd w:val="clear" w:color="auto" w:fill="auto"/>
            <w:noWrap/>
            <w:vAlign w:val="center"/>
          </w:tcPr>
          <w:p w14:paraId="60BCF512" w14:textId="77777777" w:rsidR="00CE1BDB" w:rsidRPr="00FA4DC7" w:rsidRDefault="00CE1BDB" w:rsidP="00EF49A7">
            <w:pPr>
              <w:jc w:val="right"/>
              <w:rPr>
                <w:rFonts w:cs="Arial"/>
                <w:color w:val="000000"/>
                <w:sz w:val="22"/>
                <w:szCs w:val="22"/>
              </w:rPr>
            </w:pPr>
            <w:r w:rsidRPr="00FA4DC7">
              <w:rPr>
                <w:rFonts w:cs="Arial"/>
                <w:color w:val="000000"/>
                <w:sz w:val="22"/>
                <w:szCs w:val="22"/>
              </w:rPr>
              <w:t>32,015</w:t>
            </w:r>
          </w:p>
        </w:tc>
        <w:tc>
          <w:tcPr>
            <w:tcW w:w="702" w:type="pct"/>
            <w:vAlign w:val="center"/>
          </w:tcPr>
          <w:p w14:paraId="4C1295C5" w14:textId="77777777" w:rsidR="00CE1BDB" w:rsidRPr="00FA4DC7" w:rsidRDefault="00CE1BDB" w:rsidP="00EF49A7">
            <w:pPr>
              <w:jc w:val="right"/>
              <w:rPr>
                <w:rFonts w:cs="Arial"/>
                <w:color w:val="000000"/>
                <w:sz w:val="22"/>
                <w:szCs w:val="22"/>
              </w:rPr>
            </w:pPr>
            <w:r w:rsidRPr="00FA4DC7">
              <w:rPr>
                <w:rFonts w:cs="Arial"/>
                <w:color w:val="000000"/>
                <w:sz w:val="22"/>
                <w:szCs w:val="22"/>
              </w:rPr>
              <w:t>0.3%</w:t>
            </w:r>
          </w:p>
        </w:tc>
      </w:tr>
      <w:tr w:rsidR="00CE1BDB" w:rsidRPr="00FA4DC7" w14:paraId="2B0A001F" w14:textId="77777777" w:rsidTr="00EF49A7">
        <w:tc>
          <w:tcPr>
            <w:tcW w:w="2994" w:type="pct"/>
            <w:shd w:val="clear" w:color="auto" w:fill="auto"/>
            <w:noWrap/>
            <w:vAlign w:val="bottom"/>
            <w:hideMark/>
          </w:tcPr>
          <w:p w14:paraId="61F37EC9" w14:textId="77777777" w:rsidR="00CE1BDB" w:rsidRPr="00FA4DC7" w:rsidRDefault="00CE1BDB" w:rsidP="00EF49A7">
            <w:pPr>
              <w:rPr>
                <w:rFonts w:cs="Arial"/>
                <w:color w:val="000000"/>
                <w:sz w:val="22"/>
                <w:szCs w:val="22"/>
              </w:rPr>
            </w:pPr>
            <w:r w:rsidRPr="00FA4DC7">
              <w:rPr>
                <w:rFonts w:cs="Arial"/>
                <w:color w:val="000000"/>
                <w:sz w:val="22"/>
                <w:szCs w:val="22"/>
              </w:rPr>
              <w:t>Borderline personality disorder</w:t>
            </w:r>
          </w:p>
        </w:tc>
        <w:tc>
          <w:tcPr>
            <w:tcW w:w="652" w:type="pct"/>
            <w:shd w:val="clear" w:color="auto" w:fill="auto"/>
            <w:noWrap/>
            <w:vAlign w:val="center"/>
          </w:tcPr>
          <w:p w14:paraId="5553DD34" w14:textId="77777777" w:rsidR="00CE1BDB" w:rsidRPr="00FA4DC7" w:rsidRDefault="00CE1BDB" w:rsidP="00EF49A7">
            <w:pPr>
              <w:jc w:val="right"/>
              <w:rPr>
                <w:rFonts w:cs="Arial"/>
                <w:color w:val="000000"/>
                <w:sz w:val="22"/>
                <w:szCs w:val="22"/>
              </w:rPr>
            </w:pPr>
            <w:r w:rsidRPr="00FA4DC7">
              <w:rPr>
                <w:rFonts w:cs="Arial"/>
                <w:color w:val="000000"/>
                <w:sz w:val="22"/>
                <w:szCs w:val="22"/>
              </w:rPr>
              <w:t>4,052</w:t>
            </w:r>
          </w:p>
        </w:tc>
        <w:tc>
          <w:tcPr>
            <w:tcW w:w="652" w:type="pct"/>
            <w:shd w:val="clear" w:color="auto" w:fill="auto"/>
            <w:noWrap/>
            <w:vAlign w:val="center"/>
          </w:tcPr>
          <w:p w14:paraId="0D5A08DB" w14:textId="77777777" w:rsidR="00CE1BDB" w:rsidRPr="00FA4DC7" w:rsidRDefault="00CE1BDB" w:rsidP="00EF49A7">
            <w:pPr>
              <w:jc w:val="right"/>
              <w:rPr>
                <w:rFonts w:cs="Arial"/>
                <w:color w:val="000000"/>
                <w:sz w:val="22"/>
                <w:szCs w:val="22"/>
              </w:rPr>
            </w:pPr>
            <w:r w:rsidRPr="00FA4DC7">
              <w:rPr>
                <w:rFonts w:cs="Arial"/>
                <w:color w:val="000000"/>
                <w:sz w:val="22"/>
                <w:szCs w:val="22"/>
              </w:rPr>
              <w:t>4,065</w:t>
            </w:r>
          </w:p>
        </w:tc>
        <w:tc>
          <w:tcPr>
            <w:tcW w:w="702" w:type="pct"/>
            <w:vAlign w:val="center"/>
          </w:tcPr>
          <w:p w14:paraId="521281CA" w14:textId="77777777" w:rsidR="00CE1BDB" w:rsidRPr="00FA4DC7" w:rsidRDefault="00CE1BDB" w:rsidP="00EF49A7">
            <w:pPr>
              <w:jc w:val="right"/>
              <w:rPr>
                <w:rFonts w:cs="Arial"/>
                <w:color w:val="000000"/>
                <w:sz w:val="22"/>
                <w:szCs w:val="22"/>
              </w:rPr>
            </w:pPr>
            <w:r w:rsidRPr="00FA4DC7">
              <w:rPr>
                <w:rFonts w:cs="Arial"/>
                <w:color w:val="000000"/>
                <w:sz w:val="22"/>
                <w:szCs w:val="22"/>
              </w:rPr>
              <w:t>0.3%</w:t>
            </w:r>
          </w:p>
        </w:tc>
      </w:tr>
      <w:tr w:rsidR="00CE1BDB" w:rsidRPr="00FA4DC7" w14:paraId="2757E8E9" w14:textId="77777777" w:rsidTr="00EF49A7">
        <w:tc>
          <w:tcPr>
            <w:tcW w:w="2994" w:type="pct"/>
            <w:shd w:val="clear" w:color="auto" w:fill="auto"/>
            <w:noWrap/>
            <w:vAlign w:val="bottom"/>
            <w:hideMark/>
          </w:tcPr>
          <w:p w14:paraId="39B361A8" w14:textId="77777777" w:rsidR="00CE1BDB" w:rsidRPr="00FA4DC7" w:rsidRDefault="00CE1BDB" w:rsidP="00EF49A7">
            <w:pPr>
              <w:rPr>
                <w:rFonts w:cs="Arial"/>
                <w:color w:val="000000"/>
                <w:sz w:val="22"/>
                <w:szCs w:val="22"/>
              </w:rPr>
            </w:pPr>
            <w:r w:rsidRPr="00FA4DC7">
              <w:rPr>
                <w:rFonts w:cs="Arial"/>
                <w:color w:val="000000"/>
                <w:sz w:val="22"/>
                <w:szCs w:val="22"/>
              </w:rPr>
              <w:t>Antisocial personality disorder</w:t>
            </w:r>
          </w:p>
        </w:tc>
        <w:tc>
          <w:tcPr>
            <w:tcW w:w="652" w:type="pct"/>
            <w:shd w:val="clear" w:color="auto" w:fill="auto"/>
            <w:noWrap/>
            <w:vAlign w:val="center"/>
          </w:tcPr>
          <w:p w14:paraId="31B62CF2" w14:textId="77777777" w:rsidR="00CE1BDB" w:rsidRPr="00FA4DC7" w:rsidRDefault="00CE1BDB" w:rsidP="00EF49A7">
            <w:pPr>
              <w:jc w:val="right"/>
              <w:rPr>
                <w:rFonts w:cs="Arial"/>
                <w:color w:val="000000"/>
                <w:sz w:val="22"/>
                <w:szCs w:val="22"/>
              </w:rPr>
            </w:pPr>
            <w:r w:rsidRPr="00FA4DC7">
              <w:rPr>
                <w:rFonts w:cs="Arial"/>
                <w:color w:val="000000"/>
                <w:sz w:val="22"/>
                <w:szCs w:val="22"/>
              </w:rPr>
              <w:t>5,630</w:t>
            </w:r>
          </w:p>
        </w:tc>
        <w:tc>
          <w:tcPr>
            <w:tcW w:w="652" w:type="pct"/>
            <w:shd w:val="clear" w:color="auto" w:fill="auto"/>
            <w:noWrap/>
            <w:vAlign w:val="center"/>
          </w:tcPr>
          <w:p w14:paraId="34E6FB42" w14:textId="77777777" w:rsidR="00CE1BDB" w:rsidRPr="00FA4DC7" w:rsidRDefault="00CE1BDB" w:rsidP="00EF49A7">
            <w:pPr>
              <w:jc w:val="right"/>
              <w:rPr>
                <w:rFonts w:cs="Arial"/>
                <w:color w:val="000000"/>
                <w:sz w:val="22"/>
                <w:szCs w:val="22"/>
              </w:rPr>
            </w:pPr>
            <w:r w:rsidRPr="00FA4DC7">
              <w:rPr>
                <w:rFonts w:cs="Arial"/>
                <w:color w:val="000000"/>
                <w:sz w:val="22"/>
                <w:szCs w:val="22"/>
              </w:rPr>
              <w:t>5,645</w:t>
            </w:r>
          </w:p>
        </w:tc>
        <w:tc>
          <w:tcPr>
            <w:tcW w:w="702" w:type="pct"/>
            <w:vAlign w:val="center"/>
          </w:tcPr>
          <w:p w14:paraId="1C41E76C" w14:textId="77777777" w:rsidR="00CE1BDB" w:rsidRPr="00FA4DC7" w:rsidRDefault="00CE1BDB" w:rsidP="00EF49A7">
            <w:pPr>
              <w:jc w:val="right"/>
              <w:rPr>
                <w:rFonts w:cs="Arial"/>
                <w:color w:val="000000"/>
                <w:sz w:val="22"/>
                <w:szCs w:val="22"/>
              </w:rPr>
            </w:pPr>
            <w:r w:rsidRPr="00FA4DC7">
              <w:rPr>
                <w:rFonts w:cs="Arial"/>
                <w:color w:val="000000"/>
                <w:sz w:val="22"/>
                <w:szCs w:val="22"/>
              </w:rPr>
              <w:t>0.3%</w:t>
            </w:r>
          </w:p>
        </w:tc>
      </w:tr>
      <w:tr w:rsidR="00CE1BDB" w:rsidRPr="00FA4DC7" w14:paraId="756ECD7A" w14:textId="77777777" w:rsidTr="00EF49A7">
        <w:tc>
          <w:tcPr>
            <w:tcW w:w="2994" w:type="pct"/>
            <w:shd w:val="clear" w:color="auto" w:fill="auto"/>
            <w:noWrap/>
            <w:vAlign w:val="bottom"/>
            <w:hideMark/>
          </w:tcPr>
          <w:p w14:paraId="728F01D7" w14:textId="77777777" w:rsidR="00CE1BDB" w:rsidRPr="00FA4DC7" w:rsidRDefault="00CE1BDB" w:rsidP="00EF49A7">
            <w:pPr>
              <w:rPr>
                <w:rFonts w:cs="Arial"/>
                <w:color w:val="000000"/>
                <w:sz w:val="22"/>
                <w:szCs w:val="22"/>
              </w:rPr>
            </w:pPr>
            <w:r w:rsidRPr="00FA4DC7">
              <w:rPr>
                <w:rFonts w:cs="Arial"/>
                <w:color w:val="000000"/>
                <w:sz w:val="22"/>
                <w:szCs w:val="22"/>
              </w:rPr>
              <w:t>Psychotic disorder</w:t>
            </w:r>
          </w:p>
        </w:tc>
        <w:tc>
          <w:tcPr>
            <w:tcW w:w="652" w:type="pct"/>
            <w:shd w:val="clear" w:color="auto" w:fill="auto"/>
            <w:noWrap/>
            <w:vAlign w:val="center"/>
          </w:tcPr>
          <w:p w14:paraId="73469515" w14:textId="77777777" w:rsidR="00CE1BDB" w:rsidRPr="00FA4DC7" w:rsidRDefault="00CE1BDB" w:rsidP="00EF49A7">
            <w:pPr>
              <w:jc w:val="right"/>
              <w:rPr>
                <w:rFonts w:cs="Arial"/>
                <w:color w:val="000000"/>
                <w:sz w:val="22"/>
                <w:szCs w:val="22"/>
              </w:rPr>
            </w:pPr>
            <w:r w:rsidRPr="00FA4DC7">
              <w:rPr>
                <w:rFonts w:cs="Arial"/>
                <w:color w:val="000000"/>
                <w:sz w:val="22"/>
                <w:szCs w:val="22"/>
              </w:rPr>
              <w:t>1,180</w:t>
            </w:r>
          </w:p>
        </w:tc>
        <w:tc>
          <w:tcPr>
            <w:tcW w:w="652" w:type="pct"/>
            <w:shd w:val="clear" w:color="auto" w:fill="auto"/>
            <w:noWrap/>
            <w:vAlign w:val="center"/>
          </w:tcPr>
          <w:p w14:paraId="75D229C2" w14:textId="77777777" w:rsidR="00CE1BDB" w:rsidRPr="00FA4DC7" w:rsidRDefault="00CE1BDB" w:rsidP="00EF49A7">
            <w:pPr>
              <w:jc w:val="right"/>
              <w:rPr>
                <w:rFonts w:cs="Arial"/>
                <w:color w:val="000000"/>
                <w:sz w:val="22"/>
                <w:szCs w:val="22"/>
              </w:rPr>
            </w:pPr>
            <w:r w:rsidRPr="00FA4DC7">
              <w:rPr>
                <w:rFonts w:cs="Arial"/>
                <w:color w:val="000000"/>
                <w:sz w:val="22"/>
                <w:szCs w:val="22"/>
              </w:rPr>
              <w:t>1,184</w:t>
            </w:r>
          </w:p>
        </w:tc>
        <w:tc>
          <w:tcPr>
            <w:tcW w:w="702" w:type="pct"/>
            <w:vAlign w:val="center"/>
          </w:tcPr>
          <w:p w14:paraId="1A98DD4F" w14:textId="77777777" w:rsidR="00CE1BDB" w:rsidRPr="00FA4DC7" w:rsidRDefault="00CE1BDB" w:rsidP="00EF49A7">
            <w:pPr>
              <w:jc w:val="right"/>
              <w:rPr>
                <w:rFonts w:cs="Arial"/>
                <w:color w:val="000000"/>
                <w:sz w:val="22"/>
                <w:szCs w:val="22"/>
              </w:rPr>
            </w:pPr>
            <w:r w:rsidRPr="00FA4DC7">
              <w:rPr>
                <w:rFonts w:cs="Arial"/>
                <w:color w:val="000000"/>
                <w:sz w:val="22"/>
                <w:szCs w:val="22"/>
              </w:rPr>
              <w:t>0.3%</w:t>
            </w:r>
          </w:p>
        </w:tc>
      </w:tr>
      <w:tr w:rsidR="00CE1BDB" w:rsidRPr="00FA4DC7" w14:paraId="75DD452E" w14:textId="77777777" w:rsidTr="00EF49A7">
        <w:tc>
          <w:tcPr>
            <w:tcW w:w="2994" w:type="pct"/>
            <w:shd w:val="clear" w:color="auto" w:fill="auto"/>
            <w:noWrap/>
            <w:vAlign w:val="bottom"/>
            <w:hideMark/>
          </w:tcPr>
          <w:p w14:paraId="36CDC0D9" w14:textId="77777777" w:rsidR="00CE1BDB" w:rsidRPr="00FA4DC7" w:rsidRDefault="00CE1BDB" w:rsidP="00EF49A7">
            <w:pPr>
              <w:rPr>
                <w:rFonts w:cs="Arial"/>
                <w:color w:val="000000"/>
                <w:sz w:val="22"/>
                <w:szCs w:val="22"/>
              </w:rPr>
            </w:pPr>
            <w:r w:rsidRPr="00FA4DC7">
              <w:rPr>
                <w:rFonts w:cs="Arial"/>
                <w:color w:val="000000"/>
                <w:sz w:val="22"/>
                <w:szCs w:val="22"/>
              </w:rPr>
              <w:t>Psychotic disorders (2 or more)</w:t>
            </w:r>
          </w:p>
        </w:tc>
        <w:tc>
          <w:tcPr>
            <w:tcW w:w="652" w:type="pct"/>
            <w:shd w:val="clear" w:color="auto" w:fill="auto"/>
            <w:noWrap/>
            <w:vAlign w:val="center"/>
          </w:tcPr>
          <w:p w14:paraId="0E6C24AB" w14:textId="77777777" w:rsidR="00CE1BDB" w:rsidRPr="00FA4DC7" w:rsidRDefault="00CE1BDB" w:rsidP="00EF49A7">
            <w:pPr>
              <w:jc w:val="right"/>
              <w:rPr>
                <w:rFonts w:cs="Arial"/>
                <w:color w:val="000000"/>
                <w:sz w:val="22"/>
                <w:szCs w:val="22"/>
              </w:rPr>
            </w:pPr>
            <w:r w:rsidRPr="00FA4DC7">
              <w:rPr>
                <w:rFonts w:cs="Arial"/>
                <w:color w:val="000000"/>
                <w:sz w:val="22"/>
                <w:szCs w:val="22"/>
              </w:rPr>
              <w:t>12,143</w:t>
            </w:r>
          </w:p>
        </w:tc>
        <w:tc>
          <w:tcPr>
            <w:tcW w:w="652" w:type="pct"/>
            <w:shd w:val="clear" w:color="auto" w:fill="auto"/>
            <w:noWrap/>
            <w:vAlign w:val="center"/>
          </w:tcPr>
          <w:p w14:paraId="65C773CF" w14:textId="77777777" w:rsidR="00CE1BDB" w:rsidRPr="00FA4DC7" w:rsidRDefault="00CE1BDB" w:rsidP="00EF49A7">
            <w:pPr>
              <w:jc w:val="right"/>
              <w:rPr>
                <w:rFonts w:cs="Arial"/>
                <w:color w:val="000000"/>
                <w:sz w:val="22"/>
                <w:szCs w:val="22"/>
              </w:rPr>
            </w:pPr>
            <w:r w:rsidRPr="00FA4DC7">
              <w:rPr>
                <w:rFonts w:cs="Arial"/>
                <w:color w:val="000000"/>
                <w:sz w:val="22"/>
                <w:szCs w:val="22"/>
              </w:rPr>
              <w:t>12,179</w:t>
            </w:r>
          </w:p>
        </w:tc>
        <w:tc>
          <w:tcPr>
            <w:tcW w:w="702" w:type="pct"/>
            <w:vAlign w:val="center"/>
          </w:tcPr>
          <w:p w14:paraId="2FB2B52D" w14:textId="77777777" w:rsidR="00CE1BDB" w:rsidRPr="00FA4DC7" w:rsidRDefault="00CE1BDB" w:rsidP="00EF49A7">
            <w:pPr>
              <w:jc w:val="right"/>
              <w:rPr>
                <w:rFonts w:cs="Arial"/>
                <w:color w:val="000000"/>
                <w:sz w:val="22"/>
                <w:szCs w:val="22"/>
              </w:rPr>
            </w:pPr>
            <w:r w:rsidRPr="00FA4DC7">
              <w:rPr>
                <w:rFonts w:cs="Arial"/>
                <w:color w:val="000000"/>
                <w:sz w:val="22"/>
                <w:szCs w:val="22"/>
              </w:rPr>
              <w:t>0.3%</w:t>
            </w:r>
          </w:p>
        </w:tc>
      </w:tr>
      <w:tr w:rsidR="00CE1BDB" w:rsidRPr="00FA4DC7" w14:paraId="580B4EA0" w14:textId="77777777" w:rsidTr="00EF49A7">
        <w:tc>
          <w:tcPr>
            <w:tcW w:w="2994" w:type="pct"/>
            <w:shd w:val="clear" w:color="auto" w:fill="006666"/>
            <w:noWrap/>
            <w:vAlign w:val="bottom"/>
          </w:tcPr>
          <w:p w14:paraId="44B3DAA4"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Older people with depression</w:t>
            </w:r>
          </w:p>
        </w:tc>
        <w:tc>
          <w:tcPr>
            <w:tcW w:w="652" w:type="pct"/>
            <w:shd w:val="clear" w:color="auto" w:fill="006666"/>
            <w:noWrap/>
            <w:vAlign w:val="bottom"/>
          </w:tcPr>
          <w:p w14:paraId="42D792D4"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themeColor="background1"/>
                <w:sz w:val="22"/>
                <w:szCs w:val="22"/>
              </w:rPr>
              <w:t>2020</w:t>
            </w:r>
          </w:p>
        </w:tc>
        <w:tc>
          <w:tcPr>
            <w:tcW w:w="652" w:type="pct"/>
            <w:shd w:val="clear" w:color="auto" w:fill="006666"/>
            <w:noWrap/>
            <w:vAlign w:val="bottom"/>
          </w:tcPr>
          <w:p w14:paraId="6328B345"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themeColor="background1"/>
                <w:sz w:val="22"/>
                <w:szCs w:val="22"/>
              </w:rPr>
              <w:t>2040</w:t>
            </w:r>
          </w:p>
        </w:tc>
        <w:tc>
          <w:tcPr>
            <w:tcW w:w="702" w:type="pct"/>
            <w:shd w:val="clear" w:color="auto" w:fill="006666"/>
            <w:vAlign w:val="center"/>
          </w:tcPr>
          <w:p w14:paraId="2B723941" w14:textId="77777777" w:rsidR="00CE1BDB" w:rsidRPr="00FA4DC7" w:rsidRDefault="00CE1BDB" w:rsidP="00EF49A7">
            <w:pPr>
              <w:jc w:val="right"/>
              <w:rPr>
                <w:rFonts w:cs="Arial"/>
                <w:b/>
                <w:bCs/>
                <w:color w:val="FFFFFF" w:themeColor="background1"/>
                <w:sz w:val="22"/>
                <w:szCs w:val="22"/>
              </w:rPr>
            </w:pPr>
            <w:r w:rsidRPr="00FA4DC7">
              <w:rPr>
                <w:rFonts w:cs="Arial"/>
                <w:b/>
                <w:bCs/>
                <w:color w:val="FFFFFF" w:themeColor="background1"/>
                <w:sz w:val="22"/>
                <w:szCs w:val="22"/>
              </w:rPr>
              <w:t xml:space="preserve">% </w:t>
            </w:r>
            <w:proofErr w:type="gramStart"/>
            <w:r w:rsidRPr="00FA4DC7">
              <w:rPr>
                <w:rFonts w:cs="Arial"/>
                <w:b/>
                <w:bCs/>
                <w:color w:val="FFFFFF" w:themeColor="background1"/>
                <w:sz w:val="22"/>
                <w:szCs w:val="22"/>
              </w:rPr>
              <w:t>change</w:t>
            </w:r>
            <w:proofErr w:type="gramEnd"/>
            <w:r w:rsidRPr="00FA4DC7">
              <w:rPr>
                <w:rFonts w:cs="Arial"/>
                <w:b/>
                <w:bCs/>
                <w:color w:val="FFFFFF" w:themeColor="background1"/>
                <w:sz w:val="22"/>
                <w:szCs w:val="22"/>
              </w:rPr>
              <w:t xml:space="preserve"> 2020-2040</w:t>
            </w:r>
          </w:p>
        </w:tc>
      </w:tr>
      <w:tr w:rsidR="00CE1BDB" w:rsidRPr="00FA4DC7" w14:paraId="4A6480AF" w14:textId="77777777" w:rsidTr="00EF49A7">
        <w:tc>
          <w:tcPr>
            <w:tcW w:w="2994" w:type="pct"/>
            <w:shd w:val="clear" w:color="auto" w:fill="auto"/>
            <w:noWrap/>
            <w:vAlign w:val="bottom"/>
            <w:hideMark/>
          </w:tcPr>
          <w:p w14:paraId="44D42C10" w14:textId="77777777" w:rsidR="00CE1BDB" w:rsidRPr="00FA4DC7" w:rsidRDefault="00CE1BDB" w:rsidP="00EF49A7">
            <w:pPr>
              <w:rPr>
                <w:rFonts w:cs="Arial"/>
                <w:color w:val="000000"/>
                <w:sz w:val="22"/>
                <w:szCs w:val="22"/>
              </w:rPr>
            </w:pPr>
            <w:r w:rsidRPr="00FA4DC7">
              <w:rPr>
                <w:rFonts w:cs="Arial"/>
                <w:color w:val="000000"/>
                <w:sz w:val="22"/>
                <w:szCs w:val="22"/>
              </w:rPr>
              <w:t>Depression 65+</w:t>
            </w:r>
          </w:p>
        </w:tc>
        <w:tc>
          <w:tcPr>
            <w:tcW w:w="652" w:type="pct"/>
            <w:shd w:val="clear" w:color="auto" w:fill="auto"/>
            <w:noWrap/>
            <w:vAlign w:val="center"/>
          </w:tcPr>
          <w:p w14:paraId="1AAB36C9" w14:textId="77777777" w:rsidR="00CE1BDB" w:rsidRPr="00FA4DC7" w:rsidRDefault="00CE1BDB" w:rsidP="00EF49A7">
            <w:pPr>
              <w:jc w:val="right"/>
              <w:rPr>
                <w:rFonts w:cs="Arial"/>
                <w:color w:val="000000"/>
                <w:sz w:val="22"/>
                <w:szCs w:val="22"/>
              </w:rPr>
            </w:pPr>
            <w:r w:rsidRPr="00FA4DC7">
              <w:rPr>
                <w:rFonts w:cs="Arial"/>
                <w:color w:val="000000"/>
                <w:sz w:val="22"/>
                <w:szCs w:val="22"/>
              </w:rPr>
              <w:t>3,871</w:t>
            </w:r>
          </w:p>
        </w:tc>
        <w:tc>
          <w:tcPr>
            <w:tcW w:w="652" w:type="pct"/>
            <w:shd w:val="clear" w:color="auto" w:fill="auto"/>
            <w:noWrap/>
            <w:vAlign w:val="center"/>
          </w:tcPr>
          <w:p w14:paraId="35616FBF" w14:textId="77777777" w:rsidR="00CE1BDB" w:rsidRPr="00FA4DC7" w:rsidRDefault="00CE1BDB" w:rsidP="00EF49A7">
            <w:pPr>
              <w:jc w:val="right"/>
              <w:rPr>
                <w:rFonts w:cs="Arial"/>
                <w:color w:val="000000"/>
                <w:sz w:val="22"/>
                <w:szCs w:val="22"/>
              </w:rPr>
            </w:pPr>
            <w:r w:rsidRPr="00FA4DC7">
              <w:rPr>
                <w:rFonts w:cs="Arial"/>
                <w:color w:val="000000"/>
                <w:sz w:val="22"/>
                <w:szCs w:val="22"/>
              </w:rPr>
              <w:t>4,997</w:t>
            </w:r>
          </w:p>
        </w:tc>
        <w:tc>
          <w:tcPr>
            <w:tcW w:w="702" w:type="pct"/>
            <w:vAlign w:val="center"/>
          </w:tcPr>
          <w:p w14:paraId="7608CB19" w14:textId="77777777" w:rsidR="00CE1BDB" w:rsidRPr="00FA4DC7" w:rsidRDefault="00CE1BDB" w:rsidP="00EF49A7">
            <w:pPr>
              <w:jc w:val="right"/>
              <w:rPr>
                <w:rFonts w:cs="Arial"/>
                <w:color w:val="000000"/>
                <w:sz w:val="22"/>
                <w:szCs w:val="22"/>
              </w:rPr>
            </w:pPr>
            <w:r w:rsidRPr="00FA4DC7">
              <w:rPr>
                <w:rFonts w:cs="Arial"/>
                <w:color w:val="000000"/>
                <w:sz w:val="22"/>
                <w:szCs w:val="22"/>
              </w:rPr>
              <w:t>29.1%</w:t>
            </w:r>
          </w:p>
        </w:tc>
      </w:tr>
      <w:tr w:rsidR="00CE1BDB" w:rsidRPr="00FA4DC7" w14:paraId="7B29AEF5" w14:textId="77777777" w:rsidTr="00EF49A7">
        <w:tc>
          <w:tcPr>
            <w:tcW w:w="2994" w:type="pct"/>
            <w:shd w:val="clear" w:color="auto" w:fill="auto"/>
            <w:noWrap/>
            <w:vAlign w:val="bottom"/>
            <w:hideMark/>
          </w:tcPr>
          <w:p w14:paraId="0CA98422" w14:textId="77777777" w:rsidR="00CE1BDB" w:rsidRPr="00FA4DC7" w:rsidRDefault="00CE1BDB" w:rsidP="00EF49A7">
            <w:pPr>
              <w:rPr>
                <w:rFonts w:cs="Arial"/>
                <w:color w:val="000000"/>
                <w:sz w:val="22"/>
                <w:szCs w:val="22"/>
              </w:rPr>
            </w:pPr>
            <w:r w:rsidRPr="00FA4DC7">
              <w:rPr>
                <w:rFonts w:cs="Arial"/>
                <w:color w:val="000000"/>
                <w:sz w:val="22"/>
                <w:szCs w:val="22"/>
              </w:rPr>
              <w:t>Severe depression (65+)</w:t>
            </w:r>
          </w:p>
        </w:tc>
        <w:tc>
          <w:tcPr>
            <w:tcW w:w="652" w:type="pct"/>
            <w:shd w:val="clear" w:color="auto" w:fill="auto"/>
            <w:noWrap/>
            <w:vAlign w:val="center"/>
          </w:tcPr>
          <w:p w14:paraId="5E3EB590" w14:textId="77777777" w:rsidR="00CE1BDB" w:rsidRPr="00FA4DC7" w:rsidRDefault="00CE1BDB" w:rsidP="00EF49A7">
            <w:pPr>
              <w:jc w:val="right"/>
              <w:rPr>
                <w:rFonts w:cs="Arial"/>
                <w:color w:val="000000"/>
                <w:sz w:val="22"/>
                <w:szCs w:val="22"/>
              </w:rPr>
            </w:pPr>
            <w:r w:rsidRPr="00FA4DC7">
              <w:rPr>
                <w:rFonts w:cs="Arial"/>
                <w:color w:val="000000"/>
                <w:sz w:val="22"/>
                <w:szCs w:val="22"/>
              </w:rPr>
              <w:t>1,205</w:t>
            </w:r>
          </w:p>
        </w:tc>
        <w:tc>
          <w:tcPr>
            <w:tcW w:w="652" w:type="pct"/>
            <w:shd w:val="clear" w:color="auto" w:fill="auto"/>
            <w:noWrap/>
            <w:vAlign w:val="center"/>
          </w:tcPr>
          <w:p w14:paraId="26C82B68" w14:textId="77777777" w:rsidR="00CE1BDB" w:rsidRPr="00FA4DC7" w:rsidRDefault="00CE1BDB" w:rsidP="00EF49A7">
            <w:pPr>
              <w:jc w:val="right"/>
              <w:rPr>
                <w:rFonts w:cs="Arial"/>
                <w:color w:val="000000"/>
                <w:sz w:val="22"/>
                <w:szCs w:val="22"/>
              </w:rPr>
            </w:pPr>
            <w:r w:rsidRPr="00FA4DC7">
              <w:rPr>
                <w:rFonts w:cs="Arial"/>
                <w:color w:val="000000"/>
                <w:sz w:val="22"/>
                <w:szCs w:val="22"/>
              </w:rPr>
              <w:t>1,619</w:t>
            </w:r>
          </w:p>
        </w:tc>
        <w:tc>
          <w:tcPr>
            <w:tcW w:w="702" w:type="pct"/>
            <w:vAlign w:val="center"/>
          </w:tcPr>
          <w:p w14:paraId="6836034E" w14:textId="77777777" w:rsidR="00CE1BDB" w:rsidRPr="00FA4DC7" w:rsidRDefault="00CE1BDB" w:rsidP="00EF49A7">
            <w:pPr>
              <w:jc w:val="right"/>
              <w:rPr>
                <w:rFonts w:cs="Arial"/>
                <w:color w:val="000000"/>
                <w:sz w:val="22"/>
                <w:szCs w:val="22"/>
              </w:rPr>
            </w:pPr>
            <w:r w:rsidRPr="00FA4DC7">
              <w:rPr>
                <w:rFonts w:cs="Arial"/>
                <w:color w:val="000000"/>
                <w:sz w:val="22"/>
                <w:szCs w:val="22"/>
              </w:rPr>
              <w:t>34.4%</w:t>
            </w:r>
          </w:p>
        </w:tc>
      </w:tr>
    </w:tbl>
    <w:p w14:paraId="0929F53A" w14:textId="77777777" w:rsidR="00CE1BDB" w:rsidRPr="00FA4DC7" w:rsidRDefault="00CE1BDB" w:rsidP="00CE1BDB">
      <w:pPr>
        <w:pStyle w:val="Reporttext"/>
        <w:numPr>
          <w:ilvl w:val="0"/>
          <w:numId w:val="0"/>
        </w:numPr>
        <w:ind w:left="709" w:hanging="709"/>
        <w:rPr>
          <w:rFonts w:cs="Arial"/>
          <w:sz w:val="22"/>
          <w:szCs w:val="22"/>
        </w:rPr>
      </w:pPr>
      <w:r w:rsidRPr="00FA4DC7">
        <w:rPr>
          <w:rFonts w:cs="Arial"/>
          <w:sz w:val="22"/>
          <w:szCs w:val="22"/>
        </w:rPr>
        <w:t>Source: POPPI/PANSI</w:t>
      </w:r>
    </w:p>
    <w:p w14:paraId="29B16E3D" w14:textId="77777777" w:rsidR="00CE1BDB" w:rsidRPr="00FA4DC7" w:rsidRDefault="00CE1BDB" w:rsidP="00CE1BDB">
      <w:pPr>
        <w:pStyle w:val="Reporttext"/>
        <w:numPr>
          <w:ilvl w:val="0"/>
          <w:numId w:val="0"/>
        </w:numPr>
        <w:ind w:left="709"/>
        <w:rPr>
          <w:rFonts w:cs="Arial"/>
        </w:rPr>
      </w:pPr>
    </w:p>
    <w:p w14:paraId="16DEEE88" w14:textId="77777777" w:rsidR="00CE1BDB" w:rsidRPr="00FA4DC7" w:rsidRDefault="00CE1BDB" w:rsidP="00CE1BDB">
      <w:pPr>
        <w:pStyle w:val="Reporttext"/>
        <w:tabs>
          <w:tab w:val="clear" w:pos="2128"/>
          <w:tab w:val="num" w:pos="1419"/>
        </w:tabs>
        <w:rPr>
          <w:rFonts w:cs="Arial"/>
        </w:rPr>
      </w:pPr>
      <w:r w:rsidRPr="00FA4DC7">
        <w:rPr>
          <w:rFonts w:cs="Arial"/>
        </w:rPr>
        <w:t xml:space="preserve">The Medway MPS 2016/17 notes a need to investigate whether there is a need for nursing home provision for people with mental health issues of working age in Medway. It is preferable to keep people in Medway so that friends and family can play a role in their recovery rather than placing them out of area. </w:t>
      </w:r>
    </w:p>
    <w:p w14:paraId="01719F1E" w14:textId="77777777" w:rsidR="00CE1BDB" w:rsidRPr="00FA4DC7" w:rsidRDefault="00CE1BDB" w:rsidP="00CE1BDB">
      <w:pPr>
        <w:pStyle w:val="Reporttext"/>
        <w:numPr>
          <w:ilvl w:val="0"/>
          <w:numId w:val="0"/>
        </w:numPr>
        <w:ind w:left="709"/>
        <w:rPr>
          <w:rFonts w:cs="Arial"/>
          <w:highlight w:val="yellow"/>
        </w:rPr>
      </w:pPr>
    </w:p>
    <w:p w14:paraId="7EF1EEDA" w14:textId="77777777" w:rsidR="00CE1BDB" w:rsidRPr="00FA4DC7" w:rsidRDefault="00CE1BDB" w:rsidP="00CE1BDB">
      <w:pPr>
        <w:pStyle w:val="Heading3"/>
        <w:rPr>
          <w:rFonts w:cs="Arial"/>
        </w:rPr>
      </w:pPr>
      <w:r w:rsidRPr="00FA4DC7">
        <w:rPr>
          <w:rFonts w:cs="Arial"/>
        </w:rPr>
        <w:t>Accessible and wheelchair</w:t>
      </w:r>
      <w:r w:rsidRPr="00FA4DC7">
        <w:rPr>
          <w:rFonts w:cs="Arial"/>
          <w:lang w:val="en-US"/>
        </w:rPr>
        <w:t xml:space="preserve"> </w:t>
      </w:r>
      <w:r w:rsidRPr="00FA4DC7">
        <w:rPr>
          <w:rFonts w:cs="Arial"/>
        </w:rPr>
        <w:t>standard housing</w:t>
      </w:r>
      <w:bookmarkEnd w:id="393"/>
    </w:p>
    <w:p w14:paraId="226520CD" w14:textId="77777777" w:rsidR="00CE1BDB" w:rsidRPr="00FA4DC7" w:rsidRDefault="00CE1BDB" w:rsidP="00CE1BDB">
      <w:pPr>
        <w:pStyle w:val="Reporttext"/>
        <w:tabs>
          <w:tab w:val="clear" w:pos="2128"/>
          <w:tab w:val="num" w:pos="1419"/>
        </w:tabs>
        <w:rPr>
          <w:rFonts w:cs="Arial"/>
          <w:b/>
          <w:bCs/>
        </w:rPr>
      </w:pPr>
      <w:r w:rsidRPr="00FA4DC7">
        <w:rPr>
          <w:rFonts w:cs="Arial"/>
        </w:rPr>
        <w:t xml:space="preserve">PPG states that </w:t>
      </w:r>
      <w:r w:rsidRPr="00FA4DC7">
        <w:rPr>
          <w:rFonts w:cs="Arial"/>
          <w:b/>
          <w:bCs/>
        </w:rPr>
        <w:t>‘where an identified need exists, plans are expected to make use of the optional technical housing standards (footnote 46 of the NPPF). To help bring forward an adequate supply of accessible housing. In doing so planning policies for housing can set out the proportion of new housing that will be delivered to the following standards:</w:t>
      </w:r>
    </w:p>
    <w:p w14:paraId="1CA82461" w14:textId="77777777" w:rsidR="00CE1BDB" w:rsidRPr="00FA4DC7" w:rsidRDefault="00CE1BDB" w:rsidP="00CE1BDB">
      <w:pPr>
        <w:pStyle w:val="Reporttext"/>
        <w:numPr>
          <w:ilvl w:val="0"/>
          <w:numId w:val="29"/>
        </w:numPr>
        <w:rPr>
          <w:rFonts w:cs="Arial"/>
          <w:b/>
          <w:bCs/>
        </w:rPr>
      </w:pPr>
      <w:r w:rsidRPr="00FA4DC7">
        <w:rPr>
          <w:rFonts w:cs="Arial"/>
          <w:b/>
          <w:bCs/>
          <w:color w:val="0B0C0C"/>
        </w:rPr>
        <w:t>M4(1) Category 1: Visitable dwellings (the minimum standard that applies where no planning condition is given unless a plan sets a higher minimum requirement</w:t>
      </w:r>
      <w:proofErr w:type="gramStart"/>
      <w:r w:rsidRPr="00FA4DC7">
        <w:rPr>
          <w:rFonts w:cs="Arial"/>
          <w:b/>
          <w:bCs/>
          <w:color w:val="0B0C0C"/>
        </w:rPr>
        <w:t>);</w:t>
      </w:r>
      <w:proofErr w:type="gramEnd"/>
    </w:p>
    <w:p w14:paraId="798850C9" w14:textId="77777777" w:rsidR="00CE1BDB" w:rsidRPr="00FA4DC7" w:rsidRDefault="00CE1BDB" w:rsidP="00CE1BDB">
      <w:pPr>
        <w:pStyle w:val="Reporttext"/>
        <w:numPr>
          <w:ilvl w:val="0"/>
          <w:numId w:val="29"/>
        </w:numPr>
        <w:rPr>
          <w:rFonts w:cs="Arial"/>
          <w:b/>
          <w:bCs/>
        </w:rPr>
      </w:pPr>
      <w:r w:rsidRPr="00FA4DC7">
        <w:rPr>
          <w:rFonts w:cs="Arial"/>
          <w:b/>
          <w:bCs/>
          <w:color w:val="0B0C0C"/>
        </w:rPr>
        <w:t>M4(2) Category 2: Accessible and adaptable dwellings; and</w:t>
      </w:r>
    </w:p>
    <w:p w14:paraId="7D902E05" w14:textId="77777777" w:rsidR="00CE1BDB" w:rsidRPr="00FA4DC7" w:rsidRDefault="00CE1BDB" w:rsidP="00CE1BDB">
      <w:pPr>
        <w:pStyle w:val="Reporttext"/>
        <w:numPr>
          <w:ilvl w:val="0"/>
          <w:numId w:val="29"/>
        </w:numPr>
        <w:rPr>
          <w:rFonts w:cs="Arial"/>
          <w:b/>
          <w:bCs/>
        </w:rPr>
      </w:pPr>
      <w:r w:rsidRPr="00FA4DC7">
        <w:rPr>
          <w:rFonts w:cs="Arial"/>
          <w:b/>
          <w:bCs/>
          <w:color w:val="0B0C0C"/>
        </w:rPr>
        <w:t>M4(3) Category 3: Wheelchair user dwellings</w:t>
      </w:r>
    </w:p>
    <w:p w14:paraId="1F427186" w14:textId="77777777" w:rsidR="00CE1BDB" w:rsidRPr="00FA4DC7" w:rsidRDefault="00CE1BDB" w:rsidP="00CE1BDB">
      <w:pPr>
        <w:pStyle w:val="ListParagraph"/>
        <w:spacing w:before="300" w:after="300"/>
        <w:ind w:left="709"/>
        <w:jc w:val="left"/>
        <w:rPr>
          <w:rFonts w:ascii="Arial" w:hAnsi="Arial" w:cs="Arial"/>
          <w:color w:val="0B0C0C"/>
          <w:sz w:val="22"/>
          <w:szCs w:val="22"/>
        </w:rPr>
      </w:pPr>
      <w:r w:rsidRPr="00FA4DC7">
        <w:rPr>
          <w:rFonts w:ascii="Arial" w:hAnsi="Arial" w:cs="Arial"/>
          <w:b/>
          <w:bCs/>
          <w:color w:val="0B0C0C"/>
        </w:rPr>
        <w:t xml:space="preserve">‘Planning policies for accessible housing need to be based on evidence of need, viability and a consideration of site-specific </w:t>
      </w:r>
      <w:proofErr w:type="gramStart"/>
      <w:r w:rsidRPr="00FA4DC7">
        <w:rPr>
          <w:rFonts w:ascii="Arial" w:hAnsi="Arial" w:cs="Arial"/>
          <w:b/>
          <w:bCs/>
          <w:color w:val="0B0C0C"/>
        </w:rPr>
        <w:t>factors ’</w:t>
      </w:r>
      <w:proofErr w:type="gramEnd"/>
      <w:r w:rsidRPr="00FA4DC7">
        <w:rPr>
          <w:rFonts w:ascii="Arial" w:hAnsi="Arial" w:cs="Arial"/>
          <w:b/>
          <w:bCs/>
          <w:color w:val="0B0C0C"/>
        </w:rPr>
        <w:t xml:space="preserve"> </w:t>
      </w:r>
      <w:r w:rsidRPr="00FA4DC7">
        <w:rPr>
          <w:rFonts w:ascii="Arial" w:hAnsi="Arial" w:cs="Arial"/>
          <w:color w:val="0B0C0C"/>
          <w:sz w:val="22"/>
          <w:szCs w:val="22"/>
        </w:rPr>
        <w:t>(</w:t>
      </w:r>
      <w:r w:rsidRPr="00FA4DC7">
        <w:rPr>
          <w:rFonts w:ascii="Arial" w:hAnsi="Arial" w:cs="Arial"/>
          <w:color w:val="0B0C0C"/>
        </w:rPr>
        <w:t xml:space="preserve">source: </w:t>
      </w:r>
      <w:r w:rsidRPr="00FA4DC7">
        <w:rPr>
          <w:rFonts w:ascii="Arial" w:hAnsi="Arial" w:cs="Arial"/>
        </w:rPr>
        <w:t xml:space="preserve">PPG June 2019 </w:t>
      </w:r>
      <w:r w:rsidRPr="00FA4DC7">
        <w:rPr>
          <w:rFonts w:ascii="Arial" w:hAnsi="Arial" w:cs="Arial"/>
          <w:color w:val="0B0C0C"/>
          <w:shd w:val="clear" w:color="auto" w:fill="FFFFFF"/>
        </w:rPr>
        <w:t>Paragraph: 009 Reference ID: 63-009-20190626)</w:t>
      </w:r>
    </w:p>
    <w:p w14:paraId="5309F752" w14:textId="77777777" w:rsidR="00CE1BDB" w:rsidRPr="00FA4DC7" w:rsidRDefault="00CE1BDB" w:rsidP="00CE1BDB">
      <w:pPr>
        <w:pStyle w:val="Reporttext"/>
        <w:numPr>
          <w:ilvl w:val="0"/>
          <w:numId w:val="29"/>
        </w:numPr>
        <w:rPr>
          <w:rFonts w:cs="Arial"/>
          <w:b/>
          <w:bCs/>
          <w:iCs/>
        </w:rPr>
      </w:pPr>
      <w:r w:rsidRPr="00FA4DC7">
        <w:rPr>
          <w:rFonts w:cs="Arial"/>
          <w:b/>
          <w:bCs/>
          <w:iCs/>
          <w:color w:val="0B0C0C"/>
        </w:rPr>
        <w:t>M4(1) Category 1: Visitable dwellings (the minimum standard that applies where no planning condition is given unless a plan sets a higher minimum requirement</w:t>
      </w:r>
      <w:proofErr w:type="gramStart"/>
      <w:r w:rsidRPr="00FA4DC7">
        <w:rPr>
          <w:rFonts w:cs="Arial"/>
          <w:b/>
          <w:bCs/>
          <w:iCs/>
          <w:color w:val="0B0C0C"/>
        </w:rPr>
        <w:t>);</w:t>
      </w:r>
      <w:proofErr w:type="gramEnd"/>
    </w:p>
    <w:p w14:paraId="4061F63B" w14:textId="77777777" w:rsidR="00CE1BDB" w:rsidRPr="00FA4DC7" w:rsidRDefault="00CE1BDB" w:rsidP="00CE1BDB">
      <w:pPr>
        <w:pStyle w:val="Reporttext"/>
        <w:numPr>
          <w:ilvl w:val="0"/>
          <w:numId w:val="29"/>
        </w:numPr>
        <w:rPr>
          <w:rFonts w:cs="Arial"/>
          <w:b/>
          <w:bCs/>
          <w:iCs/>
        </w:rPr>
      </w:pPr>
      <w:r w:rsidRPr="00FA4DC7">
        <w:rPr>
          <w:rFonts w:cs="Arial"/>
          <w:b/>
          <w:bCs/>
          <w:iCs/>
          <w:color w:val="0B0C0C"/>
        </w:rPr>
        <w:lastRenderedPageBreak/>
        <w:t>M4(2) Category 2: Accessible and adaptable dwellings; and</w:t>
      </w:r>
    </w:p>
    <w:p w14:paraId="09300F6D" w14:textId="77777777" w:rsidR="00CE1BDB" w:rsidRPr="00FA4DC7" w:rsidRDefault="00CE1BDB" w:rsidP="00CE1BDB">
      <w:pPr>
        <w:pStyle w:val="Reporttext"/>
        <w:numPr>
          <w:ilvl w:val="0"/>
          <w:numId w:val="29"/>
        </w:numPr>
        <w:rPr>
          <w:rFonts w:cs="Arial"/>
          <w:b/>
          <w:bCs/>
          <w:iCs/>
        </w:rPr>
      </w:pPr>
      <w:r w:rsidRPr="00FA4DC7">
        <w:rPr>
          <w:rFonts w:cs="Arial"/>
          <w:b/>
          <w:bCs/>
          <w:iCs/>
          <w:color w:val="0B0C0C"/>
        </w:rPr>
        <w:t>M4(3) Category 3: Wheelchair user dwellings</w:t>
      </w:r>
    </w:p>
    <w:p w14:paraId="13CC81D9" w14:textId="77777777" w:rsidR="00CE1BDB" w:rsidRPr="00FA4DC7" w:rsidRDefault="00CE1BDB" w:rsidP="00CE1BDB">
      <w:pPr>
        <w:pStyle w:val="ListParagraph"/>
        <w:spacing w:before="300" w:after="300"/>
        <w:ind w:left="709"/>
        <w:jc w:val="left"/>
        <w:rPr>
          <w:rFonts w:ascii="Arial" w:hAnsi="Arial" w:cs="Arial"/>
          <w:color w:val="0B0C0C"/>
        </w:rPr>
      </w:pPr>
      <w:r w:rsidRPr="00FA4DC7">
        <w:rPr>
          <w:rFonts w:ascii="Arial" w:hAnsi="Arial" w:cs="Arial"/>
          <w:b/>
          <w:bCs/>
          <w:iCs/>
          <w:color w:val="0B0C0C"/>
        </w:rPr>
        <w:t xml:space="preserve">‘Planning policies for accessible housing need to be based on evidence of need, viability and a consideration of site-specific </w:t>
      </w:r>
      <w:proofErr w:type="gramStart"/>
      <w:r w:rsidRPr="00FA4DC7">
        <w:rPr>
          <w:rFonts w:ascii="Arial" w:hAnsi="Arial" w:cs="Arial"/>
          <w:b/>
          <w:bCs/>
          <w:iCs/>
          <w:color w:val="0B0C0C"/>
        </w:rPr>
        <w:t>factors ’</w:t>
      </w:r>
      <w:proofErr w:type="gramEnd"/>
      <w:r w:rsidRPr="00FA4DC7">
        <w:rPr>
          <w:rFonts w:ascii="Arial" w:hAnsi="Arial" w:cs="Arial"/>
          <w:color w:val="0B0C0C"/>
        </w:rPr>
        <w:t xml:space="preserve"> (source: </w:t>
      </w:r>
      <w:r w:rsidRPr="00FA4DC7">
        <w:rPr>
          <w:rFonts w:ascii="Arial" w:hAnsi="Arial" w:cs="Arial"/>
        </w:rPr>
        <w:t xml:space="preserve">PPG </w:t>
      </w:r>
      <w:r w:rsidRPr="00FA4DC7">
        <w:rPr>
          <w:rFonts w:ascii="Arial" w:hAnsi="Arial" w:cs="Arial"/>
          <w:color w:val="0B0C0C"/>
          <w:shd w:val="clear" w:color="auto" w:fill="FFFFFF"/>
        </w:rPr>
        <w:t>Paragraphs: 008 Reference ID: 56-008-20160519 &amp; 009 Reference ID: 56-009-20150327)</w:t>
      </w:r>
    </w:p>
    <w:p w14:paraId="279E0C9E" w14:textId="77777777" w:rsidR="00CE1BDB" w:rsidRPr="00FA4DC7" w:rsidRDefault="00CE1BDB" w:rsidP="00CE1BDB">
      <w:pPr>
        <w:pStyle w:val="Reporttext"/>
        <w:rPr>
          <w:rFonts w:cs="Arial"/>
        </w:rPr>
      </w:pPr>
      <w:r w:rsidRPr="00FA4DC7">
        <w:rPr>
          <w:rFonts w:cs="Arial"/>
        </w:rPr>
        <w:t>Regarding evidencing the need for accessible housing, PPG states:</w:t>
      </w:r>
    </w:p>
    <w:p w14:paraId="7556D85F" w14:textId="77777777" w:rsidR="00CE1BDB" w:rsidRPr="00FA4DC7" w:rsidRDefault="00CE1BDB" w:rsidP="00CE1BDB">
      <w:pPr>
        <w:spacing w:before="300" w:after="300"/>
        <w:ind w:left="660"/>
        <w:rPr>
          <w:rFonts w:cs="Arial"/>
          <w:b/>
          <w:bCs/>
          <w:color w:val="0B0C0C"/>
        </w:rPr>
      </w:pPr>
      <w:r w:rsidRPr="00FA4DC7">
        <w:rPr>
          <w:rFonts w:cs="Arial"/>
          <w:b/>
          <w:bCs/>
          <w:color w:val="0B0C0C"/>
        </w:rPr>
        <w:t xml:space="preserve">‘Based on their housing needs assessment and other available datasets it will be for local planning authorities to set out how they intend to approach demonstrating the need for Requirement M4(2) (accessible and adaptable dwellings), and/or M4(3) (wheelchair user dwellings), of the Building Regulations. There is a wide range of published official statistics and factors which local planning authorities can consider and </w:t>
      </w:r>
      <w:proofErr w:type="gramStart"/>
      <w:r w:rsidRPr="00FA4DC7">
        <w:rPr>
          <w:rFonts w:cs="Arial"/>
          <w:b/>
          <w:bCs/>
          <w:color w:val="0B0C0C"/>
        </w:rPr>
        <w:t>take into account</w:t>
      </w:r>
      <w:proofErr w:type="gramEnd"/>
      <w:r w:rsidRPr="00FA4DC7">
        <w:rPr>
          <w:rFonts w:cs="Arial"/>
          <w:b/>
          <w:bCs/>
          <w:color w:val="0B0C0C"/>
        </w:rPr>
        <w:t>, including:</w:t>
      </w:r>
    </w:p>
    <w:p w14:paraId="1FB79F96" w14:textId="77777777" w:rsidR="00CE1BDB" w:rsidRPr="00FA4DC7" w:rsidRDefault="00CE1BDB" w:rsidP="00CE1BDB">
      <w:pPr>
        <w:numPr>
          <w:ilvl w:val="0"/>
          <w:numId w:val="32"/>
        </w:numPr>
        <w:spacing w:after="75"/>
        <w:ind w:left="1020"/>
        <w:rPr>
          <w:rFonts w:cs="Arial"/>
          <w:b/>
          <w:bCs/>
          <w:color w:val="0B0C0C"/>
        </w:rPr>
      </w:pPr>
      <w:r w:rsidRPr="00FA4DC7">
        <w:rPr>
          <w:rFonts w:cs="Arial"/>
          <w:b/>
          <w:bCs/>
          <w:color w:val="0B0C0C"/>
        </w:rPr>
        <w:t>the likely future need for housing for older and disabled people (including wheelchair user dwellings).</w:t>
      </w:r>
    </w:p>
    <w:p w14:paraId="627206B2" w14:textId="77777777" w:rsidR="00CE1BDB" w:rsidRPr="00FA4DC7" w:rsidRDefault="00CE1BDB" w:rsidP="00CE1BDB">
      <w:pPr>
        <w:numPr>
          <w:ilvl w:val="0"/>
          <w:numId w:val="32"/>
        </w:numPr>
        <w:spacing w:after="75"/>
        <w:ind w:left="1020"/>
        <w:rPr>
          <w:rFonts w:cs="Arial"/>
          <w:b/>
          <w:bCs/>
          <w:color w:val="0B0C0C"/>
        </w:rPr>
      </w:pPr>
      <w:r w:rsidRPr="00FA4DC7">
        <w:rPr>
          <w:rFonts w:cs="Arial"/>
          <w:b/>
          <w:bCs/>
          <w:color w:val="0B0C0C"/>
        </w:rPr>
        <w:t xml:space="preserve">size, location, </w:t>
      </w:r>
      <w:proofErr w:type="gramStart"/>
      <w:r w:rsidRPr="00FA4DC7">
        <w:rPr>
          <w:rFonts w:cs="Arial"/>
          <w:b/>
          <w:bCs/>
          <w:color w:val="0B0C0C"/>
        </w:rPr>
        <w:t>type</w:t>
      </w:r>
      <w:proofErr w:type="gramEnd"/>
      <w:r w:rsidRPr="00FA4DC7">
        <w:rPr>
          <w:rFonts w:cs="Arial"/>
          <w:b/>
          <w:bCs/>
          <w:color w:val="0B0C0C"/>
        </w:rPr>
        <w:t xml:space="preserve"> and quality of dwellings needed to meet specifically evidenced needs (for example retirement homes, sheltered homes or care homes).</w:t>
      </w:r>
    </w:p>
    <w:p w14:paraId="4B77C643" w14:textId="77777777" w:rsidR="00CE1BDB" w:rsidRPr="00FA4DC7" w:rsidRDefault="00CE1BDB" w:rsidP="00CE1BDB">
      <w:pPr>
        <w:numPr>
          <w:ilvl w:val="0"/>
          <w:numId w:val="32"/>
        </w:numPr>
        <w:spacing w:after="75"/>
        <w:ind w:left="1020"/>
        <w:rPr>
          <w:rFonts w:cs="Arial"/>
          <w:b/>
          <w:bCs/>
          <w:color w:val="0B0C0C"/>
        </w:rPr>
      </w:pPr>
      <w:r w:rsidRPr="00FA4DC7">
        <w:rPr>
          <w:rFonts w:cs="Arial"/>
          <w:b/>
          <w:bCs/>
          <w:color w:val="0B0C0C"/>
        </w:rPr>
        <w:t>the accessibility and adaptability of existing housing stock.</w:t>
      </w:r>
    </w:p>
    <w:p w14:paraId="4CFDCBE2" w14:textId="77777777" w:rsidR="00CE1BDB" w:rsidRPr="00FA4DC7" w:rsidRDefault="00CE1BDB" w:rsidP="00CE1BDB">
      <w:pPr>
        <w:numPr>
          <w:ilvl w:val="0"/>
          <w:numId w:val="32"/>
        </w:numPr>
        <w:spacing w:after="75"/>
        <w:ind w:left="1020"/>
        <w:rPr>
          <w:rFonts w:cs="Arial"/>
          <w:b/>
          <w:bCs/>
          <w:color w:val="0B0C0C"/>
        </w:rPr>
      </w:pPr>
      <w:r w:rsidRPr="00FA4DC7">
        <w:rPr>
          <w:rFonts w:cs="Arial"/>
          <w:b/>
          <w:bCs/>
          <w:color w:val="0B0C0C"/>
        </w:rPr>
        <w:t>how needs vary across different housing tenures.</w:t>
      </w:r>
    </w:p>
    <w:p w14:paraId="3F838B3F" w14:textId="77777777" w:rsidR="00CE1BDB" w:rsidRPr="00FA4DC7" w:rsidRDefault="00CE1BDB" w:rsidP="00CE1BDB">
      <w:pPr>
        <w:numPr>
          <w:ilvl w:val="0"/>
          <w:numId w:val="32"/>
        </w:numPr>
        <w:spacing w:after="75"/>
        <w:ind w:left="1020"/>
        <w:rPr>
          <w:rFonts w:cs="Arial"/>
          <w:i/>
          <w:iCs/>
          <w:color w:val="0B0C0C"/>
        </w:rPr>
      </w:pPr>
      <w:r w:rsidRPr="00FA4DC7">
        <w:rPr>
          <w:rFonts w:cs="Arial"/>
          <w:b/>
          <w:bCs/>
          <w:color w:val="0B0C0C"/>
        </w:rPr>
        <w:t xml:space="preserve">the overall impact on viability.’ </w:t>
      </w:r>
      <w:r w:rsidRPr="00FA4DC7">
        <w:rPr>
          <w:rFonts w:cs="Arial"/>
          <w:color w:val="0B0C0C"/>
        </w:rPr>
        <w:t>(</w:t>
      </w:r>
      <w:proofErr w:type="gramStart"/>
      <w:r w:rsidRPr="00FA4DC7">
        <w:rPr>
          <w:rFonts w:cs="Arial"/>
          <w:color w:val="0B0C0C"/>
        </w:rPr>
        <w:t>source</w:t>
      </w:r>
      <w:proofErr w:type="gramEnd"/>
      <w:r w:rsidRPr="00FA4DC7">
        <w:rPr>
          <w:rFonts w:cs="Arial"/>
          <w:color w:val="0B0C0C"/>
        </w:rPr>
        <w:t>:</w:t>
      </w:r>
      <w:r w:rsidRPr="00FA4DC7">
        <w:rPr>
          <w:rFonts w:cs="Arial"/>
          <w:b/>
          <w:bCs/>
          <w:color w:val="0B0C0C"/>
        </w:rPr>
        <w:t xml:space="preserve"> </w:t>
      </w:r>
      <w:r w:rsidRPr="00FA4DC7">
        <w:rPr>
          <w:rFonts w:cs="Arial"/>
        </w:rPr>
        <w:t>Para: 007 Reference ID: 56-007-20150327</w:t>
      </w:r>
      <w:r w:rsidRPr="00FA4DC7">
        <w:rPr>
          <w:rFonts w:cs="Arial"/>
          <w:i/>
          <w:iCs/>
          <w:color w:val="0B0C0C"/>
        </w:rPr>
        <w:t>’</w:t>
      </w:r>
    </w:p>
    <w:p w14:paraId="3481CA2D" w14:textId="77777777" w:rsidR="00CE1BDB" w:rsidRPr="00FA4DC7" w:rsidRDefault="00CE1BDB" w:rsidP="00CE1BDB">
      <w:pPr>
        <w:pStyle w:val="Reporttext"/>
        <w:rPr>
          <w:rFonts w:eastAsiaTheme="minorEastAsia" w:cs="Arial"/>
          <w:shd w:val="clear" w:color="auto" w:fill="FFFFFF"/>
        </w:rPr>
      </w:pPr>
      <w:r w:rsidRPr="00FA4DC7">
        <w:rPr>
          <w:rFonts w:cs="Arial"/>
        </w:rPr>
        <w:t>Optional accessibility standards for dwellings were introduced by the government in 2015 to provide a mechanism for improving accessibility of housing for those with additional needs. National standards have been established and contained within Part M Volume 1 of the Building Regulations (source: https://www.planningportal.co.uk/info/200135/approved_documents/80/part_m_- _</w:t>
      </w:r>
      <w:proofErr w:type="spellStart"/>
      <w:r w:rsidRPr="00FA4DC7">
        <w:rPr>
          <w:rFonts w:cs="Arial"/>
        </w:rPr>
        <w:t>access_to_and_use_of_buildings</w:t>
      </w:r>
      <w:proofErr w:type="spellEnd"/>
      <w:r w:rsidRPr="00FA4DC7">
        <w:rPr>
          <w:rFonts w:cs="Arial"/>
        </w:rPr>
        <w:t xml:space="preserve">   as set out in Table 5.14. Only one accessible housing standard can apply to any dwelling. The M4(2) accessible and adaptable dwelling standard is based on, and in 2015 effectively replaced, the ‘Lifetime Homes’ standard. </w:t>
      </w:r>
    </w:p>
    <w:p w14:paraId="7235F577" w14:textId="164A14BA" w:rsidR="00180669" w:rsidRDefault="00180669">
      <w:pPr>
        <w:rPr>
          <w:rFonts w:cs="Arial"/>
          <w:shd w:val="clear" w:color="auto" w:fill="FFFFFF"/>
          <w:lang w:eastAsia="en-US"/>
        </w:rPr>
      </w:pPr>
      <w:r>
        <w:rPr>
          <w:rFonts w:cs="Arial"/>
          <w:shd w:val="clear" w:color="auto" w:fill="FFFFFF"/>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0"/>
        <w:gridCol w:w="1987"/>
        <w:gridCol w:w="4533"/>
        <w:gridCol w:w="1390"/>
      </w:tblGrid>
      <w:tr w:rsidR="00CE1BDB" w:rsidRPr="00FA4DC7" w14:paraId="627BC1A2" w14:textId="77777777" w:rsidTr="00EF49A7">
        <w:tc>
          <w:tcPr>
            <w:tcW w:w="5000" w:type="pct"/>
            <w:gridSpan w:val="4"/>
            <w:shd w:val="clear" w:color="auto" w:fill="006666"/>
            <w:noWrap/>
            <w:vAlign w:val="bottom"/>
          </w:tcPr>
          <w:p w14:paraId="52675D86" w14:textId="77777777" w:rsidR="00CE1BDB" w:rsidRPr="00FA4DC7" w:rsidRDefault="00CE1BDB" w:rsidP="00EF49A7">
            <w:pPr>
              <w:pStyle w:val="Tableheading1"/>
              <w:rPr>
                <w:rFonts w:cs="Arial"/>
              </w:rPr>
            </w:pPr>
            <w:bookmarkStart w:id="406" w:name="_Toc13046290"/>
            <w:bookmarkStart w:id="407" w:name="_Toc83036115"/>
            <w:r w:rsidRPr="00FA4DC7">
              <w:rPr>
                <w:rFonts w:cs="Arial"/>
              </w:rPr>
              <w:lastRenderedPageBreak/>
              <w:t>Table 5.14</w:t>
            </w:r>
            <w:r w:rsidRPr="00FA4DC7">
              <w:rPr>
                <w:rFonts w:cs="Arial"/>
              </w:rPr>
              <w:tab/>
              <w:t>Summary of accessible housing standards</w:t>
            </w:r>
            <w:bookmarkEnd w:id="406"/>
            <w:bookmarkEnd w:id="407"/>
          </w:p>
        </w:tc>
      </w:tr>
      <w:tr w:rsidR="00CE1BDB" w:rsidRPr="00FA4DC7" w14:paraId="13FDCF82" w14:textId="77777777" w:rsidTr="00EF49A7">
        <w:tc>
          <w:tcPr>
            <w:tcW w:w="692" w:type="pct"/>
            <w:shd w:val="clear" w:color="auto" w:fill="006666"/>
            <w:noWrap/>
            <w:vAlign w:val="bottom"/>
            <w:hideMark/>
          </w:tcPr>
          <w:p w14:paraId="40C04988"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Standard Label</w:t>
            </w:r>
          </w:p>
        </w:tc>
        <w:tc>
          <w:tcPr>
            <w:tcW w:w="1082" w:type="pct"/>
            <w:shd w:val="clear" w:color="auto" w:fill="006666"/>
            <w:noWrap/>
            <w:vAlign w:val="bottom"/>
            <w:hideMark/>
          </w:tcPr>
          <w:p w14:paraId="2BD1AC8A"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Standard title</w:t>
            </w:r>
          </w:p>
        </w:tc>
        <w:tc>
          <w:tcPr>
            <w:tcW w:w="2469" w:type="pct"/>
            <w:shd w:val="clear" w:color="auto" w:fill="006666"/>
            <w:noWrap/>
            <w:vAlign w:val="bottom"/>
            <w:hideMark/>
          </w:tcPr>
          <w:p w14:paraId="25D50493" w14:textId="77777777" w:rsidR="00CE1BDB" w:rsidRPr="00FA4DC7" w:rsidRDefault="00CE1BDB" w:rsidP="00EF49A7">
            <w:pPr>
              <w:rPr>
                <w:rFonts w:cs="Arial"/>
                <w:b/>
                <w:bCs/>
                <w:color w:val="FFFFFF" w:themeColor="background1"/>
                <w:sz w:val="22"/>
                <w:szCs w:val="22"/>
              </w:rPr>
            </w:pPr>
            <w:r w:rsidRPr="00FA4DC7">
              <w:rPr>
                <w:rFonts w:cs="Arial"/>
                <w:b/>
                <w:bCs/>
                <w:color w:val="FFFFFF" w:themeColor="background1"/>
                <w:sz w:val="22"/>
                <w:szCs w:val="22"/>
              </w:rPr>
              <w:t>Level of accessibility provided</w:t>
            </w:r>
          </w:p>
        </w:tc>
        <w:tc>
          <w:tcPr>
            <w:tcW w:w="757" w:type="pct"/>
            <w:shd w:val="clear" w:color="auto" w:fill="006666"/>
            <w:noWrap/>
            <w:vAlign w:val="bottom"/>
            <w:hideMark/>
          </w:tcPr>
          <w:p w14:paraId="781D3817" w14:textId="77777777" w:rsidR="00CE1BDB" w:rsidRPr="00FA4DC7" w:rsidRDefault="00CE1BDB" w:rsidP="00EF49A7">
            <w:pPr>
              <w:jc w:val="center"/>
              <w:rPr>
                <w:rFonts w:cs="Arial"/>
                <w:b/>
                <w:bCs/>
                <w:color w:val="FFFFFF" w:themeColor="background1"/>
                <w:sz w:val="22"/>
                <w:szCs w:val="22"/>
              </w:rPr>
            </w:pPr>
            <w:r w:rsidRPr="00FA4DC7">
              <w:rPr>
                <w:rFonts w:cs="Arial"/>
                <w:b/>
                <w:bCs/>
                <w:color w:val="FFFFFF" w:themeColor="background1"/>
                <w:sz w:val="22"/>
                <w:szCs w:val="22"/>
              </w:rPr>
              <w:t>Mandatory or optional</w:t>
            </w:r>
          </w:p>
        </w:tc>
      </w:tr>
      <w:tr w:rsidR="00CE1BDB" w:rsidRPr="00FA4DC7" w14:paraId="6D4196BC" w14:textId="77777777" w:rsidTr="00EF49A7">
        <w:tc>
          <w:tcPr>
            <w:tcW w:w="692" w:type="pct"/>
            <w:shd w:val="clear" w:color="auto" w:fill="auto"/>
            <w:noWrap/>
            <w:vAlign w:val="center"/>
          </w:tcPr>
          <w:p w14:paraId="0B0E592A" w14:textId="77777777" w:rsidR="00CE1BDB" w:rsidRPr="00FA4DC7" w:rsidRDefault="00CE1BDB" w:rsidP="00EF49A7">
            <w:pPr>
              <w:rPr>
                <w:rFonts w:cs="Arial"/>
                <w:color w:val="000000"/>
                <w:sz w:val="22"/>
                <w:szCs w:val="22"/>
              </w:rPr>
            </w:pPr>
            <w:r w:rsidRPr="00FA4DC7">
              <w:rPr>
                <w:rFonts w:cs="Arial"/>
                <w:color w:val="000000"/>
                <w:sz w:val="22"/>
                <w:szCs w:val="22"/>
              </w:rPr>
              <w:t>M4(1)</w:t>
            </w:r>
          </w:p>
        </w:tc>
        <w:tc>
          <w:tcPr>
            <w:tcW w:w="1082" w:type="pct"/>
            <w:shd w:val="clear" w:color="auto" w:fill="auto"/>
            <w:noWrap/>
            <w:vAlign w:val="center"/>
          </w:tcPr>
          <w:p w14:paraId="407F56CE" w14:textId="77777777" w:rsidR="00CE1BDB" w:rsidRPr="00FA4DC7" w:rsidRDefault="00CE1BDB" w:rsidP="00EF49A7">
            <w:pPr>
              <w:rPr>
                <w:rFonts w:cs="Arial"/>
                <w:color w:val="000000"/>
                <w:sz w:val="22"/>
                <w:szCs w:val="22"/>
              </w:rPr>
            </w:pPr>
            <w:r w:rsidRPr="00FA4DC7">
              <w:rPr>
                <w:rFonts w:cs="Arial"/>
                <w:color w:val="000000"/>
                <w:sz w:val="22"/>
                <w:szCs w:val="22"/>
              </w:rPr>
              <w:t>Visitable dwellings</w:t>
            </w:r>
          </w:p>
        </w:tc>
        <w:tc>
          <w:tcPr>
            <w:tcW w:w="2469" w:type="pct"/>
            <w:shd w:val="clear" w:color="auto" w:fill="auto"/>
            <w:noWrap/>
            <w:vAlign w:val="center"/>
          </w:tcPr>
          <w:p w14:paraId="7031FFAA" w14:textId="77777777" w:rsidR="00CE1BDB" w:rsidRPr="00FA4DC7" w:rsidRDefault="00CE1BDB" w:rsidP="00EF49A7">
            <w:pPr>
              <w:rPr>
                <w:rFonts w:cs="Arial"/>
                <w:color w:val="000000"/>
                <w:sz w:val="22"/>
                <w:szCs w:val="22"/>
              </w:rPr>
            </w:pPr>
            <w:r w:rsidRPr="00FA4DC7">
              <w:rPr>
                <w:rFonts w:cs="Arial"/>
                <w:color w:val="000000"/>
                <w:sz w:val="22"/>
                <w:szCs w:val="22"/>
              </w:rPr>
              <w:t>Level access not necessarily provided into the dwellings – few accessibility features</w:t>
            </w:r>
          </w:p>
        </w:tc>
        <w:tc>
          <w:tcPr>
            <w:tcW w:w="757" w:type="pct"/>
            <w:shd w:val="clear" w:color="auto" w:fill="auto"/>
            <w:noWrap/>
            <w:vAlign w:val="center"/>
          </w:tcPr>
          <w:p w14:paraId="492A0D00" w14:textId="77777777" w:rsidR="00CE1BDB" w:rsidRPr="00FA4DC7" w:rsidRDefault="00CE1BDB" w:rsidP="00EF49A7">
            <w:pPr>
              <w:jc w:val="center"/>
              <w:rPr>
                <w:rFonts w:cs="Arial"/>
                <w:color w:val="000000"/>
                <w:sz w:val="22"/>
                <w:szCs w:val="22"/>
              </w:rPr>
            </w:pPr>
            <w:r w:rsidRPr="00FA4DC7">
              <w:rPr>
                <w:rFonts w:cs="Arial"/>
                <w:color w:val="000000"/>
                <w:sz w:val="22"/>
                <w:szCs w:val="22"/>
              </w:rPr>
              <w:t>Mandatory</w:t>
            </w:r>
          </w:p>
        </w:tc>
      </w:tr>
      <w:tr w:rsidR="00CE1BDB" w:rsidRPr="00FA4DC7" w14:paraId="4B6701AA" w14:textId="77777777" w:rsidTr="00EF49A7">
        <w:tc>
          <w:tcPr>
            <w:tcW w:w="692" w:type="pct"/>
            <w:shd w:val="clear" w:color="auto" w:fill="auto"/>
            <w:noWrap/>
            <w:vAlign w:val="center"/>
            <w:hideMark/>
          </w:tcPr>
          <w:p w14:paraId="08408D0E" w14:textId="77777777" w:rsidR="00CE1BDB" w:rsidRPr="00FA4DC7" w:rsidRDefault="00CE1BDB" w:rsidP="00EF49A7">
            <w:pPr>
              <w:rPr>
                <w:rFonts w:cs="Arial"/>
                <w:color w:val="000000"/>
                <w:sz w:val="22"/>
                <w:szCs w:val="22"/>
              </w:rPr>
            </w:pPr>
            <w:r w:rsidRPr="00FA4DC7">
              <w:rPr>
                <w:rFonts w:cs="Arial"/>
                <w:color w:val="000000"/>
                <w:sz w:val="22"/>
                <w:szCs w:val="22"/>
              </w:rPr>
              <w:t>M4(2)</w:t>
            </w:r>
          </w:p>
        </w:tc>
        <w:tc>
          <w:tcPr>
            <w:tcW w:w="1082" w:type="pct"/>
            <w:shd w:val="clear" w:color="auto" w:fill="auto"/>
            <w:noWrap/>
            <w:vAlign w:val="center"/>
            <w:hideMark/>
          </w:tcPr>
          <w:p w14:paraId="2F701526" w14:textId="77777777" w:rsidR="00CE1BDB" w:rsidRPr="00FA4DC7" w:rsidRDefault="00CE1BDB" w:rsidP="00EF49A7">
            <w:pPr>
              <w:rPr>
                <w:rFonts w:cs="Arial"/>
                <w:color w:val="000000"/>
                <w:sz w:val="22"/>
                <w:szCs w:val="22"/>
              </w:rPr>
            </w:pPr>
            <w:r w:rsidRPr="00FA4DC7">
              <w:rPr>
                <w:rFonts w:cs="Arial"/>
                <w:color w:val="000000"/>
                <w:sz w:val="22"/>
                <w:szCs w:val="22"/>
              </w:rPr>
              <w:t>Accessible and adaptable dwellings</w:t>
            </w:r>
          </w:p>
        </w:tc>
        <w:tc>
          <w:tcPr>
            <w:tcW w:w="2469" w:type="pct"/>
            <w:shd w:val="clear" w:color="auto" w:fill="auto"/>
            <w:noWrap/>
            <w:vAlign w:val="center"/>
          </w:tcPr>
          <w:p w14:paraId="79E81C15" w14:textId="77777777" w:rsidR="00CE1BDB" w:rsidRPr="00FA4DC7" w:rsidRDefault="00CE1BDB" w:rsidP="00EF49A7">
            <w:pPr>
              <w:rPr>
                <w:rFonts w:cs="Arial"/>
                <w:color w:val="000000"/>
                <w:sz w:val="22"/>
                <w:szCs w:val="22"/>
              </w:rPr>
            </w:pPr>
            <w:r w:rsidRPr="00FA4DC7">
              <w:rPr>
                <w:rFonts w:cs="Arial"/>
                <w:color w:val="000000"/>
                <w:sz w:val="22"/>
                <w:szCs w:val="22"/>
              </w:rPr>
              <w:t>Level access is provided into the dwelling – easy to adapt to make more accessible – not suitable for most wheelchair users</w:t>
            </w:r>
          </w:p>
        </w:tc>
        <w:tc>
          <w:tcPr>
            <w:tcW w:w="757" w:type="pct"/>
            <w:shd w:val="clear" w:color="auto" w:fill="auto"/>
            <w:noWrap/>
            <w:vAlign w:val="center"/>
          </w:tcPr>
          <w:p w14:paraId="588A4431" w14:textId="77777777" w:rsidR="00CE1BDB" w:rsidRPr="00FA4DC7" w:rsidRDefault="00CE1BDB" w:rsidP="00EF49A7">
            <w:pPr>
              <w:jc w:val="center"/>
              <w:rPr>
                <w:rFonts w:cs="Arial"/>
                <w:color w:val="000000"/>
                <w:sz w:val="22"/>
                <w:szCs w:val="22"/>
              </w:rPr>
            </w:pPr>
            <w:r w:rsidRPr="00FA4DC7">
              <w:rPr>
                <w:rFonts w:cs="Arial"/>
                <w:color w:val="000000"/>
                <w:sz w:val="22"/>
                <w:szCs w:val="22"/>
              </w:rPr>
              <w:t>Optional</w:t>
            </w:r>
          </w:p>
        </w:tc>
      </w:tr>
      <w:tr w:rsidR="00CE1BDB" w:rsidRPr="00FA4DC7" w14:paraId="3B20BCEB" w14:textId="77777777" w:rsidTr="00EF49A7">
        <w:tc>
          <w:tcPr>
            <w:tcW w:w="692" w:type="pct"/>
            <w:shd w:val="clear" w:color="auto" w:fill="auto"/>
            <w:noWrap/>
            <w:vAlign w:val="center"/>
            <w:hideMark/>
          </w:tcPr>
          <w:p w14:paraId="49B7A5E2" w14:textId="77777777" w:rsidR="00CE1BDB" w:rsidRPr="00FA4DC7" w:rsidRDefault="00CE1BDB" w:rsidP="00EF49A7">
            <w:pPr>
              <w:rPr>
                <w:rFonts w:cs="Arial"/>
                <w:color w:val="000000"/>
                <w:sz w:val="22"/>
                <w:szCs w:val="22"/>
              </w:rPr>
            </w:pPr>
            <w:r w:rsidRPr="00FA4DC7">
              <w:rPr>
                <w:rFonts w:cs="Arial"/>
                <w:color w:val="000000"/>
                <w:sz w:val="22"/>
                <w:szCs w:val="22"/>
              </w:rPr>
              <w:t>M4(3)</w:t>
            </w:r>
          </w:p>
        </w:tc>
        <w:tc>
          <w:tcPr>
            <w:tcW w:w="1082" w:type="pct"/>
            <w:shd w:val="clear" w:color="auto" w:fill="auto"/>
            <w:noWrap/>
            <w:vAlign w:val="center"/>
            <w:hideMark/>
          </w:tcPr>
          <w:p w14:paraId="2563A1C0" w14:textId="77777777" w:rsidR="00CE1BDB" w:rsidRPr="00FA4DC7" w:rsidRDefault="00CE1BDB" w:rsidP="00EF49A7">
            <w:pPr>
              <w:rPr>
                <w:rFonts w:cs="Arial"/>
                <w:color w:val="000000"/>
                <w:sz w:val="22"/>
                <w:szCs w:val="22"/>
              </w:rPr>
            </w:pPr>
            <w:r w:rsidRPr="00FA4DC7">
              <w:rPr>
                <w:rFonts w:cs="Arial"/>
                <w:color w:val="000000"/>
                <w:sz w:val="22"/>
                <w:szCs w:val="22"/>
              </w:rPr>
              <w:t>Wheelchair user dwellings</w:t>
            </w:r>
          </w:p>
        </w:tc>
        <w:tc>
          <w:tcPr>
            <w:tcW w:w="2469" w:type="pct"/>
            <w:shd w:val="clear" w:color="auto" w:fill="auto"/>
            <w:noWrap/>
            <w:vAlign w:val="center"/>
          </w:tcPr>
          <w:p w14:paraId="7A4103A2" w14:textId="77777777" w:rsidR="00CE1BDB" w:rsidRPr="00FA4DC7" w:rsidRDefault="00CE1BDB" w:rsidP="00EF49A7">
            <w:pPr>
              <w:rPr>
                <w:rFonts w:cs="Arial"/>
                <w:color w:val="000000"/>
                <w:sz w:val="22"/>
                <w:szCs w:val="22"/>
              </w:rPr>
            </w:pPr>
            <w:r w:rsidRPr="00FA4DC7">
              <w:rPr>
                <w:rFonts w:cs="Arial"/>
                <w:color w:val="000000"/>
                <w:sz w:val="22"/>
                <w:szCs w:val="22"/>
              </w:rPr>
              <w:t>Dwellings suitable for wheelchair users: either wheelchair adaptable (a) or wheelchair accessible (b)</w:t>
            </w:r>
          </w:p>
        </w:tc>
        <w:tc>
          <w:tcPr>
            <w:tcW w:w="757" w:type="pct"/>
            <w:shd w:val="clear" w:color="auto" w:fill="auto"/>
            <w:noWrap/>
            <w:vAlign w:val="center"/>
          </w:tcPr>
          <w:p w14:paraId="2B356998" w14:textId="77777777" w:rsidR="00CE1BDB" w:rsidRPr="00FA4DC7" w:rsidRDefault="00CE1BDB" w:rsidP="00EF49A7">
            <w:pPr>
              <w:jc w:val="center"/>
              <w:rPr>
                <w:rFonts w:cs="Arial"/>
                <w:color w:val="000000"/>
                <w:sz w:val="22"/>
                <w:szCs w:val="22"/>
              </w:rPr>
            </w:pPr>
            <w:r w:rsidRPr="00FA4DC7">
              <w:rPr>
                <w:rFonts w:cs="Arial"/>
                <w:color w:val="000000"/>
                <w:sz w:val="22"/>
                <w:szCs w:val="22"/>
              </w:rPr>
              <w:t>Optional</w:t>
            </w:r>
          </w:p>
        </w:tc>
      </w:tr>
    </w:tbl>
    <w:p w14:paraId="71FC4EE5" w14:textId="77777777" w:rsidR="00CE1BDB" w:rsidRPr="00FA4DC7" w:rsidRDefault="00CE1BDB" w:rsidP="00CE1BDB">
      <w:pPr>
        <w:pStyle w:val="Reporttext"/>
        <w:numPr>
          <w:ilvl w:val="0"/>
          <w:numId w:val="0"/>
        </w:numPr>
        <w:ind w:left="1418"/>
        <w:rPr>
          <w:rFonts w:cs="Arial"/>
          <w:highlight w:val="yellow"/>
        </w:rPr>
      </w:pPr>
    </w:p>
    <w:p w14:paraId="776BAAFD" w14:textId="77777777" w:rsidR="00CE1BDB" w:rsidRPr="00FA4DC7" w:rsidRDefault="00CE1BDB" w:rsidP="00CE1BDB">
      <w:pPr>
        <w:pStyle w:val="Reporttext"/>
        <w:rPr>
          <w:rFonts w:cs="Arial"/>
        </w:rPr>
      </w:pPr>
      <w:r w:rsidRPr="00FA4DC7">
        <w:rPr>
          <w:rFonts w:cs="Arial"/>
        </w:rPr>
        <w:t>It should be noted that Part M of the Building Regulations sets a distinction between wheelchair accessible (a home readily useable by a wheelchair user at the point of completion) and wheelchair adaptable (a home that can be easily adapted to meet the needs of a household including wheelchair users) dwellings (source: PPG Paragraph: 009 Reference ID: 56-009-20150327).</w:t>
      </w:r>
    </w:p>
    <w:p w14:paraId="788B993A" w14:textId="77777777" w:rsidR="00CE1BDB" w:rsidRPr="00FA4DC7" w:rsidRDefault="00CE1BDB" w:rsidP="00CE1BDB">
      <w:pPr>
        <w:pStyle w:val="Reporttext"/>
        <w:rPr>
          <w:rFonts w:cs="Arial"/>
        </w:rPr>
      </w:pPr>
      <w:r w:rsidRPr="00FA4DC7">
        <w:rPr>
          <w:rFonts w:cs="Arial"/>
        </w:rPr>
        <w:t xml:space="preserve">In order to establish an appropriate target for M4(3) dwellings, Table 5.15 sets out a series of assumptions regarding wheelchair use from the English Housing Survey and a report by Aspire Housing Association. Applying these assumptions would suggest a target of around 5% of newbuild to meet M4(3) wheelchair accessible standard is required. </w:t>
      </w:r>
    </w:p>
    <w:p w14:paraId="1E8246E0" w14:textId="77777777" w:rsidR="00CE1BDB" w:rsidRPr="00FA4DC7" w:rsidRDefault="00CE1BDB" w:rsidP="00CE1BDB">
      <w:pPr>
        <w:pStyle w:val="Reporttext"/>
        <w:rPr>
          <w:rFonts w:cs="Arial"/>
          <w:lang w:val="en-US"/>
        </w:rPr>
      </w:pPr>
      <w:r w:rsidRPr="00FA4DC7">
        <w:rPr>
          <w:rFonts w:cs="Arial"/>
        </w:rPr>
        <w:t>According</w:t>
      </w:r>
      <w:r w:rsidRPr="00FA4DC7">
        <w:rPr>
          <w:rFonts w:cs="Arial"/>
          <w:lang w:val="en-US"/>
        </w:rPr>
        <w:t xml:space="preserve"> to PPG (source</w:t>
      </w:r>
      <w:r w:rsidRPr="00FA4DC7">
        <w:rPr>
          <w:rFonts w:cs="Arial"/>
        </w:rPr>
        <w:t>: PPG Paragraph: 009 Reference ID: 56-009-20150327)</w:t>
      </w:r>
      <w:r w:rsidRPr="00FA4DC7">
        <w:rPr>
          <w:rFonts w:cs="Arial"/>
          <w:lang w:val="en-US"/>
        </w:rPr>
        <w:t>, ‘</w:t>
      </w:r>
      <w:r w:rsidRPr="00FA4DC7">
        <w:rPr>
          <w:rFonts w:cs="Arial"/>
        </w:rPr>
        <w:t xml:space="preserve">Local Plan policies for wheelchair accessible homes should be applied only to those dwellings where the local authority is responsible for allocating or nominating a person to live in that dwelling.’ </w:t>
      </w:r>
      <w:r w:rsidRPr="00FA4DC7">
        <w:rPr>
          <w:rFonts w:cs="Arial"/>
          <w:lang w:val="en-US"/>
        </w:rPr>
        <w:t xml:space="preserve">This would imply that the onus on wheelchair accessible housing delivery is with the local authority/registered providers, but private developers should also be encouraged to build to M4(3) wheelchair accessible or adaptable homes where appropriate. Any final targets should be set within the context of likely levels of delivery.  </w:t>
      </w:r>
    </w:p>
    <w:p w14:paraId="06E5BC25" w14:textId="77777777" w:rsidR="00CE1BDB" w:rsidRPr="00180669" w:rsidRDefault="00CE1BDB" w:rsidP="00CE1BDB">
      <w:pPr>
        <w:rPr>
          <w:rFonts w:cs="Arial"/>
          <w:sz w:val="12"/>
          <w:szCs w:val="12"/>
          <w:highlight w:val="yellow"/>
          <w:lang w:eastAsia="en-US"/>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34"/>
        <w:gridCol w:w="1488"/>
        <w:gridCol w:w="2258"/>
      </w:tblGrid>
      <w:tr w:rsidR="00CE1BDB" w:rsidRPr="00FA4DC7" w14:paraId="71FA367A" w14:textId="77777777" w:rsidTr="00180669">
        <w:tc>
          <w:tcPr>
            <w:tcW w:w="5000" w:type="pct"/>
            <w:gridSpan w:val="3"/>
            <w:shd w:val="clear" w:color="auto" w:fill="006666"/>
          </w:tcPr>
          <w:p w14:paraId="366F96D5" w14:textId="77777777" w:rsidR="00CE1BDB" w:rsidRPr="00FA4DC7" w:rsidRDefault="00CE1BDB" w:rsidP="00EF49A7">
            <w:pPr>
              <w:pStyle w:val="Tableheading1"/>
              <w:rPr>
                <w:rFonts w:cs="Arial"/>
                <w:lang w:val="en-US"/>
              </w:rPr>
            </w:pPr>
            <w:bookmarkStart w:id="408" w:name="_Toc83036116"/>
            <w:r w:rsidRPr="00FA4DC7">
              <w:rPr>
                <w:rFonts w:cs="Arial"/>
                <w:lang w:val="en-US"/>
              </w:rPr>
              <w:t>Table 5.15</w:t>
            </w:r>
            <w:r w:rsidRPr="00FA4DC7">
              <w:rPr>
                <w:rFonts w:cs="Arial"/>
              </w:rPr>
              <w:tab/>
              <w:t>Wheelchair use assumptions and resulting annual need</w:t>
            </w:r>
            <w:bookmarkEnd w:id="408"/>
          </w:p>
        </w:tc>
      </w:tr>
      <w:tr w:rsidR="00CE1BDB" w:rsidRPr="00FA4DC7" w14:paraId="3AE1B2B0" w14:textId="77777777" w:rsidTr="00180669">
        <w:tc>
          <w:tcPr>
            <w:tcW w:w="2990" w:type="pct"/>
            <w:shd w:val="clear" w:color="auto" w:fill="006666"/>
            <w:vAlign w:val="bottom"/>
          </w:tcPr>
          <w:p w14:paraId="2708E301" w14:textId="77777777" w:rsidR="00CE1BDB" w:rsidRPr="00FA4DC7" w:rsidRDefault="00CE1BDB" w:rsidP="00EF49A7">
            <w:pPr>
              <w:spacing w:before="20" w:after="20"/>
              <w:rPr>
                <w:rFonts w:cs="Arial"/>
                <w:b/>
                <w:bCs/>
                <w:color w:val="FFFFFF" w:themeColor="background1"/>
                <w:sz w:val="22"/>
                <w:szCs w:val="22"/>
                <w:lang w:val="en-US"/>
              </w:rPr>
            </w:pPr>
            <w:r w:rsidRPr="00FA4DC7">
              <w:rPr>
                <w:rFonts w:cs="Arial"/>
                <w:b/>
                <w:bCs/>
                <w:color w:val="FFFFFF" w:themeColor="background1"/>
                <w:sz w:val="22"/>
                <w:szCs w:val="22"/>
                <w:lang w:val="en-US"/>
              </w:rPr>
              <w:t>Assumption</w:t>
            </w:r>
          </w:p>
        </w:tc>
        <w:tc>
          <w:tcPr>
            <w:tcW w:w="750" w:type="pct"/>
            <w:shd w:val="clear" w:color="auto" w:fill="006666"/>
            <w:vAlign w:val="bottom"/>
          </w:tcPr>
          <w:p w14:paraId="1AF95A6F" w14:textId="77777777" w:rsidR="00CE1BDB" w:rsidRPr="00FA4DC7" w:rsidRDefault="00CE1BDB" w:rsidP="00EF49A7">
            <w:pPr>
              <w:spacing w:before="20" w:after="20"/>
              <w:jc w:val="center"/>
              <w:rPr>
                <w:rFonts w:cs="Arial"/>
                <w:b/>
                <w:bCs/>
                <w:color w:val="FFFFFF" w:themeColor="background1"/>
                <w:sz w:val="22"/>
                <w:szCs w:val="22"/>
                <w:lang w:val="en-US"/>
              </w:rPr>
            </w:pPr>
            <w:r w:rsidRPr="00FA4DC7">
              <w:rPr>
                <w:rFonts w:cs="Arial"/>
                <w:b/>
                <w:bCs/>
                <w:color w:val="FFFFFF" w:themeColor="background1"/>
                <w:sz w:val="22"/>
                <w:szCs w:val="22"/>
                <w:lang w:val="en-US"/>
              </w:rPr>
              <w:t xml:space="preserve">% </w:t>
            </w:r>
            <w:proofErr w:type="gramStart"/>
            <w:r w:rsidRPr="00FA4DC7">
              <w:rPr>
                <w:rFonts w:cs="Arial"/>
                <w:b/>
                <w:bCs/>
                <w:color w:val="FFFFFF" w:themeColor="background1"/>
                <w:sz w:val="22"/>
                <w:szCs w:val="22"/>
                <w:lang w:val="en-US"/>
              </w:rPr>
              <w:t>requirement</w:t>
            </w:r>
            <w:proofErr w:type="gramEnd"/>
          </w:p>
        </w:tc>
        <w:tc>
          <w:tcPr>
            <w:tcW w:w="1260" w:type="pct"/>
            <w:shd w:val="clear" w:color="auto" w:fill="006666"/>
            <w:vAlign w:val="bottom"/>
          </w:tcPr>
          <w:p w14:paraId="6B0F0939" w14:textId="77777777" w:rsidR="00CE1BDB" w:rsidRPr="00FA4DC7" w:rsidRDefault="00CE1BDB" w:rsidP="00EF49A7">
            <w:pPr>
              <w:spacing w:before="20" w:after="20"/>
              <w:jc w:val="center"/>
              <w:rPr>
                <w:rFonts w:cs="Arial"/>
                <w:b/>
                <w:bCs/>
                <w:color w:val="FFFFFF" w:themeColor="background1"/>
                <w:sz w:val="22"/>
                <w:szCs w:val="22"/>
                <w:lang w:val="en-US"/>
              </w:rPr>
            </w:pPr>
            <w:r w:rsidRPr="00FA4DC7">
              <w:rPr>
                <w:rFonts w:cs="Arial"/>
                <w:b/>
                <w:bCs/>
                <w:color w:val="FFFFFF" w:themeColor="background1"/>
                <w:sz w:val="22"/>
                <w:szCs w:val="22"/>
                <w:lang w:val="en-US"/>
              </w:rPr>
              <w:t>Number each year (based on net annual target of 1,586 new dwellings)</w:t>
            </w:r>
          </w:p>
        </w:tc>
      </w:tr>
      <w:tr w:rsidR="00CE1BDB" w:rsidRPr="00FA4DC7" w14:paraId="413A014A" w14:textId="77777777" w:rsidTr="00180669">
        <w:tc>
          <w:tcPr>
            <w:tcW w:w="2990" w:type="pct"/>
          </w:tcPr>
          <w:p w14:paraId="7F90E1D3" w14:textId="77777777" w:rsidR="00CE1BDB" w:rsidRPr="00FA4DC7" w:rsidRDefault="00CE1BDB" w:rsidP="00EF49A7">
            <w:pPr>
              <w:spacing w:before="20" w:after="20"/>
              <w:rPr>
                <w:rFonts w:cs="Arial"/>
                <w:sz w:val="22"/>
                <w:szCs w:val="22"/>
                <w:lang w:val="en-US"/>
              </w:rPr>
            </w:pPr>
            <w:r w:rsidRPr="00FA4DC7">
              <w:rPr>
                <w:rFonts w:cs="Arial"/>
                <w:sz w:val="22"/>
                <w:szCs w:val="22"/>
                <w:lang w:val="en-US"/>
              </w:rPr>
              <w:t>Wheelchair use from the English Housing Survey 2018/19 – households using wheelchair all the time</w:t>
            </w:r>
          </w:p>
        </w:tc>
        <w:tc>
          <w:tcPr>
            <w:tcW w:w="750" w:type="pct"/>
            <w:vAlign w:val="center"/>
          </w:tcPr>
          <w:p w14:paraId="74345E53"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0.6%</w:t>
            </w:r>
          </w:p>
        </w:tc>
        <w:tc>
          <w:tcPr>
            <w:tcW w:w="1260" w:type="pct"/>
            <w:vAlign w:val="center"/>
          </w:tcPr>
          <w:p w14:paraId="18138DF7"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10</w:t>
            </w:r>
          </w:p>
        </w:tc>
      </w:tr>
      <w:tr w:rsidR="00CE1BDB" w:rsidRPr="00FA4DC7" w14:paraId="30A68D1A" w14:textId="77777777" w:rsidTr="00180669">
        <w:tc>
          <w:tcPr>
            <w:tcW w:w="2990" w:type="pct"/>
          </w:tcPr>
          <w:p w14:paraId="69505570" w14:textId="77777777" w:rsidR="00CE1BDB" w:rsidRPr="00FA4DC7" w:rsidRDefault="00CE1BDB" w:rsidP="00EF49A7">
            <w:pPr>
              <w:spacing w:before="20" w:after="20"/>
              <w:rPr>
                <w:rFonts w:cs="Arial"/>
                <w:sz w:val="22"/>
                <w:szCs w:val="22"/>
                <w:lang w:val="en-US"/>
              </w:rPr>
            </w:pPr>
            <w:r w:rsidRPr="00FA4DC7">
              <w:rPr>
                <w:rFonts w:cs="Arial"/>
                <w:sz w:val="22"/>
                <w:szCs w:val="22"/>
                <w:lang w:val="en-US"/>
              </w:rPr>
              <w:t xml:space="preserve">Wheelchair use from the English Housing Survey 2018/19 – households using wheelchair either indoors or outdoors </w:t>
            </w:r>
          </w:p>
        </w:tc>
        <w:tc>
          <w:tcPr>
            <w:tcW w:w="750" w:type="pct"/>
            <w:vAlign w:val="center"/>
          </w:tcPr>
          <w:p w14:paraId="49EA968F"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3.0%</w:t>
            </w:r>
          </w:p>
        </w:tc>
        <w:tc>
          <w:tcPr>
            <w:tcW w:w="1260" w:type="pct"/>
            <w:vAlign w:val="center"/>
          </w:tcPr>
          <w:p w14:paraId="479EC2DE"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48</w:t>
            </w:r>
          </w:p>
        </w:tc>
      </w:tr>
      <w:tr w:rsidR="00CE1BDB" w:rsidRPr="00FA4DC7" w14:paraId="7651431F" w14:textId="77777777" w:rsidTr="00180669">
        <w:tc>
          <w:tcPr>
            <w:tcW w:w="2990" w:type="pct"/>
          </w:tcPr>
          <w:p w14:paraId="007FD8BE" w14:textId="77777777" w:rsidR="00CE1BDB" w:rsidRPr="00FA4DC7" w:rsidRDefault="00CE1BDB" w:rsidP="00EF49A7">
            <w:pPr>
              <w:spacing w:before="20" w:after="20"/>
              <w:rPr>
                <w:rFonts w:cs="Arial"/>
                <w:sz w:val="22"/>
                <w:szCs w:val="22"/>
                <w:lang w:val="en-US"/>
              </w:rPr>
            </w:pPr>
            <w:r w:rsidRPr="00FA4DC7">
              <w:rPr>
                <w:rFonts w:cs="Arial"/>
                <w:sz w:val="22"/>
                <w:szCs w:val="22"/>
                <w:lang w:val="en-US"/>
              </w:rPr>
              <w:t xml:space="preserve">Aspire report on wheelchair accessible housing </w:t>
            </w:r>
            <w:r w:rsidRPr="00FA4DC7">
              <w:rPr>
                <w:rFonts w:cs="Arial"/>
                <w:b/>
                <w:bCs/>
                <w:sz w:val="22"/>
                <w:szCs w:val="22"/>
                <w:lang w:val="en-US"/>
              </w:rPr>
              <w:t>(*)</w:t>
            </w:r>
          </w:p>
        </w:tc>
        <w:tc>
          <w:tcPr>
            <w:tcW w:w="750" w:type="pct"/>
            <w:vAlign w:val="center"/>
          </w:tcPr>
          <w:p w14:paraId="43AAB0A3"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10%</w:t>
            </w:r>
          </w:p>
        </w:tc>
        <w:tc>
          <w:tcPr>
            <w:tcW w:w="1260" w:type="pct"/>
            <w:vAlign w:val="center"/>
          </w:tcPr>
          <w:p w14:paraId="06473F3A"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159</w:t>
            </w:r>
          </w:p>
        </w:tc>
      </w:tr>
      <w:tr w:rsidR="00CE1BDB" w:rsidRPr="00FA4DC7" w14:paraId="2B2DD344" w14:textId="77777777" w:rsidTr="00180669">
        <w:tc>
          <w:tcPr>
            <w:tcW w:w="2990" w:type="pct"/>
          </w:tcPr>
          <w:p w14:paraId="2688FF2A" w14:textId="77777777" w:rsidR="00CE1BDB" w:rsidRPr="00FA4DC7" w:rsidRDefault="00CE1BDB" w:rsidP="00EF49A7">
            <w:pPr>
              <w:spacing w:before="20" w:after="20"/>
              <w:rPr>
                <w:rFonts w:cs="Arial"/>
                <w:sz w:val="22"/>
                <w:szCs w:val="22"/>
                <w:lang w:val="en-US"/>
              </w:rPr>
            </w:pPr>
            <w:r w:rsidRPr="00FA4DC7">
              <w:rPr>
                <w:rFonts w:cs="Arial"/>
                <w:sz w:val="22"/>
                <w:szCs w:val="22"/>
                <w:lang w:val="en-US"/>
              </w:rPr>
              <w:t>Average of indicators</w:t>
            </w:r>
          </w:p>
        </w:tc>
        <w:tc>
          <w:tcPr>
            <w:tcW w:w="750" w:type="pct"/>
            <w:vAlign w:val="center"/>
          </w:tcPr>
          <w:p w14:paraId="70B1AE52"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5%</w:t>
            </w:r>
          </w:p>
        </w:tc>
        <w:tc>
          <w:tcPr>
            <w:tcW w:w="1260" w:type="pct"/>
            <w:vAlign w:val="center"/>
          </w:tcPr>
          <w:p w14:paraId="6B79653D" w14:textId="77777777" w:rsidR="00CE1BDB" w:rsidRPr="00FA4DC7" w:rsidRDefault="00CE1BDB" w:rsidP="00EF49A7">
            <w:pPr>
              <w:spacing w:before="20" w:after="20"/>
              <w:jc w:val="right"/>
              <w:rPr>
                <w:rFonts w:cs="Arial"/>
                <w:sz w:val="22"/>
                <w:szCs w:val="22"/>
                <w:lang w:val="en-US"/>
              </w:rPr>
            </w:pPr>
            <w:r w:rsidRPr="00FA4DC7">
              <w:rPr>
                <w:rFonts w:cs="Arial"/>
                <w:sz w:val="22"/>
                <w:szCs w:val="22"/>
                <w:lang w:val="en-US"/>
              </w:rPr>
              <w:t>79</w:t>
            </w:r>
          </w:p>
        </w:tc>
      </w:tr>
    </w:tbl>
    <w:p w14:paraId="180EA628" w14:textId="77777777" w:rsidR="00CE1BDB" w:rsidRPr="00FA4DC7" w:rsidRDefault="00CE1BDB" w:rsidP="00CE1BDB">
      <w:pPr>
        <w:pStyle w:val="Reporttext"/>
        <w:numPr>
          <w:ilvl w:val="0"/>
          <w:numId w:val="0"/>
        </w:numPr>
        <w:rPr>
          <w:rFonts w:cs="Arial"/>
          <w:sz w:val="20"/>
          <w:szCs w:val="12"/>
        </w:rPr>
      </w:pPr>
      <w:r w:rsidRPr="00FA4DC7">
        <w:rPr>
          <w:rFonts w:cs="Arial"/>
          <w:b/>
          <w:bCs/>
          <w:szCs w:val="16"/>
        </w:rPr>
        <w:t>(*)</w:t>
      </w:r>
      <w:r w:rsidRPr="00FA4DC7">
        <w:rPr>
          <w:rFonts w:cs="Arial"/>
          <w:szCs w:val="16"/>
        </w:rPr>
        <w:tab/>
      </w:r>
      <w:r w:rsidRPr="00FA4DC7">
        <w:rPr>
          <w:rFonts w:cs="Arial"/>
          <w:sz w:val="20"/>
          <w:szCs w:val="12"/>
        </w:rPr>
        <w:t>Wheelchair Accessible Housing: Waiting for appropriate housing in England, Aspire October 2014 recommends that the national government should set a minimum requirement of 10% of all new build properties across all tenures to be wheelchair accessible.</w:t>
      </w:r>
    </w:p>
    <w:p w14:paraId="4657B2A1" w14:textId="77777777" w:rsidR="00CE1BDB" w:rsidRPr="00FA4DC7" w:rsidRDefault="00CE1BDB" w:rsidP="00CE1BDB">
      <w:pPr>
        <w:pStyle w:val="Reporttext"/>
        <w:rPr>
          <w:rFonts w:cs="Arial"/>
          <w:color w:val="000000" w:themeColor="text1"/>
        </w:rPr>
      </w:pPr>
      <w:r w:rsidRPr="00FA4DC7">
        <w:rPr>
          <w:rFonts w:cs="Arial"/>
        </w:rPr>
        <w:lastRenderedPageBreak/>
        <w:t>Given</w:t>
      </w:r>
      <w:r w:rsidRPr="00FA4DC7">
        <w:rPr>
          <w:rFonts w:cs="Arial"/>
          <w:shd w:val="clear" w:color="auto" w:fill="FFFFFF"/>
        </w:rPr>
        <w:t xml:space="preserve"> the ageing demographic of Medway and the identified levels of disability </w:t>
      </w:r>
      <w:r w:rsidRPr="00FA4DC7">
        <w:rPr>
          <w:rFonts w:cs="Arial"/>
        </w:rPr>
        <w:t>amongst</w:t>
      </w:r>
      <w:r w:rsidRPr="00FA4DC7">
        <w:rPr>
          <w:rFonts w:cs="Arial"/>
          <w:shd w:val="clear" w:color="auto" w:fill="FFFFFF"/>
        </w:rPr>
        <w:t xml:space="preserve"> the population, it is recommended that a policy to provide new homes built to accessibility standards is included in the Local Plan. On the basis of available evidence which </w:t>
      </w:r>
      <w:proofErr w:type="gramStart"/>
      <w:r w:rsidRPr="00FA4DC7">
        <w:rPr>
          <w:rFonts w:cs="Arial"/>
          <w:shd w:val="clear" w:color="auto" w:fill="FFFFFF"/>
        </w:rPr>
        <w:t>takes into account</w:t>
      </w:r>
      <w:proofErr w:type="gramEnd"/>
      <w:r w:rsidRPr="00FA4DC7">
        <w:rPr>
          <w:rFonts w:cs="Arial"/>
          <w:shd w:val="clear" w:color="auto" w:fill="FFFFFF"/>
        </w:rPr>
        <w:t xml:space="preserve"> the requirements of PPG, it is recommended that:</w:t>
      </w:r>
    </w:p>
    <w:p w14:paraId="2D6CAC7F" w14:textId="77777777" w:rsidR="00CE1BDB" w:rsidRPr="00FA4DC7" w:rsidRDefault="00CE1BDB" w:rsidP="00CE1BDB">
      <w:pPr>
        <w:pStyle w:val="bullet"/>
        <w:rPr>
          <w:rFonts w:cs="Arial"/>
          <w:color w:val="000000" w:themeColor="text1"/>
        </w:rPr>
      </w:pPr>
      <w:r w:rsidRPr="00FA4DC7">
        <w:rPr>
          <w:rFonts w:cs="Arial"/>
        </w:rPr>
        <w:t>5%</w:t>
      </w:r>
      <w:r w:rsidRPr="00FA4DC7">
        <w:rPr>
          <w:rFonts w:cs="Arial"/>
          <w:color w:val="000000" w:themeColor="text1"/>
        </w:rPr>
        <w:t xml:space="preserve"> of new dwellings are built to M4(3) wheelchair accessible standard (this would imply an average target of around 79 each year); and</w:t>
      </w:r>
    </w:p>
    <w:p w14:paraId="3D224E17" w14:textId="77777777" w:rsidR="00CE1BDB" w:rsidRPr="00FA4DC7" w:rsidRDefault="00CE1BDB" w:rsidP="00CE1BDB">
      <w:pPr>
        <w:pStyle w:val="bullet"/>
        <w:rPr>
          <w:rFonts w:cs="Arial"/>
          <w:color w:val="000000" w:themeColor="text1"/>
          <w:shd w:val="clear" w:color="auto" w:fill="FFFFFF"/>
        </w:rPr>
      </w:pPr>
      <w:r w:rsidRPr="00FA4DC7">
        <w:rPr>
          <w:rFonts w:cs="Arial"/>
          <w:color w:val="000000" w:themeColor="text1"/>
        </w:rPr>
        <w:t>all remaining new dwellings are built to M4(2) accessible and adaptable standards to take account of the ageing demographics of the borough. This will ensure that new dwellings can be occupied and also visited by people needing accessible/adaptable dwellings.</w:t>
      </w:r>
    </w:p>
    <w:p w14:paraId="681AACE8" w14:textId="77777777" w:rsidR="00CE1BDB" w:rsidRPr="00FA4DC7" w:rsidRDefault="00CE1BDB" w:rsidP="00CE1BDB">
      <w:pPr>
        <w:pStyle w:val="Reporttext"/>
        <w:rPr>
          <w:rFonts w:cs="Arial"/>
          <w:shd w:val="clear" w:color="auto" w:fill="FFFFFF"/>
        </w:rPr>
      </w:pPr>
      <w:r w:rsidRPr="00FA4DC7">
        <w:rPr>
          <w:rFonts w:cs="Arial"/>
        </w:rPr>
        <w:t>It</w:t>
      </w:r>
      <w:r w:rsidRPr="00FA4DC7">
        <w:rPr>
          <w:rFonts w:cs="Arial"/>
          <w:shd w:val="clear" w:color="auto" w:fill="FFFFFF"/>
        </w:rPr>
        <w:t xml:space="preserve"> should be noted however that any percentage requirements for accessible housing are </w:t>
      </w:r>
      <w:r w:rsidRPr="00FA4DC7">
        <w:rPr>
          <w:rFonts w:cs="Arial"/>
        </w:rPr>
        <w:t>subject</w:t>
      </w:r>
      <w:r w:rsidRPr="00FA4DC7">
        <w:rPr>
          <w:rFonts w:cs="Arial"/>
          <w:shd w:val="clear" w:color="auto" w:fill="FFFFFF"/>
        </w:rPr>
        <w:t xml:space="preserve"> to cumulative viability testing. It is also recommended that needs are monitored closely given the ageing population over the plan period. </w:t>
      </w:r>
    </w:p>
    <w:p w14:paraId="62683757" w14:textId="77777777" w:rsidR="00CE1BDB" w:rsidRPr="00FA4DC7" w:rsidRDefault="00CE1BDB" w:rsidP="00CE1BDB">
      <w:pPr>
        <w:pStyle w:val="Reporttext"/>
        <w:numPr>
          <w:ilvl w:val="0"/>
          <w:numId w:val="0"/>
        </w:numPr>
        <w:ind w:left="709"/>
        <w:rPr>
          <w:rFonts w:cs="Arial"/>
          <w:highlight w:val="yellow"/>
          <w:shd w:val="clear" w:color="auto" w:fill="FFFFFF"/>
        </w:rPr>
      </w:pPr>
    </w:p>
    <w:p w14:paraId="531FF67F" w14:textId="77777777" w:rsidR="00CE1BDB" w:rsidRPr="00FA4DC7" w:rsidRDefault="00CE1BDB" w:rsidP="00CE1BDB">
      <w:pPr>
        <w:pStyle w:val="Heading2"/>
        <w:rPr>
          <w:rFonts w:cs="Arial"/>
        </w:rPr>
      </w:pPr>
      <w:bookmarkStart w:id="409" w:name="_Toc83035678"/>
      <w:bookmarkStart w:id="410" w:name="_Toc13046145"/>
      <w:r w:rsidRPr="00FA4DC7">
        <w:rPr>
          <w:rFonts w:cs="Arial"/>
        </w:rPr>
        <w:t>Life experience-related housing need</w:t>
      </w:r>
      <w:bookmarkEnd w:id="409"/>
    </w:p>
    <w:p w14:paraId="0C404393" w14:textId="77777777" w:rsidR="00CE1BDB" w:rsidRPr="00FA4DC7" w:rsidRDefault="00CE1BDB" w:rsidP="00CE1BDB">
      <w:pPr>
        <w:pStyle w:val="Heading3"/>
        <w:rPr>
          <w:rFonts w:cs="Arial"/>
        </w:rPr>
      </w:pPr>
      <w:r w:rsidRPr="00FA4DC7">
        <w:rPr>
          <w:rFonts w:cs="Arial"/>
        </w:rPr>
        <w:t>Armed forces</w:t>
      </w:r>
    </w:p>
    <w:p w14:paraId="186D254A" w14:textId="77777777" w:rsidR="00CE1BDB" w:rsidRPr="00FA4DC7" w:rsidRDefault="00CE1BDB" w:rsidP="00CE1BDB">
      <w:pPr>
        <w:pStyle w:val="Reporttext"/>
        <w:rPr>
          <w:rFonts w:cs="Arial"/>
        </w:rPr>
      </w:pPr>
      <w:r w:rsidRPr="00FA4DC7">
        <w:rPr>
          <w:rFonts w:cs="Arial"/>
        </w:rPr>
        <w:t xml:space="preserve">Medway is a signatory to the Armed Forces Covenant which seeks to provide support in a range of areas including housing to in-service and ex-service personnel. </w:t>
      </w:r>
    </w:p>
    <w:p w14:paraId="6F14D6F2" w14:textId="179120C9" w:rsidR="00CE1BDB" w:rsidRPr="00270657" w:rsidRDefault="00CE1BDB" w:rsidP="00CE1BDB">
      <w:pPr>
        <w:pStyle w:val="Reporttext"/>
        <w:rPr>
          <w:rFonts w:cs="Arial"/>
        </w:rPr>
      </w:pPr>
      <w:r w:rsidRPr="00FA4DC7">
        <w:rPr>
          <w:rFonts w:cs="Arial"/>
        </w:rPr>
        <w:t>The Government’s First Homes policy identifies people connected with the Armed Forces as an eligible group for First Homes.</w:t>
      </w:r>
    </w:p>
    <w:p w14:paraId="0D86F6F5" w14:textId="77777777" w:rsidR="00CE1BDB" w:rsidRPr="00FA4DC7" w:rsidRDefault="00CE1BDB" w:rsidP="00CE1BDB">
      <w:pPr>
        <w:rPr>
          <w:rFonts w:cs="Arial"/>
          <w:highlight w:val="yellow"/>
        </w:rPr>
      </w:pPr>
    </w:p>
    <w:p w14:paraId="0DBCBDFE" w14:textId="77777777" w:rsidR="00CE1BDB" w:rsidRPr="00FA4DC7" w:rsidRDefault="00CE1BDB" w:rsidP="00CE1BDB">
      <w:pPr>
        <w:pStyle w:val="Heading2"/>
        <w:rPr>
          <w:rFonts w:cs="Arial"/>
        </w:rPr>
      </w:pPr>
      <w:bookmarkStart w:id="411" w:name="_Toc83035679"/>
      <w:r w:rsidRPr="00FA4DC7">
        <w:rPr>
          <w:rFonts w:cs="Arial"/>
        </w:rPr>
        <w:t>Cultural heritage related housing need</w:t>
      </w:r>
      <w:bookmarkEnd w:id="411"/>
      <w:r w:rsidRPr="00FA4DC7">
        <w:rPr>
          <w:rFonts w:cs="Arial"/>
        </w:rPr>
        <w:t xml:space="preserve"> </w:t>
      </w:r>
    </w:p>
    <w:p w14:paraId="1CD17A77" w14:textId="77777777" w:rsidR="00CE1BDB" w:rsidRPr="00FA4DC7" w:rsidRDefault="00CE1BDB" w:rsidP="00CE1BDB">
      <w:pPr>
        <w:pStyle w:val="Reporttext"/>
        <w:rPr>
          <w:rFonts w:cs="Arial"/>
        </w:rPr>
      </w:pPr>
      <w:r w:rsidRPr="00FA4DC7">
        <w:rPr>
          <w:rFonts w:cs="Arial"/>
        </w:rPr>
        <w:t>For those from a minority ethnic background there may be cultural heritage or religion related determined needs which impact on the type of accommodation required. This would include the specific needs of particular Black, Asian and Minority ethnic (BAME – households not identifying as ‘White British’) households as well as those from Travelling communities.</w:t>
      </w:r>
    </w:p>
    <w:p w14:paraId="2B53DBC2" w14:textId="77777777" w:rsidR="00CE1BDB" w:rsidRPr="00FA4DC7" w:rsidRDefault="00CE1BDB" w:rsidP="00CE1BDB">
      <w:pPr>
        <w:pStyle w:val="Reporttext"/>
        <w:numPr>
          <w:ilvl w:val="0"/>
          <w:numId w:val="0"/>
        </w:numPr>
        <w:ind w:left="709"/>
        <w:rPr>
          <w:rFonts w:cs="Arial"/>
          <w:sz w:val="22"/>
          <w:szCs w:val="22"/>
          <w:highlight w:val="yellow"/>
        </w:rPr>
      </w:pPr>
    </w:p>
    <w:p w14:paraId="4B22619D" w14:textId="77777777" w:rsidR="00CE1BDB" w:rsidRPr="00FA4DC7" w:rsidRDefault="00CE1BDB" w:rsidP="00CE1BDB">
      <w:pPr>
        <w:pStyle w:val="Heading3"/>
        <w:rPr>
          <w:rFonts w:cs="Arial"/>
        </w:rPr>
      </w:pPr>
      <w:r w:rsidRPr="00FA4DC7">
        <w:rPr>
          <w:rFonts w:cs="Arial"/>
        </w:rPr>
        <w:t>BAME households</w:t>
      </w:r>
    </w:p>
    <w:p w14:paraId="0107B076" w14:textId="35A36E4D" w:rsidR="00CE1BDB" w:rsidRDefault="00CE1BDB" w:rsidP="00CE1BDB">
      <w:pPr>
        <w:pStyle w:val="Reporttext"/>
        <w:rPr>
          <w:rFonts w:cs="Arial"/>
        </w:rPr>
      </w:pPr>
      <w:r w:rsidRPr="00FA4DC7">
        <w:rPr>
          <w:rFonts w:cs="Arial"/>
        </w:rPr>
        <w:t xml:space="preserve">Around 10.4% of households are estimated to have a Household Reference Person from a BAME background. The distribution of BAME households within Medway is shown in Table 5.16. </w:t>
      </w:r>
      <w:proofErr w:type="gramStart"/>
      <w:r w:rsidRPr="00FA4DC7">
        <w:rPr>
          <w:rFonts w:cs="Arial"/>
        </w:rPr>
        <w:t>Most  BAME</w:t>
      </w:r>
      <w:proofErr w:type="gramEnd"/>
      <w:r w:rsidRPr="00FA4DC7">
        <w:rPr>
          <w:rFonts w:cs="Arial"/>
        </w:rPr>
        <w:t xml:space="preserve"> households live in the urban wards of the borough and BAME groups account for over 15% of households in four wards including Chatham Central, Gillingham North, Gillingham South and River. </w:t>
      </w:r>
    </w:p>
    <w:p w14:paraId="338855BC" w14:textId="1D9121C1" w:rsidR="00180669" w:rsidRDefault="00180669">
      <w:pPr>
        <w:rPr>
          <w:lang w:eastAsia="en-US"/>
        </w:rPr>
      </w:pPr>
      <w:r>
        <w:rPr>
          <w:lang w:eastAsia="en-US"/>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4"/>
        <w:gridCol w:w="2857"/>
        <w:gridCol w:w="993"/>
        <w:gridCol w:w="1274"/>
        <w:gridCol w:w="1346"/>
        <w:gridCol w:w="1036"/>
      </w:tblGrid>
      <w:tr w:rsidR="00CE1BDB" w:rsidRPr="00FA4DC7" w14:paraId="42B476A2" w14:textId="77777777" w:rsidTr="00180669">
        <w:tc>
          <w:tcPr>
            <w:tcW w:w="5000" w:type="pct"/>
            <w:gridSpan w:val="6"/>
            <w:shd w:val="clear" w:color="auto" w:fill="006666"/>
            <w:vAlign w:val="center"/>
          </w:tcPr>
          <w:p w14:paraId="1F094BFA" w14:textId="77777777" w:rsidR="00CE1BDB" w:rsidRPr="00FA4DC7" w:rsidRDefault="00CE1BDB" w:rsidP="00EF49A7">
            <w:pPr>
              <w:pStyle w:val="Tableheading1"/>
              <w:rPr>
                <w:rFonts w:cs="Arial"/>
                <w:color w:val="FFFFFF"/>
                <w:szCs w:val="22"/>
              </w:rPr>
            </w:pPr>
            <w:bookmarkStart w:id="412" w:name="_Toc83036117"/>
            <w:r w:rsidRPr="00FA4DC7">
              <w:rPr>
                <w:rFonts w:cs="Arial"/>
                <w:szCs w:val="22"/>
              </w:rPr>
              <w:lastRenderedPageBreak/>
              <w:t>Table 5.16</w:t>
            </w:r>
            <w:r w:rsidRPr="00FA4DC7">
              <w:rPr>
                <w:rFonts w:cs="Arial"/>
                <w:szCs w:val="22"/>
              </w:rPr>
              <w:tab/>
              <w:t>Distribution of BAME households across Medway</w:t>
            </w:r>
            <w:bookmarkEnd w:id="412"/>
          </w:p>
        </w:tc>
      </w:tr>
      <w:tr w:rsidR="00CE1BDB" w:rsidRPr="00FA4DC7" w14:paraId="2ADF9736" w14:textId="77777777" w:rsidTr="0049141B">
        <w:tc>
          <w:tcPr>
            <w:tcW w:w="912" w:type="pct"/>
            <w:shd w:val="clear" w:color="auto" w:fill="006666"/>
            <w:vAlign w:val="bottom"/>
            <w:hideMark/>
          </w:tcPr>
          <w:p w14:paraId="20380EC4"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Geography</w:t>
            </w:r>
          </w:p>
        </w:tc>
        <w:tc>
          <w:tcPr>
            <w:tcW w:w="1556" w:type="pct"/>
            <w:shd w:val="clear" w:color="auto" w:fill="006666"/>
            <w:vAlign w:val="bottom"/>
            <w:hideMark/>
          </w:tcPr>
          <w:p w14:paraId="219B3232"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Detailed geography</w:t>
            </w:r>
          </w:p>
        </w:tc>
        <w:tc>
          <w:tcPr>
            <w:tcW w:w="541" w:type="pct"/>
            <w:shd w:val="clear" w:color="auto" w:fill="006666"/>
            <w:vAlign w:val="bottom"/>
            <w:hideMark/>
          </w:tcPr>
          <w:p w14:paraId="59E17C75"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 xml:space="preserve">BAME </w:t>
            </w:r>
            <w:proofErr w:type="gramStart"/>
            <w:r w:rsidRPr="00FA4DC7">
              <w:rPr>
                <w:rFonts w:cs="Arial"/>
                <w:b/>
                <w:bCs/>
                <w:color w:val="FFFFFF"/>
                <w:sz w:val="22"/>
                <w:szCs w:val="22"/>
              </w:rPr>
              <w:t>house-holds</w:t>
            </w:r>
            <w:proofErr w:type="gramEnd"/>
          </w:p>
        </w:tc>
        <w:tc>
          <w:tcPr>
            <w:tcW w:w="694" w:type="pct"/>
            <w:shd w:val="clear" w:color="auto" w:fill="006666"/>
            <w:vAlign w:val="bottom"/>
            <w:hideMark/>
          </w:tcPr>
          <w:p w14:paraId="3A707B9B"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of</w:t>
            </w:r>
            <w:proofErr w:type="gramEnd"/>
            <w:r w:rsidRPr="00FA4DC7">
              <w:rPr>
                <w:rFonts w:cs="Arial"/>
                <w:b/>
                <w:bCs/>
                <w:color w:val="FFFFFF"/>
                <w:sz w:val="22"/>
                <w:szCs w:val="22"/>
              </w:rPr>
              <w:t xml:space="preserve"> BAME house-holds in each area</w:t>
            </w:r>
          </w:p>
        </w:tc>
        <w:tc>
          <w:tcPr>
            <w:tcW w:w="733" w:type="pct"/>
            <w:shd w:val="clear" w:color="auto" w:fill="006666"/>
            <w:vAlign w:val="bottom"/>
            <w:hideMark/>
          </w:tcPr>
          <w:p w14:paraId="0842C0C1"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 xml:space="preserve">% </w:t>
            </w:r>
            <w:proofErr w:type="gramStart"/>
            <w:r w:rsidRPr="00FA4DC7">
              <w:rPr>
                <w:rFonts w:cs="Arial"/>
                <w:b/>
                <w:bCs/>
                <w:color w:val="FFFFFF"/>
                <w:sz w:val="22"/>
                <w:szCs w:val="22"/>
              </w:rPr>
              <w:t>of</w:t>
            </w:r>
            <w:proofErr w:type="gramEnd"/>
            <w:r w:rsidRPr="00FA4DC7">
              <w:rPr>
                <w:rFonts w:cs="Arial"/>
                <w:b/>
                <w:bCs/>
                <w:color w:val="FFFFFF"/>
                <w:sz w:val="22"/>
                <w:szCs w:val="22"/>
              </w:rPr>
              <w:t xml:space="preserve"> all households in each are who are BAME</w:t>
            </w:r>
          </w:p>
        </w:tc>
        <w:tc>
          <w:tcPr>
            <w:tcW w:w="564" w:type="pct"/>
            <w:shd w:val="clear" w:color="auto" w:fill="006666"/>
            <w:vAlign w:val="bottom"/>
            <w:hideMark/>
          </w:tcPr>
          <w:p w14:paraId="03E95E9E"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 xml:space="preserve">All </w:t>
            </w:r>
            <w:proofErr w:type="gramStart"/>
            <w:r w:rsidRPr="00FA4DC7">
              <w:rPr>
                <w:rFonts w:cs="Arial"/>
                <w:b/>
                <w:bCs/>
                <w:color w:val="FFFFFF"/>
                <w:sz w:val="22"/>
                <w:szCs w:val="22"/>
              </w:rPr>
              <w:t>house-holds</w:t>
            </w:r>
            <w:proofErr w:type="gramEnd"/>
          </w:p>
        </w:tc>
      </w:tr>
      <w:tr w:rsidR="00CE1BDB" w:rsidRPr="00FA4DC7" w14:paraId="1AD74AE4" w14:textId="77777777" w:rsidTr="0049141B">
        <w:tc>
          <w:tcPr>
            <w:tcW w:w="912" w:type="pct"/>
            <w:vMerge w:val="restart"/>
            <w:shd w:val="clear" w:color="auto" w:fill="auto"/>
            <w:noWrap/>
            <w:vAlign w:val="center"/>
          </w:tcPr>
          <w:p w14:paraId="5EB8B4DA" w14:textId="77777777" w:rsidR="00CE1BDB" w:rsidRPr="00FA4DC7" w:rsidRDefault="00CE1BDB" w:rsidP="00EF49A7">
            <w:pPr>
              <w:rPr>
                <w:rFonts w:cs="Arial"/>
                <w:color w:val="000000"/>
                <w:sz w:val="22"/>
                <w:szCs w:val="22"/>
              </w:rPr>
            </w:pPr>
            <w:r w:rsidRPr="00FA4DC7">
              <w:rPr>
                <w:rFonts w:cs="Arial"/>
                <w:color w:val="000000"/>
                <w:sz w:val="22"/>
                <w:szCs w:val="22"/>
              </w:rPr>
              <w:t>Ward</w:t>
            </w:r>
          </w:p>
        </w:tc>
        <w:tc>
          <w:tcPr>
            <w:tcW w:w="1556" w:type="pct"/>
            <w:shd w:val="clear" w:color="auto" w:fill="auto"/>
            <w:noWrap/>
            <w:vAlign w:val="center"/>
          </w:tcPr>
          <w:p w14:paraId="6EFEFEE9" w14:textId="77777777" w:rsidR="00CE1BDB" w:rsidRPr="00FA4DC7" w:rsidRDefault="00CE1BDB" w:rsidP="00EF49A7">
            <w:pPr>
              <w:jc w:val="both"/>
              <w:rPr>
                <w:rFonts w:cs="Arial"/>
                <w:color w:val="000000"/>
                <w:sz w:val="22"/>
                <w:szCs w:val="22"/>
              </w:rPr>
            </w:pPr>
            <w:r w:rsidRPr="00FA4DC7">
              <w:rPr>
                <w:rFonts w:cs="Arial"/>
                <w:color w:val="000000"/>
                <w:sz w:val="22"/>
                <w:szCs w:val="22"/>
              </w:rPr>
              <w:t>Chatham Central</w:t>
            </w:r>
          </w:p>
        </w:tc>
        <w:tc>
          <w:tcPr>
            <w:tcW w:w="541" w:type="pct"/>
            <w:shd w:val="clear" w:color="auto" w:fill="auto"/>
            <w:noWrap/>
            <w:vAlign w:val="center"/>
          </w:tcPr>
          <w:p w14:paraId="47862A2E" w14:textId="77777777" w:rsidR="00CE1BDB" w:rsidRPr="00FA4DC7" w:rsidRDefault="00CE1BDB" w:rsidP="00EF49A7">
            <w:pPr>
              <w:jc w:val="right"/>
              <w:rPr>
                <w:rFonts w:cs="Arial"/>
                <w:color w:val="000000"/>
                <w:sz w:val="22"/>
                <w:szCs w:val="22"/>
              </w:rPr>
            </w:pPr>
            <w:r w:rsidRPr="00FA4DC7">
              <w:rPr>
                <w:rFonts w:cs="Arial"/>
                <w:color w:val="000000"/>
                <w:sz w:val="22"/>
                <w:szCs w:val="22"/>
              </w:rPr>
              <w:t>3,292</w:t>
            </w:r>
          </w:p>
        </w:tc>
        <w:tc>
          <w:tcPr>
            <w:tcW w:w="694" w:type="pct"/>
            <w:shd w:val="clear" w:color="auto" w:fill="auto"/>
            <w:noWrap/>
            <w:vAlign w:val="center"/>
          </w:tcPr>
          <w:p w14:paraId="010CF22B" w14:textId="77777777" w:rsidR="00CE1BDB" w:rsidRPr="00FA4DC7" w:rsidRDefault="00CE1BDB" w:rsidP="00EF49A7">
            <w:pPr>
              <w:jc w:val="right"/>
              <w:rPr>
                <w:rFonts w:cs="Arial"/>
                <w:color w:val="000000"/>
                <w:sz w:val="22"/>
                <w:szCs w:val="22"/>
              </w:rPr>
            </w:pPr>
            <w:r w:rsidRPr="00FA4DC7">
              <w:rPr>
                <w:rFonts w:cs="Arial"/>
                <w:color w:val="000000"/>
                <w:sz w:val="22"/>
                <w:szCs w:val="22"/>
              </w:rPr>
              <w:t>12.0%</w:t>
            </w:r>
          </w:p>
        </w:tc>
        <w:tc>
          <w:tcPr>
            <w:tcW w:w="733" w:type="pct"/>
            <w:shd w:val="clear" w:color="auto" w:fill="auto"/>
            <w:noWrap/>
            <w:vAlign w:val="center"/>
          </w:tcPr>
          <w:p w14:paraId="68B30BB9" w14:textId="77777777" w:rsidR="00CE1BDB" w:rsidRPr="00FA4DC7" w:rsidRDefault="00CE1BDB" w:rsidP="00EF49A7">
            <w:pPr>
              <w:jc w:val="right"/>
              <w:rPr>
                <w:rFonts w:cs="Arial"/>
                <w:color w:val="000000"/>
                <w:sz w:val="22"/>
                <w:szCs w:val="22"/>
              </w:rPr>
            </w:pPr>
            <w:r w:rsidRPr="00FA4DC7">
              <w:rPr>
                <w:rFonts w:cs="Arial"/>
                <w:color w:val="000000"/>
                <w:sz w:val="22"/>
                <w:szCs w:val="22"/>
              </w:rPr>
              <w:t>20.1%</w:t>
            </w:r>
          </w:p>
        </w:tc>
        <w:tc>
          <w:tcPr>
            <w:tcW w:w="564" w:type="pct"/>
            <w:shd w:val="clear" w:color="auto" w:fill="auto"/>
            <w:noWrap/>
            <w:vAlign w:val="center"/>
          </w:tcPr>
          <w:p w14:paraId="37D5A993" w14:textId="77777777" w:rsidR="00CE1BDB" w:rsidRPr="00FA4DC7" w:rsidRDefault="00CE1BDB" w:rsidP="00EF49A7">
            <w:pPr>
              <w:jc w:val="right"/>
              <w:rPr>
                <w:rFonts w:cs="Arial"/>
                <w:color w:val="000000"/>
                <w:sz w:val="22"/>
                <w:szCs w:val="22"/>
              </w:rPr>
            </w:pPr>
            <w:r w:rsidRPr="00FA4DC7">
              <w:rPr>
                <w:rFonts w:cs="Arial"/>
                <w:color w:val="000000"/>
                <w:sz w:val="22"/>
                <w:szCs w:val="22"/>
              </w:rPr>
              <w:t>16,413</w:t>
            </w:r>
          </w:p>
        </w:tc>
      </w:tr>
      <w:tr w:rsidR="00CE1BDB" w:rsidRPr="00FA4DC7" w14:paraId="3711F3BA" w14:textId="77777777" w:rsidTr="0049141B">
        <w:tc>
          <w:tcPr>
            <w:tcW w:w="912" w:type="pct"/>
            <w:vMerge/>
            <w:noWrap/>
            <w:vAlign w:val="center"/>
            <w:hideMark/>
          </w:tcPr>
          <w:p w14:paraId="5060C22D" w14:textId="77777777" w:rsidR="00CE1BDB" w:rsidRPr="00FA4DC7" w:rsidRDefault="00CE1BDB" w:rsidP="00EF49A7">
            <w:pPr>
              <w:rPr>
                <w:rFonts w:cs="Arial"/>
                <w:color w:val="000000"/>
                <w:sz w:val="22"/>
                <w:szCs w:val="22"/>
              </w:rPr>
            </w:pPr>
          </w:p>
        </w:tc>
        <w:tc>
          <w:tcPr>
            <w:tcW w:w="1556" w:type="pct"/>
            <w:shd w:val="clear" w:color="auto" w:fill="auto"/>
            <w:noWrap/>
            <w:vAlign w:val="center"/>
            <w:hideMark/>
          </w:tcPr>
          <w:p w14:paraId="2B061EC7" w14:textId="77777777" w:rsidR="00CE1BDB" w:rsidRPr="00FA4DC7" w:rsidRDefault="00CE1BDB" w:rsidP="00EF49A7">
            <w:pPr>
              <w:jc w:val="both"/>
              <w:rPr>
                <w:rFonts w:cs="Arial"/>
                <w:color w:val="000000"/>
                <w:sz w:val="22"/>
                <w:szCs w:val="22"/>
              </w:rPr>
            </w:pPr>
            <w:proofErr w:type="spellStart"/>
            <w:r w:rsidRPr="00FA4DC7">
              <w:rPr>
                <w:rFonts w:cs="Arial"/>
                <w:color w:val="000000"/>
                <w:sz w:val="22"/>
                <w:szCs w:val="22"/>
              </w:rPr>
              <w:t>Cuxton</w:t>
            </w:r>
            <w:proofErr w:type="spellEnd"/>
            <w:r w:rsidRPr="00FA4DC7">
              <w:rPr>
                <w:rFonts w:cs="Arial"/>
                <w:color w:val="000000"/>
                <w:sz w:val="22"/>
                <w:szCs w:val="22"/>
              </w:rPr>
              <w:t xml:space="preserve"> and </w:t>
            </w:r>
            <w:proofErr w:type="spellStart"/>
            <w:r w:rsidRPr="00FA4DC7">
              <w:rPr>
                <w:rFonts w:cs="Arial"/>
                <w:color w:val="000000"/>
                <w:sz w:val="22"/>
                <w:szCs w:val="22"/>
              </w:rPr>
              <w:t>Halling</w:t>
            </w:r>
            <w:proofErr w:type="spellEnd"/>
          </w:p>
        </w:tc>
        <w:tc>
          <w:tcPr>
            <w:tcW w:w="541" w:type="pct"/>
            <w:shd w:val="clear" w:color="auto" w:fill="auto"/>
            <w:noWrap/>
            <w:vAlign w:val="center"/>
            <w:hideMark/>
          </w:tcPr>
          <w:p w14:paraId="24D77762" w14:textId="77777777" w:rsidR="00CE1BDB" w:rsidRPr="00FA4DC7" w:rsidRDefault="00CE1BDB" w:rsidP="00EF49A7">
            <w:pPr>
              <w:jc w:val="right"/>
              <w:rPr>
                <w:rFonts w:cs="Arial"/>
                <w:color w:val="000000"/>
                <w:sz w:val="22"/>
                <w:szCs w:val="22"/>
              </w:rPr>
            </w:pPr>
            <w:r w:rsidRPr="00FA4DC7">
              <w:rPr>
                <w:rFonts w:cs="Arial"/>
                <w:color w:val="000000"/>
                <w:sz w:val="22"/>
                <w:szCs w:val="22"/>
              </w:rPr>
              <w:t>190</w:t>
            </w:r>
          </w:p>
        </w:tc>
        <w:tc>
          <w:tcPr>
            <w:tcW w:w="694" w:type="pct"/>
            <w:shd w:val="clear" w:color="auto" w:fill="auto"/>
            <w:noWrap/>
            <w:vAlign w:val="center"/>
            <w:hideMark/>
          </w:tcPr>
          <w:p w14:paraId="790BC231" w14:textId="77777777" w:rsidR="00CE1BDB" w:rsidRPr="00FA4DC7" w:rsidRDefault="00CE1BDB" w:rsidP="00EF49A7">
            <w:pPr>
              <w:jc w:val="right"/>
              <w:rPr>
                <w:rFonts w:cs="Arial"/>
                <w:color w:val="000000"/>
                <w:sz w:val="22"/>
                <w:szCs w:val="22"/>
              </w:rPr>
            </w:pPr>
            <w:r w:rsidRPr="00FA4DC7">
              <w:rPr>
                <w:rFonts w:cs="Arial"/>
                <w:color w:val="000000"/>
                <w:sz w:val="22"/>
                <w:szCs w:val="22"/>
              </w:rPr>
              <w:t>0.7%</w:t>
            </w:r>
          </w:p>
        </w:tc>
        <w:tc>
          <w:tcPr>
            <w:tcW w:w="733" w:type="pct"/>
            <w:shd w:val="clear" w:color="auto" w:fill="auto"/>
            <w:noWrap/>
            <w:vAlign w:val="center"/>
            <w:hideMark/>
          </w:tcPr>
          <w:p w14:paraId="5325B89A" w14:textId="77777777" w:rsidR="00CE1BDB" w:rsidRPr="00FA4DC7" w:rsidRDefault="00CE1BDB" w:rsidP="00EF49A7">
            <w:pPr>
              <w:jc w:val="right"/>
              <w:rPr>
                <w:rFonts w:cs="Arial"/>
                <w:color w:val="000000"/>
                <w:sz w:val="22"/>
                <w:szCs w:val="22"/>
              </w:rPr>
            </w:pPr>
            <w:r w:rsidRPr="00FA4DC7">
              <w:rPr>
                <w:rFonts w:cs="Arial"/>
                <w:color w:val="000000"/>
                <w:sz w:val="22"/>
                <w:szCs w:val="22"/>
              </w:rPr>
              <w:t>3.5%</w:t>
            </w:r>
          </w:p>
        </w:tc>
        <w:tc>
          <w:tcPr>
            <w:tcW w:w="564" w:type="pct"/>
            <w:shd w:val="clear" w:color="auto" w:fill="auto"/>
            <w:noWrap/>
            <w:vAlign w:val="center"/>
            <w:hideMark/>
          </w:tcPr>
          <w:p w14:paraId="6927CDE0" w14:textId="77777777" w:rsidR="00CE1BDB" w:rsidRPr="00FA4DC7" w:rsidRDefault="00CE1BDB" w:rsidP="00EF49A7">
            <w:pPr>
              <w:jc w:val="right"/>
              <w:rPr>
                <w:rFonts w:cs="Arial"/>
                <w:color w:val="000000"/>
                <w:sz w:val="22"/>
                <w:szCs w:val="22"/>
              </w:rPr>
            </w:pPr>
            <w:r w:rsidRPr="00FA4DC7">
              <w:rPr>
                <w:rFonts w:cs="Arial"/>
                <w:color w:val="000000"/>
                <w:sz w:val="22"/>
                <w:szCs w:val="22"/>
              </w:rPr>
              <w:t>5,448</w:t>
            </w:r>
          </w:p>
        </w:tc>
      </w:tr>
      <w:tr w:rsidR="00CE1BDB" w:rsidRPr="00FA4DC7" w14:paraId="000491E0" w14:textId="77777777" w:rsidTr="0049141B">
        <w:tc>
          <w:tcPr>
            <w:tcW w:w="912" w:type="pct"/>
            <w:vMerge/>
            <w:vAlign w:val="center"/>
            <w:hideMark/>
          </w:tcPr>
          <w:p w14:paraId="46BFE8E2" w14:textId="77777777" w:rsidR="00CE1BDB" w:rsidRPr="00FA4DC7" w:rsidRDefault="00CE1BDB" w:rsidP="00EF49A7">
            <w:pPr>
              <w:rPr>
                <w:rFonts w:cs="Arial"/>
                <w:color w:val="000000"/>
                <w:sz w:val="22"/>
                <w:szCs w:val="22"/>
              </w:rPr>
            </w:pPr>
          </w:p>
        </w:tc>
        <w:tc>
          <w:tcPr>
            <w:tcW w:w="1556" w:type="pct"/>
            <w:shd w:val="clear" w:color="auto" w:fill="auto"/>
            <w:noWrap/>
            <w:vAlign w:val="center"/>
            <w:hideMark/>
          </w:tcPr>
          <w:p w14:paraId="4B55F66D" w14:textId="77777777" w:rsidR="00CE1BDB" w:rsidRPr="00FA4DC7" w:rsidRDefault="00CE1BDB" w:rsidP="00EF49A7">
            <w:pPr>
              <w:jc w:val="both"/>
              <w:rPr>
                <w:rFonts w:cs="Arial"/>
                <w:color w:val="000000"/>
                <w:sz w:val="22"/>
                <w:szCs w:val="22"/>
              </w:rPr>
            </w:pPr>
            <w:r w:rsidRPr="00FA4DC7">
              <w:rPr>
                <w:rFonts w:cs="Arial"/>
                <w:color w:val="000000"/>
                <w:sz w:val="22"/>
                <w:szCs w:val="22"/>
              </w:rPr>
              <w:t>Gillingham North</w:t>
            </w:r>
          </w:p>
        </w:tc>
        <w:tc>
          <w:tcPr>
            <w:tcW w:w="541" w:type="pct"/>
            <w:shd w:val="clear" w:color="auto" w:fill="auto"/>
            <w:noWrap/>
            <w:vAlign w:val="center"/>
            <w:hideMark/>
          </w:tcPr>
          <w:p w14:paraId="3BDB82A6" w14:textId="77777777" w:rsidR="00CE1BDB" w:rsidRPr="00FA4DC7" w:rsidRDefault="00CE1BDB" w:rsidP="00EF49A7">
            <w:pPr>
              <w:jc w:val="right"/>
              <w:rPr>
                <w:rFonts w:cs="Arial"/>
                <w:color w:val="000000"/>
                <w:sz w:val="22"/>
                <w:szCs w:val="22"/>
              </w:rPr>
            </w:pPr>
            <w:r w:rsidRPr="00FA4DC7">
              <w:rPr>
                <w:rFonts w:cs="Arial"/>
                <w:color w:val="000000"/>
                <w:sz w:val="22"/>
                <w:szCs w:val="22"/>
              </w:rPr>
              <w:t>2,853</w:t>
            </w:r>
          </w:p>
        </w:tc>
        <w:tc>
          <w:tcPr>
            <w:tcW w:w="694" w:type="pct"/>
            <w:shd w:val="clear" w:color="auto" w:fill="auto"/>
            <w:noWrap/>
            <w:vAlign w:val="center"/>
            <w:hideMark/>
          </w:tcPr>
          <w:p w14:paraId="6F2FE5FB" w14:textId="77777777" w:rsidR="00CE1BDB" w:rsidRPr="00FA4DC7" w:rsidRDefault="00CE1BDB" w:rsidP="00EF49A7">
            <w:pPr>
              <w:jc w:val="right"/>
              <w:rPr>
                <w:rFonts w:cs="Arial"/>
                <w:color w:val="000000"/>
                <w:sz w:val="22"/>
                <w:szCs w:val="22"/>
              </w:rPr>
            </w:pPr>
            <w:r w:rsidRPr="00FA4DC7">
              <w:rPr>
                <w:rFonts w:cs="Arial"/>
                <w:color w:val="000000"/>
                <w:sz w:val="22"/>
                <w:szCs w:val="22"/>
              </w:rPr>
              <w:t>10.4%</w:t>
            </w:r>
          </w:p>
        </w:tc>
        <w:tc>
          <w:tcPr>
            <w:tcW w:w="733" w:type="pct"/>
            <w:shd w:val="clear" w:color="auto" w:fill="auto"/>
            <w:noWrap/>
            <w:vAlign w:val="center"/>
            <w:hideMark/>
          </w:tcPr>
          <w:p w14:paraId="1B96B98F" w14:textId="77777777" w:rsidR="00CE1BDB" w:rsidRPr="00FA4DC7" w:rsidRDefault="00CE1BDB" w:rsidP="00EF49A7">
            <w:pPr>
              <w:jc w:val="right"/>
              <w:rPr>
                <w:rFonts w:cs="Arial"/>
                <w:color w:val="000000"/>
                <w:sz w:val="22"/>
                <w:szCs w:val="22"/>
              </w:rPr>
            </w:pPr>
            <w:r w:rsidRPr="00FA4DC7">
              <w:rPr>
                <w:rFonts w:cs="Arial"/>
                <w:color w:val="000000"/>
                <w:sz w:val="22"/>
                <w:szCs w:val="22"/>
              </w:rPr>
              <w:t>16.0%</w:t>
            </w:r>
          </w:p>
        </w:tc>
        <w:tc>
          <w:tcPr>
            <w:tcW w:w="564" w:type="pct"/>
            <w:shd w:val="clear" w:color="auto" w:fill="auto"/>
            <w:noWrap/>
            <w:vAlign w:val="center"/>
            <w:hideMark/>
          </w:tcPr>
          <w:p w14:paraId="005961AB" w14:textId="77777777" w:rsidR="00CE1BDB" w:rsidRPr="00FA4DC7" w:rsidRDefault="00CE1BDB" w:rsidP="00EF49A7">
            <w:pPr>
              <w:jc w:val="right"/>
              <w:rPr>
                <w:rFonts w:cs="Arial"/>
                <w:color w:val="000000"/>
                <w:sz w:val="22"/>
                <w:szCs w:val="22"/>
              </w:rPr>
            </w:pPr>
            <w:r w:rsidRPr="00FA4DC7">
              <w:rPr>
                <w:rFonts w:cs="Arial"/>
                <w:color w:val="000000"/>
                <w:sz w:val="22"/>
                <w:szCs w:val="22"/>
              </w:rPr>
              <w:t>17,854</w:t>
            </w:r>
          </w:p>
        </w:tc>
      </w:tr>
      <w:tr w:rsidR="00CE1BDB" w:rsidRPr="00FA4DC7" w14:paraId="51278B6E" w14:textId="77777777" w:rsidTr="0049141B">
        <w:tc>
          <w:tcPr>
            <w:tcW w:w="912" w:type="pct"/>
            <w:vMerge/>
            <w:vAlign w:val="center"/>
          </w:tcPr>
          <w:p w14:paraId="4A5CED0E"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69FF2084" w14:textId="77777777" w:rsidR="00CE1BDB" w:rsidRPr="00FA4DC7" w:rsidRDefault="00CE1BDB" w:rsidP="00EF49A7">
            <w:pPr>
              <w:jc w:val="both"/>
              <w:rPr>
                <w:rFonts w:cs="Arial"/>
                <w:color w:val="000000"/>
                <w:sz w:val="22"/>
                <w:szCs w:val="22"/>
              </w:rPr>
            </w:pPr>
            <w:r w:rsidRPr="00FA4DC7">
              <w:rPr>
                <w:rFonts w:cs="Arial"/>
                <w:color w:val="000000"/>
                <w:sz w:val="22"/>
                <w:szCs w:val="22"/>
              </w:rPr>
              <w:t>Gillingham South</w:t>
            </w:r>
          </w:p>
        </w:tc>
        <w:tc>
          <w:tcPr>
            <w:tcW w:w="541" w:type="pct"/>
            <w:shd w:val="clear" w:color="auto" w:fill="auto"/>
            <w:noWrap/>
            <w:vAlign w:val="center"/>
          </w:tcPr>
          <w:p w14:paraId="7B8F57F8" w14:textId="77777777" w:rsidR="00CE1BDB" w:rsidRPr="00FA4DC7" w:rsidRDefault="00CE1BDB" w:rsidP="00EF49A7">
            <w:pPr>
              <w:jc w:val="right"/>
              <w:rPr>
                <w:rFonts w:cs="Arial"/>
                <w:color w:val="000000"/>
                <w:sz w:val="22"/>
                <w:szCs w:val="22"/>
              </w:rPr>
            </w:pPr>
            <w:r w:rsidRPr="00FA4DC7">
              <w:rPr>
                <w:rFonts w:cs="Arial"/>
                <w:color w:val="000000"/>
                <w:sz w:val="22"/>
                <w:szCs w:val="22"/>
              </w:rPr>
              <w:t>3,173</w:t>
            </w:r>
          </w:p>
        </w:tc>
        <w:tc>
          <w:tcPr>
            <w:tcW w:w="694" w:type="pct"/>
            <w:shd w:val="clear" w:color="auto" w:fill="auto"/>
            <w:noWrap/>
            <w:vAlign w:val="center"/>
          </w:tcPr>
          <w:p w14:paraId="452EB423" w14:textId="77777777" w:rsidR="00CE1BDB" w:rsidRPr="00FA4DC7" w:rsidRDefault="00CE1BDB" w:rsidP="00EF49A7">
            <w:pPr>
              <w:jc w:val="right"/>
              <w:rPr>
                <w:rFonts w:cs="Arial"/>
                <w:color w:val="000000"/>
                <w:sz w:val="22"/>
                <w:szCs w:val="22"/>
              </w:rPr>
            </w:pPr>
            <w:r w:rsidRPr="00FA4DC7">
              <w:rPr>
                <w:rFonts w:cs="Arial"/>
                <w:color w:val="000000"/>
                <w:sz w:val="22"/>
                <w:szCs w:val="22"/>
              </w:rPr>
              <w:t>11.6%</w:t>
            </w:r>
          </w:p>
        </w:tc>
        <w:tc>
          <w:tcPr>
            <w:tcW w:w="733" w:type="pct"/>
            <w:shd w:val="clear" w:color="auto" w:fill="auto"/>
            <w:noWrap/>
            <w:vAlign w:val="center"/>
          </w:tcPr>
          <w:p w14:paraId="2BC1840C" w14:textId="77777777" w:rsidR="00CE1BDB" w:rsidRPr="00FA4DC7" w:rsidRDefault="00CE1BDB" w:rsidP="00EF49A7">
            <w:pPr>
              <w:jc w:val="right"/>
              <w:rPr>
                <w:rFonts w:cs="Arial"/>
                <w:color w:val="000000"/>
                <w:sz w:val="22"/>
                <w:szCs w:val="22"/>
              </w:rPr>
            </w:pPr>
            <w:r w:rsidRPr="00FA4DC7">
              <w:rPr>
                <w:rFonts w:cs="Arial"/>
                <w:color w:val="000000"/>
                <w:sz w:val="22"/>
                <w:szCs w:val="22"/>
              </w:rPr>
              <w:t>19.1%</w:t>
            </w:r>
          </w:p>
        </w:tc>
        <w:tc>
          <w:tcPr>
            <w:tcW w:w="564" w:type="pct"/>
            <w:shd w:val="clear" w:color="auto" w:fill="auto"/>
            <w:noWrap/>
            <w:vAlign w:val="center"/>
          </w:tcPr>
          <w:p w14:paraId="39F39853" w14:textId="77777777" w:rsidR="00CE1BDB" w:rsidRPr="00FA4DC7" w:rsidRDefault="00CE1BDB" w:rsidP="00EF49A7">
            <w:pPr>
              <w:jc w:val="right"/>
              <w:rPr>
                <w:rFonts w:cs="Arial"/>
                <w:color w:val="000000"/>
                <w:sz w:val="22"/>
                <w:szCs w:val="22"/>
              </w:rPr>
            </w:pPr>
            <w:r w:rsidRPr="00FA4DC7">
              <w:rPr>
                <w:rFonts w:cs="Arial"/>
                <w:color w:val="000000"/>
                <w:sz w:val="22"/>
                <w:szCs w:val="22"/>
              </w:rPr>
              <w:t>16,594</w:t>
            </w:r>
          </w:p>
        </w:tc>
      </w:tr>
      <w:tr w:rsidR="00CE1BDB" w:rsidRPr="00FA4DC7" w14:paraId="4A35E72A" w14:textId="77777777" w:rsidTr="0049141B">
        <w:tc>
          <w:tcPr>
            <w:tcW w:w="912" w:type="pct"/>
            <w:vMerge/>
            <w:vAlign w:val="center"/>
          </w:tcPr>
          <w:p w14:paraId="751CEEA6"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71FC4186" w14:textId="77777777" w:rsidR="00CE1BDB" w:rsidRPr="00FA4DC7" w:rsidRDefault="00CE1BDB" w:rsidP="0049141B">
            <w:pPr>
              <w:rPr>
                <w:rFonts w:cs="Arial"/>
                <w:color w:val="000000"/>
                <w:sz w:val="22"/>
                <w:szCs w:val="22"/>
              </w:rPr>
            </w:pPr>
            <w:r w:rsidRPr="00FA4DC7">
              <w:rPr>
                <w:rFonts w:cs="Arial"/>
                <w:color w:val="000000"/>
                <w:sz w:val="22"/>
                <w:szCs w:val="22"/>
              </w:rPr>
              <w:t xml:space="preserve">Hempstead and </w:t>
            </w:r>
            <w:proofErr w:type="spellStart"/>
            <w:r w:rsidRPr="00FA4DC7">
              <w:rPr>
                <w:rFonts w:cs="Arial"/>
                <w:color w:val="000000"/>
                <w:sz w:val="22"/>
                <w:szCs w:val="22"/>
              </w:rPr>
              <w:t>Wigmore</w:t>
            </w:r>
            <w:proofErr w:type="spellEnd"/>
          </w:p>
        </w:tc>
        <w:tc>
          <w:tcPr>
            <w:tcW w:w="541" w:type="pct"/>
            <w:shd w:val="clear" w:color="auto" w:fill="auto"/>
            <w:noWrap/>
            <w:vAlign w:val="center"/>
          </w:tcPr>
          <w:p w14:paraId="756AAF2F" w14:textId="77777777" w:rsidR="00CE1BDB" w:rsidRPr="00FA4DC7" w:rsidRDefault="00CE1BDB" w:rsidP="00EF49A7">
            <w:pPr>
              <w:jc w:val="right"/>
              <w:rPr>
                <w:rFonts w:cs="Arial"/>
                <w:color w:val="000000"/>
                <w:sz w:val="22"/>
                <w:szCs w:val="22"/>
              </w:rPr>
            </w:pPr>
            <w:r w:rsidRPr="00FA4DC7">
              <w:rPr>
                <w:rFonts w:cs="Arial"/>
                <w:color w:val="000000"/>
                <w:sz w:val="22"/>
                <w:szCs w:val="22"/>
              </w:rPr>
              <w:t>715</w:t>
            </w:r>
          </w:p>
        </w:tc>
        <w:tc>
          <w:tcPr>
            <w:tcW w:w="694" w:type="pct"/>
            <w:shd w:val="clear" w:color="auto" w:fill="auto"/>
            <w:noWrap/>
            <w:vAlign w:val="center"/>
          </w:tcPr>
          <w:p w14:paraId="18CF8182" w14:textId="77777777" w:rsidR="00CE1BDB" w:rsidRPr="00FA4DC7" w:rsidRDefault="00CE1BDB" w:rsidP="00EF49A7">
            <w:pPr>
              <w:jc w:val="right"/>
              <w:rPr>
                <w:rFonts w:cs="Arial"/>
                <w:color w:val="000000"/>
                <w:sz w:val="22"/>
                <w:szCs w:val="22"/>
              </w:rPr>
            </w:pPr>
            <w:r w:rsidRPr="00FA4DC7">
              <w:rPr>
                <w:rFonts w:cs="Arial"/>
                <w:color w:val="000000"/>
                <w:sz w:val="22"/>
                <w:szCs w:val="22"/>
              </w:rPr>
              <w:t>2.6%</w:t>
            </w:r>
          </w:p>
        </w:tc>
        <w:tc>
          <w:tcPr>
            <w:tcW w:w="733" w:type="pct"/>
            <w:shd w:val="clear" w:color="auto" w:fill="auto"/>
            <w:noWrap/>
            <w:vAlign w:val="center"/>
          </w:tcPr>
          <w:p w14:paraId="6BA80D33" w14:textId="77777777" w:rsidR="00CE1BDB" w:rsidRPr="00FA4DC7" w:rsidRDefault="00CE1BDB" w:rsidP="00EF49A7">
            <w:pPr>
              <w:jc w:val="right"/>
              <w:rPr>
                <w:rFonts w:cs="Arial"/>
                <w:color w:val="000000"/>
                <w:sz w:val="22"/>
                <w:szCs w:val="22"/>
              </w:rPr>
            </w:pPr>
            <w:r w:rsidRPr="00FA4DC7">
              <w:rPr>
                <w:rFonts w:cs="Arial"/>
                <w:color w:val="000000"/>
                <w:sz w:val="22"/>
                <w:szCs w:val="22"/>
              </w:rPr>
              <w:t>8.9%</w:t>
            </w:r>
          </w:p>
        </w:tc>
        <w:tc>
          <w:tcPr>
            <w:tcW w:w="564" w:type="pct"/>
            <w:shd w:val="clear" w:color="auto" w:fill="auto"/>
            <w:noWrap/>
            <w:vAlign w:val="center"/>
          </w:tcPr>
          <w:p w14:paraId="290F477A" w14:textId="77777777" w:rsidR="00CE1BDB" w:rsidRPr="00FA4DC7" w:rsidRDefault="00CE1BDB" w:rsidP="00EF49A7">
            <w:pPr>
              <w:jc w:val="right"/>
              <w:rPr>
                <w:rFonts w:cs="Arial"/>
                <w:color w:val="000000"/>
                <w:sz w:val="22"/>
                <w:szCs w:val="22"/>
              </w:rPr>
            </w:pPr>
            <w:r w:rsidRPr="00FA4DC7">
              <w:rPr>
                <w:rFonts w:cs="Arial"/>
                <w:color w:val="000000"/>
                <w:sz w:val="22"/>
                <w:szCs w:val="22"/>
              </w:rPr>
              <w:t>8,003</w:t>
            </w:r>
          </w:p>
        </w:tc>
      </w:tr>
      <w:tr w:rsidR="00CE1BDB" w:rsidRPr="00FA4DC7" w14:paraId="45263EEC" w14:textId="77777777" w:rsidTr="0049141B">
        <w:tc>
          <w:tcPr>
            <w:tcW w:w="912" w:type="pct"/>
            <w:vMerge/>
            <w:vAlign w:val="center"/>
          </w:tcPr>
          <w:p w14:paraId="10F219EA"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32D8EFD0" w14:textId="77777777" w:rsidR="00CE1BDB" w:rsidRPr="00FA4DC7" w:rsidRDefault="00CE1BDB" w:rsidP="0049141B">
            <w:pPr>
              <w:rPr>
                <w:rFonts w:cs="Arial"/>
                <w:color w:val="000000"/>
                <w:sz w:val="22"/>
                <w:szCs w:val="22"/>
              </w:rPr>
            </w:pPr>
            <w:proofErr w:type="spellStart"/>
            <w:r w:rsidRPr="00FA4DC7">
              <w:rPr>
                <w:rFonts w:cs="Arial"/>
                <w:color w:val="000000"/>
                <w:sz w:val="22"/>
                <w:szCs w:val="22"/>
              </w:rPr>
              <w:t>Lordswood</w:t>
            </w:r>
            <w:proofErr w:type="spellEnd"/>
            <w:r w:rsidRPr="00FA4DC7">
              <w:rPr>
                <w:rFonts w:cs="Arial"/>
                <w:color w:val="000000"/>
                <w:sz w:val="22"/>
                <w:szCs w:val="22"/>
              </w:rPr>
              <w:t xml:space="preserve"> and Capstone</w:t>
            </w:r>
          </w:p>
        </w:tc>
        <w:tc>
          <w:tcPr>
            <w:tcW w:w="541" w:type="pct"/>
            <w:shd w:val="clear" w:color="auto" w:fill="auto"/>
            <w:noWrap/>
            <w:vAlign w:val="center"/>
          </w:tcPr>
          <w:p w14:paraId="4774D52E" w14:textId="77777777" w:rsidR="00CE1BDB" w:rsidRPr="00FA4DC7" w:rsidRDefault="00CE1BDB" w:rsidP="00EF49A7">
            <w:pPr>
              <w:jc w:val="right"/>
              <w:rPr>
                <w:rFonts w:cs="Arial"/>
                <w:color w:val="000000"/>
                <w:sz w:val="22"/>
                <w:szCs w:val="22"/>
              </w:rPr>
            </w:pPr>
            <w:r w:rsidRPr="00FA4DC7">
              <w:rPr>
                <w:rFonts w:cs="Arial"/>
                <w:color w:val="000000"/>
                <w:sz w:val="22"/>
                <w:szCs w:val="22"/>
              </w:rPr>
              <w:t>425</w:t>
            </w:r>
          </w:p>
        </w:tc>
        <w:tc>
          <w:tcPr>
            <w:tcW w:w="694" w:type="pct"/>
            <w:shd w:val="clear" w:color="auto" w:fill="auto"/>
            <w:noWrap/>
            <w:vAlign w:val="center"/>
          </w:tcPr>
          <w:p w14:paraId="68231EA6" w14:textId="77777777" w:rsidR="00CE1BDB" w:rsidRPr="00FA4DC7" w:rsidRDefault="00CE1BDB" w:rsidP="00EF49A7">
            <w:pPr>
              <w:jc w:val="right"/>
              <w:rPr>
                <w:rFonts w:cs="Arial"/>
                <w:color w:val="000000"/>
                <w:sz w:val="22"/>
                <w:szCs w:val="22"/>
              </w:rPr>
            </w:pPr>
            <w:r w:rsidRPr="00FA4DC7">
              <w:rPr>
                <w:rFonts w:cs="Arial"/>
                <w:color w:val="000000"/>
                <w:sz w:val="22"/>
                <w:szCs w:val="22"/>
              </w:rPr>
              <w:t>1.6%</w:t>
            </w:r>
          </w:p>
        </w:tc>
        <w:tc>
          <w:tcPr>
            <w:tcW w:w="733" w:type="pct"/>
            <w:shd w:val="clear" w:color="auto" w:fill="auto"/>
            <w:noWrap/>
            <w:vAlign w:val="center"/>
          </w:tcPr>
          <w:p w14:paraId="265BB773" w14:textId="77777777" w:rsidR="00CE1BDB" w:rsidRPr="00FA4DC7" w:rsidRDefault="00CE1BDB" w:rsidP="00EF49A7">
            <w:pPr>
              <w:jc w:val="right"/>
              <w:rPr>
                <w:rFonts w:cs="Arial"/>
                <w:color w:val="000000"/>
                <w:sz w:val="22"/>
                <w:szCs w:val="22"/>
              </w:rPr>
            </w:pPr>
            <w:r w:rsidRPr="00FA4DC7">
              <w:rPr>
                <w:rFonts w:cs="Arial"/>
                <w:color w:val="000000"/>
                <w:sz w:val="22"/>
                <w:szCs w:val="22"/>
              </w:rPr>
              <w:t>4.7%</w:t>
            </w:r>
          </w:p>
        </w:tc>
        <w:tc>
          <w:tcPr>
            <w:tcW w:w="564" w:type="pct"/>
            <w:shd w:val="clear" w:color="auto" w:fill="auto"/>
            <w:noWrap/>
            <w:vAlign w:val="center"/>
          </w:tcPr>
          <w:p w14:paraId="279974E5" w14:textId="77777777" w:rsidR="00CE1BDB" w:rsidRPr="00FA4DC7" w:rsidRDefault="00CE1BDB" w:rsidP="00EF49A7">
            <w:pPr>
              <w:jc w:val="right"/>
              <w:rPr>
                <w:rFonts w:cs="Arial"/>
                <w:color w:val="000000"/>
                <w:sz w:val="22"/>
                <w:szCs w:val="22"/>
              </w:rPr>
            </w:pPr>
            <w:r w:rsidRPr="00FA4DC7">
              <w:rPr>
                <w:rFonts w:cs="Arial"/>
                <w:color w:val="000000"/>
                <w:sz w:val="22"/>
                <w:szCs w:val="22"/>
              </w:rPr>
              <w:t>9,079</w:t>
            </w:r>
          </w:p>
        </w:tc>
      </w:tr>
      <w:tr w:rsidR="00CE1BDB" w:rsidRPr="00FA4DC7" w14:paraId="1D9A36E0" w14:textId="77777777" w:rsidTr="0049141B">
        <w:tc>
          <w:tcPr>
            <w:tcW w:w="912" w:type="pct"/>
            <w:vMerge/>
            <w:vAlign w:val="center"/>
          </w:tcPr>
          <w:p w14:paraId="6748B362"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6B1693A9" w14:textId="77777777" w:rsidR="00CE1BDB" w:rsidRPr="00FA4DC7" w:rsidRDefault="00CE1BDB" w:rsidP="0049141B">
            <w:pPr>
              <w:rPr>
                <w:rFonts w:cs="Arial"/>
                <w:color w:val="000000"/>
                <w:sz w:val="22"/>
                <w:szCs w:val="22"/>
              </w:rPr>
            </w:pPr>
            <w:r w:rsidRPr="00FA4DC7">
              <w:rPr>
                <w:rFonts w:cs="Arial"/>
                <w:color w:val="000000"/>
                <w:sz w:val="22"/>
                <w:szCs w:val="22"/>
              </w:rPr>
              <w:t xml:space="preserve">Luton and </w:t>
            </w:r>
            <w:proofErr w:type="spellStart"/>
            <w:r w:rsidRPr="00FA4DC7">
              <w:rPr>
                <w:rFonts w:cs="Arial"/>
                <w:color w:val="000000"/>
                <w:sz w:val="22"/>
                <w:szCs w:val="22"/>
              </w:rPr>
              <w:t>Wayfield</w:t>
            </w:r>
            <w:proofErr w:type="spellEnd"/>
          </w:p>
        </w:tc>
        <w:tc>
          <w:tcPr>
            <w:tcW w:w="541" w:type="pct"/>
            <w:shd w:val="clear" w:color="auto" w:fill="auto"/>
            <w:noWrap/>
            <w:vAlign w:val="center"/>
          </w:tcPr>
          <w:p w14:paraId="5C2BAB29" w14:textId="77777777" w:rsidR="00CE1BDB" w:rsidRPr="00FA4DC7" w:rsidRDefault="00CE1BDB" w:rsidP="00EF49A7">
            <w:pPr>
              <w:jc w:val="right"/>
              <w:rPr>
                <w:rFonts w:cs="Arial"/>
                <w:color w:val="000000"/>
                <w:sz w:val="22"/>
                <w:szCs w:val="22"/>
              </w:rPr>
            </w:pPr>
            <w:r w:rsidRPr="00FA4DC7">
              <w:rPr>
                <w:rFonts w:cs="Arial"/>
                <w:color w:val="000000"/>
                <w:sz w:val="22"/>
                <w:szCs w:val="22"/>
              </w:rPr>
              <w:t>1,799</w:t>
            </w:r>
          </w:p>
        </w:tc>
        <w:tc>
          <w:tcPr>
            <w:tcW w:w="694" w:type="pct"/>
            <w:shd w:val="clear" w:color="auto" w:fill="auto"/>
            <w:noWrap/>
            <w:vAlign w:val="center"/>
          </w:tcPr>
          <w:p w14:paraId="12522BF9" w14:textId="77777777" w:rsidR="00CE1BDB" w:rsidRPr="00FA4DC7" w:rsidRDefault="00CE1BDB" w:rsidP="00EF49A7">
            <w:pPr>
              <w:jc w:val="right"/>
              <w:rPr>
                <w:rFonts w:cs="Arial"/>
                <w:color w:val="000000"/>
                <w:sz w:val="22"/>
                <w:szCs w:val="22"/>
              </w:rPr>
            </w:pPr>
            <w:r w:rsidRPr="00FA4DC7">
              <w:rPr>
                <w:rFonts w:cs="Arial"/>
                <w:color w:val="000000"/>
                <w:sz w:val="22"/>
                <w:szCs w:val="22"/>
              </w:rPr>
              <w:t>6.6%</w:t>
            </w:r>
          </w:p>
        </w:tc>
        <w:tc>
          <w:tcPr>
            <w:tcW w:w="733" w:type="pct"/>
            <w:shd w:val="clear" w:color="auto" w:fill="auto"/>
            <w:noWrap/>
            <w:vAlign w:val="center"/>
          </w:tcPr>
          <w:p w14:paraId="756DAE65" w14:textId="77777777" w:rsidR="00CE1BDB" w:rsidRPr="00FA4DC7" w:rsidRDefault="00CE1BDB" w:rsidP="00EF49A7">
            <w:pPr>
              <w:jc w:val="right"/>
              <w:rPr>
                <w:rFonts w:cs="Arial"/>
                <w:color w:val="000000"/>
                <w:sz w:val="22"/>
                <w:szCs w:val="22"/>
              </w:rPr>
            </w:pPr>
            <w:r w:rsidRPr="00FA4DC7">
              <w:rPr>
                <w:rFonts w:cs="Arial"/>
                <w:color w:val="000000"/>
                <w:sz w:val="22"/>
                <w:szCs w:val="22"/>
              </w:rPr>
              <w:t>12.5%</w:t>
            </w:r>
          </w:p>
        </w:tc>
        <w:tc>
          <w:tcPr>
            <w:tcW w:w="564" w:type="pct"/>
            <w:shd w:val="clear" w:color="auto" w:fill="auto"/>
            <w:noWrap/>
            <w:vAlign w:val="center"/>
          </w:tcPr>
          <w:p w14:paraId="0BC848B6" w14:textId="77777777" w:rsidR="00CE1BDB" w:rsidRPr="00FA4DC7" w:rsidRDefault="00CE1BDB" w:rsidP="00EF49A7">
            <w:pPr>
              <w:jc w:val="right"/>
              <w:rPr>
                <w:rFonts w:cs="Arial"/>
                <w:color w:val="000000"/>
                <w:sz w:val="22"/>
                <w:szCs w:val="22"/>
              </w:rPr>
            </w:pPr>
            <w:r w:rsidRPr="00FA4DC7">
              <w:rPr>
                <w:rFonts w:cs="Arial"/>
                <w:color w:val="000000"/>
                <w:sz w:val="22"/>
                <w:szCs w:val="22"/>
              </w:rPr>
              <w:t>14,379</w:t>
            </w:r>
          </w:p>
        </w:tc>
      </w:tr>
      <w:tr w:rsidR="00CE1BDB" w:rsidRPr="00FA4DC7" w14:paraId="4156AD09" w14:textId="77777777" w:rsidTr="0049141B">
        <w:tc>
          <w:tcPr>
            <w:tcW w:w="912" w:type="pct"/>
            <w:vMerge/>
            <w:vAlign w:val="center"/>
          </w:tcPr>
          <w:p w14:paraId="4037F12A"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3D2B9E2B" w14:textId="77777777" w:rsidR="00CE1BDB" w:rsidRPr="00FA4DC7" w:rsidRDefault="00CE1BDB" w:rsidP="0049141B">
            <w:pPr>
              <w:rPr>
                <w:rFonts w:cs="Arial"/>
                <w:color w:val="000000"/>
                <w:sz w:val="22"/>
                <w:szCs w:val="22"/>
              </w:rPr>
            </w:pPr>
            <w:r w:rsidRPr="00FA4DC7">
              <w:rPr>
                <w:rFonts w:cs="Arial"/>
                <w:color w:val="000000"/>
                <w:sz w:val="22"/>
                <w:szCs w:val="22"/>
              </w:rPr>
              <w:t>Peninsula</w:t>
            </w:r>
          </w:p>
        </w:tc>
        <w:tc>
          <w:tcPr>
            <w:tcW w:w="541" w:type="pct"/>
            <w:shd w:val="clear" w:color="auto" w:fill="auto"/>
            <w:noWrap/>
            <w:vAlign w:val="center"/>
          </w:tcPr>
          <w:p w14:paraId="4D5F9D27" w14:textId="77777777" w:rsidR="00CE1BDB" w:rsidRPr="00FA4DC7" w:rsidRDefault="00CE1BDB" w:rsidP="00EF49A7">
            <w:pPr>
              <w:jc w:val="right"/>
              <w:rPr>
                <w:rFonts w:cs="Arial"/>
                <w:color w:val="000000"/>
                <w:sz w:val="22"/>
                <w:szCs w:val="22"/>
              </w:rPr>
            </w:pPr>
            <w:r w:rsidRPr="00FA4DC7">
              <w:rPr>
                <w:rFonts w:cs="Arial"/>
                <w:color w:val="000000"/>
                <w:sz w:val="22"/>
                <w:szCs w:val="22"/>
              </w:rPr>
              <w:t>441</w:t>
            </w:r>
          </w:p>
        </w:tc>
        <w:tc>
          <w:tcPr>
            <w:tcW w:w="694" w:type="pct"/>
            <w:shd w:val="clear" w:color="auto" w:fill="auto"/>
            <w:noWrap/>
            <w:vAlign w:val="center"/>
          </w:tcPr>
          <w:p w14:paraId="681CD096" w14:textId="77777777" w:rsidR="00CE1BDB" w:rsidRPr="00FA4DC7" w:rsidRDefault="00CE1BDB" w:rsidP="00EF49A7">
            <w:pPr>
              <w:jc w:val="right"/>
              <w:rPr>
                <w:rFonts w:cs="Arial"/>
                <w:color w:val="000000"/>
                <w:sz w:val="22"/>
                <w:szCs w:val="22"/>
              </w:rPr>
            </w:pPr>
            <w:r w:rsidRPr="00FA4DC7">
              <w:rPr>
                <w:rFonts w:cs="Arial"/>
                <w:color w:val="000000"/>
                <w:sz w:val="22"/>
                <w:szCs w:val="22"/>
              </w:rPr>
              <w:t>1.6%</w:t>
            </w:r>
          </w:p>
        </w:tc>
        <w:tc>
          <w:tcPr>
            <w:tcW w:w="733" w:type="pct"/>
            <w:shd w:val="clear" w:color="auto" w:fill="auto"/>
            <w:noWrap/>
            <w:vAlign w:val="center"/>
          </w:tcPr>
          <w:p w14:paraId="347AE827" w14:textId="77777777" w:rsidR="00CE1BDB" w:rsidRPr="00FA4DC7" w:rsidRDefault="00CE1BDB" w:rsidP="00EF49A7">
            <w:pPr>
              <w:jc w:val="right"/>
              <w:rPr>
                <w:rFonts w:cs="Arial"/>
                <w:color w:val="000000"/>
                <w:sz w:val="22"/>
                <w:szCs w:val="22"/>
              </w:rPr>
            </w:pPr>
            <w:r w:rsidRPr="00FA4DC7">
              <w:rPr>
                <w:rFonts w:cs="Arial"/>
                <w:color w:val="000000"/>
                <w:sz w:val="22"/>
                <w:szCs w:val="22"/>
              </w:rPr>
              <w:t>3.2%</w:t>
            </w:r>
          </w:p>
        </w:tc>
        <w:tc>
          <w:tcPr>
            <w:tcW w:w="564" w:type="pct"/>
            <w:shd w:val="clear" w:color="auto" w:fill="auto"/>
            <w:noWrap/>
            <w:vAlign w:val="center"/>
          </w:tcPr>
          <w:p w14:paraId="6A28FBF4" w14:textId="77777777" w:rsidR="00CE1BDB" w:rsidRPr="00FA4DC7" w:rsidRDefault="00CE1BDB" w:rsidP="00EF49A7">
            <w:pPr>
              <w:jc w:val="right"/>
              <w:rPr>
                <w:rFonts w:cs="Arial"/>
                <w:color w:val="000000"/>
                <w:sz w:val="22"/>
                <w:szCs w:val="22"/>
              </w:rPr>
            </w:pPr>
            <w:r w:rsidRPr="00FA4DC7">
              <w:rPr>
                <w:rFonts w:cs="Arial"/>
                <w:color w:val="000000"/>
                <w:sz w:val="22"/>
                <w:szCs w:val="22"/>
              </w:rPr>
              <w:t>13,656</w:t>
            </w:r>
          </w:p>
        </w:tc>
      </w:tr>
      <w:tr w:rsidR="00CE1BDB" w:rsidRPr="00FA4DC7" w14:paraId="66E3066C" w14:textId="77777777" w:rsidTr="0049141B">
        <w:tc>
          <w:tcPr>
            <w:tcW w:w="912" w:type="pct"/>
            <w:vMerge/>
            <w:vAlign w:val="center"/>
          </w:tcPr>
          <w:p w14:paraId="3539139A"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69B1D2E9" w14:textId="77777777" w:rsidR="00CE1BDB" w:rsidRPr="00FA4DC7" w:rsidRDefault="00CE1BDB" w:rsidP="0049141B">
            <w:pPr>
              <w:rPr>
                <w:rFonts w:cs="Arial"/>
                <w:color w:val="000000"/>
                <w:sz w:val="22"/>
                <w:szCs w:val="22"/>
              </w:rPr>
            </w:pPr>
            <w:r w:rsidRPr="00FA4DC7">
              <w:rPr>
                <w:rFonts w:cs="Arial"/>
                <w:color w:val="000000"/>
                <w:sz w:val="22"/>
                <w:szCs w:val="22"/>
              </w:rPr>
              <w:t>Princes Park</w:t>
            </w:r>
          </w:p>
        </w:tc>
        <w:tc>
          <w:tcPr>
            <w:tcW w:w="541" w:type="pct"/>
            <w:shd w:val="clear" w:color="auto" w:fill="auto"/>
            <w:noWrap/>
            <w:vAlign w:val="center"/>
          </w:tcPr>
          <w:p w14:paraId="65F517EC" w14:textId="77777777" w:rsidR="00CE1BDB" w:rsidRPr="00FA4DC7" w:rsidRDefault="00CE1BDB" w:rsidP="00EF49A7">
            <w:pPr>
              <w:jc w:val="right"/>
              <w:rPr>
                <w:rFonts w:cs="Arial"/>
                <w:color w:val="000000"/>
                <w:sz w:val="22"/>
                <w:szCs w:val="22"/>
              </w:rPr>
            </w:pPr>
            <w:r w:rsidRPr="00FA4DC7">
              <w:rPr>
                <w:rFonts w:cs="Arial"/>
                <w:color w:val="000000"/>
                <w:sz w:val="22"/>
                <w:szCs w:val="22"/>
              </w:rPr>
              <w:t>783</w:t>
            </w:r>
          </w:p>
        </w:tc>
        <w:tc>
          <w:tcPr>
            <w:tcW w:w="694" w:type="pct"/>
            <w:shd w:val="clear" w:color="auto" w:fill="auto"/>
            <w:noWrap/>
            <w:vAlign w:val="center"/>
          </w:tcPr>
          <w:p w14:paraId="06A3AC6D" w14:textId="77777777" w:rsidR="00CE1BDB" w:rsidRPr="00FA4DC7" w:rsidRDefault="00CE1BDB" w:rsidP="00EF49A7">
            <w:pPr>
              <w:jc w:val="right"/>
              <w:rPr>
                <w:rFonts w:cs="Arial"/>
                <w:color w:val="000000"/>
                <w:sz w:val="22"/>
                <w:szCs w:val="22"/>
              </w:rPr>
            </w:pPr>
            <w:r w:rsidRPr="00FA4DC7">
              <w:rPr>
                <w:rFonts w:cs="Arial"/>
                <w:color w:val="000000"/>
                <w:sz w:val="22"/>
                <w:szCs w:val="22"/>
              </w:rPr>
              <w:t>2.9%</w:t>
            </w:r>
          </w:p>
        </w:tc>
        <w:tc>
          <w:tcPr>
            <w:tcW w:w="733" w:type="pct"/>
            <w:shd w:val="clear" w:color="auto" w:fill="auto"/>
            <w:noWrap/>
            <w:vAlign w:val="center"/>
          </w:tcPr>
          <w:p w14:paraId="501A9675" w14:textId="77777777" w:rsidR="00CE1BDB" w:rsidRPr="00FA4DC7" w:rsidRDefault="00CE1BDB" w:rsidP="00EF49A7">
            <w:pPr>
              <w:jc w:val="right"/>
              <w:rPr>
                <w:rFonts w:cs="Arial"/>
                <w:color w:val="000000"/>
                <w:sz w:val="22"/>
                <w:szCs w:val="22"/>
              </w:rPr>
            </w:pPr>
            <w:r w:rsidRPr="00FA4DC7">
              <w:rPr>
                <w:rFonts w:cs="Arial"/>
                <w:color w:val="000000"/>
                <w:sz w:val="22"/>
                <w:szCs w:val="22"/>
              </w:rPr>
              <w:t>7.5%</w:t>
            </w:r>
          </w:p>
        </w:tc>
        <w:tc>
          <w:tcPr>
            <w:tcW w:w="564" w:type="pct"/>
            <w:shd w:val="clear" w:color="auto" w:fill="auto"/>
            <w:noWrap/>
            <w:vAlign w:val="center"/>
          </w:tcPr>
          <w:p w14:paraId="270ADD93" w14:textId="77777777" w:rsidR="00CE1BDB" w:rsidRPr="00FA4DC7" w:rsidRDefault="00CE1BDB" w:rsidP="00EF49A7">
            <w:pPr>
              <w:jc w:val="right"/>
              <w:rPr>
                <w:rFonts w:cs="Arial"/>
                <w:color w:val="000000"/>
                <w:sz w:val="22"/>
                <w:szCs w:val="22"/>
              </w:rPr>
            </w:pPr>
            <w:r w:rsidRPr="00FA4DC7">
              <w:rPr>
                <w:rFonts w:cs="Arial"/>
                <w:color w:val="000000"/>
                <w:sz w:val="22"/>
                <w:szCs w:val="22"/>
              </w:rPr>
              <w:t>10,433</w:t>
            </w:r>
          </w:p>
        </w:tc>
      </w:tr>
      <w:tr w:rsidR="00CE1BDB" w:rsidRPr="00FA4DC7" w14:paraId="4A56E540" w14:textId="77777777" w:rsidTr="0049141B">
        <w:tc>
          <w:tcPr>
            <w:tcW w:w="912" w:type="pct"/>
            <w:vMerge/>
            <w:vAlign w:val="center"/>
          </w:tcPr>
          <w:p w14:paraId="2E7A5C04"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2728C5D2" w14:textId="77777777" w:rsidR="00CE1BDB" w:rsidRPr="00FA4DC7" w:rsidRDefault="00CE1BDB" w:rsidP="0049141B">
            <w:pPr>
              <w:rPr>
                <w:rFonts w:cs="Arial"/>
                <w:color w:val="000000"/>
                <w:sz w:val="22"/>
                <w:szCs w:val="22"/>
              </w:rPr>
            </w:pPr>
            <w:r w:rsidRPr="00FA4DC7">
              <w:rPr>
                <w:rFonts w:cs="Arial"/>
                <w:color w:val="000000"/>
                <w:sz w:val="22"/>
                <w:szCs w:val="22"/>
              </w:rPr>
              <w:t>Rainham Central</w:t>
            </w:r>
          </w:p>
        </w:tc>
        <w:tc>
          <w:tcPr>
            <w:tcW w:w="541" w:type="pct"/>
            <w:shd w:val="clear" w:color="auto" w:fill="auto"/>
            <w:noWrap/>
            <w:vAlign w:val="center"/>
          </w:tcPr>
          <w:p w14:paraId="6239BDE3" w14:textId="77777777" w:rsidR="00CE1BDB" w:rsidRPr="00FA4DC7" w:rsidRDefault="00CE1BDB" w:rsidP="00EF49A7">
            <w:pPr>
              <w:jc w:val="right"/>
              <w:rPr>
                <w:rFonts w:cs="Arial"/>
                <w:color w:val="000000"/>
                <w:sz w:val="22"/>
                <w:szCs w:val="22"/>
              </w:rPr>
            </w:pPr>
            <w:r w:rsidRPr="00FA4DC7">
              <w:rPr>
                <w:rFonts w:cs="Arial"/>
                <w:color w:val="000000"/>
                <w:sz w:val="22"/>
                <w:szCs w:val="22"/>
              </w:rPr>
              <w:t>680</w:t>
            </w:r>
          </w:p>
        </w:tc>
        <w:tc>
          <w:tcPr>
            <w:tcW w:w="694" w:type="pct"/>
            <w:shd w:val="clear" w:color="auto" w:fill="auto"/>
            <w:noWrap/>
            <w:vAlign w:val="center"/>
          </w:tcPr>
          <w:p w14:paraId="5C369AEF" w14:textId="77777777" w:rsidR="00CE1BDB" w:rsidRPr="00FA4DC7" w:rsidRDefault="00CE1BDB" w:rsidP="00EF49A7">
            <w:pPr>
              <w:jc w:val="right"/>
              <w:rPr>
                <w:rFonts w:cs="Arial"/>
                <w:color w:val="000000"/>
                <w:sz w:val="22"/>
                <w:szCs w:val="22"/>
              </w:rPr>
            </w:pPr>
            <w:r w:rsidRPr="00FA4DC7">
              <w:rPr>
                <w:rFonts w:cs="Arial"/>
                <w:color w:val="000000"/>
                <w:sz w:val="22"/>
                <w:szCs w:val="22"/>
              </w:rPr>
              <w:t>2.5%</w:t>
            </w:r>
          </w:p>
        </w:tc>
        <w:tc>
          <w:tcPr>
            <w:tcW w:w="733" w:type="pct"/>
            <w:shd w:val="clear" w:color="auto" w:fill="auto"/>
            <w:noWrap/>
            <w:vAlign w:val="center"/>
          </w:tcPr>
          <w:p w14:paraId="35E2AB20" w14:textId="77777777" w:rsidR="00CE1BDB" w:rsidRPr="00FA4DC7" w:rsidRDefault="00CE1BDB" w:rsidP="00EF49A7">
            <w:pPr>
              <w:jc w:val="right"/>
              <w:rPr>
                <w:rFonts w:cs="Arial"/>
                <w:color w:val="000000"/>
                <w:sz w:val="22"/>
                <w:szCs w:val="22"/>
              </w:rPr>
            </w:pPr>
            <w:r w:rsidRPr="00FA4DC7">
              <w:rPr>
                <w:rFonts w:cs="Arial"/>
                <w:color w:val="000000"/>
                <w:sz w:val="22"/>
                <w:szCs w:val="22"/>
              </w:rPr>
              <w:t>5.6%</w:t>
            </w:r>
          </w:p>
        </w:tc>
        <w:tc>
          <w:tcPr>
            <w:tcW w:w="564" w:type="pct"/>
            <w:shd w:val="clear" w:color="auto" w:fill="auto"/>
            <w:noWrap/>
            <w:vAlign w:val="center"/>
          </w:tcPr>
          <w:p w14:paraId="53CBBE78" w14:textId="77777777" w:rsidR="00CE1BDB" w:rsidRPr="00FA4DC7" w:rsidRDefault="00CE1BDB" w:rsidP="00EF49A7">
            <w:pPr>
              <w:jc w:val="right"/>
              <w:rPr>
                <w:rFonts w:cs="Arial"/>
                <w:color w:val="000000"/>
                <w:sz w:val="22"/>
                <w:szCs w:val="22"/>
              </w:rPr>
            </w:pPr>
            <w:r w:rsidRPr="00FA4DC7">
              <w:rPr>
                <w:rFonts w:cs="Arial"/>
                <w:color w:val="000000"/>
                <w:sz w:val="22"/>
                <w:szCs w:val="22"/>
              </w:rPr>
              <w:t>12,252</w:t>
            </w:r>
          </w:p>
        </w:tc>
      </w:tr>
      <w:tr w:rsidR="00CE1BDB" w:rsidRPr="00FA4DC7" w14:paraId="1CD119B1" w14:textId="77777777" w:rsidTr="0049141B">
        <w:tc>
          <w:tcPr>
            <w:tcW w:w="912" w:type="pct"/>
            <w:vMerge/>
            <w:vAlign w:val="center"/>
          </w:tcPr>
          <w:p w14:paraId="02A5920F"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24E0F9B4" w14:textId="77777777" w:rsidR="00CE1BDB" w:rsidRPr="00FA4DC7" w:rsidRDefault="00CE1BDB" w:rsidP="0049141B">
            <w:pPr>
              <w:rPr>
                <w:rFonts w:cs="Arial"/>
                <w:color w:val="000000"/>
                <w:sz w:val="22"/>
                <w:szCs w:val="22"/>
              </w:rPr>
            </w:pPr>
            <w:r w:rsidRPr="00FA4DC7">
              <w:rPr>
                <w:rFonts w:cs="Arial"/>
                <w:color w:val="000000"/>
                <w:sz w:val="22"/>
                <w:szCs w:val="22"/>
              </w:rPr>
              <w:t>Rainham North</w:t>
            </w:r>
          </w:p>
        </w:tc>
        <w:tc>
          <w:tcPr>
            <w:tcW w:w="541" w:type="pct"/>
            <w:shd w:val="clear" w:color="auto" w:fill="auto"/>
            <w:noWrap/>
            <w:vAlign w:val="center"/>
          </w:tcPr>
          <w:p w14:paraId="65D84755" w14:textId="77777777" w:rsidR="00CE1BDB" w:rsidRPr="00FA4DC7" w:rsidRDefault="00CE1BDB" w:rsidP="00EF49A7">
            <w:pPr>
              <w:jc w:val="right"/>
              <w:rPr>
                <w:rFonts w:cs="Arial"/>
                <w:color w:val="000000"/>
                <w:sz w:val="22"/>
                <w:szCs w:val="22"/>
              </w:rPr>
            </w:pPr>
            <w:r w:rsidRPr="00FA4DC7">
              <w:rPr>
                <w:rFonts w:cs="Arial"/>
                <w:color w:val="000000"/>
                <w:sz w:val="22"/>
                <w:szCs w:val="22"/>
              </w:rPr>
              <w:t>496</w:t>
            </w:r>
          </w:p>
        </w:tc>
        <w:tc>
          <w:tcPr>
            <w:tcW w:w="694" w:type="pct"/>
            <w:shd w:val="clear" w:color="auto" w:fill="auto"/>
            <w:noWrap/>
            <w:vAlign w:val="center"/>
          </w:tcPr>
          <w:p w14:paraId="353569A9" w14:textId="77777777" w:rsidR="00CE1BDB" w:rsidRPr="00FA4DC7" w:rsidRDefault="00CE1BDB" w:rsidP="00EF49A7">
            <w:pPr>
              <w:jc w:val="right"/>
              <w:rPr>
                <w:rFonts w:cs="Arial"/>
                <w:color w:val="000000"/>
                <w:sz w:val="22"/>
                <w:szCs w:val="22"/>
              </w:rPr>
            </w:pPr>
            <w:r w:rsidRPr="00FA4DC7">
              <w:rPr>
                <w:rFonts w:cs="Arial"/>
                <w:color w:val="000000"/>
                <w:sz w:val="22"/>
                <w:szCs w:val="22"/>
              </w:rPr>
              <w:t>1.8%</w:t>
            </w:r>
          </w:p>
        </w:tc>
        <w:tc>
          <w:tcPr>
            <w:tcW w:w="733" w:type="pct"/>
            <w:shd w:val="clear" w:color="auto" w:fill="auto"/>
            <w:noWrap/>
            <w:vAlign w:val="center"/>
          </w:tcPr>
          <w:p w14:paraId="5D2353CE" w14:textId="77777777" w:rsidR="00CE1BDB" w:rsidRPr="00FA4DC7" w:rsidRDefault="00CE1BDB" w:rsidP="00EF49A7">
            <w:pPr>
              <w:jc w:val="right"/>
              <w:rPr>
                <w:rFonts w:cs="Arial"/>
                <w:color w:val="000000"/>
                <w:sz w:val="22"/>
                <w:szCs w:val="22"/>
              </w:rPr>
            </w:pPr>
            <w:r w:rsidRPr="00FA4DC7">
              <w:rPr>
                <w:rFonts w:cs="Arial"/>
                <w:color w:val="000000"/>
                <w:sz w:val="22"/>
                <w:szCs w:val="22"/>
              </w:rPr>
              <w:t>5.8%</w:t>
            </w:r>
          </w:p>
        </w:tc>
        <w:tc>
          <w:tcPr>
            <w:tcW w:w="564" w:type="pct"/>
            <w:shd w:val="clear" w:color="auto" w:fill="auto"/>
            <w:noWrap/>
            <w:vAlign w:val="center"/>
          </w:tcPr>
          <w:p w14:paraId="2F52F6C1" w14:textId="77777777" w:rsidR="00CE1BDB" w:rsidRPr="00FA4DC7" w:rsidRDefault="00CE1BDB" w:rsidP="00EF49A7">
            <w:pPr>
              <w:jc w:val="right"/>
              <w:rPr>
                <w:rFonts w:cs="Arial"/>
                <w:color w:val="000000"/>
                <w:sz w:val="22"/>
                <w:szCs w:val="22"/>
              </w:rPr>
            </w:pPr>
            <w:r w:rsidRPr="00FA4DC7">
              <w:rPr>
                <w:rFonts w:cs="Arial"/>
                <w:color w:val="000000"/>
                <w:sz w:val="22"/>
                <w:szCs w:val="22"/>
              </w:rPr>
              <w:t>8,563</w:t>
            </w:r>
          </w:p>
        </w:tc>
      </w:tr>
      <w:tr w:rsidR="00CE1BDB" w:rsidRPr="00FA4DC7" w14:paraId="27193229" w14:textId="77777777" w:rsidTr="0049141B">
        <w:tc>
          <w:tcPr>
            <w:tcW w:w="912" w:type="pct"/>
            <w:vMerge/>
            <w:vAlign w:val="center"/>
          </w:tcPr>
          <w:p w14:paraId="1CD34B08"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70F2406E" w14:textId="77777777" w:rsidR="00CE1BDB" w:rsidRPr="00FA4DC7" w:rsidRDefault="00CE1BDB" w:rsidP="0049141B">
            <w:pPr>
              <w:rPr>
                <w:rFonts w:cs="Arial"/>
                <w:color w:val="000000"/>
                <w:sz w:val="22"/>
                <w:szCs w:val="22"/>
              </w:rPr>
            </w:pPr>
            <w:r w:rsidRPr="00FA4DC7">
              <w:rPr>
                <w:rFonts w:cs="Arial"/>
                <w:color w:val="000000"/>
                <w:sz w:val="22"/>
                <w:szCs w:val="22"/>
              </w:rPr>
              <w:t>Rainham South</w:t>
            </w:r>
          </w:p>
        </w:tc>
        <w:tc>
          <w:tcPr>
            <w:tcW w:w="541" w:type="pct"/>
            <w:shd w:val="clear" w:color="auto" w:fill="auto"/>
            <w:noWrap/>
            <w:vAlign w:val="center"/>
          </w:tcPr>
          <w:p w14:paraId="189EA397" w14:textId="77777777" w:rsidR="00CE1BDB" w:rsidRPr="00FA4DC7" w:rsidRDefault="00CE1BDB" w:rsidP="00EF49A7">
            <w:pPr>
              <w:jc w:val="right"/>
              <w:rPr>
                <w:rFonts w:cs="Arial"/>
                <w:color w:val="000000"/>
                <w:sz w:val="22"/>
                <w:szCs w:val="22"/>
              </w:rPr>
            </w:pPr>
            <w:r w:rsidRPr="00FA4DC7">
              <w:rPr>
                <w:rFonts w:cs="Arial"/>
                <w:color w:val="000000"/>
                <w:sz w:val="22"/>
                <w:szCs w:val="22"/>
              </w:rPr>
              <w:t>631</w:t>
            </w:r>
          </w:p>
        </w:tc>
        <w:tc>
          <w:tcPr>
            <w:tcW w:w="694" w:type="pct"/>
            <w:shd w:val="clear" w:color="auto" w:fill="auto"/>
            <w:noWrap/>
            <w:vAlign w:val="center"/>
          </w:tcPr>
          <w:p w14:paraId="18F6936D" w14:textId="77777777" w:rsidR="00CE1BDB" w:rsidRPr="00FA4DC7" w:rsidRDefault="00CE1BDB" w:rsidP="00EF49A7">
            <w:pPr>
              <w:jc w:val="right"/>
              <w:rPr>
                <w:rFonts w:cs="Arial"/>
                <w:color w:val="000000"/>
                <w:sz w:val="22"/>
                <w:szCs w:val="22"/>
              </w:rPr>
            </w:pPr>
            <w:r w:rsidRPr="00FA4DC7">
              <w:rPr>
                <w:rFonts w:cs="Arial"/>
                <w:color w:val="000000"/>
                <w:sz w:val="22"/>
                <w:szCs w:val="22"/>
              </w:rPr>
              <w:t>2.3%</w:t>
            </w:r>
          </w:p>
        </w:tc>
        <w:tc>
          <w:tcPr>
            <w:tcW w:w="733" w:type="pct"/>
            <w:shd w:val="clear" w:color="auto" w:fill="auto"/>
            <w:noWrap/>
            <w:vAlign w:val="center"/>
          </w:tcPr>
          <w:p w14:paraId="46827F95" w14:textId="77777777" w:rsidR="00CE1BDB" w:rsidRPr="00FA4DC7" w:rsidRDefault="00CE1BDB" w:rsidP="00EF49A7">
            <w:pPr>
              <w:jc w:val="right"/>
              <w:rPr>
                <w:rFonts w:cs="Arial"/>
                <w:color w:val="000000"/>
                <w:sz w:val="22"/>
                <w:szCs w:val="22"/>
              </w:rPr>
            </w:pPr>
            <w:r w:rsidRPr="00FA4DC7">
              <w:rPr>
                <w:rFonts w:cs="Arial"/>
                <w:color w:val="000000"/>
                <w:sz w:val="22"/>
                <w:szCs w:val="22"/>
              </w:rPr>
              <w:t>4.8%</w:t>
            </w:r>
          </w:p>
        </w:tc>
        <w:tc>
          <w:tcPr>
            <w:tcW w:w="564" w:type="pct"/>
            <w:shd w:val="clear" w:color="auto" w:fill="auto"/>
            <w:noWrap/>
            <w:vAlign w:val="center"/>
          </w:tcPr>
          <w:p w14:paraId="17655FCE" w14:textId="77777777" w:rsidR="00CE1BDB" w:rsidRPr="00FA4DC7" w:rsidRDefault="00CE1BDB" w:rsidP="00EF49A7">
            <w:pPr>
              <w:jc w:val="right"/>
              <w:rPr>
                <w:rFonts w:cs="Arial"/>
                <w:color w:val="000000"/>
                <w:sz w:val="22"/>
                <w:szCs w:val="22"/>
              </w:rPr>
            </w:pPr>
            <w:r w:rsidRPr="00FA4DC7">
              <w:rPr>
                <w:rFonts w:cs="Arial"/>
                <w:color w:val="000000"/>
                <w:sz w:val="22"/>
                <w:szCs w:val="22"/>
              </w:rPr>
              <w:t>13,273</w:t>
            </w:r>
          </w:p>
        </w:tc>
      </w:tr>
      <w:tr w:rsidR="00CE1BDB" w:rsidRPr="00FA4DC7" w14:paraId="27288C3C" w14:textId="77777777" w:rsidTr="0049141B">
        <w:tc>
          <w:tcPr>
            <w:tcW w:w="912" w:type="pct"/>
            <w:vMerge/>
            <w:vAlign w:val="center"/>
          </w:tcPr>
          <w:p w14:paraId="0CA61DF3"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5BD79897" w14:textId="77777777" w:rsidR="00CE1BDB" w:rsidRPr="00FA4DC7" w:rsidRDefault="00CE1BDB" w:rsidP="0049141B">
            <w:pPr>
              <w:rPr>
                <w:rFonts w:cs="Arial"/>
                <w:color w:val="000000"/>
                <w:sz w:val="22"/>
                <w:szCs w:val="22"/>
              </w:rPr>
            </w:pPr>
            <w:r w:rsidRPr="00FA4DC7">
              <w:rPr>
                <w:rFonts w:cs="Arial"/>
                <w:color w:val="000000"/>
                <w:sz w:val="22"/>
                <w:szCs w:val="22"/>
              </w:rPr>
              <w:t>River</w:t>
            </w:r>
          </w:p>
        </w:tc>
        <w:tc>
          <w:tcPr>
            <w:tcW w:w="541" w:type="pct"/>
            <w:shd w:val="clear" w:color="auto" w:fill="auto"/>
            <w:noWrap/>
            <w:vAlign w:val="center"/>
          </w:tcPr>
          <w:p w14:paraId="7905C439" w14:textId="77777777" w:rsidR="00CE1BDB" w:rsidRPr="00FA4DC7" w:rsidRDefault="00CE1BDB" w:rsidP="00EF49A7">
            <w:pPr>
              <w:jc w:val="right"/>
              <w:rPr>
                <w:rFonts w:cs="Arial"/>
                <w:color w:val="000000"/>
                <w:sz w:val="22"/>
                <w:szCs w:val="22"/>
              </w:rPr>
            </w:pPr>
            <w:r w:rsidRPr="00FA4DC7">
              <w:rPr>
                <w:rFonts w:cs="Arial"/>
                <w:color w:val="000000"/>
                <w:sz w:val="22"/>
                <w:szCs w:val="22"/>
              </w:rPr>
              <w:t>1,800</w:t>
            </w:r>
          </w:p>
        </w:tc>
        <w:tc>
          <w:tcPr>
            <w:tcW w:w="694" w:type="pct"/>
            <w:shd w:val="clear" w:color="auto" w:fill="auto"/>
            <w:noWrap/>
            <w:vAlign w:val="center"/>
          </w:tcPr>
          <w:p w14:paraId="6D45CA12" w14:textId="77777777" w:rsidR="00CE1BDB" w:rsidRPr="00FA4DC7" w:rsidRDefault="00CE1BDB" w:rsidP="00EF49A7">
            <w:pPr>
              <w:jc w:val="right"/>
              <w:rPr>
                <w:rFonts w:cs="Arial"/>
                <w:color w:val="000000"/>
                <w:sz w:val="22"/>
                <w:szCs w:val="22"/>
              </w:rPr>
            </w:pPr>
            <w:r w:rsidRPr="00FA4DC7">
              <w:rPr>
                <w:rFonts w:cs="Arial"/>
                <w:color w:val="000000"/>
                <w:sz w:val="22"/>
                <w:szCs w:val="22"/>
              </w:rPr>
              <w:t>6.6%</w:t>
            </w:r>
          </w:p>
        </w:tc>
        <w:tc>
          <w:tcPr>
            <w:tcW w:w="733" w:type="pct"/>
            <w:shd w:val="clear" w:color="auto" w:fill="auto"/>
            <w:noWrap/>
            <w:vAlign w:val="center"/>
          </w:tcPr>
          <w:p w14:paraId="29660F0C" w14:textId="77777777" w:rsidR="00CE1BDB" w:rsidRPr="00FA4DC7" w:rsidRDefault="00CE1BDB" w:rsidP="00EF49A7">
            <w:pPr>
              <w:jc w:val="right"/>
              <w:rPr>
                <w:rFonts w:cs="Arial"/>
                <w:color w:val="000000"/>
                <w:sz w:val="22"/>
                <w:szCs w:val="22"/>
              </w:rPr>
            </w:pPr>
            <w:r w:rsidRPr="00FA4DC7">
              <w:rPr>
                <w:rFonts w:cs="Arial"/>
                <w:color w:val="000000"/>
                <w:sz w:val="22"/>
                <w:szCs w:val="22"/>
              </w:rPr>
              <w:t>18.5%</w:t>
            </w:r>
          </w:p>
        </w:tc>
        <w:tc>
          <w:tcPr>
            <w:tcW w:w="564" w:type="pct"/>
            <w:shd w:val="clear" w:color="auto" w:fill="auto"/>
            <w:noWrap/>
            <w:vAlign w:val="center"/>
          </w:tcPr>
          <w:p w14:paraId="4B5C1899" w14:textId="77777777" w:rsidR="00CE1BDB" w:rsidRPr="00FA4DC7" w:rsidRDefault="00CE1BDB" w:rsidP="00EF49A7">
            <w:pPr>
              <w:jc w:val="right"/>
              <w:rPr>
                <w:rFonts w:cs="Arial"/>
                <w:color w:val="000000"/>
                <w:sz w:val="22"/>
                <w:szCs w:val="22"/>
              </w:rPr>
            </w:pPr>
            <w:r w:rsidRPr="00FA4DC7">
              <w:rPr>
                <w:rFonts w:cs="Arial"/>
                <w:color w:val="000000"/>
                <w:sz w:val="22"/>
                <w:szCs w:val="22"/>
              </w:rPr>
              <w:t>9,712</w:t>
            </w:r>
          </w:p>
        </w:tc>
      </w:tr>
      <w:tr w:rsidR="00CE1BDB" w:rsidRPr="00FA4DC7" w14:paraId="350D771E" w14:textId="77777777" w:rsidTr="0049141B">
        <w:tc>
          <w:tcPr>
            <w:tcW w:w="912" w:type="pct"/>
            <w:vMerge/>
            <w:vAlign w:val="center"/>
          </w:tcPr>
          <w:p w14:paraId="5998ADCA"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51500FF9" w14:textId="77777777" w:rsidR="00CE1BDB" w:rsidRPr="00FA4DC7" w:rsidRDefault="00CE1BDB" w:rsidP="0049141B">
            <w:pPr>
              <w:rPr>
                <w:rFonts w:cs="Arial"/>
                <w:color w:val="000000"/>
                <w:sz w:val="22"/>
                <w:szCs w:val="22"/>
              </w:rPr>
            </w:pPr>
            <w:r w:rsidRPr="00FA4DC7">
              <w:rPr>
                <w:rFonts w:cs="Arial"/>
                <w:color w:val="000000"/>
                <w:sz w:val="22"/>
                <w:szCs w:val="22"/>
              </w:rPr>
              <w:t>Rochester East</w:t>
            </w:r>
          </w:p>
        </w:tc>
        <w:tc>
          <w:tcPr>
            <w:tcW w:w="541" w:type="pct"/>
            <w:shd w:val="clear" w:color="auto" w:fill="auto"/>
            <w:noWrap/>
            <w:vAlign w:val="center"/>
          </w:tcPr>
          <w:p w14:paraId="0781AB63" w14:textId="77777777" w:rsidR="00CE1BDB" w:rsidRPr="00FA4DC7" w:rsidRDefault="00CE1BDB" w:rsidP="00EF49A7">
            <w:pPr>
              <w:jc w:val="right"/>
              <w:rPr>
                <w:rFonts w:cs="Arial"/>
                <w:color w:val="000000"/>
                <w:sz w:val="22"/>
                <w:szCs w:val="22"/>
              </w:rPr>
            </w:pPr>
            <w:r w:rsidRPr="00FA4DC7">
              <w:rPr>
                <w:rFonts w:cs="Arial"/>
                <w:color w:val="000000"/>
                <w:sz w:val="22"/>
                <w:szCs w:val="22"/>
              </w:rPr>
              <w:t>1,256</w:t>
            </w:r>
          </w:p>
        </w:tc>
        <w:tc>
          <w:tcPr>
            <w:tcW w:w="694" w:type="pct"/>
            <w:shd w:val="clear" w:color="auto" w:fill="auto"/>
            <w:noWrap/>
            <w:vAlign w:val="center"/>
          </w:tcPr>
          <w:p w14:paraId="1498A5F9" w14:textId="77777777" w:rsidR="00CE1BDB" w:rsidRPr="00FA4DC7" w:rsidRDefault="00CE1BDB" w:rsidP="00EF49A7">
            <w:pPr>
              <w:jc w:val="right"/>
              <w:rPr>
                <w:rFonts w:cs="Arial"/>
                <w:color w:val="000000"/>
                <w:sz w:val="22"/>
                <w:szCs w:val="22"/>
              </w:rPr>
            </w:pPr>
            <w:r w:rsidRPr="00FA4DC7">
              <w:rPr>
                <w:rFonts w:cs="Arial"/>
                <w:color w:val="000000"/>
                <w:sz w:val="22"/>
                <w:szCs w:val="22"/>
              </w:rPr>
              <w:t>4.6%</w:t>
            </w:r>
          </w:p>
        </w:tc>
        <w:tc>
          <w:tcPr>
            <w:tcW w:w="733" w:type="pct"/>
            <w:shd w:val="clear" w:color="auto" w:fill="auto"/>
            <w:noWrap/>
            <w:vAlign w:val="center"/>
          </w:tcPr>
          <w:p w14:paraId="3F23ECFE" w14:textId="77777777" w:rsidR="00CE1BDB" w:rsidRPr="00FA4DC7" w:rsidRDefault="00CE1BDB" w:rsidP="00EF49A7">
            <w:pPr>
              <w:jc w:val="right"/>
              <w:rPr>
                <w:rFonts w:cs="Arial"/>
                <w:color w:val="000000"/>
                <w:sz w:val="22"/>
                <w:szCs w:val="22"/>
              </w:rPr>
            </w:pPr>
            <w:r w:rsidRPr="00FA4DC7">
              <w:rPr>
                <w:rFonts w:cs="Arial"/>
                <w:color w:val="000000"/>
                <w:sz w:val="22"/>
                <w:szCs w:val="22"/>
              </w:rPr>
              <w:t>12.1%</w:t>
            </w:r>
          </w:p>
        </w:tc>
        <w:tc>
          <w:tcPr>
            <w:tcW w:w="564" w:type="pct"/>
            <w:shd w:val="clear" w:color="auto" w:fill="auto"/>
            <w:noWrap/>
            <w:vAlign w:val="center"/>
          </w:tcPr>
          <w:p w14:paraId="60479434" w14:textId="77777777" w:rsidR="00CE1BDB" w:rsidRPr="00FA4DC7" w:rsidRDefault="00CE1BDB" w:rsidP="00EF49A7">
            <w:pPr>
              <w:jc w:val="right"/>
              <w:rPr>
                <w:rFonts w:cs="Arial"/>
                <w:color w:val="000000"/>
                <w:sz w:val="22"/>
                <w:szCs w:val="22"/>
              </w:rPr>
            </w:pPr>
            <w:r w:rsidRPr="00FA4DC7">
              <w:rPr>
                <w:rFonts w:cs="Arial"/>
                <w:color w:val="000000"/>
                <w:sz w:val="22"/>
                <w:szCs w:val="22"/>
              </w:rPr>
              <w:t>10,351</w:t>
            </w:r>
          </w:p>
        </w:tc>
      </w:tr>
      <w:tr w:rsidR="00CE1BDB" w:rsidRPr="00FA4DC7" w14:paraId="739D2AFB" w14:textId="77777777" w:rsidTr="0049141B">
        <w:tc>
          <w:tcPr>
            <w:tcW w:w="912" w:type="pct"/>
            <w:vMerge/>
            <w:vAlign w:val="center"/>
          </w:tcPr>
          <w:p w14:paraId="609F86C6"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630241B4" w14:textId="77777777" w:rsidR="00CE1BDB" w:rsidRPr="00FA4DC7" w:rsidRDefault="00CE1BDB" w:rsidP="0049141B">
            <w:pPr>
              <w:rPr>
                <w:rFonts w:cs="Arial"/>
                <w:color w:val="000000"/>
                <w:sz w:val="22"/>
                <w:szCs w:val="22"/>
              </w:rPr>
            </w:pPr>
            <w:r w:rsidRPr="00FA4DC7">
              <w:rPr>
                <w:rFonts w:cs="Arial"/>
                <w:color w:val="000000"/>
                <w:sz w:val="22"/>
                <w:szCs w:val="22"/>
              </w:rPr>
              <w:t xml:space="preserve">Rochester South and </w:t>
            </w:r>
            <w:proofErr w:type="spellStart"/>
            <w:r w:rsidRPr="00FA4DC7">
              <w:rPr>
                <w:rFonts w:cs="Arial"/>
                <w:color w:val="000000"/>
                <w:sz w:val="22"/>
                <w:szCs w:val="22"/>
              </w:rPr>
              <w:t>Horsted</w:t>
            </w:r>
            <w:proofErr w:type="spellEnd"/>
          </w:p>
        </w:tc>
        <w:tc>
          <w:tcPr>
            <w:tcW w:w="541" w:type="pct"/>
            <w:shd w:val="clear" w:color="auto" w:fill="auto"/>
            <w:noWrap/>
            <w:vAlign w:val="center"/>
          </w:tcPr>
          <w:p w14:paraId="689F862E" w14:textId="77777777" w:rsidR="00CE1BDB" w:rsidRPr="00FA4DC7" w:rsidRDefault="00CE1BDB" w:rsidP="00EF49A7">
            <w:pPr>
              <w:jc w:val="right"/>
              <w:rPr>
                <w:rFonts w:cs="Arial"/>
                <w:color w:val="000000"/>
                <w:sz w:val="22"/>
                <w:szCs w:val="22"/>
              </w:rPr>
            </w:pPr>
            <w:r w:rsidRPr="00FA4DC7">
              <w:rPr>
                <w:rFonts w:cs="Arial"/>
                <w:color w:val="000000"/>
                <w:sz w:val="22"/>
                <w:szCs w:val="22"/>
              </w:rPr>
              <w:t>1,647</w:t>
            </w:r>
          </w:p>
        </w:tc>
        <w:tc>
          <w:tcPr>
            <w:tcW w:w="694" w:type="pct"/>
            <w:shd w:val="clear" w:color="auto" w:fill="auto"/>
            <w:noWrap/>
            <w:vAlign w:val="center"/>
          </w:tcPr>
          <w:p w14:paraId="4AEB9336" w14:textId="77777777" w:rsidR="00CE1BDB" w:rsidRPr="00FA4DC7" w:rsidRDefault="00CE1BDB" w:rsidP="00EF49A7">
            <w:pPr>
              <w:jc w:val="right"/>
              <w:rPr>
                <w:rFonts w:cs="Arial"/>
                <w:color w:val="000000"/>
                <w:sz w:val="22"/>
                <w:szCs w:val="22"/>
              </w:rPr>
            </w:pPr>
            <w:r w:rsidRPr="00FA4DC7">
              <w:rPr>
                <w:rFonts w:cs="Arial"/>
                <w:color w:val="000000"/>
                <w:sz w:val="22"/>
                <w:szCs w:val="22"/>
              </w:rPr>
              <w:t>6.0%</w:t>
            </w:r>
          </w:p>
        </w:tc>
        <w:tc>
          <w:tcPr>
            <w:tcW w:w="733" w:type="pct"/>
            <w:shd w:val="clear" w:color="auto" w:fill="auto"/>
            <w:noWrap/>
            <w:vAlign w:val="center"/>
          </w:tcPr>
          <w:p w14:paraId="4A7B6C29" w14:textId="77777777" w:rsidR="00CE1BDB" w:rsidRPr="00FA4DC7" w:rsidRDefault="00CE1BDB" w:rsidP="00EF49A7">
            <w:pPr>
              <w:jc w:val="right"/>
              <w:rPr>
                <w:rFonts w:cs="Arial"/>
                <w:color w:val="000000"/>
                <w:sz w:val="22"/>
                <w:szCs w:val="22"/>
              </w:rPr>
            </w:pPr>
            <w:r w:rsidRPr="00FA4DC7">
              <w:rPr>
                <w:rFonts w:cs="Arial"/>
                <w:color w:val="000000"/>
                <w:sz w:val="22"/>
                <w:szCs w:val="22"/>
              </w:rPr>
              <w:t>13.0%</w:t>
            </w:r>
          </w:p>
        </w:tc>
        <w:tc>
          <w:tcPr>
            <w:tcW w:w="564" w:type="pct"/>
            <w:shd w:val="clear" w:color="auto" w:fill="auto"/>
            <w:noWrap/>
            <w:vAlign w:val="center"/>
          </w:tcPr>
          <w:p w14:paraId="7BF15029" w14:textId="77777777" w:rsidR="00CE1BDB" w:rsidRPr="00FA4DC7" w:rsidRDefault="00CE1BDB" w:rsidP="00EF49A7">
            <w:pPr>
              <w:jc w:val="right"/>
              <w:rPr>
                <w:rFonts w:cs="Arial"/>
                <w:color w:val="000000"/>
                <w:sz w:val="22"/>
                <w:szCs w:val="22"/>
              </w:rPr>
            </w:pPr>
            <w:r w:rsidRPr="00FA4DC7">
              <w:rPr>
                <w:rFonts w:cs="Arial"/>
                <w:color w:val="000000"/>
                <w:sz w:val="22"/>
                <w:szCs w:val="22"/>
              </w:rPr>
              <w:t>12,678</w:t>
            </w:r>
          </w:p>
        </w:tc>
      </w:tr>
      <w:tr w:rsidR="00CE1BDB" w:rsidRPr="00FA4DC7" w14:paraId="207B291E" w14:textId="77777777" w:rsidTr="0049141B">
        <w:tc>
          <w:tcPr>
            <w:tcW w:w="912" w:type="pct"/>
            <w:vMerge/>
            <w:vAlign w:val="center"/>
          </w:tcPr>
          <w:p w14:paraId="6F86C336"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1FFBDB57" w14:textId="77777777" w:rsidR="00CE1BDB" w:rsidRPr="00FA4DC7" w:rsidRDefault="00CE1BDB" w:rsidP="0049141B">
            <w:pPr>
              <w:rPr>
                <w:rFonts w:cs="Arial"/>
                <w:color w:val="000000"/>
                <w:sz w:val="22"/>
                <w:szCs w:val="22"/>
              </w:rPr>
            </w:pPr>
            <w:r w:rsidRPr="00FA4DC7">
              <w:rPr>
                <w:rFonts w:cs="Arial"/>
                <w:color w:val="000000"/>
                <w:sz w:val="22"/>
                <w:szCs w:val="22"/>
              </w:rPr>
              <w:t>Rochester West</w:t>
            </w:r>
          </w:p>
        </w:tc>
        <w:tc>
          <w:tcPr>
            <w:tcW w:w="541" w:type="pct"/>
            <w:shd w:val="clear" w:color="auto" w:fill="auto"/>
            <w:noWrap/>
            <w:vAlign w:val="center"/>
          </w:tcPr>
          <w:p w14:paraId="1C1A61AA" w14:textId="77777777" w:rsidR="00CE1BDB" w:rsidRPr="00FA4DC7" w:rsidRDefault="00CE1BDB" w:rsidP="00EF49A7">
            <w:pPr>
              <w:jc w:val="right"/>
              <w:rPr>
                <w:rFonts w:cs="Arial"/>
                <w:color w:val="000000"/>
                <w:sz w:val="22"/>
                <w:szCs w:val="22"/>
              </w:rPr>
            </w:pPr>
            <w:r w:rsidRPr="00FA4DC7">
              <w:rPr>
                <w:rFonts w:cs="Arial"/>
                <w:color w:val="000000"/>
                <w:sz w:val="22"/>
                <w:szCs w:val="22"/>
              </w:rPr>
              <w:t>1,240</w:t>
            </w:r>
          </w:p>
        </w:tc>
        <w:tc>
          <w:tcPr>
            <w:tcW w:w="694" w:type="pct"/>
            <w:shd w:val="clear" w:color="auto" w:fill="auto"/>
            <w:noWrap/>
            <w:vAlign w:val="center"/>
          </w:tcPr>
          <w:p w14:paraId="3B216E0E" w14:textId="77777777" w:rsidR="00CE1BDB" w:rsidRPr="00FA4DC7" w:rsidRDefault="00CE1BDB" w:rsidP="00EF49A7">
            <w:pPr>
              <w:jc w:val="right"/>
              <w:rPr>
                <w:rFonts w:cs="Arial"/>
                <w:color w:val="000000"/>
                <w:sz w:val="22"/>
                <w:szCs w:val="22"/>
              </w:rPr>
            </w:pPr>
            <w:r w:rsidRPr="00FA4DC7">
              <w:rPr>
                <w:rFonts w:cs="Arial"/>
                <w:color w:val="000000"/>
                <w:sz w:val="22"/>
                <w:szCs w:val="22"/>
              </w:rPr>
              <w:t>4.5%</w:t>
            </w:r>
          </w:p>
        </w:tc>
        <w:tc>
          <w:tcPr>
            <w:tcW w:w="733" w:type="pct"/>
            <w:shd w:val="clear" w:color="auto" w:fill="auto"/>
            <w:noWrap/>
            <w:vAlign w:val="center"/>
          </w:tcPr>
          <w:p w14:paraId="0C87EAE0" w14:textId="77777777" w:rsidR="00CE1BDB" w:rsidRPr="00FA4DC7" w:rsidRDefault="00CE1BDB" w:rsidP="00EF49A7">
            <w:pPr>
              <w:jc w:val="right"/>
              <w:rPr>
                <w:rFonts w:cs="Arial"/>
                <w:color w:val="000000"/>
                <w:sz w:val="22"/>
                <w:szCs w:val="22"/>
              </w:rPr>
            </w:pPr>
            <w:r w:rsidRPr="00FA4DC7">
              <w:rPr>
                <w:rFonts w:cs="Arial"/>
                <w:color w:val="000000"/>
                <w:sz w:val="22"/>
                <w:szCs w:val="22"/>
              </w:rPr>
              <w:t>11.5%</w:t>
            </w:r>
          </w:p>
        </w:tc>
        <w:tc>
          <w:tcPr>
            <w:tcW w:w="564" w:type="pct"/>
            <w:shd w:val="clear" w:color="auto" w:fill="auto"/>
            <w:noWrap/>
            <w:vAlign w:val="center"/>
          </w:tcPr>
          <w:p w14:paraId="554A5A68" w14:textId="77777777" w:rsidR="00CE1BDB" w:rsidRPr="00FA4DC7" w:rsidRDefault="00CE1BDB" w:rsidP="00EF49A7">
            <w:pPr>
              <w:jc w:val="right"/>
              <w:rPr>
                <w:rFonts w:cs="Arial"/>
                <w:color w:val="000000"/>
                <w:sz w:val="22"/>
                <w:szCs w:val="22"/>
              </w:rPr>
            </w:pPr>
            <w:r w:rsidRPr="00FA4DC7">
              <w:rPr>
                <w:rFonts w:cs="Arial"/>
                <w:color w:val="000000"/>
                <w:sz w:val="22"/>
                <w:szCs w:val="22"/>
              </w:rPr>
              <w:t>10,779</w:t>
            </w:r>
          </w:p>
        </w:tc>
      </w:tr>
      <w:tr w:rsidR="00CE1BDB" w:rsidRPr="00FA4DC7" w14:paraId="5A7A8931" w14:textId="77777777" w:rsidTr="0049141B">
        <w:tc>
          <w:tcPr>
            <w:tcW w:w="912" w:type="pct"/>
            <w:vMerge/>
            <w:vAlign w:val="center"/>
          </w:tcPr>
          <w:p w14:paraId="2FE51581"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0276B2C9" w14:textId="77777777" w:rsidR="00CE1BDB" w:rsidRPr="00FA4DC7" w:rsidRDefault="00CE1BDB" w:rsidP="0049141B">
            <w:pPr>
              <w:rPr>
                <w:rFonts w:cs="Arial"/>
                <w:color w:val="000000"/>
                <w:sz w:val="22"/>
                <w:szCs w:val="22"/>
              </w:rPr>
            </w:pPr>
            <w:r w:rsidRPr="00FA4DC7">
              <w:rPr>
                <w:rFonts w:cs="Arial"/>
                <w:color w:val="000000"/>
                <w:sz w:val="22"/>
                <w:szCs w:val="22"/>
              </w:rPr>
              <w:t>Strood North</w:t>
            </w:r>
          </w:p>
        </w:tc>
        <w:tc>
          <w:tcPr>
            <w:tcW w:w="541" w:type="pct"/>
            <w:shd w:val="clear" w:color="auto" w:fill="auto"/>
            <w:noWrap/>
            <w:vAlign w:val="center"/>
          </w:tcPr>
          <w:p w14:paraId="1EB56FFC" w14:textId="77777777" w:rsidR="00CE1BDB" w:rsidRPr="00FA4DC7" w:rsidRDefault="00CE1BDB" w:rsidP="00EF49A7">
            <w:pPr>
              <w:jc w:val="right"/>
              <w:rPr>
                <w:rFonts w:cs="Arial"/>
                <w:color w:val="000000"/>
                <w:sz w:val="22"/>
                <w:szCs w:val="22"/>
              </w:rPr>
            </w:pPr>
            <w:r w:rsidRPr="00FA4DC7">
              <w:rPr>
                <w:rFonts w:cs="Arial"/>
                <w:color w:val="000000"/>
                <w:sz w:val="22"/>
                <w:szCs w:val="22"/>
              </w:rPr>
              <w:t>1,531</w:t>
            </w:r>
          </w:p>
        </w:tc>
        <w:tc>
          <w:tcPr>
            <w:tcW w:w="694" w:type="pct"/>
            <w:shd w:val="clear" w:color="auto" w:fill="auto"/>
            <w:noWrap/>
            <w:vAlign w:val="center"/>
          </w:tcPr>
          <w:p w14:paraId="3195DB69" w14:textId="77777777" w:rsidR="00CE1BDB" w:rsidRPr="00FA4DC7" w:rsidRDefault="00CE1BDB" w:rsidP="00EF49A7">
            <w:pPr>
              <w:jc w:val="right"/>
              <w:rPr>
                <w:rFonts w:cs="Arial"/>
                <w:color w:val="000000"/>
                <w:sz w:val="22"/>
                <w:szCs w:val="22"/>
              </w:rPr>
            </w:pPr>
            <w:r w:rsidRPr="00FA4DC7">
              <w:rPr>
                <w:rFonts w:cs="Arial"/>
                <w:color w:val="000000"/>
                <w:sz w:val="22"/>
                <w:szCs w:val="22"/>
              </w:rPr>
              <w:t>5.6%</w:t>
            </w:r>
          </w:p>
        </w:tc>
        <w:tc>
          <w:tcPr>
            <w:tcW w:w="733" w:type="pct"/>
            <w:shd w:val="clear" w:color="auto" w:fill="auto"/>
            <w:noWrap/>
            <w:vAlign w:val="center"/>
          </w:tcPr>
          <w:p w14:paraId="5D0F12D9" w14:textId="77777777" w:rsidR="00CE1BDB" w:rsidRPr="00FA4DC7" w:rsidRDefault="00CE1BDB" w:rsidP="00EF49A7">
            <w:pPr>
              <w:jc w:val="right"/>
              <w:rPr>
                <w:rFonts w:cs="Arial"/>
                <w:color w:val="000000"/>
                <w:sz w:val="22"/>
                <w:szCs w:val="22"/>
              </w:rPr>
            </w:pPr>
            <w:r w:rsidRPr="00FA4DC7">
              <w:rPr>
                <w:rFonts w:cs="Arial"/>
                <w:color w:val="000000"/>
                <w:sz w:val="22"/>
                <w:szCs w:val="22"/>
              </w:rPr>
              <w:t>11.1%</w:t>
            </w:r>
          </w:p>
        </w:tc>
        <w:tc>
          <w:tcPr>
            <w:tcW w:w="564" w:type="pct"/>
            <w:shd w:val="clear" w:color="auto" w:fill="auto"/>
            <w:noWrap/>
            <w:vAlign w:val="center"/>
          </w:tcPr>
          <w:p w14:paraId="26530884" w14:textId="77777777" w:rsidR="00CE1BDB" w:rsidRPr="00FA4DC7" w:rsidRDefault="00CE1BDB" w:rsidP="00EF49A7">
            <w:pPr>
              <w:jc w:val="right"/>
              <w:rPr>
                <w:rFonts w:cs="Arial"/>
                <w:color w:val="000000"/>
                <w:sz w:val="22"/>
                <w:szCs w:val="22"/>
              </w:rPr>
            </w:pPr>
            <w:r w:rsidRPr="00FA4DC7">
              <w:rPr>
                <w:rFonts w:cs="Arial"/>
                <w:color w:val="000000"/>
                <w:sz w:val="22"/>
                <w:szCs w:val="22"/>
              </w:rPr>
              <w:t>13,766</w:t>
            </w:r>
          </w:p>
        </w:tc>
      </w:tr>
      <w:tr w:rsidR="00CE1BDB" w:rsidRPr="00FA4DC7" w14:paraId="2685B8AD" w14:textId="77777777" w:rsidTr="0049141B">
        <w:tc>
          <w:tcPr>
            <w:tcW w:w="912" w:type="pct"/>
            <w:vMerge/>
            <w:vAlign w:val="center"/>
          </w:tcPr>
          <w:p w14:paraId="29EE0374"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2B074D23" w14:textId="77777777" w:rsidR="00CE1BDB" w:rsidRPr="00FA4DC7" w:rsidRDefault="00CE1BDB" w:rsidP="0049141B">
            <w:pPr>
              <w:rPr>
                <w:rFonts w:cs="Arial"/>
                <w:color w:val="000000"/>
                <w:sz w:val="22"/>
                <w:szCs w:val="22"/>
              </w:rPr>
            </w:pPr>
            <w:r w:rsidRPr="00FA4DC7">
              <w:rPr>
                <w:rFonts w:cs="Arial"/>
                <w:color w:val="000000"/>
                <w:sz w:val="22"/>
                <w:szCs w:val="22"/>
              </w:rPr>
              <w:t>Strood Rural</w:t>
            </w:r>
          </w:p>
        </w:tc>
        <w:tc>
          <w:tcPr>
            <w:tcW w:w="541" w:type="pct"/>
            <w:shd w:val="clear" w:color="auto" w:fill="auto"/>
            <w:noWrap/>
            <w:vAlign w:val="center"/>
          </w:tcPr>
          <w:p w14:paraId="522702F1" w14:textId="77777777" w:rsidR="00CE1BDB" w:rsidRPr="00FA4DC7" w:rsidRDefault="00CE1BDB" w:rsidP="00EF49A7">
            <w:pPr>
              <w:jc w:val="right"/>
              <w:rPr>
                <w:rFonts w:cs="Arial"/>
                <w:color w:val="000000"/>
                <w:sz w:val="22"/>
                <w:szCs w:val="22"/>
              </w:rPr>
            </w:pPr>
            <w:r w:rsidRPr="00FA4DC7">
              <w:rPr>
                <w:rFonts w:cs="Arial"/>
                <w:color w:val="000000"/>
                <w:sz w:val="22"/>
                <w:szCs w:val="22"/>
              </w:rPr>
              <w:t>829</w:t>
            </w:r>
          </w:p>
        </w:tc>
        <w:tc>
          <w:tcPr>
            <w:tcW w:w="694" w:type="pct"/>
            <w:shd w:val="clear" w:color="auto" w:fill="auto"/>
            <w:noWrap/>
            <w:vAlign w:val="center"/>
          </w:tcPr>
          <w:p w14:paraId="3DA8BF7A" w14:textId="77777777" w:rsidR="00CE1BDB" w:rsidRPr="00FA4DC7" w:rsidRDefault="00CE1BDB" w:rsidP="00EF49A7">
            <w:pPr>
              <w:jc w:val="right"/>
              <w:rPr>
                <w:rFonts w:cs="Arial"/>
                <w:color w:val="000000"/>
                <w:sz w:val="22"/>
                <w:szCs w:val="22"/>
              </w:rPr>
            </w:pPr>
            <w:r w:rsidRPr="00FA4DC7">
              <w:rPr>
                <w:rFonts w:cs="Arial"/>
                <w:color w:val="000000"/>
                <w:sz w:val="22"/>
                <w:szCs w:val="22"/>
              </w:rPr>
              <w:t>3.0%</w:t>
            </w:r>
          </w:p>
        </w:tc>
        <w:tc>
          <w:tcPr>
            <w:tcW w:w="733" w:type="pct"/>
            <w:shd w:val="clear" w:color="auto" w:fill="auto"/>
            <w:noWrap/>
            <w:vAlign w:val="center"/>
          </w:tcPr>
          <w:p w14:paraId="0DC682B1" w14:textId="77777777" w:rsidR="00CE1BDB" w:rsidRPr="00FA4DC7" w:rsidRDefault="00CE1BDB" w:rsidP="00EF49A7">
            <w:pPr>
              <w:jc w:val="right"/>
              <w:rPr>
                <w:rFonts w:cs="Arial"/>
                <w:color w:val="000000"/>
                <w:sz w:val="22"/>
                <w:szCs w:val="22"/>
              </w:rPr>
            </w:pPr>
            <w:r w:rsidRPr="00FA4DC7">
              <w:rPr>
                <w:rFonts w:cs="Arial"/>
                <w:color w:val="000000"/>
                <w:sz w:val="22"/>
                <w:szCs w:val="22"/>
              </w:rPr>
              <w:t>6.0%</w:t>
            </w:r>
          </w:p>
        </w:tc>
        <w:tc>
          <w:tcPr>
            <w:tcW w:w="564" w:type="pct"/>
            <w:shd w:val="clear" w:color="auto" w:fill="auto"/>
            <w:noWrap/>
            <w:vAlign w:val="center"/>
          </w:tcPr>
          <w:p w14:paraId="13906BD6" w14:textId="77777777" w:rsidR="00CE1BDB" w:rsidRPr="00FA4DC7" w:rsidRDefault="00CE1BDB" w:rsidP="00EF49A7">
            <w:pPr>
              <w:jc w:val="right"/>
              <w:rPr>
                <w:rFonts w:cs="Arial"/>
                <w:color w:val="000000"/>
                <w:sz w:val="22"/>
                <w:szCs w:val="22"/>
              </w:rPr>
            </w:pPr>
            <w:r w:rsidRPr="00FA4DC7">
              <w:rPr>
                <w:rFonts w:cs="Arial"/>
                <w:color w:val="000000"/>
                <w:sz w:val="22"/>
                <w:szCs w:val="22"/>
              </w:rPr>
              <w:t>13,805</w:t>
            </w:r>
          </w:p>
        </w:tc>
      </w:tr>
      <w:tr w:rsidR="00CE1BDB" w:rsidRPr="00FA4DC7" w14:paraId="5F1FBED6" w14:textId="77777777" w:rsidTr="0049141B">
        <w:tc>
          <w:tcPr>
            <w:tcW w:w="912" w:type="pct"/>
            <w:vMerge/>
            <w:vAlign w:val="center"/>
          </w:tcPr>
          <w:p w14:paraId="730A86B5"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75DEC0FE" w14:textId="77777777" w:rsidR="00CE1BDB" w:rsidRPr="00FA4DC7" w:rsidRDefault="00CE1BDB" w:rsidP="0049141B">
            <w:pPr>
              <w:rPr>
                <w:rFonts w:cs="Arial"/>
                <w:color w:val="000000"/>
                <w:sz w:val="22"/>
                <w:szCs w:val="22"/>
              </w:rPr>
            </w:pPr>
            <w:r w:rsidRPr="00FA4DC7">
              <w:rPr>
                <w:rFonts w:cs="Arial"/>
                <w:color w:val="000000"/>
                <w:sz w:val="22"/>
                <w:szCs w:val="22"/>
              </w:rPr>
              <w:t>Strood South</w:t>
            </w:r>
          </w:p>
        </w:tc>
        <w:tc>
          <w:tcPr>
            <w:tcW w:w="541" w:type="pct"/>
            <w:shd w:val="clear" w:color="auto" w:fill="auto"/>
            <w:noWrap/>
            <w:vAlign w:val="center"/>
          </w:tcPr>
          <w:p w14:paraId="7D9EB832" w14:textId="77777777" w:rsidR="00CE1BDB" w:rsidRPr="00FA4DC7" w:rsidRDefault="00CE1BDB" w:rsidP="00EF49A7">
            <w:pPr>
              <w:jc w:val="right"/>
              <w:rPr>
                <w:rFonts w:cs="Arial"/>
                <w:color w:val="000000"/>
                <w:sz w:val="22"/>
                <w:szCs w:val="22"/>
              </w:rPr>
            </w:pPr>
            <w:r w:rsidRPr="00FA4DC7">
              <w:rPr>
                <w:rFonts w:cs="Arial"/>
                <w:color w:val="000000"/>
                <w:sz w:val="22"/>
                <w:szCs w:val="22"/>
              </w:rPr>
              <w:t>1,218</w:t>
            </w:r>
          </w:p>
        </w:tc>
        <w:tc>
          <w:tcPr>
            <w:tcW w:w="694" w:type="pct"/>
            <w:shd w:val="clear" w:color="auto" w:fill="auto"/>
            <w:noWrap/>
            <w:vAlign w:val="center"/>
          </w:tcPr>
          <w:p w14:paraId="4D0D53F8" w14:textId="77777777" w:rsidR="00CE1BDB" w:rsidRPr="00FA4DC7" w:rsidRDefault="00CE1BDB" w:rsidP="00EF49A7">
            <w:pPr>
              <w:jc w:val="right"/>
              <w:rPr>
                <w:rFonts w:cs="Arial"/>
                <w:color w:val="000000"/>
                <w:sz w:val="22"/>
                <w:szCs w:val="22"/>
              </w:rPr>
            </w:pPr>
            <w:r w:rsidRPr="00FA4DC7">
              <w:rPr>
                <w:rFonts w:cs="Arial"/>
                <w:color w:val="000000"/>
                <w:sz w:val="22"/>
                <w:szCs w:val="22"/>
              </w:rPr>
              <w:t>4.5%</w:t>
            </w:r>
          </w:p>
        </w:tc>
        <w:tc>
          <w:tcPr>
            <w:tcW w:w="733" w:type="pct"/>
            <w:shd w:val="clear" w:color="auto" w:fill="auto"/>
            <w:noWrap/>
            <w:vAlign w:val="center"/>
          </w:tcPr>
          <w:p w14:paraId="135B2A09" w14:textId="77777777" w:rsidR="00CE1BDB" w:rsidRPr="00FA4DC7" w:rsidRDefault="00CE1BDB" w:rsidP="00EF49A7">
            <w:pPr>
              <w:jc w:val="right"/>
              <w:rPr>
                <w:rFonts w:cs="Arial"/>
                <w:color w:val="000000"/>
                <w:sz w:val="22"/>
                <w:szCs w:val="22"/>
              </w:rPr>
            </w:pPr>
            <w:r w:rsidRPr="00FA4DC7">
              <w:rPr>
                <w:rFonts w:cs="Arial"/>
                <w:color w:val="000000"/>
                <w:sz w:val="22"/>
                <w:szCs w:val="22"/>
              </w:rPr>
              <w:t>8.1%</w:t>
            </w:r>
          </w:p>
        </w:tc>
        <w:tc>
          <w:tcPr>
            <w:tcW w:w="564" w:type="pct"/>
            <w:shd w:val="clear" w:color="auto" w:fill="auto"/>
            <w:noWrap/>
            <w:vAlign w:val="center"/>
          </w:tcPr>
          <w:p w14:paraId="2B68660D" w14:textId="77777777" w:rsidR="00CE1BDB" w:rsidRPr="00FA4DC7" w:rsidRDefault="00CE1BDB" w:rsidP="00EF49A7">
            <w:pPr>
              <w:jc w:val="right"/>
              <w:rPr>
                <w:rFonts w:cs="Arial"/>
                <w:color w:val="000000"/>
                <w:sz w:val="22"/>
                <w:szCs w:val="22"/>
              </w:rPr>
            </w:pPr>
            <w:r w:rsidRPr="00FA4DC7">
              <w:rPr>
                <w:rFonts w:cs="Arial"/>
                <w:color w:val="000000"/>
                <w:sz w:val="22"/>
                <w:szCs w:val="22"/>
              </w:rPr>
              <w:t>15,076</w:t>
            </w:r>
          </w:p>
        </w:tc>
      </w:tr>
      <w:tr w:rsidR="00CE1BDB" w:rsidRPr="00FA4DC7" w14:paraId="57579DAB" w14:textId="77777777" w:rsidTr="0049141B">
        <w:tc>
          <w:tcPr>
            <w:tcW w:w="912" w:type="pct"/>
            <w:vMerge/>
            <w:vAlign w:val="center"/>
          </w:tcPr>
          <w:p w14:paraId="5FE907D5"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09DE6C65" w14:textId="77777777" w:rsidR="00CE1BDB" w:rsidRPr="00FA4DC7" w:rsidRDefault="00CE1BDB" w:rsidP="0049141B">
            <w:pPr>
              <w:rPr>
                <w:rFonts w:cs="Arial"/>
                <w:color w:val="000000"/>
                <w:sz w:val="22"/>
                <w:szCs w:val="22"/>
              </w:rPr>
            </w:pPr>
            <w:proofErr w:type="spellStart"/>
            <w:r w:rsidRPr="00FA4DC7">
              <w:rPr>
                <w:rFonts w:cs="Arial"/>
                <w:color w:val="000000"/>
                <w:sz w:val="22"/>
                <w:szCs w:val="22"/>
              </w:rPr>
              <w:t>Twydall</w:t>
            </w:r>
            <w:proofErr w:type="spellEnd"/>
          </w:p>
        </w:tc>
        <w:tc>
          <w:tcPr>
            <w:tcW w:w="541" w:type="pct"/>
            <w:shd w:val="clear" w:color="auto" w:fill="auto"/>
            <w:noWrap/>
            <w:vAlign w:val="center"/>
          </w:tcPr>
          <w:p w14:paraId="34F11564" w14:textId="77777777" w:rsidR="00CE1BDB" w:rsidRPr="00FA4DC7" w:rsidRDefault="00CE1BDB" w:rsidP="00EF49A7">
            <w:pPr>
              <w:jc w:val="right"/>
              <w:rPr>
                <w:rFonts w:cs="Arial"/>
                <w:color w:val="000000"/>
                <w:sz w:val="22"/>
                <w:szCs w:val="22"/>
              </w:rPr>
            </w:pPr>
            <w:r w:rsidRPr="00FA4DC7">
              <w:rPr>
                <w:rFonts w:cs="Arial"/>
                <w:color w:val="000000"/>
                <w:sz w:val="22"/>
                <w:szCs w:val="22"/>
              </w:rPr>
              <w:t>722</w:t>
            </w:r>
          </w:p>
        </w:tc>
        <w:tc>
          <w:tcPr>
            <w:tcW w:w="694" w:type="pct"/>
            <w:shd w:val="clear" w:color="auto" w:fill="auto"/>
            <w:noWrap/>
            <w:vAlign w:val="center"/>
          </w:tcPr>
          <w:p w14:paraId="1FCE67BC" w14:textId="77777777" w:rsidR="00CE1BDB" w:rsidRPr="00FA4DC7" w:rsidRDefault="00CE1BDB" w:rsidP="00EF49A7">
            <w:pPr>
              <w:jc w:val="right"/>
              <w:rPr>
                <w:rFonts w:cs="Arial"/>
                <w:color w:val="000000"/>
                <w:sz w:val="22"/>
                <w:szCs w:val="22"/>
              </w:rPr>
            </w:pPr>
            <w:r w:rsidRPr="00FA4DC7">
              <w:rPr>
                <w:rFonts w:cs="Arial"/>
                <w:color w:val="000000"/>
                <w:sz w:val="22"/>
                <w:szCs w:val="22"/>
              </w:rPr>
              <w:t>2.6%</w:t>
            </w:r>
          </w:p>
        </w:tc>
        <w:tc>
          <w:tcPr>
            <w:tcW w:w="733" w:type="pct"/>
            <w:shd w:val="clear" w:color="auto" w:fill="auto"/>
            <w:noWrap/>
            <w:vAlign w:val="center"/>
          </w:tcPr>
          <w:p w14:paraId="4C6E58EF" w14:textId="77777777" w:rsidR="00CE1BDB" w:rsidRPr="00FA4DC7" w:rsidRDefault="00CE1BDB" w:rsidP="00EF49A7">
            <w:pPr>
              <w:jc w:val="right"/>
              <w:rPr>
                <w:rFonts w:cs="Arial"/>
                <w:color w:val="000000"/>
                <w:sz w:val="22"/>
                <w:szCs w:val="22"/>
              </w:rPr>
            </w:pPr>
            <w:r w:rsidRPr="00FA4DC7">
              <w:rPr>
                <w:rFonts w:cs="Arial"/>
                <w:color w:val="000000"/>
                <w:sz w:val="22"/>
                <w:szCs w:val="22"/>
              </w:rPr>
              <w:t>5.5%</w:t>
            </w:r>
          </w:p>
        </w:tc>
        <w:tc>
          <w:tcPr>
            <w:tcW w:w="564" w:type="pct"/>
            <w:shd w:val="clear" w:color="auto" w:fill="auto"/>
            <w:noWrap/>
            <w:vAlign w:val="center"/>
          </w:tcPr>
          <w:p w14:paraId="4056A729" w14:textId="77777777" w:rsidR="00CE1BDB" w:rsidRPr="00FA4DC7" w:rsidRDefault="00CE1BDB" w:rsidP="00EF49A7">
            <w:pPr>
              <w:jc w:val="right"/>
              <w:rPr>
                <w:rFonts w:cs="Arial"/>
                <w:color w:val="000000"/>
                <w:sz w:val="22"/>
                <w:szCs w:val="22"/>
              </w:rPr>
            </w:pPr>
            <w:r w:rsidRPr="00FA4DC7">
              <w:rPr>
                <w:rFonts w:cs="Arial"/>
                <w:color w:val="000000"/>
                <w:sz w:val="22"/>
                <w:szCs w:val="22"/>
              </w:rPr>
              <w:t>13,048</w:t>
            </w:r>
          </w:p>
        </w:tc>
      </w:tr>
      <w:tr w:rsidR="00CE1BDB" w:rsidRPr="00FA4DC7" w14:paraId="56A65D35" w14:textId="77777777" w:rsidTr="0049141B">
        <w:tc>
          <w:tcPr>
            <w:tcW w:w="912" w:type="pct"/>
            <w:vMerge/>
            <w:vAlign w:val="center"/>
          </w:tcPr>
          <w:p w14:paraId="574897CA" w14:textId="77777777" w:rsidR="00CE1BDB" w:rsidRPr="00FA4DC7" w:rsidRDefault="00CE1BDB" w:rsidP="00EF49A7">
            <w:pPr>
              <w:rPr>
                <w:rFonts w:cs="Arial"/>
                <w:color w:val="000000"/>
                <w:sz w:val="22"/>
                <w:szCs w:val="22"/>
              </w:rPr>
            </w:pPr>
          </w:p>
        </w:tc>
        <w:tc>
          <w:tcPr>
            <w:tcW w:w="1556" w:type="pct"/>
            <w:shd w:val="clear" w:color="auto" w:fill="auto"/>
            <w:noWrap/>
            <w:vAlign w:val="center"/>
          </w:tcPr>
          <w:p w14:paraId="16F40517" w14:textId="77777777" w:rsidR="00CE1BDB" w:rsidRPr="00FA4DC7" w:rsidRDefault="00CE1BDB" w:rsidP="0049141B">
            <w:pPr>
              <w:rPr>
                <w:rFonts w:cs="Arial"/>
                <w:color w:val="000000"/>
                <w:sz w:val="22"/>
                <w:szCs w:val="22"/>
              </w:rPr>
            </w:pPr>
            <w:r w:rsidRPr="00FA4DC7">
              <w:rPr>
                <w:rFonts w:cs="Arial"/>
                <w:color w:val="000000"/>
                <w:sz w:val="22"/>
                <w:szCs w:val="22"/>
              </w:rPr>
              <w:t>Walderslade</w:t>
            </w:r>
          </w:p>
        </w:tc>
        <w:tc>
          <w:tcPr>
            <w:tcW w:w="541" w:type="pct"/>
            <w:shd w:val="clear" w:color="auto" w:fill="auto"/>
            <w:noWrap/>
            <w:vAlign w:val="center"/>
          </w:tcPr>
          <w:p w14:paraId="2A73FBA1" w14:textId="77777777" w:rsidR="00CE1BDB" w:rsidRPr="00FA4DC7" w:rsidRDefault="00CE1BDB" w:rsidP="00EF49A7">
            <w:pPr>
              <w:jc w:val="right"/>
              <w:rPr>
                <w:rFonts w:cs="Arial"/>
                <w:color w:val="000000"/>
                <w:sz w:val="22"/>
                <w:szCs w:val="22"/>
              </w:rPr>
            </w:pPr>
            <w:r w:rsidRPr="00FA4DC7">
              <w:rPr>
                <w:rFonts w:cs="Arial"/>
                <w:color w:val="000000"/>
                <w:sz w:val="22"/>
                <w:szCs w:val="22"/>
              </w:rPr>
              <w:t>623</w:t>
            </w:r>
          </w:p>
        </w:tc>
        <w:tc>
          <w:tcPr>
            <w:tcW w:w="694" w:type="pct"/>
            <w:shd w:val="clear" w:color="auto" w:fill="auto"/>
            <w:noWrap/>
            <w:vAlign w:val="center"/>
          </w:tcPr>
          <w:p w14:paraId="3E8912C6" w14:textId="77777777" w:rsidR="00CE1BDB" w:rsidRPr="00FA4DC7" w:rsidRDefault="00CE1BDB" w:rsidP="00EF49A7">
            <w:pPr>
              <w:jc w:val="right"/>
              <w:rPr>
                <w:rFonts w:cs="Arial"/>
                <w:color w:val="000000"/>
                <w:sz w:val="22"/>
                <w:szCs w:val="22"/>
              </w:rPr>
            </w:pPr>
            <w:r w:rsidRPr="00FA4DC7">
              <w:rPr>
                <w:rFonts w:cs="Arial"/>
                <w:color w:val="000000"/>
                <w:sz w:val="22"/>
                <w:szCs w:val="22"/>
              </w:rPr>
              <w:t>2.3%</w:t>
            </w:r>
          </w:p>
        </w:tc>
        <w:tc>
          <w:tcPr>
            <w:tcW w:w="733" w:type="pct"/>
            <w:shd w:val="clear" w:color="auto" w:fill="auto"/>
            <w:noWrap/>
            <w:vAlign w:val="center"/>
          </w:tcPr>
          <w:p w14:paraId="2BA2141E" w14:textId="77777777" w:rsidR="00CE1BDB" w:rsidRPr="00FA4DC7" w:rsidRDefault="00CE1BDB" w:rsidP="00EF49A7">
            <w:pPr>
              <w:jc w:val="right"/>
              <w:rPr>
                <w:rFonts w:cs="Arial"/>
                <w:color w:val="000000"/>
                <w:sz w:val="22"/>
                <w:szCs w:val="22"/>
              </w:rPr>
            </w:pPr>
            <w:r w:rsidRPr="00FA4DC7">
              <w:rPr>
                <w:rFonts w:cs="Arial"/>
                <w:color w:val="000000"/>
                <w:sz w:val="22"/>
                <w:szCs w:val="22"/>
              </w:rPr>
              <w:t>6.5%</w:t>
            </w:r>
          </w:p>
        </w:tc>
        <w:tc>
          <w:tcPr>
            <w:tcW w:w="564" w:type="pct"/>
            <w:shd w:val="clear" w:color="auto" w:fill="auto"/>
            <w:noWrap/>
            <w:vAlign w:val="center"/>
          </w:tcPr>
          <w:p w14:paraId="03EA82BE" w14:textId="77777777" w:rsidR="00CE1BDB" w:rsidRPr="00FA4DC7" w:rsidRDefault="00CE1BDB" w:rsidP="00EF49A7">
            <w:pPr>
              <w:jc w:val="right"/>
              <w:rPr>
                <w:rFonts w:cs="Arial"/>
                <w:color w:val="000000"/>
                <w:sz w:val="22"/>
                <w:szCs w:val="22"/>
              </w:rPr>
            </w:pPr>
            <w:r w:rsidRPr="00FA4DC7">
              <w:rPr>
                <w:rFonts w:cs="Arial"/>
                <w:color w:val="000000"/>
                <w:sz w:val="22"/>
                <w:szCs w:val="22"/>
              </w:rPr>
              <w:t>9,520</w:t>
            </w:r>
          </w:p>
        </w:tc>
      </w:tr>
      <w:tr w:rsidR="00CE1BDB" w:rsidRPr="00FA4DC7" w14:paraId="33A05371" w14:textId="77777777" w:rsidTr="0049141B">
        <w:tc>
          <w:tcPr>
            <w:tcW w:w="912" w:type="pct"/>
            <w:vMerge/>
            <w:vAlign w:val="center"/>
            <w:hideMark/>
          </w:tcPr>
          <w:p w14:paraId="47529E35" w14:textId="77777777" w:rsidR="00CE1BDB" w:rsidRPr="00FA4DC7" w:rsidRDefault="00CE1BDB" w:rsidP="00EF49A7">
            <w:pPr>
              <w:rPr>
                <w:rFonts w:cs="Arial"/>
                <w:color w:val="000000"/>
                <w:sz w:val="22"/>
                <w:szCs w:val="22"/>
              </w:rPr>
            </w:pPr>
          </w:p>
        </w:tc>
        <w:tc>
          <w:tcPr>
            <w:tcW w:w="1556" w:type="pct"/>
            <w:shd w:val="clear" w:color="auto" w:fill="auto"/>
            <w:noWrap/>
            <w:vAlign w:val="center"/>
            <w:hideMark/>
          </w:tcPr>
          <w:p w14:paraId="478C3CEE" w14:textId="77777777" w:rsidR="00CE1BDB" w:rsidRPr="00FA4DC7" w:rsidRDefault="00CE1BDB" w:rsidP="0049141B">
            <w:pPr>
              <w:rPr>
                <w:rFonts w:cs="Arial"/>
                <w:b/>
                <w:bCs/>
                <w:color w:val="000000"/>
                <w:sz w:val="22"/>
                <w:szCs w:val="22"/>
              </w:rPr>
            </w:pPr>
            <w:r w:rsidRPr="00FA4DC7">
              <w:rPr>
                <w:rFonts w:cs="Arial"/>
                <w:color w:val="000000"/>
                <w:sz w:val="22"/>
                <w:szCs w:val="22"/>
              </w:rPr>
              <w:t>Watling</w:t>
            </w:r>
          </w:p>
        </w:tc>
        <w:tc>
          <w:tcPr>
            <w:tcW w:w="541" w:type="pct"/>
            <w:shd w:val="clear" w:color="auto" w:fill="auto"/>
            <w:noWrap/>
            <w:vAlign w:val="center"/>
            <w:hideMark/>
          </w:tcPr>
          <w:p w14:paraId="6A0A62F4" w14:textId="77777777" w:rsidR="00CE1BDB" w:rsidRPr="00FA4DC7" w:rsidRDefault="00CE1BDB" w:rsidP="00EF49A7">
            <w:pPr>
              <w:jc w:val="right"/>
              <w:rPr>
                <w:rFonts w:cs="Arial"/>
                <w:b/>
                <w:bCs/>
                <w:color w:val="000000"/>
                <w:sz w:val="22"/>
                <w:szCs w:val="22"/>
              </w:rPr>
            </w:pPr>
            <w:r w:rsidRPr="00FA4DC7">
              <w:rPr>
                <w:rFonts w:cs="Arial"/>
                <w:color w:val="000000"/>
                <w:sz w:val="22"/>
                <w:szCs w:val="22"/>
              </w:rPr>
              <w:t>1,002</w:t>
            </w:r>
          </w:p>
        </w:tc>
        <w:tc>
          <w:tcPr>
            <w:tcW w:w="694" w:type="pct"/>
            <w:shd w:val="clear" w:color="auto" w:fill="auto"/>
            <w:noWrap/>
            <w:vAlign w:val="center"/>
            <w:hideMark/>
          </w:tcPr>
          <w:p w14:paraId="2B832B72" w14:textId="77777777" w:rsidR="00CE1BDB" w:rsidRPr="00FA4DC7" w:rsidRDefault="00CE1BDB" w:rsidP="00EF49A7">
            <w:pPr>
              <w:jc w:val="right"/>
              <w:rPr>
                <w:rFonts w:cs="Arial"/>
                <w:b/>
                <w:bCs/>
                <w:color w:val="000000"/>
                <w:sz w:val="22"/>
                <w:szCs w:val="22"/>
              </w:rPr>
            </w:pPr>
            <w:r w:rsidRPr="00FA4DC7">
              <w:rPr>
                <w:rFonts w:cs="Arial"/>
                <w:color w:val="000000"/>
                <w:sz w:val="22"/>
                <w:szCs w:val="22"/>
              </w:rPr>
              <w:t>3.7%</w:t>
            </w:r>
          </w:p>
        </w:tc>
        <w:tc>
          <w:tcPr>
            <w:tcW w:w="733" w:type="pct"/>
            <w:shd w:val="clear" w:color="auto" w:fill="auto"/>
            <w:noWrap/>
            <w:vAlign w:val="center"/>
            <w:hideMark/>
          </w:tcPr>
          <w:p w14:paraId="6226711B" w14:textId="77777777" w:rsidR="00CE1BDB" w:rsidRPr="00FA4DC7" w:rsidRDefault="00CE1BDB" w:rsidP="00EF49A7">
            <w:pPr>
              <w:jc w:val="right"/>
              <w:rPr>
                <w:rFonts w:cs="Arial"/>
                <w:b/>
                <w:bCs/>
                <w:color w:val="000000"/>
                <w:sz w:val="22"/>
                <w:szCs w:val="22"/>
              </w:rPr>
            </w:pPr>
            <w:r w:rsidRPr="00FA4DC7">
              <w:rPr>
                <w:rFonts w:cs="Arial"/>
                <w:color w:val="000000"/>
                <w:sz w:val="22"/>
                <w:szCs w:val="22"/>
              </w:rPr>
              <w:t>10.8%</w:t>
            </w:r>
          </w:p>
        </w:tc>
        <w:tc>
          <w:tcPr>
            <w:tcW w:w="564" w:type="pct"/>
            <w:shd w:val="clear" w:color="auto" w:fill="auto"/>
            <w:noWrap/>
            <w:vAlign w:val="center"/>
            <w:hideMark/>
          </w:tcPr>
          <w:p w14:paraId="77CDF797" w14:textId="77777777" w:rsidR="00CE1BDB" w:rsidRPr="00FA4DC7" w:rsidRDefault="00CE1BDB" w:rsidP="00EF49A7">
            <w:pPr>
              <w:jc w:val="right"/>
              <w:rPr>
                <w:rFonts w:cs="Arial"/>
                <w:b/>
                <w:bCs/>
                <w:color w:val="000000"/>
                <w:sz w:val="22"/>
                <w:szCs w:val="22"/>
              </w:rPr>
            </w:pPr>
            <w:r w:rsidRPr="00FA4DC7">
              <w:rPr>
                <w:rFonts w:cs="Arial"/>
                <w:color w:val="000000"/>
                <w:sz w:val="22"/>
                <w:szCs w:val="22"/>
              </w:rPr>
              <w:t>9,243</w:t>
            </w:r>
          </w:p>
        </w:tc>
      </w:tr>
      <w:tr w:rsidR="00CE1BDB" w:rsidRPr="00FA4DC7" w14:paraId="48F5AD7B" w14:textId="77777777" w:rsidTr="0049141B">
        <w:tc>
          <w:tcPr>
            <w:tcW w:w="912" w:type="pct"/>
            <w:vMerge/>
            <w:noWrap/>
            <w:vAlign w:val="center"/>
            <w:hideMark/>
          </w:tcPr>
          <w:p w14:paraId="28ADEBFF" w14:textId="77777777" w:rsidR="00CE1BDB" w:rsidRPr="00FA4DC7" w:rsidRDefault="00CE1BDB" w:rsidP="00EF49A7">
            <w:pPr>
              <w:rPr>
                <w:rFonts w:cs="Arial"/>
                <w:color w:val="000000"/>
                <w:sz w:val="22"/>
                <w:szCs w:val="22"/>
              </w:rPr>
            </w:pPr>
          </w:p>
        </w:tc>
        <w:tc>
          <w:tcPr>
            <w:tcW w:w="1556" w:type="pct"/>
            <w:shd w:val="clear" w:color="auto" w:fill="auto"/>
            <w:noWrap/>
            <w:vAlign w:val="center"/>
            <w:hideMark/>
          </w:tcPr>
          <w:p w14:paraId="3343563A" w14:textId="77777777" w:rsidR="00CE1BDB" w:rsidRPr="00FA4DC7" w:rsidRDefault="00CE1BDB" w:rsidP="0049141B">
            <w:pPr>
              <w:rPr>
                <w:rFonts w:cs="Arial"/>
                <w:color w:val="000000"/>
                <w:sz w:val="22"/>
                <w:szCs w:val="22"/>
              </w:rPr>
            </w:pPr>
            <w:r w:rsidRPr="00FA4DC7">
              <w:rPr>
                <w:rFonts w:cs="Arial"/>
                <w:b/>
                <w:bCs/>
                <w:color w:val="000000"/>
                <w:sz w:val="22"/>
                <w:szCs w:val="22"/>
              </w:rPr>
              <w:t>Medway Total</w:t>
            </w:r>
          </w:p>
        </w:tc>
        <w:tc>
          <w:tcPr>
            <w:tcW w:w="541" w:type="pct"/>
            <w:shd w:val="clear" w:color="auto" w:fill="auto"/>
            <w:noWrap/>
            <w:vAlign w:val="center"/>
            <w:hideMark/>
          </w:tcPr>
          <w:p w14:paraId="394FB893"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27,346</w:t>
            </w:r>
          </w:p>
        </w:tc>
        <w:tc>
          <w:tcPr>
            <w:tcW w:w="694" w:type="pct"/>
            <w:shd w:val="clear" w:color="auto" w:fill="auto"/>
            <w:noWrap/>
            <w:vAlign w:val="center"/>
            <w:hideMark/>
          </w:tcPr>
          <w:p w14:paraId="4268C082"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100.0%</w:t>
            </w:r>
          </w:p>
        </w:tc>
        <w:tc>
          <w:tcPr>
            <w:tcW w:w="733" w:type="pct"/>
            <w:tcBorders>
              <w:bottom w:val="single" w:sz="4" w:space="0" w:color="000000" w:themeColor="text1"/>
            </w:tcBorders>
            <w:shd w:val="clear" w:color="auto" w:fill="auto"/>
            <w:noWrap/>
            <w:vAlign w:val="center"/>
            <w:hideMark/>
          </w:tcPr>
          <w:p w14:paraId="47AE24A7"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10.4%</w:t>
            </w:r>
          </w:p>
        </w:tc>
        <w:tc>
          <w:tcPr>
            <w:tcW w:w="564" w:type="pct"/>
            <w:shd w:val="clear" w:color="auto" w:fill="auto"/>
            <w:noWrap/>
            <w:vAlign w:val="center"/>
            <w:hideMark/>
          </w:tcPr>
          <w:p w14:paraId="7EC0E3F2" w14:textId="77777777" w:rsidR="00CE1BDB" w:rsidRPr="00FA4DC7" w:rsidRDefault="00CE1BDB" w:rsidP="00EF49A7">
            <w:pPr>
              <w:jc w:val="right"/>
              <w:rPr>
                <w:rFonts w:cs="Arial"/>
                <w:color w:val="000000"/>
                <w:sz w:val="22"/>
                <w:szCs w:val="22"/>
              </w:rPr>
            </w:pPr>
            <w:r w:rsidRPr="00FA4DC7">
              <w:rPr>
                <w:rFonts w:cs="Arial"/>
                <w:b/>
                <w:bCs/>
                <w:color w:val="000000"/>
                <w:sz w:val="22"/>
                <w:szCs w:val="22"/>
              </w:rPr>
              <w:t>263,925</w:t>
            </w:r>
          </w:p>
        </w:tc>
      </w:tr>
      <w:tr w:rsidR="0049141B" w:rsidRPr="00FA4DC7" w14:paraId="02536CCD" w14:textId="77777777" w:rsidTr="0049141B">
        <w:tc>
          <w:tcPr>
            <w:tcW w:w="912" w:type="pct"/>
            <w:vMerge w:val="restart"/>
            <w:shd w:val="clear" w:color="auto" w:fill="auto"/>
            <w:vAlign w:val="center"/>
            <w:hideMark/>
          </w:tcPr>
          <w:p w14:paraId="140D172F" w14:textId="77777777" w:rsidR="0049141B" w:rsidRPr="00FA4DC7" w:rsidRDefault="0049141B" w:rsidP="00EF49A7">
            <w:pPr>
              <w:rPr>
                <w:rFonts w:cs="Arial"/>
                <w:color w:val="000000"/>
                <w:sz w:val="22"/>
                <w:szCs w:val="22"/>
              </w:rPr>
            </w:pPr>
            <w:r w:rsidRPr="00FA4DC7">
              <w:rPr>
                <w:rFonts w:cs="Arial"/>
                <w:color w:val="000000" w:themeColor="text1"/>
                <w:sz w:val="22"/>
                <w:szCs w:val="22"/>
              </w:rPr>
              <w:t>Key Development Location</w:t>
            </w:r>
          </w:p>
        </w:tc>
        <w:tc>
          <w:tcPr>
            <w:tcW w:w="1556" w:type="pct"/>
            <w:shd w:val="clear" w:color="auto" w:fill="auto"/>
            <w:noWrap/>
            <w:vAlign w:val="center"/>
            <w:hideMark/>
          </w:tcPr>
          <w:p w14:paraId="553F3533" w14:textId="77777777" w:rsidR="0049141B" w:rsidRPr="00FA4DC7" w:rsidRDefault="0049141B" w:rsidP="0049141B">
            <w:pPr>
              <w:rPr>
                <w:rFonts w:cs="Arial"/>
                <w:color w:val="000000"/>
                <w:sz w:val="22"/>
                <w:szCs w:val="22"/>
              </w:rPr>
            </w:pPr>
            <w:r w:rsidRPr="00FA4DC7">
              <w:rPr>
                <w:rFonts w:cs="Arial"/>
                <w:color w:val="000000"/>
                <w:sz w:val="22"/>
                <w:szCs w:val="22"/>
              </w:rPr>
              <w:t>Chatham</w:t>
            </w:r>
          </w:p>
        </w:tc>
        <w:tc>
          <w:tcPr>
            <w:tcW w:w="541" w:type="pct"/>
            <w:shd w:val="clear" w:color="auto" w:fill="auto"/>
            <w:noWrap/>
            <w:vAlign w:val="center"/>
            <w:hideMark/>
          </w:tcPr>
          <w:p w14:paraId="74E8B82C" w14:textId="77777777" w:rsidR="0049141B" w:rsidRPr="00FA4DC7" w:rsidRDefault="0049141B" w:rsidP="00EF49A7">
            <w:pPr>
              <w:jc w:val="right"/>
              <w:rPr>
                <w:rFonts w:cs="Arial"/>
                <w:color w:val="000000"/>
                <w:sz w:val="22"/>
                <w:szCs w:val="22"/>
              </w:rPr>
            </w:pPr>
            <w:r w:rsidRPr="00FA4DC7">
              <w:rPr>
                <w:rFonts w:cs="Arial"/>
                <w:color w:val="000000"/>
                <w:sz w:val="22"/>
                <w:szCs w:val="22"/>
              </w:rPr>
              <w:t>3,745</w:t>
            </w:r>
          </w:p>
        </w:tc>
        <w:tc>
          <w:tcPr>
            <w:tcW w:w="694" w:type="pct"/>
            <w:shd w:val="clear" w:color="auto" w:fill="auto"/>
            <w:noWrap/>
            <w:vAlign w:val="center"/>
            <w:hideMark/>
          </w:tcPr>
          <w:p w14:paraId="1EEE573D" w14:textId="77777777" w:rsidR="0049141B" w:rsidRPr="00FA4DC7" w:rsidRDefault="0049141B" w:rsidP="00EF49A7">
            <w:pPr>
              <w:jc w:val="right"/>
              <w:rPr>
                <w:rFonts w:cs="Arial"/>
                <w:color w:val="000000"/>
                <w:sz w:val="22"/>
                <w:szCs w:val="22"/>
              </w:rPr>
            </w:pPr>
            <w:r w:rsidRPr="00FA4DC7">
              <w:rPr>
                <w:rFonts w:cs="Arial"/>
                <w:color w:val="000000"/>
                <w:sz w:val="22"/>
                <w:szCs w:val="22"/>
              </w:rPr>
              <w:t>20.3%</w:t>
            </w:r>
          </w:p>
        </w:tc>
        <w:tc>
          <w:tcPr>
            <w:tcW w:w="733" w:type="pct"/>
            <w:vMerge w:val="restart"/>
            <w:shd w:val="clear" w:color="auto" w:fill="006666"/>
            <w:noWrap/>
            <w:vAlign w:val="center"/>
          </w:tcPr>
          <w:p w14:paraId="38957E53" w14:textId="77777777" w:rsidR="0049141B" w:rsidRPr="00FA4DC7" w:rsidRDefault="0049141B" w:rsidP="00EF49A7">
            <w:pPr>
              <w:jc w:val="right"/>
              <w:rPr>
                <w:rFonts w:cs="Arial"/>
                <w:color w:val="000000"/>
                <w:sz w:val="22"/>
                <w:szCs w:val="22"/>
              </w:rPr>
            </w:pPr>
          </w:p>
        </w:tc>
        <w:tc>
          <w:tcPr>
            <w:tcW w:w="564" w:type="pct"/>
            <w:shd w:val="clear" w:color="auto" w:fill="auto"/>
            <w:noWrap/>
            <w:vAlign w:val="center"/>
          </w:tcPr>
          <w:p w14:paraId="5A1C14B6" w14:textId="77777777" w:rsidR="0049141B" w:rsidRPr="00FA4DC7" w:rsidRDefault="0049141B" w:rsidP="00EF49A7">
            <w:pPr>
              <w:jc w:val="right"/>
              <w:rPr>
                <w:rFonts w:cs="Arial"/>
                <w:color w:val="000000"/>
                <w:sz w:val="22"/>
                <w:szCs w:val="22"/>
              </w:rPr>
            </w:pPr>
            <w:r w:rsidRPr="00FA4DC7">
              <w:rPr>
                <w:rFonts w:cs="Arial"/>
                <w:color w:val="000000"/>
                <w:sz w:val="22"/>
                <w:szCs w:val="22"/>
              </w:rPr>
              <w:t>18,485</w:t>
            </w:r>
          </w:p>
        </w:tc>
      </w:tr>
      <w:tr w:rsidR="0049141B" w:rsidRPr="00FA4DC7" w14:paraId="7BCEB0CD" w14:textId="77777777" w:rsidTr="0049141B">
        <w:tc>
          <w:tcPr>
            <w:tcW w:w="912" w:type="pct"/>
            <w:vMerge/>
            <w:vAlign w:val="center"/>
            <w:hideMark/>
          </w:tcPr>
          <w:p w14:paraId="5581B06A" w14:textId="77777777" w:rsidR="0049141B" w:rsidRPr="00FA4DC7" w:rsidRDefault="0049141B" w:rsidP="00EF49A7">
            <w:pPr>
              <w:rPr>
                <w:rFonts w:cs="Arial"/>
                <w:color w:val="000000"/>
                <w:sz w:val="22"/>
                <w:szCs w:val="22"/>
              </w:rPr>
            </w:pPr>
          </w:p>
        </w:tc>
        <w:tc>
          <w:tcPr>
            <w:tcW w:w="1556" w:type="pct"/>
            <w:shd w:val="clear" w:color="auto" w:fill="auto"/>
            <w:noWrap/>
            <w:vAlign w:val="center"/>
            <w:hideMark/>
          </w:tcPr>
          <w:p w14:paraId="6B59B856" w14:textId="77777777" w:rsidR="0049141B" w:rsidRPr="00FA4DC7" w:rsidRDefault="0049141B" w:rsidP="0049141B">
            <w:pPr>
              <w:rPr>
                <w:rFonts w:cs="Arial"/>
                <w:color w:val="000000"/>
                <w:sz w:val="22"/>
                <w:szCs w:val="22"/>
              </w:rPr>
            </w:pPr>
            <w:r w:rsidRPr="00FA4DC7">
              <w:rPr>
                <w:rFonts w:cs="Arial"/>
                <w:color w:val="000000"/>
                <w:sz w:val="22"/>
                <w:szCs w:val="22"/>
              </w:rPr>
              <w:t>Chatham Maritime and Gillingham (</w:t>
            </w:r>
            <w:proofErr w:type="spellStart"/>
            <w:r w:rsidRPr="00FA4DC7">
              <w:rPr>
                <w:rFonts w:cs="Arial"/>
                <w:color w:val="000000"/>
                <w:sz w:val="22"/>
                <w:szCs w:val="22"/>
              </w:rPr>
              <w:t>inc</w:t>
            </w:r>
            <w:proofErr w:type="spellEnd"/>
            <w:r w:rsidRPr="00FA4DC7">
              <w:rPr>
                <w:rFonts w:cs="Arial"/>
                <w:color w:val="000000"/>
                <w:sz w:val="22"/>
                <w:szCs w:val="22"/>
              </w:rPr>
              <w:t xml:space="preserve"> St Mary’s Island &amp; Brompton) </w:t>
            </w:r>
          </w:p>
        </w:tc>
        <w:tc>
          <w:tcPr>
            <w:tcW w:w="541" w:type="pct"/>
            <w:shd w:val="clear" w:color="auto" w:fill="auto"/>
            <w:noWrap/>
            <w:vAlign w:val="center"/>
            <w:hideMark/>
          </w:tcPr>
          <w:p w14:paraId="6C01A650" w14:textId="77777777" w:rsidR="0049141B" w:rsidRPr="00FA4DC7" w:rsidRDefault="0049141B" w:rsidP="00EF49A7">
            <w:pPr>
              <w:jc w:val="right"/>
              <w:rPr>
                <w:rFonts w:cs="Arial"/>
                <w:color w:val="000000"/>
                <w:sz w:val="22"/>
                <w:szCs w:val="22"/>
              </w:rPr>
            </w:pPr>
            <w:r w:rsidRPr="00FA4DC7">
              <w:rPr>
                <w:rFonts w:cs="Arial"/>
                <w:color w:val="000000"/>
                <w:sz w:val="22"/>
                <w:szCs w:val="22"/>
              </w:rPr>
              <w:t>7,827</w:t>
            </w:r>
          </w:p>
        </w:tc>
        <w:tc>
          <w:tcPr>
            <w:tcW w:w="694" w:type="pct"/>
            <w:shd w:val="clear" w:color="auto" w:fill="auto"/>
            <w:noWrap/>
            <w:vAlign w:val="center"/>
            <w:hideMark/>
          </w:tcPr>
          <w:p w14:paraId="16563AA2" w14:textId="77777777" w:rsidR="0049141B" w:rsidRPr="00FA4DC7" w:rsidRDefault="0049141B" w:rsidP="00EF49A7">
            <w:pPr>
              <w:jc w:val="right"/>
              <w:rPr>
                <w:rFonts w:cs="Arial"/>
                <w:color w:val="000000"/>
                <w:sz w:val="22"/>
                <w:szCs w:val="22"/>
              </w:rPr>
            </w:pPr>
            <w:r w:rsidRPr="00FA4DC7">
              <w:rPr>
                <w:rFonts w:cs="Arial"/>
                <w:color w:val="000000"/>
                <w:sz w:val="22"/>
                <w:szCs w:val="22"/>
              </w:rPr>
              <w:t>16.3%</w:t>
            </w:r>
          </w:p>
        </w:tc>
        <w:tc>
          <w:tcPr>
            <w:tcW w:w="733" w:type="pct"/>
            <w:vMerge/>
            <w:shd w:val="clear" w:color="auto" w:fill="006666"/>
            <w:noWrap/>
            <w:vAlign w:val="center"/>
          </w:tcPr>
          <w:p w14:paraId="05141E2A" w14:textId="77777777" w:rsidR="0049141B" w:rsidRPr="00FA4DC7" w:rsidRDefault="0049141B" w:rsidP="00EF49A7">
            <w:pPr>
              <w:jc w:val="right"/>
              <w:rPr>
                <w:rFonts w:cs="Arial"/>
                <w:color w:val="000000"/>
                <w:sz w:val="22"/>
                <w:szCs w:val="22"/>
              </w:rPr>
            </w:pPr>
          </w:p>
        </w:tc>
        <w:tc>
          <w:tcPr>
            <w:tcW w:w="564" w:type="pct"/>
            <w:shd w:val="clear" w:color="auto" w:fill="auto"/>
            <w:noWrap/>
            <w:vAlign w:val="center"/>
          </w:tcPr>
          <w:p w14:paraId="6FD5E568" w14:textId="77777777" w:rsidR="0049141B" w:rsidRPr="00FA4DC7" w:rsidRDefault="0049141B" w:rsidP="00EF49A7">
            <w:pPr>
              <w:jc w:val="right"/>
              <w:rPr>
                <w:rFonts w:cs="Arial"/>
                <w:color w:val="000000"/>
                <w:sz w:val="22"/>
                <w:szCs w:val="22"/>
              </w:rPr>
            </w:pPr>
            <w:r w:rsidRPr="00FA4DC7">
              <w:rPr>
                <w:rFonts w:cs="Arial"/>
                <w:color w:val="000000"/>
                <w:sz w:val="22"/>
                <w:szCs w:val="22"/>
              </w:rPr>
              <w:t>48,103</w:t>
            </w:r>
          </w:p>
        </w:tc>
      </w:tr>
      <w:tr w:rsidR="0049141B" w:rsidRPr="00FA4DC7" w14:paraId="24A955E7" w14:textId="77777777" w:rsidTr="0049141B">
        <w:tc>
          <w:tcPr>
            <w:tcW w:w="912" w:type="pct"/>
            <w:vMerge/>
            <w:vAlign w:val="center"/>
            <w:hideMark/>
          </w:tcPr>
          <w:p w14:paraId="4361A993" w14:textId="77777777" w:rsidR="0049141B" w:rsidRPr="00FA4DC7" w:rsidRDefault="0049141B" w:rsidP="00EF49A7">
            <w:pPr>
              <w:rPr>
                <w:rFonts w:cs="Arial"/>
                <w:color w:val="000000"/>
                <w:sz w:val="22"/>
                <w:szCs w:val="22"/>
              </w:rPr>
            </w:pPr>
          </w:p>
        </w:tc>
        <w:tc>
          <w:tcPr>
            <w:tcW w:w="1556" w:type="pct"/>
            <w:shd w:val="clear" w:color="auto" w:fill="auto"/>
            <w:noWrap/>
            <w:vAlign w:val="center"/>
            <w:hideMark/>
          </w:tcPr>
          <w:p w14:paraId="14B3450C" w14:textId="77777777" w:rsidR="0049141B" w:rsidRPr="00FA4DC7" w:rsidRDefault="0049141B" w:rsidP="0049141B">
            <w:pPr>
              <w:rPr>
                <w:rFonts w:cs="Arial"/>
                <w:color w:val="000000"/>
                <w:sz w:val="22"/>
                <w:szCs w:val="22"/>
              </w:rPr>
            </w:pPr>
            <w:r w:rsidRPr="00FA4DC7">
              <w:rPr>
                <w:rFonts w:cs="Arial"/>
                <w:color w:val="000000"/>
                <w:sz w:val="22"/>
                <w:szCs w:val="22"/>
              </w:rPr>
              <w:t>Rainham</w:t>
            </w:r>
          </w:p>
        </w:tc>
        <w:tc>
          <w:tcPr>
            <w:tcW w:w="541" w:type="pct"/>
            <w:shd w:val="clear" w:color="auto" w:fill="auto"/>
            <w:noWrap/>
            <w:vAlign w:val="center"/>
            <w:hideMark/>
          </w:tcPr>
          <w:p w14:paraId="3C6C8C44" w14:textId="77777777" w:rsidR="0049141B" w:rsidRPr="00FA4DC7" w:rsidRDefault="0049141B" w:rsidP="00EF49A7">
            <w:pPr>
              <w:jc w:val="right"/>
              <w:rPr>
                <w:rFonts w:cs="Arial"/>
                <w:color w:val="000000"/>
                <w:sz w:val="22"/>
                <w:szCs w:val="22"/>
              </w:rPr>
            </w:pPr>
            <w:r w:rsidRPr="00FA4DC7">
              <w:rPr>
                <w:rFonts w:cs="Arial"/>
                <w:color w:val="000000"/>
                <w:sz w:val="22"/>
                <w:szCs w:val="22"/>
              </w:rPr>
              <w:t>1,647</w:t>
            </w:r>
          </w:p>
        </w:tc>
        <w:tc>
          <w:tcPr>
            <w:tcW w:w="694" w:type="pct"/>
            <w:shd w:val="clear" w:color="auto" w:fill="auto"/>
            <w:noWrap/>
            <w:vAlign w:val="center"/>
            <w:hideMark/>
          </w:tcPr>
          <w:p w14:paraId="2B4DDB4E" w14:textId="77777777" w:rsidR="0049141B" w:rsidRPr="00FA4DC7" w:rsidRDefault="0049141B" w:rsidP="00EF49A7">
            <w:pPr>
              <w:jc w:val="right"/>
              <w:rPr>
                <w:rFonts w:cs="Arial"/>
                <w:color w:val="000000"/>
                <w:sz w:val="22"/>
                <w:szCs w:val="22"/>
              </w:rPr>
            </w:pPr>
            <w:r w:rsidRPr="00FA4DC7">
              <w:rPr>
                <w:rFonts w:cs="Arial"/>
                <w:color w:val="000000"/>
                <w:sz w:val="22"/>
                <w:szCs w:val="22"/>
              </w:rPr>
              <w:t>5.6%</w:t>
            </w:r>
          </w:p>
        </w:tc>
        <w:tc>
          <w:tcPr>
            <w:tcW w:w="733" w:type="pct"/>
            <w:vMerge/>
            <w:shd w:val="clear" w:color="auto" w:fill="006666"/>
            <w:noWrap/>
            <w:vAlign w:val="center"/>
          </w:tcPr>
          <w:p w14:paraId="64E30791" w14:textId="77777777" w:rsidR="0049141B" w:rsidRPr="00FA4DC7" w:rsidRDefault="0049141B" w:rsidP="00EF49A7">
            <w:pPr>
              <w:jc w:val="right"/>
              <w:rPr>
                <w:rFonts w:cs="Arial"/>
                <w:color w:val="000000"/>
                <w:sz w:val="22"/>
                <w:szCs w:val="22"/>
              </w:rPr>
            </w:pPr>
          </w:p>
        </w:tc>
        <w:tc>
          <w:tcPr>
            <w:tcW w:w="564" w:type="pct"/>
            <w:shd w:val="clear" w:color="auto" w:fill="auto"/>
            <w:noWrap/>
            <w:vAlign w:val="center"/>
          </w:tcPr>
          <w:p w14:paraId="74A62368" w14:textId="77777777" w:rsidR="0049141B" w:rsidRPr="00FA4DC7" w:rsidRDefault="0049141B" w:rsidP="00EF49A7">
            <w:pPr>
              <w:jc w:val="right"/>
              <w:rPr>
                <w:rFonts w:cs="Arial"/>
                <w:color w:val="000000"/>
                <w:sz w:val="22"/>
                <w:szCs w:val="22"/>
              </w:rPr>
            </w:pPr>
            <w:r w:rsidRPr="00FA4DC7">
              <w:rPr>
                <w:rFonts w:cs="Arial"/>
                <w:color w:val="000000"/>
                <w:sz w:val="22"/>
                <w:szCs w:val="22"/>
              </w:rPr>
              <w:t>29,504</w:t>
            </w:r>
          </w:p>
        </w:tc>
      </w:tr>
      <w:tr w:rsidR="0049141B" w:rsidRPr="00FA4DC7" w14:paraId="4F08243C" w14:textId="77777777" w:rsidTr="0049141B">
        <w:tc>
          <w:tcPr>
            <w:tcW w:w="912" w:type="pct"/>
            <w:vMerge/>
            <w:vAlign w:val="center"/>
            <w:hideMark/>
          </w:tcPr>
          <w:p w14:paraId="0F5141FB" w14:textId="77777777" w:rsidR="0049141B" w:rsidRPr="00FA4DC7" w:rsidRDefault="0049141B" w:rsidP="00EF49A7">
            <w:pPr>
              <w:rPr>
                <w:rFonts w:cs="Arial"/>
                <w:color w:val="000000"/>
                <w:sz w:val="22"/>
                <w:szCs w:val="22"/>
              </w:rPr>
            </w:pPr>
          </w:p>
        </w:tc>
        <w:tc>
          <w:tcPr>
            <w:tcW w:w="1556" w:type="pct"/>
            <w:shd w:val="clear" w:color="auto" w:fill="auto"/>
            <w:noWrap/>
            <w:vAlign w:val="center"/>
            <w:hideMark/>
          </w:tcPr>
          <w:p w14:paraId="3B5D0377" w14:textId="77777777" w:rsidR="0049141B" w:rsidRPr="00FA4DC7" w:rsidRDefault="0049141B" w:rsidP="0049141B">
            <w:pPr>
              <w:rPr>
                <w:rFonts w:cs="Arial"/>
                <w:color w:val="000000"/>
                <w:sz w:val="22"/>
                <w:szCs w:val="22"/>
              </w:rPr>
            </w:pPr>
            <w:r w:rsidRPr="00FA4DC7">
              <w:rPr>
                <w:rFonts w:cs="Arial"/>
                <w:color w:val="000000"/>
                <w:sz w:val="22"/>
                <w:szCs w:val="22"/>
              </w:rPr>
              <w:t>Rochester</w:t>
            </w:r>
          </w:p>
        </w:tc>
        <w:tc>
          <w:tcPr>
            <w:tcW w:w="541" w:type="pct"/>
            <w:shd w:val="clear" w:color="auto" w:fill="auto"/>
            <w:noWrap/>
            <w:vAlign w:val="center"/>
            <w:hideMark/>
          </w:tcPr>
          <w:p w14:paraId="7A5AB86E" w14:textId="77777777" w:rsidR="0049141B" w:rsidRPr="00FA4DC7" w:rsidRDefault="0049141B" w:rsidP="00EF49A7">
            <w:pPr>
              <w:jc w:val="right"/>
              <w:rPr>
                <w:rFonts w:cs="Arial"/>
                <w:color w:val="000000"/>
                <w:sz w:val="22"/>
                <w:szCs w:val="22"/>
              </w:rPr>
            </w:pPr>
            <w:r w:rsidRPr="00FA4DC7">
              <w:rPr>
                <w:rFonts w:cs="Arial"/>
                <w:color w:val="000000"/>
                <w:sz w:val="22"/>
                <w:szCs w:val="22"/>
              </w:rPr>
              <w:t>3,628</w:t>
            </w:r>
          </w:p>
        </w:tc>
        <w:tc>
          <w:tcPr>
            <w:tcW w:w="694" w:type="pct"/>
            <w:shd w:val="clear" w:color="auto" w:fill="auto"/>
            <w:noWrap/>
            <w:vAlign w:val="center"/>
            <w:hideMark/>
          </w:tcPr>
          <w:p w14:paraId="056249C1" w14:textId="77777777" w:rsidR="0049141B" w:rsidRPr="00FA4DC7" w:rsidRDefault="0049141B" w:rsidP="00EF49A7">
            <w:pPr>
              <w:jc w:val="right"/>
              <w:rPr>
                <w:rFonts w:cs="Arial"/>
                <w:color w:val="000000"/>
                <w:sz w:val="22"/>
                <w:szCs w:val="22"/>
              </w:rPr>
            </w:pPr>
            <w:r w:rsidRPr="00FA4DC7">
              <w:rPr>
                <w:rFonts w:cs="Arial"/>
                <w:color w:val="000000"/>
                <w:sz w:val="22"/>
                <w:szCs w:val="22"/>
              </w:rPr>
              <w:t>13.1%</w:t>
            </w:r>
          </w:p>
        </w:tc>
        <w:tc>
          <w:tcPr>
            <w:tcW w:w="733" w:type="pct"/>
            <w:vMerge/>
            <w:shd w:val="clear" w:color="auto" w:fill="006666"/>
            <w:noWrap/>
            <w:vAlign w:val="center"/>
          </w:tcPr>
          <w:p w14:paraId="26B412E8" w14:textId="77777777" w:rsidR="0049141B" w:rsidRPr="00FA4DC7" w:rsidRDefault="0049141B" w:rsidP="00EF49A7">
            <w:pPr>
              <w:jc w:val="right"/>
              <w:rPr>
                <w:rFonts w:cs="Arial"/>
                <w:color w:val="000000"/>
                <w:sz w:val="22"/>
                <w:szCs w:val="22"/>
              </w:rPr>
            </w:pPr>
          </w:p>
        </w:tc>
        <w:tc>
          <w:tcPr>
            <w:tcW w:w="564" w:type="pct"/>
            <w:shd w:val="clear" w:color="auto" w:fill="auto"/>
            <w:noWrap/>
            <w:vAlign w:val="center"/>
          </w:tcPr>
          <w:p w14:paraId="6546250C" w14:textId="77777777" w:rsidR="0049141B" w:rsidRPr="00FA4DC7" w:rsidRDefault="0049141B" w:rsidP="00EF49A7">
            <w:pPr>
              <w:jc w:val="right"/>
              <w:rPr>
                <w:rFonts w:cs="Arial"/>
                <w:color w:val="000000"/>
                <w:sz w:val="22"/>
                <w:szCs w:val="22"/>
              </w:rPr>
            </w:pPr>
            <w:r w:rsidRPr="00FA4DC7">
              <w:rPr>
                <w:rFonts w:cs="Arial"/>
                <w:color w:val="000000"/>
                <w:sz w:val="22"/>
                <w:szCs w:val="22"/>
              </w:rPr>
              <w:t>27,651</w:t>
            </w:r>
          </w:p>
        </w:tc>
      </w:tr>
      <w:tr w:rsidR="0049141B" w:rsidRPr="00FA4DC7" w14:paraId="0C30C41B" w14:textId="77777777" w:rsidTr="0049141B">
        <w:tc>
          <w:tcPr>
            <w:tcW w:w="912" w:type="pct"/>
            <w:vMerge/>
            <w:vAlign w:val="center"/>
            <w:hideMark/>
          </w:tcPr>
          <w:p w14:paraId="0662FAB3" w14:textId="77777777" w:rsidR="0049141B" w:rsidRPr="00FA4DC7" w:rsidRDefault="0049141B" w:rsidP="00EF49A7">
            <w:pPr>
              <w:rPr>
                <w:rFonts w:cs="Arial"/>
                <w:color w:val="000000"/>
                <w:sz w:val="22"/>
                <w:szCs w:val="22"/>
              </w:rPr>
            </w:pPr>
          </w:p>
        </w:tc>
        <w:tc>
          <w:tcPr>
            <w:tcW w:w="1556" w:type="pct"/>
            <w:shd w:val="clear" w:color="auto" w:fill="auto"/>
            <w:noWrap/>
            <w:vAlign w:val="center"/>
            <w:hideMark/>
          </w:tcPr>
          <w:p w14:paraId="1E3863E5" w14:textId="77777777" w:rsidR="0049141B" w:rsidRPr="00FA4DC7" w:rsidRDefault="0049141B" w:rsidP="0049141B">
            <w:pPr>
              <w:rPr>
                <w:rFonts w:cs="Arial"/>
                <w:b/>
                <w:bCs/>
                <w:color w:val="000000"/>
                <w:sz w:val="22"/>
                <w:szCs w:val="22"/>
              </w:rPr>
            </w:pPr>
            <w:r w:rsidRPr="00FA4DC7">
              <w:rPr>
                <w:rFonts w:cs="Arial"/>
                <w:color w:val="000000"/>
                <w:sz w:val="22"/>
                <w:szCs w:val="22"/>
              </w:rPr>
              <w:t>Strood</w:t>
            </w:r>
          </w:p>
        </w:tc>
        <w:tc>
          <w:tcPr>
            <w:tcW w:w="541" w:type="pct"/>
            <w:shd w:val="clear" w:color="auto" w:fill="auto"/>
            <w:noWrap/>
            <w:vAlign w:val="center"/>
            <w:hideMark/>
          </w:tcPr>
          <w:p w14:paraId="745D0AE0"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2,749</w:t>
            </w:r>
          </w:p>
        </w:tc>
        <w:tc>
          <w:tcPr>
            <w:tcW w:w="694" w:type="pct"/>
            <w:shd w:val="clear" w:color="auto" w:fill="auto"/>
            <w:noWrap/>
            <w:vAlign w:val="center"/>
            <w:hideMark/>
          </w:tcPr>
          <w:p w14:paraId="3077268B"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9.5%</w:t>
            </w:r>
          </w:p>
        </w:tc>
        <w:tc>
          <w:tcPr>
            <w:tcW w:w="733" w:type="pct"/>
            <w:vMerge/>
            <w:shd w:val="clear" w:color="auto" w:fill="006666"/>
            <w:noWrap/>
            <w:vAlign w:val="center"/>
          </w:tcPr>
          <w:p w14:paraId="660E5D03" w14:textId="77777777" w:rsidR="0049141B" w:rsidRPr="00FA4DC7" w:rsidRDefault="0049141B" w:rsidP="00EF49A7">
            <w:pPr>
              <w:jc w:val="right"/>
              <w:rPr>
                <w:rFonts w:cs="Arial"/>
                <w:b/>
                <w:bCs/>
                <w:color w:val="000000"/>
                <w:sz w:val="22"/>
                <w:szCs w:val="22"/>
              </w:rPr>
            </w:pPr>
          </w:p>
        </w:tc>
        <w:tc>
          <w:tcPr>
            <w:tcW w:w="564" w:type="pct"/>
            <w:shd w:val="clear" w:color="auto" w:fill="auto"/>
            <w:noWrap/>
            <w:vAlign w:val="center"/>
          </w:tcPr>
          <w:p w14:paraId="501336F9"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28,842</w:t>
            </w:r>
          </w:p>
        </w:tc>
      </w:tr>
      <w:tr w:rsidR="0049141B" w:rsidRPr="00FA4DC7" w14:paraId="4E523BF2" w14:textId="77777777" w:rsidTr="0049141B">
        <w:tc>
          <w:tcPr>
            <w:tcW w:w="912" w:type="pct"/>
            <w:vMerge w:val="restart"/>
            <w:shd w:val="clear" w:color="auto" w:fill="auto"/>
            <w:vAlign w:val="center"/>
          </w:tcPr>
          <w:p w14:paraId="45DFE486" w14:textId="77777777" w:rsidR="0049141B" w:rsidRPr="00FA4DC7" w:rsidRDefault="0049141B" w:rsidP="00EF49A7">
            <w:pPr>
              <w:rPr>
                <w:rFonts w:cs="Arial"/>
                <w:color w:val="000000"/>
                <w:sz w:val="22"/>
                <w:szCs w:val="22"/>
              </w:rPr>
            </w:pPr>
            <w:r w:rsidRPr="00FA4DC7">
              <w:rPr>
                <w:rFonts w:cs="Arial"/>
                <w:color w:val="000000"/>
                <w:sz w:val="22"/>
                <w:szCs w:val="22"/>
              </w:rPr>
              <w:t>Neighbourhood Planning Area</w:t>
            </w:r>
          </w:p>
        </w:tc>
        <w:tc>
          <w:tcPr>
            <w:tcW w:w="1556" w:type="pct"/>
            <w:shd w:val="clear" w:color="auto" w:fill="auto"/>
            <w:noWrap/>
            <w:vAlign w:val="center"/>
          </w:tcPr>
          <w:p w14:paraId="394EC2AB" w14:textId="77777777" w:rsidR="0049141B" w:rsidRPr="00FA4DC7" w:rsidRDefault="0049141B" w:rsidP="0049141B">
            <w:pPr>
              <w:rPr>
                <w:rFonts w:cs="Arial"/>
                <w:b/>
                <w:bCs/>
                <w:color w:val="000000"/>
                <w:sz w:val="22"/>
                <w:szCs w:val="22"/>
              </w:rPr>
            </w:pPr>
            <w:r w:rsidRPr="00FA4DC7">
              <w:rPr>
                <w:rFonts w:cs="Arial"/>
                <w:color w:val="000000" w:themeColor="text1"/>
                <w:sz w:val="22"/>
                <w:szCs w:val="22"/>
              </w:rPr>
              <w:t>Cliffe and Cliffe Woods</w:t>
            </w:r>
          </w:p>
        </w:tc>
        <w:tc>
          <w:tcPr>
            <w:tcW w:w="541" w:type="pct"/>
            <w:shd w:val="clear" w:color="auto" w:fill="auto"/>
            <w:noWrap/>
            <w:vAlign w:val="center"/>
          </w:tcPr>
          <w:p w14:paraId="1D8EF9BB"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233</w:t>
            </w:r>
          </w:p>
        </w:tc>
        <w:tc>
          <w:tcPr>
            <w:tcW w:w="694" w:type="pct"/>
            <w:shd w:val="clear" w:color="auto" w:fill="auto"/>
            <w:noWrap/>
            <w:vAlign w:val="center"/>
          </w:tcPr>
          <w:p w14:paraId="110F4C16"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4.2%</w:t>
            </w:r>
          </w:p>
        </w:tc>
        <w:tc>
          <w:tcPr>
            <w:tcW w:w="733" w:type="pct"/>
            <w:vMerge/>
            <w:shd w:val="clear" w:color="auto" w:fill="006666"/>
            <w:noWrap/>
            <w:vAlign w:val="center"/>
          </w:tcPr>
          <w:p w14:paraId="12E6909B" w14:textId="77777777" w:rsidR="0049141B" w:rsidRPr="00FA4DC7" w:rsidRDefault="0049141B" w:rsidP="00EF49A7">
            <w:pPr>
              <w:jc w:val="right"/>
              <w:rPr>
                <w:rFonts w:cs="Arial"/>
                <w:b/>
                <w:bCs/>
                <w:color w:val="000000"/>
                <w:sz w:val="22"/>
                <w:szCs w:val="22"/>
              </w:rPr>
            </w:pPr>
          </w:p>
        </w:tc>
        <w:tc>
          <w:tcPr>
            <w:tcW w:w="564" w:type="pct"/>
            <w:shd w:val="clear" w:color="auto" w:fill="auto"/>
            <w:noWrap/>
            <w:vAlign w:val="center"/>
          </w:tcPr>
          <w:p w14:paraId="32464F05"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5,556</w:t>
            </w:r>
          </w:p>
        </w:tc>
      </w:tr>
      <w:tr w:rsidR="0049141B" w:rsidRPr="00FA4DC7" w14:paraId="6DC5F69B" w14:textId="77777777" w:rsidTr="0049141B">
        <w:tc>
          <w:tcPr>
            <w:tcW w:w="912" w:type="pct"/>
            <w:vMerge/>
            <w:vAlign w:val="center"/>
          </w:tcPr>
          <w:p w14:paraId="43D2978B" w14:textId="77777777" w:rsidR="0049141B" w:rsidRPr="00FA4DC7" w:rsidRDefault="0049141B" w:rsidP="00EF49A7">
            <w:pPr>
              <w:rPr>
                <w:rFonts w:cs="Arial"/>
                <w:color w:val="000000"/>
                <w:sz w:val="22"/>
                <w:szCs w:val="22"/>
              </w:rPr>
            </w:pPr>
          </w:p>
        </w:tc>
        <w:tc>
          <w:tcPr>
            <w:tcW w:w="1556" w:type="pct"/>
            <w:shd w:val="clear" w:color="auto" w:fill="auto"/>
            <w:noWrap/>
            <w:vAlign w:val="center"/>
          </w:tcPr>
          <w:p w14:paraId="010C872B" w14:textId="77777777" w:rsidR="0049141B" w:rsidRPr="00FA4DC7" w:rsidRDefault="0049141B" w:rsidP="0049141B">
            <w:pPr>
              <w:rPr>
                <w:rFonts w:cs="Arial"/>
                <w:b/>
                <w:bCs/>
                <w:color w:val="000000"/>
                <w:sz w:val="22"/>
                <w:szCs w:val="22"/>
              </w:rPr>
            </w:pPr>
            <w:proofErr w:type="spellStart"/>
            <w:r w:rsidRPr="00FA4DC7">
              <w:rPr>
                <w:rFonts w:cs="Arial"/>
                <w:color w:val="000000"/>
                <w:sz w:val="22"/>
                <w:szCs w:val="22"/>
              </w:rPr>
              <w:t>Frindsbury</w:t>
            </w:r>
            <w:proofErr w:type="spellEnd"/>
            <w:r w:rsidRPr="00FA4DC7">
              <w:rPr>
                <w:rFonts w:cs="Arial"/>
                <w:color w:val="000000"/>
                <w:sz w:val="22"/>
                <w:szCs w:val="22"/>
              </w:rPr>
              <w:t xml:space="preserve"> Extra</w:t>
            </w:r>
          </w:p>
        </w:tc>
        <w:tc>
          <w:tcPr>
            <w:tcW w:w="541" w:type="pct"/>
            <w:shd w:val="clear" w:color="auto" w:fill="auto"/>
            <w:noWrap/>
            <w:vAlign w:val="center"/>
          </w:tcPr>
          <w:p w14:paraId="58AA1DAA"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494</w:t>
            </w:r>
          </w:p>
        </w:tc>
        <w:tc>
          <w:tcPr>
            <w:tcW w:w="694" w:type="pct"/>
            <w:shd w:val="clear" w:color="auto" w:fill="auto"/>
            <w:noWrap/>
            <w:vAlign w:val="center"/>
          </w:tcPr>
          <w:p w14:paraId="1140E093"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8.4%</w:t>
            </w:r>
          </w:p>
        </w:tc>
        <w:tc>
          <w:tcPr>
            <w:tcW w:w="733" w:type="pct"/>
            <w:vMerge/>
            <w:shd w:val="clear" w:color="auto" w:fill="006666"/>
            <w:noWrap/>
            <w:vAlign w:val="center"/>
          </w:tcPr>
          <w:p w14:paraId="00F40FDE" w14:textId="77777777" w:rsidR="0049141B" w:rsidRPr="00FA4DC7" w:rsidRDefault="0049141B" w:rsidP="00EF49A7">
            <w:pPr>
              <w:jc w:val="right"/>
              <w:rPr>
                <w:rFonts w:cs="Arial"/>
                <w:b/>
                <w:bCs/>
                <w:color w:val="000000"/>
                <w:sz w:val="22"/>
                <w:szCs w:val="22"/>
              </w:rPr>
            </w:pPr>
          </w:p>
        </w:tc>
        <w:tc>
          <w:tcPr>
            <w:tcW w:w="564" w:type="pct"/>
            <w:shd w:val="clear" w:color="auto" w:fill="auto"/>
            <w:noWrap/>
            <w:vAlign w:val="center"/>
          </w:tcPr>
          <w:p w14:paraId="2E116E6C"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5,903</w:t>
            </w:r>
          </w:p>
        </w:tc>
      </w:tr>
      <w:tr w:rsidR="0049141B" w:rsidRPr="00FA4DC7" w14:paraId="0F4AA89E" w14:textId="77777777" w:rsidTr="0049141B">
        <w:tc>
          <w:tcPr>
            <w:tcW w:w="912" w:type="pct"/>
            <w:vMerge/>
            <w:vAlign w:val="center"/>
          </w:tcPr>
          <w:p w14:paraId="5E9287B0" w14:textId="77777777" w:rsidR="0049141B" w:rsidRPr="00FA4DC7" w:rsidRDefault="0049141B" w:rsidP="00EF49A7">
            <w:pPr>
              <w:rPr>
                <w:rFonts w:cs="Arial"/>
                <w:color w:val="000000"/>
                <w:sz w:val="22"/>
                <w:szCs w:val="22"/>
              </w:rPr>
            </w:pPr>
          </w:p>
        </w:tc>
        <w:tc>
          <w:tcPr>
            <w:tcW w:w="1556" w:type="pct"/>
            <w:shd w:val="clear" w:color="auto" w:fill="auto"/>
            <w:noWrap/>
            <w:vAlign w:val="center"/>
          </w:tcPr>
          <w:p w14:paraId="366C5869" w14:textId="77777777" w:rsidR="0049141B" w:rsidRPr="00FA4DC7" w:rsidRDefault="0049141B" w:rsidP="0049141B">
            <w:pPr>
              <w:rPr>
                <w:rFonts w:cs="Arial"/>
                <w:b/>
                <w:bCs/>
                <w:color w:val="000000"/>
                <w:sz w:val="22"/>
                <w:szCs w:val="22"/>
              </w:rPr>
            </w:pPr>
            <w:r w:rsidRPr="00FA4DC7">
              <w:rPr>
                <w:rFonts w:cs="Arial"/>
                <w:color w:val="000000"/>
                <w:sz w:val="22"/>
                <w:szCs w:val="22"/>
              </w:rPr>
              <w:t xml:space="preserve">High </w:t>
            </w:r>
            <w:proofErr w:type="spellStart"/>
            <w:r w:rsidRPr="00FA4DC7">
              <w:rPr>
                <w:rFonts w:cs="Arial"/>
                <w:color w:val="000000"/>
                <w:sz w:val="22"/>
                <w:szCs w:val="22"/>
              </w:rPr>
              <w:t>Halstow</w:t>
            </w:r>
            <w:proofErr w:type="spellEnd"/>
          </w:p>
        </w:tc>
        <w:tc>
          <w:tcPr>
            <w:tcW w:w="541" w:type="pct"/>
            <w:shd w:val="clear" w:color="auto" w:fill="auto"/>
            <w:noWrap/>
            <w:vAlign w:val="center"/>
          </w:tcPr>
          <w:p w14:paraId="75887614"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54</w:t>
            </w:r>
          </w:p>
        </w:tc>
        <w:tc>
          <w:tcPr>
            <w:tcW w:w="694" w:type="pct"/>
            <w:shd w:val="clear" w:color="auto" w:fill="auto"/>
            <w:noWrap/>
            <w:vAlign w:val="center"/>
          </w:tcPr>
          <w:p w14:paraId="0F26D77A"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2.7%</w:t>
            </w:r>
          </w:p>
        </w:tc>
        <w:tc>
          <w:tcPr>
            <w:tcW w:w="733" w:type="pct"/>
            <w:vMerge/>
            <w:shd w:val="clear" w:color="auto" w:fill="006666"/>
            <w:noWrap/>
            <w:vAlign w:val="center"/>
          </w:tcPr>
          <w:p w14:paraId="602520AF" w14:textId="77777777" w:rsidR="0049141B" w:rsidRPr="00FA4DC7" w:rsidRDefault="0049141B" w:rsidP="00EF49A7">
            <w:pPr>
              <w:jc w:val="right"/>
              <w:rPr>
                <w:rFonts w:cs="Arial"/>
                <w:b/>
                <w:bCs/>
                <w:color w:val="000000"/>
                <w:sz w:val="22"/>
                <w:szCs w:val="22"/>
              </w:rPr>
            </w:pPr>
          </w:p>
        </w:tc>
        <w:tc>
          <w:tcPr>
            <w:tcW w:w="564" w:type="pct"/>
            <w:shd w:val="clear" w:color="auto" w:fill="auto"/>
            <w:noWrap/>
            <w:vAlign w:val="center"/>
          </w:tcPr>
          <w:p w14:paraId="0B63D0B7"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2,023</w:t>
            </w:r>
          </w:p>
        </w:tc>
      </w:tr>
      <w:tr w:rsidR="0049141B" w:rsidRPr="00FA4DC7" w14:paraId="22DD051E" w14:textId="77777777" w:rsidTr="0049141B">
        <w:tc>
          <w:tcPr>
            <w:tcW w:w="912" w:type="pct"/>
            <w:vMerge/>
            <w:vAlign w:val="center"/>
          </w:tcPr>
          <w:p w14:paraId="3E33685A" w14:textId="77777777" w:rsidR="0049141B" w:rsidRPr="00FA4DC7" w:rsidRDefault="0049141B" w:rsidP="00EF49A7">
            <w:pPr>
              <w:rPr>
                <w:rFonts w:cs="Arial"/>
                <w:color w:val="000000"/>
                <w:sz w:val="22"/>
                <w:szCs w:val="22"/>
              </w:rPr>
            </w:pPr>
          </w:p>
        </w:tc>
        <w:tc>
          <w:tcPr>
            <w:tcW w:w="1556" w:type="pct"/>
            <w:shd w:val="clear" w:color="auto" w:fill="auto"/>
            <w:noWrap/>
            <w:vAlign w:val="center"/>
          </w:tcPr>
          <w:p w14:paraId="55370BF3" w14:textId="77777777" w:rsidR="0049141B" w:rsidRPr="00FA4DC7" w:rsidRDefault="0049141B" w:rsidP="0049141B">
            <w:pPr>
              <w:rPr>
                <w:rFonts w:cs="Arial"/>
                <w:b/>
                <w:bCs/>
                <w:color w:val="000000"/>
                <w:sz w:val="22"/>
                <w:szCs w:val="22"/>
              </w:rPr>
            </w:pPr>
            <w:proofErr w:type="spellStart"/>
            <w:r w:rsidRPr="00FA4DC7">
              <w:rPr>
                <w:rFonts w:cs="Arial"/>
                <w:color w:val="000000"/>
                <w:sz w:val="22"/>
                <w:szCs w:val="22"/>
              </w:rPr>
              <w:t>Hoo</w:t>
            </w:r>
            <w:proofErr w:type="spellEnd"/>
            <w:r w:rsidRPr="00FA4DC7">
              <w:rPr>
                <w:rFonts w:cs="Arial"/>
                <w:color w:val="000000"/>
                <w:sz w:val="22"/>
                <w:szCs w:val="22"/>
              </w:rPr>
              <w:t xml:space="preserve"> St </w:t>
            </w:r>
            <w:proofErr w:type="spellStart"/>
            <w:r w:rsidRPr="00FA4DC7">
              <w:rPr>
                <w:rFonts w:cs="Arial"/>
                <w:color w:val="000000"/>
                <w:sz w:val="22"/>
                <w:szCs w:val="22"/>
              </w:rPr>
              <w:t>Werburgh</w:t>
            </w:r>
            <w:proofErr w:type="spellEnd"/>
            <w:r w:rsidRPr="00FA4DC7">
              <w:rPr>
                <w:rFonts w:cs="Arial"/>
                <w:color w:val="000000"/>
                <w:sz w:val="22"/>
                <w:szCs w:val="22"/>
              </w:rPr>
              <w:t>/Rural Town</w:t>
            </w:r>
          </w:p>
        </w:tc>
        <w:tc>
          <w:tcPr>
            <w:tcW w:w="541" w:type="pct"/>
            <w:shd w:val="clear" w:color="auto" w:fill="auto"/>
            <w:noWrap/>
            <w:vAlign w:val="center"/>
          </w:tcPr>
          <w:p w14:paraId="3BD25F84"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337</w:t>
            </w:r>
          </w:p>
        </w:tc>
        <w:tc>
          <w:tcPr>
            <w:tcW w:w="694" w:type="pct"/>
            <w:shd w:val="clear" w:color="auto" w:fill="auto"/>
            <w:noWrap/>
            <w:vAlign w:val="center"/>
          </w:tcPr>
          <w:p w14:paraId="10A7168F"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3.6%</w:t>
            </w:r>
          </w:p>
        </w:tc>
        <w:tc>
          <w:tcPr>
            <w:tcW w:w="733" w:type="pct"/>
            <w:vMerge/>
            <w:shd w:val="clear" w:color="auto" w:fill="006666"/>
            <w:noWrap/>
            <w:vAlign w:val="center"/>
          </w:tcPr>
          <w:p w14:paraId="751929FD" w14:textId="77777777" w:rsidR="0049141B" w:rsidRPr="00FA4DC7" w:rsidRDefault="0049141B" w:rsidP="00EF49A7">
            <w:pPr>
              <w:jc w:val="right"/>
              <w:rPr>
                <w:rFonts w:cs="Arial"/>
                <w:b/>
                <w:bCs/>
                <w:color w:val="000000"/>
                <w:sz w:val="22"/>
                <w:szCs w:val="22"/>
              </w:rPr>
            </w:pPr>
          </w:p>
        </w:tc>
        <w:tc>
          <w:tcPr>
            <w:tcW w:w="564" w:type="pct"/>
            <w:shd w:val="clear" w:color="auto" w:fill="auto"/>
            <w:noWrap/>
            <w:vAlign w:val="center"/>
          </w:tcPr>
          <w:p w14:paraId="616CB808"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9,357</w:t>
            </w:r>
          </w:p>
        </w:tc>
      </w:tr>
      <w:tr w:rsidR="0049141B" w:rsidRPr="00FA4DC7" w14:paraId="0199B0DC" w14:textId="77777777" w:rsidTr="0049141B">
        <w:tc>
          <w:tcPr>
            <w:tcW w:w="912" w:type="pct"/>
            <w:vMerge/>
            <w:vAlign w:val="center"/>
          </w:tcPr>
          <w:p w14:paraId="141A0D31" w14:textId="77777777" w:rsidR="0049141B" w:rsidRPr="00FA4DC7" w:rsidRDefault="0049141B" w:rsidP="00EF49A7">
            <w:pPr>
              <w:rPr>
                <w:rFonts w:cs="Arial"/>
                <w:color w:val="000000"/>
                <w:sz w:val="22"/>
                <w:szCs w:val="22"/>
              </w:rPr>
            </w:pPr>
          </w:p>
        </w:tc>
        <w:tc>
          <w:tcPr>
            <w:tcW w:w="1556" w:type="pct"/>
            <w:shd w:val="clear" w:color="auto" w:fill="auto"/>
            <w:noWrap/>
            <w:vAlign w:val="center"/>
          </w:tcPr>
          <w:p w14:paraId="4678DA9B" w14:textId="77777777" w:rsidR="0049141B" w:rsidRPr="00FA4DC7" w:rsidRDefault="0049141B" w:rsidP="00EF49A7">
            <w:pPr>
              <w:jc w:val="both"/>
              <w:rPr>
                <w:rFonts w:cs="Arial"/>
                <w:b/>
                <w:bCs/>
                <w:color w:val="000000"/>
                <w:sz w:val="22"/>
                <w:szCs w:val="22"/>
                <w:highlight w:val="yellow"/>
              </w:rPr>
            </w:pPr>
            <w:r w:rsidRPr="00FA4DC7">
              <w:rPr>
                <w:rFonts w:cs="Arial"/>
                <w:color w:val="000000" w:themeColor="text1"/>
                <w:sz w:val="22"/>
                <w:szCs w:val="22"/>
              </w:rPr>
              <w:t>Arches (Chatham)</w:t>
            </w:r>
          </w:p>
        </w:tc>
        <w:tc>
          <w:tcPr>
            <w:tcW w:w="541" w:type="pct"/>
            <w:shd w:val="clear" w:color="auto" w:fill="auto"/>
            <w:noWrap/>
            <w:vAlign w:val="center"/>
          </w:tcPr>
          <w:p w14:paraId="256742ED"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1,741</w:t>
            </w:r>
          </w:p>
        </w:tc>
        <w:tc>
          <w:tcPr>
            <w:tcW w:w="694" w:type="pct"/>
            <w:shd w:val="clear" w:color="auto" w:fill="auto"/>
            <w:noWrap/>
            <w:vAlign w:val="center"/>
          </w:tcPr>
          <w:p w14:paraId="057F570B"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17.7%</w:t>
            </w:r>
          </w:p>
        </w:tc>
        <w:tc>
          <w:tcPr>
            <w:tcW w:w="733" w:type="pct"/>
            <w:vMerge/>
            <w:shd w:val="clear" w:color="auto" w:fill="006666"/>
            <w:noWrap/>
            <w:vAlign w:val="center"/>
          </w:tcPr>
          <w:p w14:paraId="013AE56A" w14:textId="77777777" w:rsidR="0049141B" w:rsidRPr="00FA4DC7" w:rsidRDefault="0049141B" w:rsidP="00EF49A7">
            <w:pPr>
              <w:jc w:val="right"/>
              <w:rPr>
                <w:rFonts w:cs="Arial"/>
                <w:b/>
                <w:bCs/>
                <w:color w:val="000000"/>
                <w:sz w:val="22"/>
                <w:szCs w:val="22"/>
              </w:rPr>
            </w:pPr>
          </w:p>
        </w:tc>
        <w:tc>
          <w:tcPr>
            <w:tcW w:w="564" w:type="pct"/>
            <w:shd w:val="clear" w:color="auto" w:fill="auto"/>
            <w:noWrap/>
            <w:vAlign w:val="center"/>
          </w:tcPr>
          <w:p w14:paraId="4B7FD19F" w14:textId="77777777" w:rsidR="0049141B" w:rsidRPr="00FA4DC7" w:rsidRDefault="0049141B" w:rsidP="00EF49A7">
            <w:pPr>
              <w:jc w:val="right"/>
              <w:rPr>
                <w:rFonts w:cs="Arial"/>
                <w:b/>
                <w:bCs/>
                <w:color w:val="000000"/>
                <w:sz w:val="22"/>
                <w:szCs w:val="22"/>
              </w:rPr>
            </w:pPr>
            <w:r w:rsidRPr="00FA4DC7">
              <w:rPr>
                <w:rFonts w:cs="Arial"/>
                <w:color w:val="000000"/>
                <w:sz w:val="22"/>
                <w:szCs w:val="22"/>
              </w:rPr>
              <w:t>9,845</w:t>
            </w:r>
          </w:p>
        </w:tc>
      </w:tr>
    </w:tbl>
    <w:p w14:paraId="00229CAD" w14:textId="77777777" w:rsidR="00CE1BDB" w:rsidRPr="00FA4DC7" w:rsidRDefault="00CE1BDB" w:rsidP="00CE1BDB">
      <w:pPr>
        <w:pStyle w:val="Reporttext"/>
        <w:numPr>
          <w:ilvl w:val="0"/>
          <w:numId w:val="0"/>
        </w:numPr>
        <w:rPr>
          <w:rFonts w:cs="Arial"/>
          <w:sz w:val="22"/>
          <w:szCs w:val="22"/>
        </w:rPr>
      </w:pPr>
      <w:r w:rsidRPr="00FA4DC7">
        <w:rPr>
          <w:rFonts w:cs="Arial"/>
          <w:sz w:val="22"/>
          <w:szCs w:val="22"/>
        </w:rPr>
        <w:t>Source: 2011 Census</w:t>
      </w:r>
    </w:p>
    <w:p w14:paraId="4AE14787" w14:textId="77777777" w:rsidR="00CE1BDB" w:rsidRPr="00FA4DC7" w:rsidRDefault="00CE1BDB" w:rsidP="00CE1BDB">
      <w:pPr>
        <w:rPr>
          <w:rFonts w:cs="Arial"/>
          <w:highlight w:val="yellow"/>
          <w:lang w:eastAsia="en-US"/>
        </w:rPr>
      </w:pPr>
    </w:p>
    <w:p w14:paraId="3F81F19A" w14:textId="77777777" w:rsidR="00CE1BDB" w:rsidRPr="00FA4DC7" w:rsidRDefault="00CE1BDB" w:rsidP="00CE1BDB">
      <w:pPr>
        <w:pStyle w:val="Heading2"/>
        <w:rPr>
          <w:rFonts w:cs="Arial"/>
        </w:rPr>
      </w:pPr>
      <w:bookmarkStart w:id="413" w:name="_Toc83035680"/>
      <w:r w:rsidRPr="00FA4DC7">
        <w:rPr>
          <w:rStyle w:val="Heading3Char1"/>
          <w:rFonts w:ascii="Arial" w:hAnsi="Arial" w:cs="Arial"/>
        </w:rPr>
        <w:t xml:space="preserve">Gypsy, Traveller and Travelling </w:t>
      </w:r>
      <w:proofErr w:type="spellStart"/>
      <w:r w:rsidRPr="00FA4DC7">
        <w:rPr>
          <w:rStyle w:val="Heading3Char1"/>
          <w:rFonts w:ascii="Arial" w:hAnsi="Arial" w:cs="Arial"/>
        </w:rPr>
        <w:t>Showperson</w:t>
      </w:r>
      <w:proofErr w:type="spellEnd"/>
      <w:r w:rsidRPr="00FA4DC7">
        <w:rPr>
          <w:rStyle w:val="Heading3Char1"/>
          <w:rFonts w:ascii="Arial" w:hAnsi="Arial" w:cs="Arial"/>
        </w:rPr>
        <w:t xml:space="preserve"> need</w:t>
      </w:r>
      <w:bookmarkEnd w:id="413"/>
    </w:p>
    <w:p w14:paraId="771E7011" w14:textId="6BF49A32" w:rsidR="00CE1BDB" w:rsidRPr="00FA4DC7" w:rsidRDefault="00CE1BDB" w:rsidP="00CE1BDB">
      <w:pPr>
        <w:pStyle w:val="Reporttext"/>
        <w:rPr>
          <w:rFonts w:cs="Arial"/>
        </w:rPr>
      </w:pPr>
      <w:r w:rsidRPr="00FA4DC7">
        <w:rPr>
          <w:rFonts w:cs="Arial"/>
        </w:rPr>
        <w:t xml:space="preserve">The 2018 Gypsy and Traveller Accommodation Assessment identified an overall need of 57 pitches 2017 to 2035, of which 34 is need from households who have a nomadic habit of life and meet the definition of Traveller in the Planning Policy for Traveller Sites and 23 is from Travellers who do not meet </w:t>
      </w:r>
      <w:r w:rsidRPr="00FA4DC7">
        <w:rPr>
          <w:rFonts w:cs="Arial"/>
        </w:rPr>
        <w:lastRenderedPageBreak/>
        <w:t xml:space="preserve">the definition. There is also a need for 3 Travelling </w:t>
      </w:r>
      <w:proofErr w:type="spellStart"/>
      <w:r w:rsidRPr="00FA4DC7">
        <w:rPr>
          <w:rFonts w:cs="Arial"/>
        </w:rPr>
        <w:t>Showperson</w:t>
      </w:r>
      <w:proofErr w:type="spellEnd"/>
      <w:r w:rsidRPr="00FA4DC7">
        <w:rPr>
          <w:rFonts w:cs="Arial"/>
        </w:rPr>
        <w:t xml:space="preserve"> plots. No need for transit provision was identified but levels of unauthorised encampments should be </w:t>
      </w:r>
      <w:proofErr w:type="gramStart"/>
      <w:r w:rsidRPr="00FA4DC7">
        <w:rPr>
          <w:rFonts w:cs="Arial"/>
        </w:rPr>
        <w:t>monitored</w:t>
      </w:r>
      <w:proofErr w:type="gramEnd"/>
      <w:r w:rsidRPr="00FA4DC7">
        <w:rPr>
          <w:rFonts w:cs="Arial"/>
        </w:rPr>
        <w:t xml:space="preserve"> and the council should consider ‘negotiated stopping’ to manage short-term transit need should is arise. </w:t>
      </w:r>
      <w:r w:rsidR="001A51F7">
        <w:rPr>
          <w:rFonts w:cs="Arial"/>
        </w:rPr>
        <w:t xml:space="preserve">The council has commissioned an update to this evidence base document to align with the new plan period to 2037. </w:t>
      </w:r>
    </w:p>
    <w:p w14:paraId="4D0B3366" w14:textId="77777777" w:rsidR="00CE1BDB" w:rsidRPr="00FA4DC7" w:rsidRDefault="00CE1BDB" w:rsidP="00CE1BDB">
      <w:pPr>
        <w:rPr>
          <w:rFonts w:cs="Arial"/>
          <w:lang w:eastAsia="en-US"/>
        </w:rPr>
      </w:pPr>
    </w:p>
    <w:p w14:paraId="41BFBC67" w14:textId="77777777" w:rsidR="00CE1BDB" w:rsidRPr="00FA4DC7" w:rsidRDefault="00CE1BDB" w:rsidP="00CE1BDB">
      <w:pPr>
        <w:pStyle w:val="Heading2"/>
        <w:rPr>
          <w:rFonts w:cs="Arial"/>
        </w:rPr>
      </w:pPr>
      <w:bookmarkStart w:id="414" w:name="_Toc83035681"/>
      <w:r w:rsidRPr="00FA4DC7">
        <w:rPr>
          <w:rFonts w:cs="Arial"/>
        </w:rPr>
        <w:t>Other groups with particular housing requirements</w:t>
      </w:r>
      <w:bookmarkEnd w:id="414"/>
    </w:p>
    <w:p w14:paraId="73AB87EB" w14:textId="77777777" w:rsidR="00CE1BDB" w:rsidRPr="00FA4DC7" w:rsidRDefault="00CE1BDB" w:rsidP="00CE1BDB">
      <w:pPr>
        <w:pStyle w:val="Reporttext"/>
        <w:rPr>
          <w:rFonts w:cs="Arial"/>
        </w:rPr>
      </w:pPr>
      <w:r w:rsidRPr="00FA4DC7">
        <w:rPr>
          <w:rFonts w:cs="Arial"/>
        </w:rPr>
        <w:t>This chapter concludes with a summary of the other household groups who have particular housing requirements in Medway.</w:t>
      </w:r>
    </w:p>
    <w:p w14:paraId="168A2DAC" w14:textId="77777777" w:rsidR="00CE1BDB" w:rsidRPr="00FA4DC7" w:rsidRDefault="00CE1BDB" w:rsidP="00CE1BDB">
      <w:pPr>
        <w:rPr>
          <w:rFonts w:cs="Arial"/>
          <w:highlight w:val="yellow"/>
        </w:rPr>
      </w:pPr>
    </w:p>
    <w:p w14:paraId="4E06D728" w14:textId="77777777" w:rsidR="00CE1BDB" w:rsidRPr="00FA4DC7" w:rsidRDefault="00CE1BDB" w:rsidP="00CE1BDB">
      <w:pPr>
        <w:pStyle w:val="Heading3"/>
        <w:rPr>
          <w:rFonts w:cs="Arial"/>
        </w:rPr>
      </w:pPr>
      <w:r w:rsidRPr="00FA4DC7">
        <w:rPr>
          <w:rFonts w:cs="Arial"/>
        </w:rPr>
        <w:t>People who rent their homes</w:t>
      </w:r>
      <w:bookmarkEnd w:id="410"/>
    </w:p>
    <w:p w14:paraId="7778F1CB" w14:textId="77777777" w:rsidR="00CE1BDB" w:rsidRPr="00FA4DC7" w:rsidRDefault="00CE1BDB" w:rsidP="00CE1BDB">
      <w:pPr>
        <w:pStyle w:val="Reporttext"/>
        <w:rPr>
          <w:rFonts w:cs="Arial"/>
          <w:color w:val="000000" w:themeColor="text1"/>
        </w:rPr>
      </w:pPr>
      <w:r w:rsidRPr="00FA4DC7">
        <w:rPr>
          <w:rFonts w:cs="Arial"/>
        </w:rPr>
        <w:t>Chapter</w:t>
      </w:r>
      <w:r w:rsidRPr="00FA4DC7">
        <w:rPr>
          <w:rFonts w:cs="Arial"/>
          <w:color w:val="000000" w:themeColor="text1"/>
        </w:rPr>
        <w:t xml:space="preserve"> 4 presents a range of data on the characteristics of households who rent their homes – either privately or from a social housing provider. </w:t>
      </w:r>
    </w:p>
    <w:p w14:paraId="75E0F7E5" w14:textId="77777777" w:rsidR="00CE1BDB" w:rsidRPr="00DF71DD" w:rsidRDefault="00CE1BDB" w:rsidP="00CE1BDB">
      <w:pPr>
        <w:pStyle w:val="Reporttext"/>
        <w:numPr>
          <w:ilvl w:val="0"/>
          <w:numId w:val="0"/>
        </w:numPr>
        <w:rPr>
          <w:rFonts w:cs="Arial"/>
        </w:rPr>
      </w:pPr>
    </w:p>
    <w:p w14:paraId="529315D5" w14:textId="77777777" w:rsidR="00CE1BDB" w:rsidRPr="00DF71DD" w:rsidRDefault="00CE1BDB" w:rsidP="00CE1BDB">
      <w:pPr>
        <w:pStyle w:val="Heading3"/>
        <w:rPr>
          <w:rFonts w:cs="Arial"/>
        </w:rPr>
      </w:pPr>
      <w:bookmarkStart w:id="415" w:name="_Toc13046146"/>
      <w:r w:rsidRPr="00DF71DD">
        <w:rPr>
          <w:rFonts w:cs="Arial"/>
        </w:rPr>
        <w:t>Self-build and custom housebuilding</w:t>
      </w:r>
      <w:bookmarkEnd w:id="415"/>
    </w:p>
    <w:p w14:paraId="6FB98024" w14:textId="50C2DAD8" w:rsidR="00CE1BDB" w:rsidRPr="00DF71DD" w:rsidRDefault="00CE1BDB" w:rsidP="00CE1BDB">
      <w:pPr>
        <w:pStyle w:val="Reporttext"/>
        <w:rPr>
          <w:rFonts w:cs="Arial"/>
        </w:rPr>
      </w:pPr>
      <w:r w:rsidRPr="00DF71DD">
        <w:rPr>
          <w:rFonts w:cs="Arial"/>
        </w:rPr>
        <w:t>The NPPF 20</w:t>
      </w:r>
      <w:r w:rsidR="00CC7AF0" w:rsidRPr="00DF71DD">
        <w:rPr>
          <w:rFonts w:cs="Arial"/>
        </w:rPr>
        <w:t>21</w:t>
      </w:r>
      <w:r w:rsidRPr="00DF71DD">
        <w:rPr>
          <w:rFonts w:cs="Arial"/>
        </w:rPr>
        <w:t xml:space="preserve"> set out that the government wants to enable more people to build their own homes and wants to make this form of housing a mainstream housing option. </w:t>
      </w:r>
    </w:p>
    <w:p w14:paraId="364EBFAD" w14:textId="74E72F39" w:rsidR="00DF71DD" w:rsidRPr="00DF71DD" w:rsidRDefault="00CC7AF0" w:rsidP="00CE1BDB">
      <w:pPr>
        <w:pStyle w:val="Reporttext"/>
        <w:rPr>
          <w:rFonts w:cs="Arial"/>
        </w:rPr>
      </w:pPr>
      <w:r w:rsidRPr="00DF71DD">
        <w:rPr>
          <w:rFonts w:cs="Arial"/>
        </w:rPr>
        <w:t xml:space="preserve">There are currently around 100 households on the self-build register for Medway. </w:t>
      </w:r>
      <w:r w:rsidR="00DF71DD" w:rsidRPr="00DF71DD">
        <w:rPr>
          <w:rFonts w:cs="Arial"/>
        </w:rPr>
        <w:t>The dwelling type preferences were:</w:t>
      </w:r>
    </w:p>
    <w:p w14:paraId="3613F4FF" w14:textId="792578C9" w:rsidR="00DF71DD" w:rsidRPr="00DF71DD" w:rsidRDefault="00DF71DD" w:rsidP="0049141B">
      <w:pPr>
        <w:pStyle w:val="bullet"/>
      </w:pPr>
      <w:r w:rsidRPr="00DF71DD">
        <w:t>House 86.4%</w:t>
      </w:r>
    </w:p>
    <w:p w14:paraId="2D97A76A" w14:textId="3B606977" w:rsidR="00DF71DD" w:rsidRPr="00DF71DD" w:rsidRDefault="00DF71DD" w:rsidP="0049141B">
      <w:pPr>
        <w:pStyle w:val="bullet"/>
      </w:pPr>
      <w:r w:rsidRPr="00DF71DD">
        <w:t>Bungalow 13.5%</w:t>
      </w:r>
    </w:p>
    <w:p w14:paraId="7CBADFC1" w14:textId="045E674D" w:rsidR="00DF71DD" w:rsidRPr="00DF71DD" w:rsidRDefault="00DF71DD" w:rsidP="0049141B">
      <w:pPr>
        <w:pStyle w:val="bullet"/>
      </w:pPr>
      <w:r w:rsidRPr="00DF71DD">
        <w:t>Other (river based) 1%</w:t>
      </w:r>
    </w:p>
    <w:p w14:paraId="0F4CAFF2" w14:textId="48084A4C" w:rsidR="00DF71DD" w:rsidRPr="00DF71DD" w:rsidRDefault="00DF71DD" w:rsidP="00DF71DD">
      <w:pPr>
        <w:pStyle w:val="Reporttext"/>
        <w:rPr>
          <w:rFonts w:cs="Arial"/>
        </w:rPr>
      </w:pPr>
      <w:r w:rsidRPr="00DF71DD">
        <w:rPr>
          <w:rFonts w:cs="Arial"/>
        </w:rPr>
        <w:t xml:space="preserve">Bedroom requirements were not sufficiently reported </w:t>
      </w:r>
      <w:r>
        <w:rPr>
          <w:rFonts w:cs="Arial"/>
        </w:rPr>
        <w:t xml:space="preserve">to provide meaningful statistics </w:t>
      </w:r>
      <w:r w:rsidRPr="00DF71DD">
        <w:rPr>
          <w:rFonts w:cs="Arial"/>
        </w:rPr>
        <w:t>but where stated the need was for properties with 3 or more bedrooms. Table 5.17 summarises the range of locations stated and shows a particular preference for rural localities, Rainham and Rocheste</w:t>
      </w:r>
      <w:r w:rsidR="0082072D">
        <w:rPr>
          <w:rFonts w:cs="Arial"/>
        </w:rPr>
        <w:t xml:space="preserve">r but urban areas are also considered and 16.9% were looking anywhere in Medway for a plot of land.  </w:t>
      </w:r>
    </w:p>
    <w:p w14:paraId="5D146F54" w14:textId="150A6268" w:rsidR="00270657" w:rsidRDefault="00270657" w:rsidP="00DF71DD">
      <w:pPr>
        <w:pStyle w:val="Reporttext"/>
        <w:numPr>
          <w:ilvl w:val="0"/>
          <w:numId w:val="0"/>
        </w:numPr>
        <w:ind w:left="709"/>
        <w:rPr>
          <w:rFonts w:cs="Arial"/>
          <w:highlight w:val="yellow"/>
        </w:rPr>
      </w:pPr>
    </w:p>
    <w:p w14:paraId="4A6DE7AD" w14:textId="755DC504" w:rsidR="00BA60CB" w:rsidRDefault="00BA60CB">
      <w:pPr>
        <w:rPr>
          <w:rFonts w:cs="Arial"/>
          <w:highlight w:val="yellow"/>
          <w:lang w:eastAsia="en-US"/>
        </w:rPr>
      </w:pPr>
      <w:r>
        <w:rPr>
          <w:rFonts w:cs="Arial"/>
          <w:highlight w:val="yellow"/>
        </w:rPr>
        <w:br w:type="page"/>
      </w:r>
    </w:p>
    <w:tbl>
      <w:tblPr>
        <w:tblW w:w="9180" w:type="dxa"/>
        <w:tblLook w:val="04A0" w:firstRow="1" w:lastRow="0" w:firstColumn="1" w:lastColumn="0" w:noHBand="0" w:noVBand="1"/>
      </w:tblPr>
      <w:tblGrid>
        <w:gridCol w:w="1835"/>
        <w:gridCol w:w="1419"/>
        <w:gridCol w:w="1419"/>
        <w:gridCol w:w="1796"/>
        <w:gridCol w:w="1394"/>
        <w:gridCol w:w="1317"/>
      </w:tblGrid>
      <w:tr w:rsidR="00DF71DD" w:rsidRPr="00BA60CB" w14:paraId="59879A75" w14:textId="77777777" w:rsidTr="00BA60CB">
        <w:trPr>
          <w:trHeight w:val="300"/>
        </w:trPr>
        <w:tc>
          <w:tcPr>
            <w:tcW w:w="9180" w:type="dxa"/>
            <w:gridSpan w:val="6"/>
            <w:tcBorders>
              <w:top w:val="single" w:sz="4" w:space="0" w:color="auto"/>
              <w:left w:val="single" w:sz="4" w:space="0" w:color="auto"/>
              <w:bottom w:val="single" w:sz="4" w:space="0" w:color="auto"/>
              <w:right w:val="single" w:sz="4" w:space="0" w:color="auto"/>
            </w:tcBorders>
            <w:shd w:val="clear" w:color="auto" w:fill="006666"/>
            <w:noWrap/>
            <w:vAlign w:val="bottom"/>
          </w:tcPr>
          <w:p w14:paraId="0A9D8F1A" w14:textId="66F945E9" w:rsidR="00DF71DD" w:rsidRPr="00BA60CB" w:rsidRDefault="00DF71DD" w:rsidP="00DF71DD">
            <w:pPr>
              <w:pStyle w:val="Tableheading1"/>
              <w:rPr>
                <w:rFonts w:cs="Arial"/>
                <w:b w:val="0"/>
                <w:bCs w:val="0"/>
                <w:color w:val="000000"/>
                <w:szCs w:val="22"/>
              </w:rPr>
            </w:pPr>
            <w:bookmarkStart w:id="416" w:name="_Toc83036118"/>
            <w:r w:rsidRPr="00BA60CB">
              <w:rPr>
                <w:rFonts w:cs="Arial"/>
                <w:szCs w:val="22"/>
              </w:rPr>
              <w:lastRenderedPageBreak/>
              <w:t>Table 5.17</w:t>
            </w:r>
            <w:r w:rsidRPr="00BA60CB">
              <w:rPr>
                <w:rFonts w:cs="Arial"/>
                <w:szCs w:val="22"/>
              </w:rPr>
              <w:tab/>
              <w:t>Locat</w:t>
            </w:r>
            <w:r w:rsidR="0082072D" w:rsidRPr="00BA60CB">
              <w:rPr>
                <w:rFonts w:cs="Arial"/>
                <w:szCs w:val="22"/>
              </w:rPr>
              <w:t>i</w:t>
            </w:r>
            <w:r w:rsidRPr="00BA60CB">
              <w:rPr>
                <w:rFonts w:cs="Arial"/>
                <w:szCs w:val="22"/>
              </w:rPr>
              <w:t>on preferences of households on the self-build register</w:t>
            </w:r>
            <w:bookmarkEnd w:id="416"/>
          </w:p>
        </w:tc>
      </w:tr>
      <w:tr w:rsidR="00BA60CB" w:rsidRPr="00BA60CB" w14:paraId="3131BCF7" w14:textId="77777777" w:rsidTr="00BA60CB">
        <w:trPr>
          <w:trHeight w:val="300"/>
        </w:trPr>
        <w:tc>
          <w:tcPr>
            <w:tcW w:w="1835" w:type="dxa"/>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52889FAC" w14:textId="77777777" w:rsidR="00DF71DD" w:rsidRPr="00BA60CB" w:rsidRDefault="00DF71DD" w:rsidP="00DF71DD">
            <w:pPr>
              <w:rPr>
                <w:rFonts w:cs="Arial"/>
                <w:b/>
                <w:bCs/>
                <w:color w:val="FFFFFF" w:themeColor="background1"/>
                <w:sz w:val="22"/>
                <w:szCs w:val="22"/>
              </w:rPr>
            </w:pPr>
            <w:r w:rsidRPr="00BA60CB">
              <w:rPr>
                <w:rFonts w:cs="Arial"/>
                <w:b/>
                <w:bCs/>
                <w:color w:val="FFFFFF" w:themeColor="background1"/>
                <w:sz w:val="22"/>
                <w:szCs w:val="22"/>
              </w:rPr>
              <w:t>Location</w:t>
            </w:r>
          </w:p>
        </w:tc>
        <w:tc>
          <w:tcPr>
            <w:tcW w:w="1419" w:type="dxa"/>
            <w:tcBorders>
              <w:top w:val="single" w:sz="4" w:space="0" w:color="auto"/>
              <w:left w:val="nil"/>
              <w:bottom w:val="single" w:sz="4" w:space="0" w:color="auto"/>
              <w:right w:val="single" w:sz="4" w:space="0" w:color="auto"/>
            </w:tcBorders>
            <w:shd w:val="clear" w:color="auto" w:fill="006666"/>
            <w:noWrap/>
            <w:vAlign w:val="bottom"/>
            <w:hideMark/>
          </w:tcPr>
          <w:p w14:paraId="5E626425" w14:textId="77777777" w:rsidR="00DF71DD" w:rsidRPr="00BA60CB" w:rsidRDefault="00DF71DD" w:rsidP="00BA60CB">
            <w:pPr>
              <w:jc w:val="center"/>
              <w:rPr>
                <w:rFonts w:cs="Arial"/>
                <w:b/>
                <w:bCs/>
                <w:color w:val="FFFFFF" w:themeColor="background1"/>
                <w:sz w:val="22"/>
                <w:szCs w:val="22"/>
              </w:rPr>
            </w:pPr>
            <w:r w:rsidRPr="00BA60CB">
              <w:rPr>
                <w:rFonts w:cs="Arial"/>
                <w:b/>
                <w:bCs/>
                <w:color w:val="FFFFFF" w:themeColor="background1"/>
                <w:sz w:val="22"/>
                <w:szCs w:val="22"/>
              </w:rPr>
              <w:t>Number of responses</w:t>
            </w:r>
          </w:p>
        </w:tc>
        <w:tc>
          <w:tcPr>
            <w:tcW w:w="1419" w:type="dxa"/>
            <w:tcBorders>
              <w:top w:val="single" w:sz="4" w:space="0" w:color="auto"/>
              <w:left w:val="nil"/>
              <w:bottom w:val="single" w:sz="4" w:space="0" w:color="auto"/>
              <w:right w:val="single" w:sz="4" w:space="0" w:color="auto"/>
            </w:tcBorders>
            <w:shd w:val="clear" w:color="auto" w:fill="006666"/>
            <w:noWrap/>
            <w:vAlign w:val="bottom"/>
            <w:hideMark/>
          </w:tcPr>
          <w:p w14:paraId="7FA8D766" w14:textId="77777777" w:rsidR="00DF71DD" w:rsidRPr="00BA60CB" w:rsidRDefault="00DF71DD" w:rsidP="00BA60CB">
            <w:pPr>
              <w:jc w:val="center"/>
              <w:rPr>
                <w:rFonts w:cs="Arial"/>
                <w:b/>
                <w:bCs/>
                <w:color w:val="FFFFFF" w:themeColor="background1"/>
                <w:sz w:val="22"/>
                <w:szCs w:val="22"/>
              </w:rPr>
            </w:pPr>
            <w:r w:rsidRPr="00BA60CB">
              <w:rPr>
                <w:rFonts w:cs="Arial"/>
                <w:b/>
                <w:bCs/>
                <w:color w:val="FFFFFF" w:themeColor="background1"/>
                <w:sz w:val="22"/>
                <w:szCs w:val="22"/>
              </w:rPr>
              <w:t xml:space="preserve">% </w:t>
            </w:r>
            <w:proofErr w:type="gramStart"/>
            <w:r w:rsidRPr="00BA60CB">
              <w:rPr>
                <w:rFonts w:cs="Arial"/>
                <w:b/>
                <w:bCs/>
                <w:color w:val="FFFFFF" w:themeColor="background1"/>
                <w:sz w:val="22"/>
                <w:szCs w:val="22"/>
              </w:rPr>
              <w:t>of</w:t>
            </w:r>
            <w:proofErr w:type="gramEnd"/>
            <w:r w:rsidRPr="00BA60CB">
              <w:rPr>
                <w:rFonts w:cs="Arial"/>
                <w:b/>
                <w:bCs/>
                <w:color w:val="FFFFFF" w:themeColor="background1"/>
                <w:sz w:val="22"/>
                <w:szCs w:val="22"/>
              </w:rPr>
              <w:t xml:space="preserve"> responses</w:t>
            </w:r>
          </w:p>
        </w:tc>
        <w:tc>
          <w:tcPr>
            <w:tcW w:w="1796" w:type="dxa"/>
            <w:tcBorders>
              <w:top w:val="single" w:sz="4" w:space="0" w:color="auto"/>
              <w:left w:val="nil"/>
              <w:bottom w:val="single" w:sz="4" w:space="0" w:color="auto"/>
              <w:right w:val="single" w:sz="4" w:space="0" w:color="auto"/>
            </w:tcBorders>
            <w:shd w:val="clear" w:color="auto" w:fill="006666"/>
            <w:noWrap/>
            <w:vAlign w:val="bottom"/>
            <w:hideMark/>
          </w:tcPr>
          <w:p w14:paraId="0B5C5CD8" w14:textId="77777777" w:rsidR="00DF71DD" w:rsidRPr="00BA60CB" w:rsidRDefault="00DF71DD" w:rsidP="00BA60CB">
            <w:pPr>
              <w:jc w:val="center"/>
              <w:rPr>
                <w:rFonts w:cs="Arial"/>
                <w:b/>
                <w:bCs/>
                <w:color w:val="FFFFFF" w:themeColor="background1"/>
                <w:sz w:val="22"/>
                <w:szCs w:val="22"/>
              </w:rPr>
            </w:pPr>
            <w:r w:rsidRPr="00BA60CB">
              <w:rPr>
                <w:rFonts w:cs="Arial"/>
                <w:b/>
                <w:bCs/>
                <w:color w:val="FFFFFF" w:themeColor="background1"/>
                <w:sz w:val="22"/>
                <w:szCs w:val="22"/>
              </w:rPr>
              <w:t>Location</w:t>
            </w:r>
          </w:p>
        </w:tc>
        <w:tc>
          <w:tcPr>
            <w:tcW w:w="1394" w:type="dxa"/>
            <w:tcBorders>
              <w:top w:val="single" w:sz="4" w:space="0" w:color="auto"/>
              <w:left w:val="nil"/>
              <w:bottom w:val="single" w:sz="4" w:space="0" w:color="auto"/>
              <w:right w:val="single" w:sz="4" w:space="0" w:color="auto"/>
            </w:tcBorders>
            <w:shd w:val="clear" w:color="auto" w:fill="006666"/>
            <w:noWrap/>
            <w:vAlign w:val="bottom"/>
            <w:hideMark/>
          </w:tcPr>
          <w:p w14:paraId="71627673" w14:textId="77777777" w:rsidR="00DF71DD" w:rsidRPr="00BA60CB" w:rsidRDefault="00DF71DD" w:rsidP="00BA60CB">
            <w:pPr>
              <w:jc w:val="center"/>
              <w:rPr>
                <w:rFonts w:cs="Arial"/>
                <w:b/>
                <w:bCs/>
                <w:color w:val="FFFFFF" w:themeColor="background1"/>
                <w:sz w:val="22"/>
                <w:szCs w:val="22"/>
              </w:rPr>
            </w:pPr>
            <w:r w:rsidRPr="00BA60CB">
              <w:rPr>
                <w:rFonts w:cs="Arial"/>
                <w:b/>
                <w:bCs/>
                <w:color w:val="FFFFFF" w:themeColor="background1"/>
                <w:sz w:val="22"/>
                <w:szCs w:val="22"/>
              </w:rPr>
              <w:t>Number of responses</w:t>
            </w:r>
          </w:p>
        </w:tc>
        <w:tc>
          <w:tcPr>
            <w:tcW w:w="1317" w:type="dxa"/>
            <w:tcBorders>
              <w:top w:val="single" w:sz="4" w:space="0" w:color="auto"/>
              <w:left w:val="nil"/>
              <w:bottom w:val="single" w:sz="4" w:space="0" w:color="auto"/>
              <w:right w:val="single" w:sz="4" w:space="0" w:color="auto"/>
            </w:tcBorders>
            <w:shd w:val="clear" w:color="auto" w:fill="006666"/>
            <w:noWrap/>
            <w:vAlign w:val="bottom"/>
            <w:hideMark/>
          </w:tcPr>
          <w:p w14:paraId="69670B84" w14:textId="77777777" w:rsidR="00DF71DD" w:rsidRPr="00BA60CB" w:rsidRDefault="00DF71DD" w:rsidP="00BA60CB">
            <w:pPr>
              <w:jc w:val="center"/>
              <w:rPr>
                <w:rFonts w:cs="Arial"/>
                <w:b/>
                <w:bCs/>
                <w:color w:val="FFFFFF" w:themeColor="background1"/>
                <w:sz w:val="22"/>
                <w:szCs w:val="22"/>
              </w:rPr>
            </w:pPr>
            <w:r w:rsidRPr="00BA60CB">
              <w:rPr>
                <w:rFonts w:cs="Arial"/>
                <w:b/>
                <w:bCs/>
                <w:color w:val="FFFFFF" w:themeColor="background1"/>
                <w:sz w:val="22"/>
                <w:szCs w:val="22"/>
              </w:rPr>
              <w:t xml:space="preserve">% </w:t>
            </w:r>
            <w:proofErr w:type="gramStart"/>
            <w:r w:rsidRPr="00BA60CB">
              <w:rPr>
                <w:rFonts w:cs="Arial"/>
                <w:b/>
                <w:bCs/>
                <w:color w:val="FFFFFF" w:themeColor="background1"/>
                <w:sz w:val="22"/>
                <w:szCs w:val="22"/>
              </w:rPr>
              <w:t>of</w:t>
            </w:r>
            <w:proofErr w:type="gramEnd"/>
            <w:r w:rsidRPr="00BA60CB">
              <w:rPr>
                <w:rFonts w:cs="Arial"/>
                <w:b/>
                <w:bCs/>
                <w:color w:val="FFFFFF" w:themeColor="background1"/>
                <w:sz w:val="22"/>
                <w:szCs w:val="22"/>
              </w:rPr>
              <w:t xml:space="preserve"> responses</w:t>
            </w:r>
          </w:p>
        </w:tc>
      </w:tr>
      <w:tr w:rsidR="00BA60CB" w:rsidRPr="00BA60CB" w14:paraId="496D6809"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5C2B2CCA" w14:textId="77777777" w:rsidR="00DF71DD" w:rsidRPr="00BA60CB" w:rsidRDefault="00DF71DD" w:rsidP="00DF71DD">
            <w:pPr>
              <w:rPr>
                <w:rFonts w:cs="Arial"/>
                <w:color w:val="000000"/>
                <w:sz w:val="22"/>
                <w:szCs w:val="22"/>
              </w:rPr>
            </w:pPr>
            <w:r w:rsidRPr="00BA60CB">
              <w:rPr>
                <w:rFonts w:cs="Arial"/>
                <w:color w:val="000000"/>
                <w:sz w:val="22"/>
                <w:szCs w:val="22"/>
              </w:rPr>
              <w:t>Anywhere</w:t>
            </w:r>
          </w:p>
        </w:tc>
        <w:tc>
          <w:tcPr>
            <w:tcW w:w="1419" w:type="dxa"/>
            <w:tcBorders>
              <w:top w:val="nil"/>
              <w:left w:val="nil"/>
              <w:bottom w:val="single" w:sz="4" w:space="0" w:color="auto"/>
              <w:right w:val="single" w:sz="4" w:space="0" w:color="auto"/>
            </w:tcBorders>
            <w:shd w:val="clear" w:color="auto" w:fill="auto"/>
            <w:noWrap/>
            <w:vAlign w:val="center"/>
            <w:hideMark/>
          </w:tcPr>
          <w:p w14:paraId="7F623225" w14:textId="77777777" w:rsidR="00DF71DD" w:rsidRPr="00BA60CB" w:rsidRDefault="00DF71DD" w:rsidP="00BA60CB">
            <w:pPr>
              <w:jc w:val="right"/>
              <w:rPr>
                <w:rFonts w:cs="Arial"/>
                <w:color w:val="000000"/>
                <w:sz w:val="22"/>
                <w:szCs w:val="22"/>
              </w:rPr>
            </w:pPr>
            <w:r w:rsidRPr="00BA60CB">
              <w:rPr>
                <w:rFonts w:cs="Arial"/>
                <w:color w:val="000000"/>
                <w:sz w:val="22"/>
                <w:szCs w:val="22"/>
              </w:rPr>
              <w:t>31</w:t>
            </w:r>
          </w:p>
        </w:tc>
        <w:tc>
          <w:tcPr>
            <w:tcW w:w="1419" w:type="dxa"/>
            <w:tcBorders>
              <w:top w:val="nil"/>
              <w:left w:val="nil"/>
              <w:bottom w:val="single" w:sz="4" w:space="0" w:color="auto"/>
              <w:right w:val="single" w:sz="4" w:space="0" w:color="auto"/>
            </w:tcBorders>
            <w:shd w:val="clear" w:color="auto" w:fill="auto"/>
            <w:noWrap/>
            <w:vAlign w:val="center"/>
            <w:hideMark/>
          </w:tcPr>
          <w:p w14:paraId="752AC3CD" w14:textId="77777777" w:rsidR="00DF71DD" w:rsidRPr="00BA60CB" w:rsidRDefault="00DF71DD" w:rsidP="00BA60CB">
            <w:pPr>
              <w:jc w:val="right"/>
              <w:rPr>
                <w:rFonts w:cs="Arial"/>
                <w:b/>
                <w:bCs/>
                <w:color w:val="000000"/>
                <w:sz w:val="22"/>
                <w:szCs w:val="22"/>
              </w:rPr>
            </w:pPr>
            <w:r w:rsidRPr="00BA60CB">
              <w:rPr>
                <w:rFonts w:cs="Arial"/>
                <w:b/>
                <w:bCs/>
                <w:color w:val="000000"/>
                <w:sz w:val="22"/>
                <w:szCs w:val="22"/>
              </w:rPr>
              <w:t>16.9</w:t>
            </w:r>
          </w:p>
        </w:tc>
        <w:tc>
          <w:tcPr>
            <w:tcW w:w="1796" w:type="dxa"/>
            <w:tcBorders>
              <w:top w:val="nil"/>
              <w:left w:val="nil"/>
              <w:bottom w:val="single" w:sz="4" w:space="0" w:color="auto"/>
              <w:right w:val="single" w:sz="4" w:space="0" w:color="auto"/>
            </w:tcBorders>
            <w:shd w:val="clear" w:color="auto" w:fill="auto"/>
            <w:noWrap/>
            <w:vAlign w:val="bottom"/>
            <w:hideMark/>
          </w:tcPr>
          <w:p w14:paraId="04A6942D"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Lordswood</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058F29D7"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6044C604"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2CF218A4"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053D0048" w14:textId="77777777" w:rsidR="00DF71DD" w:rsidRPr="00BA60CB" w:rsidRDefault="00DF71DD" w:rsidP="00DF71DD">
            <w:pPr>
              <w:rPr>
                <w:rFonts w:cs="Arial"/>
                <w:color w:val="000000"/>
                <w:sz w:val="22"/>
                <w:szCs w:val="22"/>
              </w:rPr>
            </w:pPr>
            <w:r w:rsidRPr="00BA60CB">
              <w:rPr>
                <w:rFonts w:cs="Arial"/>
                <w:color w:val="000000"/>
                <w:sz w:val="22"/>
                <w:szCs w:val="22"/>
              </w:rPr>
              <w:t>Borstal</w:t>
            </w:r>
          </w:p>
        </w:tc>
        <w:tc>
          <w:tcPr>
            <w:tcW w:w="1419" w:type="dxa"/>
            <w:tcBorders>
              <w:top w:val="nil"/>
              <w:left w:val="nil"/>
              <w:bottom w:val="single" w:sz="4" w:space="0" w:color="auto"/>
              <w:right w:val="single" w:sz="4" w:space="0" w:color="auto"/>
            </w:tcBorders>
            <w:shd w:val="clear" w:color="auto" w:fill="auto"/>
            <w:noWrap/>
            <w:vAlign w:val="center"/>
            <w:hideMark/>
          </w:tcPr>
          <w:p w14:paraId="104089EC"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419" w:type="dxa"/>
            <w:tcBorders>
              <w:top w:val="nil"/>
              <w:left w:val="nil"/>
              <w:bottom w:val="single" w:sz="4" w:space="0" w:color="auto"/>
              <w:right w:val="single" w:sz="4" w:space="0" w:color="auto"/>
            </w:tcBorders>
            <w:shd w:val="clear" w:color="auto" w:fill="auto"/>
            <w:noWrap/>
            <w:vAlign w:val="center"/>
            <w:hideMark/>
          </w:tcPr>
          <w:p w14:paraId="16F7EC51"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c>
          <w:tcPr>
            <w:tcW w:w="1796" w:type="dxa"/>
            <w:tcBorders>
              <w:top w:val="nil"/>
              <w:left w:val="nil"/>
              <w:bottom w:val="single" w:sz="4" w:space="0" w:color="auto"/>
              <w:right w:val="single" w:sz="4" w:space="0" w:color="auto"/>
            </w:tcBorders>
            <w:shd w:val="clear" w:color="auto" w:fill="auto"/>
            <w:noWrap/>
            <w:vAlign w:val="bottom"/>
            <w:hideMark/>
          </w:tcPr>
          <w:p w14:paraId="4031A123"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Meopham</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4AFFA104"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4BD10678"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234099D8"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5EA80665" w14:textId="77777777" w:rsidR="00DF71DD" w:rsidRPr="00BA60CB" w:rsidRDefault="00DF71DD" w:rsidP="00DF71DD">
            <w:pPr>
              <w:rPr>
                <w:rFonts w:cs="Arial"/>
                <w:color w:val="000000"/>
                <w:sz w:val="22"/>
                <w:szCs w:val="22"/>
              </w:rPr>
            </w:pPr>
            <w:r w:rsidRPr="00BA60CB">
              <w:rPr>
                <w:rFonts w:cs="Arial"/>
                <w:color w:val="000000"/>
                <w:sz w:val="22"/>
                <w:szCs w:val="22"/>
              </w:rPr>
              <w:t>Brompton</w:t>
            </w:r>
          </w:p>
        </w:tc>
        <w:tc>
          <w:tcPr>
            <w:tcW w:w="1419" w:type="dxa"/>
            <w:tcBorders>
              <w:top w:val="nil"/>
              <w:left w:val="nil"/>
              <w:bottom w:val="single" w:sz="4" w:space="0" w:color="auto"/>
              <w:right w:val="single" w:sz="4" w:space="0" w:color="auto"/>
            </w:tcBorders>
            <w:shd w:val="clear" w:color="auto" w:fill="auto"/>
            <w:noWrap/>
            <w:vAlign w:val="center"/>
            <w:hideMark/>
          </w:tcPr>
          <w:p w14:paraId="6F0A4115"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419" w:type="dxa"/>
            <w:tcBorders>
              <w:top w:val="nil"/>
              <w:left w:val="nil"/>
              <w:bottom w:val="single" w:sz="4" w:space="0" w:color="auto"/>
              <w:right w:val="single" w:sz="4" w:space="0" w:color="auto"/>
            </w:tcBorders>
            <w:shd w:val="clear" w:color="auto" w:fill="auto"/>
            <w:noWrap/>
            <w:vAlign w:val="center"/>
            <w:hideMark/>
          </w:tcPr>
          <w:p w14:paraId="776FAE26"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c>
          <w:tcPr>
            <w:tcW w:w="1796" w:type="dxa"/>
            <w:tcBorders>
              <w:top w:val="nil"/>
              <w:left w:val="nil"/>
              <w:bottom w:val="single" w:sz="4" w:space="0" w:color="auto"/>
              <w:right w:val="single" w:sz="4" w:space="0" w:color="auto"/>
            </w:tcBorders>
            <w:shd w:val="clear" w:color="auto" w:fill="auto"/>
            <w:noWrap/>
            <w:vAlign w:val="bottom"/>
            <w:hideMark/>
          </w:tcPr>
          <w:p w14:paraId="1278DAD3" w14:textId="77777777" w:rsidR="00DF71DD" w:rsidRPr="00BA60CB" w:rsidRDefault="00DF71DD" w:rsidP="00DF71DD">
            <w:pPr>
              <w:rPr>
                <w:rFonts w:cs="Arial"/>
                <w:color w:val="000000"/>
                <w:sz w:val="22"/>
                <w:szCs w:val="22"/>
              </w:rPr>
            </w:pPr>
            <w:r w:rsidRPr="00BA60CB">
              <w:rPr>
                <w:rFonts w:cs="Arial"/>
                <w:color w:val="000000"/>
                <w:sz w:val="22"/>
                <w:szCs w:val="22"/>
              </w:rPr>
              <w:t>Parkwood</w:t>
            </w:r>
          </w:p>
        </w:tc>
        <w:tc>
          <w:tcPr>
            <w:tcW w:w="1394" w:type="dxa"/>
            <w:tcBorders>
              <w:top w:val="nil"/>
              <w:left w:val="nil"/>
              <w:bottom w:val="single" w:sz="4" w:space="0" w:color="auto"/>
              <w:right w:val="single" w:sz="4" w:space="0" w:color="auto"/>
            </w:tcBorders>
            <w:shd w:val="clear" w:color="auto" w:fill="auto"/>
            <w:noWrap/>
            <w:vAlign w:val="center"/>
            <w:hideMark/>
          </w:tcPr>
          <w:p w14:paraId="416F7D3C"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6D24438E"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6510AFEB"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005AC5AB" w14:textId="77777777" w:rsidR="00DF71DD" w:rsidRPr="00BA60CB" w:rsidRDefault="00DF71DD" w:rsidP="00DF71DD">
            <w:pPr>
              <w:rPr>
                <w:rFonts w:cs="Arial"/>
                <w:color w:val="000000"/>
                <w:sz w:val="22"/>
                <w:szCs w:val="22"/>
              </w:rPr>
            </w:pPr>
            <w:r w:rsidRPr="00BA60CB">
              <w:rPr>
                <w:rFonts w:cs="Arial"/>
                <w:color w:val="000000"/>
                <w:sz w:val="22"/>
                <w:szCs w:val="22"/>
              </w:rPr>
              <w:t>Capstone</w:t>
            </w:r>
          </w:p>
        </w:tc>
        <w:tc>
          <w:tcPr>
            <w:tcW w:w="1419" w:type="dxa"/>
            <w:tcBorders>
              <w:top w:val="nil"/>
              <w:left w:val="nil"/>
              <w:bottom w:val="single" w:sz="4" w:space="0" w:color="auto"/>
              <w:right w:val="single" w:sz="4" w:space="0" w:color="auto"/>
            </w:tcBorders>
            <w:shd w:val="clear" w:color="auto" w:fill="auto"/>
            <w:noWrap/>
            <w:vAlign w:val="center"/>
            <w:hideMark/>
          </w:tcPr>
          <w:p w14:paraId="355DEE90"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419" w:type="dxa"/>
            <w:tcBorders>
              <w:top w:val="nil"/>
              <w:left w:val="nil"/>
              <w:bottom w:val="single" w:sz="4" w:space="0" w:color="auto"/>
              <w:right w:val="single" w:sz="4" w:space="0" w:color="auto"/>
            </w:tcBorders>
            <w:shd w:val="clear" w:color="auto" w:fill="auto"/>
            <w:noWrap/>
            <w:vAlign w:val="center"/>
            <w:hideMark/>
          </w:tcPr>
          <w:p w14:paraId="6F95E20D"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c>
          <w:tcPr>
            <w:tcW w:w="1796" w:type="dxa"/>
            <w:tcBorders>
              <w:top w:val="nil"/>
              <w:left w:val="nil"/>
              <w:bottom w:val="single" w:sz="4" w:space="0" w:color="auto"/>
              <w:right w:val="single" w:sz="4" w:space="0" w:color="auto"/>
            </w:tcBorders>
            <w:shd w:val="clear" w:color="auto" w:fill="auto"/>
            <w:noWrap/>
            <w:vAlign w:val="bottom"/>
            <w:hideMark/>
          </w:tcPr>
          <w:p w14:paraId="640E0FD8" w14:textId="77777777" w:rsidR="00DF71DD" w:rsidRPr="00BA60CB" w:rsidRDefault="00DF71DD" w:rsidP="00DF71DD">
            <w:pPr>
              <w:rPr>
                <w:rFonts w:cs="Arial"/>
                <w:color w:val="000000"/>
                <w:sz w:val="22"/>
                <w:szCs w:val="22"/>
              </w:rPr>
            </w:pPr>
            <w:r w:rsidRPr="00BA60CB">
              <w:rPr>
                <w:rFonts w:cs="Arial"/>
                <w:color w:val="000000"/>
                <w:sz w:val="22"/>
                <w:szCs w:val="22"/>
              </w:rPr>
              <w:t>Rainham</w:t>
            </w:r>
          </w:p>
        </w:tc>
        <w:tc>
          <w:tcPr>
            <w:tcW w:w="1394" w:type="dxa"/>
            <w:tcBorders>
              <w:top w:val="nil"/>
              <w:left w:val="nil"/>
              <w:bottom w:val="single" w:sz="4" w:space="0" w:color="auto"/>
              <w:right w:val="single" w:sz="4" w:space="0" w:color="auto"/>
            </w:tcBorders>
            <w:shd w:val="clear" w:color="auto" w:fill="auto"/>
            <w:noWrap/>
            <w:vAlign w:val="center"/>
            <w:hideMark/>
          </w:tcPr>
          <w:p w14:paraId="0A82CCE1" w14:textId="77777777" w:rsidR="00DF71DD" w:rsidRPr="00BA60CB" w:rsidRDefault="00DF71DD" w:rsidP="00BA60CB">
            <w:pPr>
              <w:jc w:val="right"/>
              <w:rPr>
                <w:rFonts w:cs="Arial"/>
                <w:color w:val="000000"/>
                <w:sz w:val="22"/>
                <w:szCs w:val="22"/>
              </w:rPr>
            </w:pPr>
            <w:r w:rsidRPr="00BA60CB">
              <w:rPr>
                <w:rFonts w:cs="Arial"/>
                <w:color w:val="000000"/>
                <w:sz w:val="22"/>
                <w:szCs w:val="22"/>
              </w:rPr>
              <w:t>15</w:t>
            </w:r>
          </w:p>
        </w:tc>
        <w:tc>
          <w:tcPr>
            <w:tcW w:w="1317" w:type="dxa"/>
            <w:tcBorders>
              <w:top w:val="nil"/>
              <w:left w:val="nil"/>
              <w:bottom w:val="single" w:sz="4" w:space="0" w:color="auto"/>
              <w:right w:val="single" w:sz="4" w:space="0" w:color="auto"/>
            </w:tcBorders>
            <w:shd w:val="clear" w:color="auto" w:fill="auto"/>
            <w:noWrap/>
            <w:vAlign w:val="center"/>
            <w:hideMark/>
          </w:tcPr>
          <w:p w14:paraId="56FA8D6F" w14:textId="77777777" w:rsidR="00DF71DD" w:rsidRPr="00BA60CB" w:rsidRDefault="00DF71DD" w:rsidP="00BA60CB">
            <w:pPr>
              <w:jc w:val="right"/>
              <w:rPr>
                <w:rFonts w:cs="Arial"/>
                <w:b/>
                <w:bCs/>
                <w:color w:val="000000"/>
                <w:sz w:val="22"/>
                <w:szCs w:val="22"/>
              </w:rPr>
            </w:pPr>
            <w:r w:rsidRPr="00BA60CB">
              <w:rPr>
                <w:rFonts w:cs="Arial"/>
                <w:b/>
                <w:bCs/>
                <w:color w:val="000000"/>
                <w:sz w:val="22"/>
                <w:szCs w:val="22"/>
              </w:rPr>
              <w:t>8.2</w:t>
            </w:r>
          </w:p>
        </w:tc>
      </w:tr>
      <w:tr w:rsidR="00BA60CB" w:rsidRPr="00BA60CB" w14:paraId="14EDB73D"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4C39A6FB" w14:textId="77777777" w:rsidR="00DF71DD" w:rsidRPr="00BA60CB" w:rsidRDefault="00DF71DD" w:rsidP="00DF71DD">
            <w:pPr>
              <w:rPr>
                <w:rFonts w:cs="Arial"/>
                <w:color w:val="000000"/>
                <w:sz w:val="22"/>
                <w:szCs w:val="22"/>
              </w:rPr>
            </w:pPr>
            <w:r w:rsidRPr="00BA60CB">
              <w:rPr>
                <w:rFonts w:cs="Arial"/>
                <w:color w:val="000000"/>
                <w:sz w:val="22"/>
                <w:szCs w:val="22"/>
              </w:rPr>
              <w:t>Chatham</w:t>
            </w:r>
          </w:p>
        </w:tc>
        <w:tc>
          <w:tcPr>
            <w:tcW w:w="1419" w:type="dxa"/>
            <w:tcBorders>
              <w:top w:val="nil"/>
              <w:left w:val="nil"/>
              <w:bottom w:val="single" w:sz="4" w:space="0" w:color="auto"/>
              <w:right w:val="single" w:sz="4" w:space="0" w:color="auto"/>
            </w:tcBorders>
            <w:shd w:val="clear" w:color="auto" w:fill="auto"/>
            <w:noWrap/>
            <w:vAlign w:val="center"/>
            <w:hideMark/>
          </w:tcPr>
          <w:p w14:paraId="5AC7D881" w14:textId="77777777" w:rsidR="00DF71DD" w:rsidRPr="00BA60CB" w:rsidRDefault="00DF71DD" w:rsidP="00BA60CB">
            <w:pPr>
              <w:jc w:val="right"/>
              <w:rPr>
                <w:rFonts w:cs="Arial"/>
                <w:color w:val="000000"/>
                <w:sz w:val="22"/>
                <w:szCs w:val="22"/>
              </w:rPr>
            </w:pPr>
            <w:r w:rsidRPr="00BA60CB">
              <w:rPr>
                <w:rFonts w:cs="Arial"/>
                <w:color w:val="000000"/>
                <w:sz w:val="22"/>
                <w:szCs w:val="22"/>
              </w:rPr>
              <w:t>6</w:t>
            </w:r>
          </w:p>
        </w:tc>
        <w:tc>
          <w:tcPr>
            <w:tcW w:w="1419" w:type="dxa"/>
            <w:tcBorders>
              <w:top w:val="nil"/>
              <w:left w:val="nil"/>
              <w:bottom w:val="single" w:sz="4" w:space="0" w:color="auto"/>
              <w:right w:val="single" w:sz="4" w:space="0" w:color="auto"/>
            </w:tcBorders>
            <w:shd w:val="clear" w:color="auto" w:fill="auto"/>
            <w:noWrap/>
            <w:vAlign w:val="center"/>
            <w:hideMark/>
          </w:tcPr>
          <w:p w14:paraId="3FC9A73A" w14:textId="77777777" w:rsidR="00DF71DD" w:rsidRPr="00BA60CB" w:rsidRDefault="00DF71DD" w:rsidP="00BA60CB">
            <w:pPr>
              <w:jc w:val="right"/>
              <w:rPr>
                <w:rFonts w:cs="Arial"/>
                <w:color w:val="000000"/>
                <w:sz w:val="22"/>
                <w:szCs w:val="22"/>
              </w:rPr>
            </w:pPr>
            <w:r w:rsidRPr="00BA60CB">
              <w:rPr>
                <w:rFonts w:cs="Arial"/>
                <w:color w:val="000000"/>
                <w:sz w:val="22"/>
                <w:szCs w:val="22"/>
              </w:rPr>
              <w:t>3.3</w:t>
            </w:r>
          </w:p>
        </w:tc>
        <w:tc>
          <w:tcPr>
            <w:tcW w:w="1796" w:type="dxa"/>
            <w:tcBorders>
              <w:top w:val="nil"/>
              <w:left w:val="nil"/>
              <w:bottom w:val="single" w:sz="4" w:space="0" w:color="auto"/>
              <w:right w:val="single" w:sz="4" w:space="0" w:color="auto"/>
            </w:tcBorders>
            <w:shd w:val="clear" w:color="auto" w:fill="auto"/>
            <w:noWrap/>
            <w:vAlign w:val="bottom"/>
            <w:hideMark/>
          </w:tcPr>
          <w:p w14:paraId="36213828" w14:textId="77777777" w:rsidR="00DF71DD" w:rsidRPr="00BA60CB" w:rsidRDefault="00DF71DD" w:rsidP="00DF71DD">
            <w:pPr>
              <w:rPr>
                <w:rFonts w:cs="Arial"/>
                <w:color w:val="000000"/>
                <w:sz w:val="22"/>
                <w:szCs w:val="22"/>
              </w:rPr>
            </w:pPr>
            <w:r w:rsidRPr="00BA60CB">
              <w:rPr>
                <w:rFonts w:cs="Arial"/>
                <w:color w:val="000000"/>
                <w:sz w:val="22"/>
                <w:szCs w:val="22"/>
              </w:rPr>
              <w:t>River location</w:t>
            </w:r>
          </w:p>
        </w:tc>
        <w:tc>
          <w:tcPr>
            <w:tcW w:w="1394" w:type="dxa"/>
            <w:tcBorders>
              <w:top w:val="nil"/>
              <w:left w:val="nil"/>
              <w:bottom w:val="single" w:sz="4" w:space="0" w:color="auto"/>
              <w:right w:val="single" w:sz="4" w:space="0" w:color="auto"/>
            </w:tcBorders>
            <w:shd w:val="clear" w:color="auto" w:fill="auto"/>
            <w:noWrap/>
            <w:vAlign w:val="center"/>
            <w:hideMark/>
          </w:tcPr>
          <w:p w14:paraId="33743970"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0CCC4E8A"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3FCB0096"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7E9B4DFD"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Chattenden</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14:paraId="270BD0E8"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419" w:type="dxa"/>
            <w:tcBorders>
              <w:top w:val="nil"/>
              <w:left w:val="nil"/>
              <w:bottom w:val="single" w:sz="4" w:space="0" w:color="auto"/>
              <w:right w:val="single" w:sz="4" w:space="0" w:color="auto"/>
            </w:tcBorders>
            <w:shd w:val="clear" w:color="auto" w:fill="auto"/>
            <w:noWrap/>
            <w:vAlign w:val="center"/>
            <w:hideMark/>
          </w:tcPr>
          <w:p w14:paraId="0B5A20A3"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c>
          <w:tcPr>
            <w:tcW w:w="1796" w:type="dxa"/>
            <w:tcBorders>
              <w:top w:val="nil"/>
              <w:left w:val="nil"/>
              <w:bottom w:val="single" w:sz="4" w:space="0" w:color="auto"/>
              <w:right w:val="single" w:sz="4" w:space="0" w:color="auto"/>
            </w:tcBorders>
            <w:shd w:val="clear" w:color="auto" w:fill="auto"/>
            <w:noWrap/>
            <w:vAlign w:val="bottom"/>
            <w:hideMark/>
          </w:tcPr>
          <w:p w14:paraId="1BA2C437" w14:textId="77777777" w:rsidR="00DF71DD" w:rsidRPr="00BA60CB" w:rsidRDefault="00DF71DD" w:rsidP="00DF71DD">
            <w:pPr>
              <w:rPr>
                <w:rFonts w:cs="Arial"/>
                <w:color w:val="000000"/>
                <w:sz w:val="22"/>
                <w:szCs w:val="22"/>
              </w:rPr>
            </w:pPr>
            <w:r w:rsidRPr="00BA60CB">
              <w:rPr>
                <w:rFonts w:cs="Arial"/>
                <w:color w:val="000000"/>
                <w:sz w:val="22"/>
                <w:szCs w:val="22"/>
              </w:rPr>
              <w:t>Rochester</w:t>
            </w:r>
          </w:p>
        </w:tc>
        <w:tc>
          <w:tcPr>
            <w:tcW w:w="1394" w:type="dxa"/>
            <w:tcBorders>
              <w:top w:val="nil"/>
              <w:left w:val="nil"/>
              <w:bottom w:val="single" w:sz="4" w:space="0" w:color="auto"/>
              <w:right w:val="single" w:sz="4" w:space="0" w:color="auto"/>
            </w:tcBorders>
            <w:shd w:val="clear" w:color="auto" w:fill="auto"/>
            <w:noWrap/>
            <w:vAlign w:val="center"/>
            <w:hideMark/>
          </w:tcPr>
          <w:p w14:paraId="4E4E31E5" w14:textId="77777777" w:rsidR="00DF71DD" w:rsidRPr="00BA60CB" w:rsidRDefault="00DF71DD" w:rsidP="00BA60CB">
            <w:pPr>
              <w:jc w:val="right"/>
              <w:rPr>
                <w:rFonts w:cs="Arial"/>
                <w:color w:val="000000"/>
                <w:sz w:val="22"/>
                <w:szCs w:val="22"/>
              </w:rPr>
            </w:pPr>
            <w:r w:rsidRPr="00BA60CB">
              <w:rPr>
                <w:rFonts w:cs="Arial"/>
                <w:color w:val="000000"/>
                <w:sz w:val="22"/>
                <w:szCs w:val="22"/>
              </w:rPr>
              <w:t>20</w:t>
            </w:r>
          </w:p>
        </w:tc>
        <w:tc>
          <w:tcPr>
            <w:tcW w:w="1317" w:type="dxa"/>
            <w:tcBorders>
              <w:top w:val="nil"/>
              <w:left w:val="nil"/>
              <w:bottom w:val="single" w:sz="4" w:space="0" w:color="auto"/>
              <w:right w:val="single" w:sz="4" w:space="0" w:color="auto"/>
            </w:tcBorders>
            <w:shd w:val="clear" w:color="auto" w:fill="auto"/>
            <w:noWrap/>
            <w:vAlign w:val="center"/>
            <w:hideMark/>
          </w:tcPr>
          <w:p w14:paraId="28DCF5B6" w14:textId="77777777" w:rsidR="00DF71DD" w:rsidRPr="00BA60CB" w:rsidRDefault="00DF71DD" w:rsidP="00BA60CB">
            <w:pPr>
              <w:jc w:val="right"/>
              <w:rPr>
                <w:rFonts w:cs="Arial"/>
                <w:b/>
                <w:bCs/>
                <w:color w:val="000000"/>
                <w:sz w:val="22"/>
                <w:szCs w:val="22"/>
              </w:rPr>
            </w:pPr>
            <w:r w:rsidRPr="00BA60CB">
              <w:rPr>
                <w:rFonts w:cs="Arial"/>
                <w:b/>
                <w:bCs/>
                <w:color w:val="000000"/>
                <w:sz w:val="22"/>
                <w:szCs w:val="22"/>
              </w:rPr>
              <w:t>10.9</w:t>
            </w:r>
          </w:p>
        </w:tc>
      </w:tr>
      <w:tr w:rsidR="00BA60CB" w:rsidRPr="00BA60CB" w14:paraId="51D1ADB9"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69E2608B" w14:textId="77777777" w:rsidR="00DF71DD" w:rsidRPr="00BA60CB" w:rsidRDefault="00DF71DD" w:rsidP="00DF71DD">
            <w:pPr>
              <w:rPr>
                <w:rFonts w:cs="Arial"/>
                <w:color w:val="000000"/>
                <w:sz w:val="22"/>
                <w:szCs w:val="22"/>
              </w:rPr>
            </w:pPr>
            <w:r w:rsidRPr="00BA60CB">
              <w:rPr>
                <w:rFonts w:cs="Arial"/>
                <w:color w:val="000000"/>
                <w:sz w:val="22"/>
                <w:szCs w:val="22"/>
              </w:rPr>
              <w:t>Cliffe and Cliffe Woods</w:t>
            </w:r>
          </w:p>
        </w:tc>
        <w:tc>
          <w:tcPr>
            <w:tcW w:w="1419" w:type="dxa"/>
            <w:tcBorders>
              <w:top w:val="nil"/>
              <w:left w:val="nil"/>
              <w:bottom w:val="single" w:sz="4" w:space="0" w:color="auto"/>
              <w:right w:val="single" w:sz="4" w:space="0" w:color="auto"/>
            </w:tcBorders>
            <w:shd w:val="clear" w:color="auto" w:fill="auto"/>
            <w:noWrap/>
            <w:vAlign w:val="center"/>
            <w:hideMark/>
          </w:tcPr>
          <w:p w14:paraId="2C9E9D79" w14:textId="77777777" w:rsidR="00DF71DD" w:rsidRPr="00BA60CB" w:rsidRDefault="00DF71DD" w:rsidP="00BA60CB">
            <w:pPr>
              <w:jc w:val="right"/>
              <w:rPr>
                <w:rFonts w:cs="Arial"/>
                <w:color w:val="000000"/>
                <w:sz w:val="22"/>
                <w:szCs w:val="22"/>
              </w:rPr>
            </w:pPr>
            <w:r w:rsidRPr="00BA60CB">
              <w:rPr>
                <w:rFonts w:cs="Arial"/>
                <w:color w:val="000000"/>
                <w:sz w:val="22"/>
                <w:szCs w:val="22"/>
              </w:rPr>
              <w:t>6</w:t>
            </w:r>
          </w:p>
        </w:tc>
        <w:tc>
          <w:tcPr>
            <w:tcW w:w="1419" w:type="dxa"/>
            <w:tcBorders>
              <w:top w:val="nil"/>
              <w:left w:val="nil"/>
              <w:bottom w:val="single" w:sz="4" w:space="0" w:color="auto"/>
              <w:right w:val="single" w:sz="4" w:space="0" w:color="auto"/>
            </w:tcBorders>
            <w:shd w:val="clear" w:color="auto" w:fill="auto"/>
            <w:noWrap/>
            <w:vAlign w:val="center"/>
            <w:hideMark/>
          </w:tcPr>
          <w:p w14:paraId="5C0BF0CA" w14:textId="77777777" w:rsidR="00DF71DD" w:rsidRPr="00BA60CB" w:rsidRDefault="00DF71DD" w:rsidP="00BA60CB">
            <w:pPr>
              <w:jc w:val="right"/>
              <w:rPr>
                <w:rFonts w:cs="Arial"/>
                <w:color w:val="000000"/>
                <w:sz w:val="22"/>
                <w:szCs w:val="22"/>
              </w:rPr>
            </w:pPr>
            <w:r w:rsidRPr="00BA60CB">
              <w:rPr>
                <w:rFonts w:cs="Arial"/>
                <w:color w:val="000000"/>
                <w:sz w:val="22"/>
                <w:szCs w:val="22"/>
              </w:rPr>
              <w:t>3.3</w:t>
            </w:r>
          </w:p>
        </w:tc>
        <w:tc>
          <w:tcPr>
            <w:tcW w:w="1796" w:type="dxa"/>
            <w:tcBorders>
              <w:top w:val="nil"/>
              <w:left w:val="nil"/>
              <w:bottom w:val="single" w:sz="4" w:space="0" w:color="auto"/>
              <w:right w:val="single" w:sz="4" w:space="0" w:color="auto"/>
            </w:tcBorders>
            <w:shd w:val="clear" w:color="auto" w:fill="auto"/>
            <w:noWrap/>
            <w:vAlign w:val="bottom"/>
            <w:hideMark/>
          </w:tcPr>
          <w:p w14:paraId="51215A4F" w14:textId="77777777" w:rsidR="00DF71DD" w:rsidRPr="00BA60CB" w:rsidRDefault="00DF71DD" w:rsidP="00DF71DD">
            <w:pPr>
              <w:rPr>
                <w:rFonts w:cs="Arial"/>
                <w:color w:val="000000"/>
                <w:sz w:val="22"/>
                <w:szCs w:val="22"/>
              </w:rPr>
            </w:pPr>
            <w:r w:rsidRPr="00BA60CB">
              <w:rPr>
                <w:rFonts w:cs="Arial"/>
                <w:color w:val="000000"/>
                <w:sz w:val="22"/>
                <w:szCs w:val="22"/>
              </w:rPr>
              <w:t>Rural/Semi-rural</w:t>
            </w:r>
          </w:p>
        </w:tc>
        <w:tc>
          <w:tcPr>
            <w:tcW w:w="1394" w:type="dxa"/>
            <w:tcBorders>
              <w:top w:val="nil"/>
              <w:left w:val="nil"/>
              <w:bottom w:val="single" w:sz="4" w:space="0" w:color="auto"/>
              <w:right w:val="single" w:sz="4" w:space="0" w:color="auto"/>
            </w:tcBorders>
            <w:shd w:val="clear" w:color="auto" w:fill="auto"/>
            <w:noWrap/>
            <w:vAlign w:val="center"/>
            <w:hideMark/>
          </w:tcPr>
          <w:p w14:paraId="07927C3E" w14:textId="77777777" w:rsidR="00DF71DD" w:rsidRPr="00BA60CB" w:rsidRDefault="00DF71DD" w:rsidP="00BA60CB">
            <w:pPr>
              <w:jc w:val="right"/>
              <w:rPr>
                <w:rFonts w:cs="Arial"/>
                <w:color w:val="000000"/>
                <w:sz w:val="22"/>
                <w:szCs w:val="22"/>
              </w:rPr>
            </w:pPr>
            <w:r w:rsidRPr="00BA60CB">
              <w:rPr>
                <w:rFonts w:cs="Arial"/>
                <w:color w:val="000000"/>
                <w:sz w:val="22"/>
                <w:szCs w:val="22"/>
              </w:rPr>
              <w:t>10</w:t>
            </w:r>
          </w:p>
        </w:tc>
        <w:tc>
          <w:tcPr>
            <w:tcW w:w="1317" w:type="dxa"/>
            <w:tcBorders>
              <w:top w:val="nil"/>
              <w:left w:val="nil"/>
              <w:bottom w:val="single" w:sz="4" w:space="0" w:color="auto"/>
              <w:right w:val="single" w:sz="4" w:space="0" w:color="auto"/>
            </w:tcBorders>
            <w:shd w:val="clear" w:color="auto" w:fill="auto"/>
            <w:noWrap/>
            <w:vAlign w:val="center"/>
            <w:hideMark/>
          </w:tcPr>
          <w:p w14:paraId="19B50D73" w14:textId="77777777" w:rsidR="00DF71DD" w:rsidRPr="00BA60CB" w:rsidRDefault="00DF71DD" w:rsidP="00BA60CB">
            <w:pPr>
              <w:jc w:val="right"/>
              <w:rPr>
                <w:rFonts w:cs="Arial"/>
                <w:color w:val="000000"/>
                <w:sz w:val="22"/>
                <w:szCs w:val="22"/>
              </w:rPr>
            </w:pPr>
            <w:r w:rsidRPr="00BA60CB">
              <w:rPr>
                <w:rFonts w:cs="Arial"/>
                <w:color w:val="000000"/>
                <w:sz w:val="22"/>
                <w:szCs w:val="22"/>
              </w:rPr>
              <w:t>5.5</w:t>
            </w:r>
          </w:p>
        </w:tc>
      </w:tr>
      <w:tr w:rsidR="00BA60CB" w:rsidRPr="00BA60CB" w14:paraId="414BE7CF"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74026DD7" w14:textId="77777777" w:rsidR="00DF71DD" w:rsidRPr="00BA60CB" w:rsidRDefault="00DF71DD" w:rsidP="00DF71DD">
            <w:pPr>
              <w:rPr>
                <w:rFonts w:cs="Arial"/>
                <w:color w:val="000000"/>
                <w:sz w:val="22"/>
                <w:szCs w:val="22"/>
              </w:rPr>
            </w:pPr>
            <w:r w:rsidRPr="00BA60CB">
              <w:rPr>
                <w:rFonts w:cs="Arial"/>
                <w:color w:val="000000"/>
                <w:sz w:val="22"/>
                <w:szCs w:val="22"/>
              </w:rPr>
              <w:t>Cooling</w:t>
            </w:r>
          </w:p>
        </w:tc>
        <w:tc>
          <w:tcPr>
            <w:tcW w:w="1419" w:type="dxa"/>
            <w:tcBorders>
              <w:top w:val="nil"/>
              <w:left w:val="nil"/>
              <w:bottom w:val="single" w:sz="4" w:space="0" w:color="auto"/>
              <w:right w:val="single" w:sz="4" w:space="0" w:color="auto"/>
            </w:tcBorders>
            <w:shd w:val="clear" w:color="auto" w:fill="auto"/>
            <w:noWrap/>
            <w:vAlign w:val="center"/>
            <w:hideMark/>
          </w:tcPr>
          <w:p w14:paraId="1C3CD6EE" w14:textId="77777777" w:rsidR="00DF71DD" w:rsidRPr="00BA60CB" w:rsidRDefault="00DF71DD" w:rsidP="00BA60CB">
            <w:pPr>
              <w:jc w:val="right"/>
              <w:rPr>
                <w:rFonts w:cs="Arial"/>
                <w:color w:val="000000"/>
                <w:sz w:val="22"/>
                <w:szCs w:val="22"/>
              </w:rPr>
            </w:pPr>
            <w:r w:rsidRPr="00BA60CB">
              <w:rPr>
                <w:rFonts w:cs="Arial"/>
                <w:color w:val="000000"/>
                <w:sz w:val="22"/>
                <w:szCs w:val="22"/>
              </w:rPr>
              <w:t>5</w:t>
            </w:r>
          </w:p>
        </w:tc>
        <w:tc>
          <w:tcPr>
            <w:tcW w:w="1419" w:type="dxa"/>
            <w:tcBorders>
              <w:top w:val="nil"/>
              <w:left w:val="nil"/>
              <w:bottom w:val="single" w:sz="4" w:space="0" w:color="auto"/>
              <w:right w:val="single" w:sz="4" w:space="0" w:color="auto"/>
            </w:tcBorders>
            <w:shd w:val="clear" w:color="auto" w:fill="auto"/>
            <w:noWrap/>
            <w:vAlign w:val="center"/>
            <w:hideMark/>
          </w:tcPr>
          <w:p w14:paraId="650E2BD2" w14:textId="77777777" w:rsidR="00DF71DD" w:rsidRPr="00BA60CB" w:rsidRDefault="00DF71DD" w:rsidP="00BA60CB">
            <w:pPr>
              <w:jc w:val="right"/>
              <w:rPr>
                <w:rFonts w:cs="Arial"/>
                <w:color w:val="000000"/>
                <w:sz w:val="22"/>
                <w:szCs w:val="22"/>
              </w:rPr>
            </w:pPr>
            <w:r w:rsidRPr="00BA60CB">
              <w:rPr>
                <w:rFonts w:cs="Arial"/>
                <w:color w:val="000000"/>
                <w:sz w:val="22"/>
                <w:szCs w:val="22"/>
              </w:rPr>
              <w:t>2.7</w:t>
            </w:r>
          </w:p>
        </w:tc>
        <w:tc>
          <w:tcPr>
            <w:tcW w:w="1796" w:type="dxa"/>
            <w:tcBorders>
              <w:top w:val="nil"/>
              <w:left w:val="nil"/>
              <w:bottom w:val="single" w:sz="4" w:space="0" w:color="auto"/>
              <w:right w:val="single" w:sz="4" w:space="0" w:color="auto"/>
            </w:tcBorders>
            <w:shd w:val="clear" w:color="auto" w:fill="auto"/>
            <w:noWrap/>
            <w:vAlign w:val="bottom"/>
            <w:hideMark/>
          </w:tcPr>
          <w:p w14:paraId="6BB3FC71" w14:textId="77777777" w:rsidR="00DF71DD" w:rsidRPr="00BA60CB" w:rsidRDefault="00DF71DD" w:rsidP="00DF71DD">
            <w:pPr>
              <w:rPr>
                <w:rFonts w:cs="Arial"/>
                <w:color w:val="000000"/>
                <w:sz w:val="22"/>
                <w:szCs w:val="22"/>
              </w:rPr>
            </w:pPr>
            <w:proofErr w:type="gramStart"/>
            <w:r w:rsidRPr="00BA60CB">
              <w:rPr>
                <w:rFonts w:cs="Arial"/>
                <w:color w:val="000000"/>
                <w:sz w:val="22"/>
                <w:szCs w:val="22"/>
              </w:rPr>
              <w:t>South East</w:t>
            </w:r>
            <w:proofErr w:type="gramEnd"/>
            <w:r w:rsidRPr="00BA60CB">
              <w:rPr>
                <w:rFonts w:cs="Arial"/>
                <w:color w:val="000000"/>
                <w:sz w:val="22"/>
                <w:szCs w:val="22"/>
              </w:rPr>
              <w:t xml:space="preserve"> Medway</w:t>
            </w:r>
          </w:p>
        </w:tc>
        <w:tc>
          <w:tcPr>
            <w:tcW w:w="1394" w:type="dxa"/>
            <w:tcBorders>
              <w:top w:val="nil"/>
              <w:left w:val="nil"/>
              <w:bottom w:val="single" w:sz="4" w:space="0" w:color="auto"/>
              <w:right w:val="single" w:sz="4" w:space="0" w:color="auto"/>
            </w:tcBorders>
            <w:shd w:val="clear" w:color="auto" w:fill="auto"/>
            <w:noWrap/>
            <w:vAlign w:val="center"/>
            <w:hideMark/>
          </w:tcPr>
          <w:p w14:paraId="72E85D21"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5749B259"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1CA19719"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1808C41F"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Cuxton</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14:paraId="23589D86" w14:textId="77777777" w:rsidR="00DF71DD" w:rsidRPr="00BA60CB" w:rsidRDefault="00DF71DD" w:rsidP="00BA60CB">
            <w:pPr>
              <w:jc w:val="right"/>
              <w:rPr>
                <w:rFonts w:cs="Arial"/>
                <w:color w:val="000000"/>
                <w:sz w:val="22"/>
                <w:szCs w:val="22"/>
              </w:rPr>
            </w:pPr>
            <w:r w:rsidRPr="00BA60CB">
              <w:rPr>
                <w:rFonts w:cs="Arial"/>
                <w:color w:val="000000"/>
                <w:sz w:val="22"/>
                <w:szCs w:val="22"/>
              </w:rPr>
              <w:t>8</w:t>
            </w:r>
          </w:p>
        </w:tc>
        <w:tc>
          <w:tcPr>
            <w:tcW w:w="1419" w:type="dxa"/>
            <w:tcBorders>
              <w:top w:val="nil"/>
              <w:left w:val="nil"/>
              <w:bottom w:val="single" w:sz="4" w:space="0" w:color="auto"/>
              <w:right w:val="single" w:sz="4" w:space="0" w:color="auto"/>
            </w:tcBorders>
            <w:shd w:val="clear" w:color="auto" w:fill="auto"/>
            <w:noWrap/>
            <w:vAlign w:val="center"/>
            <w:hideMark/>
          </w:tcPr>
          <w:p w14:paraId="199FE35E" w14:textId="77777777" w:rsidR="00DF71DD" w:rsidRPr="00BA60CB" w:rsidRDefault="00DF71DD" w:rsidP="00BA60CB">
            <w:pPr>
              <w:jc w:val="right"/>
              <w:rPr>
                <w:rFonts w:cs="Arial"/>
                <w:color w:val="000000"/>
                <w:sz w:val="22"/>
                <w:szCs w:val="22"/>
              </w:rPr>
            </w:pPr>
            <w:r w:rsidRPr="00BA60CB">
              <w:rPr>
                <w:rFonts w:cs="Arial"/>
                <w:color w:val="000000"/>
                <w:sz w:val="22"/>
                <w:szCs w:val="22"/>
              </w:rPr>
              <w:t>4.4</w:t>
            </w:r>
          </w:p>
        </w:tc>
        <w:tc>
          <w:tcPr>
            <w:tcW w:w="1796" w:type="dxa"/>
            <w:tcBorders>
              <w:top w:val="nil"/>
              <w:left w:val="nil"/>
              <w:bottom w:val="single" w:sz="4" w:space="0" w:color="auto"/>
              <w:right w:val="single" w:sz="4" w:space="0" w:color="auto"/>
            </w:tcBorders>
            <w:shd w:val="clear" w:color="auto" w:fill="auto"/>
            <w:noWrap/>
            <w:vAlign w:val="bottom"/>
            <w:hideMark/>
          </w:tcPr>
          <w:p w14:paraId="25E23DC7" w14:textId="79E63E58" w:rsidR="00DF71DD" w:rsidRPr="00BA60CB" w:rsidRDefault="00DF71DD" w:rsidP="00DF71DD">
            <w:pPr>
              <w:rPr>
                <w:rFonts w:cs="Arial"/>
                <w:color w:val="000000"/>
                <w:sz w:val="22"/>
                <w:szCs w:val="22"/>
              </w:rPr>
            </w:pPr>
            <w:r w:rsidRPr="00BA60CB">
              <w:rPr>
                <w:rFonts w:cs="Arial"/>
                <w:color w:val="000000"/>
                <w:sz w:val="22"/>
                <w:szCs w:val="22"/>
              </w:rPr>
              <w:t xml:space="preserve">South </w:t>
            </w:r>
            <w:r w:rsidR="002E0B25" w:rsidRPr="00BA60CB">
              <w:rPr>
                <w:rFonts w:cs="Arial"/>
                <w:color w:val="000000"/>
                <w:sz w:val="22"/>
                <w:szCs w:val="22"/>
              </w:rPr>
              <w:t>Medway</w:t>
            </w:r>
          </w:p>
        </w:tc>
        <w:tc>
          <w:tcPr>
            <w:tcW w:w="1394" w:type="dxa"/>
            <w:tcBorders>
              <w:top w:val="nil"/>
              <w:left w:val="nil"/>
              <w:bottom w:val="single" w:sz="4" w:space="0" w:color="auto"/>
              <w:right w:val="single" w:sz="4" w:space="0" w:color="auto"/>
            </w:tcBorders>
            <w:shd w:val="clear" w:color="auto" w:fill="auto"/>
            <w:noWrap/>
            <w:vAlign w:val="center"/>
            <w:hideMark/>
          </w:tcPr>
          <w:p w14:paraId="7368D0B5"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171BB2A8"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68D8FA85"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7E2E592B"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Frindsbury</w:t>
            </w:r>
            <w:proofErr w:type="spellEnd"/>
            <w:r w:rsidRPr="00BA60CB">
              <w:rPr>
                <w:rFonts w:cs="Arial"/>
                <w:color w:val="000000"/>
                <w:sz w:val="22"/>
                <w:szCs w:val="22"/>
              </w:rPr>
              <w:t xml:space="preserve"> and </w:t>
            </w:r>
            <w:proofErr w:type="spellStart"/>
            <w:r w:rsidRPr="00BA60CB">
              <w:rPr>
                <w:rFonts w:cs="Arial"/>
                <w:color w:val="000000"/>
                <w:sz w:val="22"/>
                <w:szCs w:val="22"/>
              </w:rPr>
              <w:t>Frindsbury</w:t>
            </w:r>
            <w:proofErr w:type="spellEnd"/>
            <w:r w:rsidRPr="00BA60CB">
              <w:rPr>
                <w:rFonts w:cs="Arial"/>
                <w:color w:val="000000"/>
                <w:sz w:val="22"/>
                <w:szCs w:val="22"/>
              </w:rPr>
              <w:t xml:space="preserve"> Extra</w:t>
            </w:r>
          </w:p>
        </w:tc>
        <w:tc>
          <w:tcPr>
            <w:tcW w:w="1419" w:type="dxa"/>
            <w:tcBorders>
              <w:top w:val="nil"/>
              <w:left w:val="nil"/>
              <w:bottom w:val="single" w:sz="4" w:space="0" w:color="auto"/>
              <w:right w:val="single" w:sz="4" w:space="0" w:color="auto"/>
            </w:tcBorders>
            <w:shd w:val="clear" w:color="auto" w:fill="auto"/>
            <w:noWrap/>
            <w:vAlign w:val="center"/>
            <w:hideMark/>
          </w:tcPr>
          <w:p w14:paraId="531FC493" w14:textId="77777777" w:rsidR="00DF71DD" w:rsidRPr="00BA60CB" w:rsidRDefault="00DF71DD" w:rsidP="00BA60CB">
            <w:pPr>
              <w:jc w:val="right"/>
              <w:rPr>
                <w:rFonts w:cs="Arial"/>
                <w:color w:val="000000"/>
                <w:sz w:val="22"/>
                <w:szCs w:val="22"/>
              </w:rPr>
            </w:pPr>
            <w:r w:rsidRPr="00BA60CB">
              <w:rPr>
                <w:rFonts w:cs="Arial"/>
                <w:color w:val="000000"/>
                <w:sz w:val="22"/>
                <w:szCs w:val="22"/>
              </w:rPr>
              <w:t>4</w:t>
            </w:r>
          </w:p>
        </w:tc>
        <w:tc>
          <w:tcPr>
            <w:tcW w:w="1419" w:type="dxa"/>
            <w:tcBorders>
              <w:top w:val="nil"/>
              <w:left w:val="nil"/>
              <w:bottom w:val="single" w:sz="4" w:space="0" w:color="auto"/>
              <w:right w:val="single" w:sz="4" w:space="0" w:color="auto"/>
            </w:tcBorders>
            <w:shd w:val="clear" w:color="auto" w:fill="auto"/>
            <w:noWrap/>
            <w:vAlign w:val="center"/>
            <w:hideMark/>
          </w:tcPr>
          <w:p w14:paraId="04C52248" w14:textId="77777777" w:rsidR="00DF71DD" w:rsidRPr="00BA60CB" w:rsidRDefault="00DF71DD" w:rsidP="00BA60CB">
            <w:pPr>
              <w:jc w:val="right"/>
              <w:rPr>
                <w:rFonts w:cs="Arial"/>
                <w:color w:val="000000"/>
                <w:sz w:val="22"/>
                <w:szCs w:val="22"/>
              </w:rPr>
            </w:pPr>
            <w:r w:rsidRPr="00BA60CB">
              <w:rPr>
                <w:rFonts w:cs="Arial"/>
                <w:color w:val="000000"/>
                <w:sz w:val="22"/>
                <w:szCs w:val="22"/>
              </w:rPr>
              <w:t>2.2</w:t>
            </w:r>
          </w:p>
        </w:tc>
        <w:tc>
          <w:tcPr>
            <w:tcW w:w="1796" w:type="dxa"/>
            <w:tcBorders>
              <w:top w:val="nil"/>
              <w:left w:val="nil"/>
              <w:bottom w:val="single" w:sz="4" w:space="0" w:color="auto"/>
              <w:right w:val="single" w:sz="4" w:space="0" w:color="auto"/>
            </w:tcBorders>
            <w:shd w:val="clear" w:color="auto" w:fill="auto"/>
            <w:noWrap/>
            <w:vAlign w:val="bottom"/>
            <w:hideMark/>
          </w:tcPr>
          <w:p w14:paraId="19C0E6B2" w14:textId="77777777" w:rsidR="00DF71DD" w:rsidRPr="00BA60CB" w:rsidRDefault="00DF71DD" w:rsidP="00DF71DD">
            <w:pPr>
              <w:rPr>
                <w:rFonts w:cs="Arial"/>
                <w:color w:val="000000"/>
                <w:sz w:val="22"/>
                <w:szCs w:val="22"/>
              </w:rPr>
            </w:pPr>
            <w:r w:rsidRPr="00BA60CB">
              <w:rPr>
                <w:rFonts w:cs="Arial"/>
                <w:color w:val="000000"/>
                <w:sz w:val="22"/>
                <w:szCs w:val="22"/>
              </w:rPr>
              <w:t>Strood</w:t>
            </w:r>
          </w:p>
        </w:tc>
        <w:tc>
          <w:tcPr>
            <w:tcW w:w="1394" w:type="dxa"/>
            <w:tcBorders>
              <w:top w:val="nil"/>
              <w:left w:val="nil"/>
              <w:bottom w:val="single" w:sz="4" w:space="0" w:color="auto"/>
              <w:right w:val="single" w:sz="4" w:space="0" w:color="auto"/>
            </w:tcBorders>
            <w:shd w:val="clear" w:color="auto" w:fill="auto"/>
            <w:noWrap/>
            <w:vAlign w:val="center"/>
            <w:hideMark/>
          </w:tcPr>
          <w:p w14:paraId="185EF988" w14:textId="77777777" w:rsidR="00DF71DD" w:rsidRPr="00BA60CB" w:rsidRDefault="00DF71DD" w:rsidP="00BA60CB">
            <w:pPr>
              <w:jc w:val="right"/>
              <w:rPr>
                <w:rFonts w:cs="Arial"/>
                <w:color w:val="000000"/>
                <w:sz w:val="22"/>
                <w:szCs w:val="22"/>
              </w:rPr>
            </w:pPr>
            <w:r w:rsidRPr="00BA60CB">
              <w:rPr>
                <w:rFonts w:cs="Arial"/>
                <w:color w:val="000000"/>
                <w:sz w:val="22"/>
                <w:szCs w:val="22"/>
              </w:rPr>
              <w:t>11</w:t>
            </w:r>
          </w:p>
        </w:tc>
        <w:tc>
          <w:tcPr>
            <w:tcW w:w="1317" w:type="dxa"/>
            <w:tcBorders>
              <w:top w:val="nil"/>
              <w:left w:val="nil"/>
              <w:bottom w:val="single" w:sz="4" w:space="0" w:color="auto"/>
              <w:right w:val="single" w:sz="4" w:space="0" w:color="auto"/>
            </w:tcBorders>
            <w:shd w:val="clear" w:color="auto" w:fill="auto"/>
            <w:noWrap/>
            <w:vAlign w:val="center"/>
            <w:hideMark/>
          </w:tcPr>
          <w:p w14:paraId="0E979919" w14:textId="77777777" w:rsidR="00DF71DD" w:rsidRPr="00BA60CB" w:rsidRDefault="00DF71DD" w:rsidP="00BA60CB">
            <w:pPr>
              <w:jc w:val="right"/>
              <w:rPr>
                <w:rFonts w:cs="Arial"/>
                <w:color w:val="000000"/>
                <w:sz w:val="22"/>
                <w:szCs w:val="22"/>
              </w:rPr>
            </w:pPr>
            <w:r w:rsidRPr="00BA60CB">
              <w:rPr>
                <w:rFonts w:cs="Arial"/>
                <w:color w:val="000000"/>
                <w:sz w:val="22"/>
                <w:szCs w:val="22"/>
              </w:rPr>
              <w:t>6.0</w:t>
            </w:r>
          </w:p>
        </w:tc>
      </w:tr>
      <w:tr w:rsidR="00BA60CB" w:rsidRPr="00BA60CB" w14:paraId="16EB6485"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670FA11F" w14:textId="77777777" w:rsidR="00DF71DD" w:rsidRPr="00BA60CB" w:rsidRDefault="00DF71DD" w:rsidP="00DF71DD">
            <w:pPr>
              <w:rPr>
                <w:rFonts w:cs="Arial"/>
                <w:color w:val="000000"/>
                <w:sz w:val="22"/>
                <w:szCs w:val="22"/>
              </w:rPr>
            </w:pPr>
            <w:r w:rsidRPr="00BA60CB">
              <w:rPr>
                <w:rFonts w:cs="Arial"/>
                <w:color w:val="000000"/>
                <w:sz w:val="22"/>
                <w:szCs w:val="22"/>
              </w:rPr>
              <w:t>Gillingham</w:t>
            </w:r>
          </w:p>
        </w:tc>
        <w:tc>
          <w:tcPr>
            <w:tcW w:w="1419" w:type="dxa"/>
            <w:tcBorders>
              <w:top w:val="nil"/>
              <w:left w:val="nil"/>
              <w:bottom w:val="single" w:sz="4" w:space="0" w:color="auto"/>
              <w:right w:val="single" w:sz="4" w:space="0" w:color="auto"/>
            </w:tcBorders>
            <w:shd w:val="clear" w:color="auto" w:fill="auto"/>
            <w:noWrap/>
            <w:vAlign w:val="center"/>
            <w:hideMark/>
          </w:tcPr>
          <w:p w14:paraId="5DA5162D" w14:textId="77777777" w:rsidR="00DF71DD" w:rsidRPr="00BA60CB" w:rsidRDefault="00DF71DD" w:rsidP="00BA60CB">
            <w:pPr>
              <w:jc w:val="right"/>
              <w:rPr>
                <w:rFonts w:cs="Arial"/>
                <w:color w:val="000000"/>
                <w:sz w:val="22"/>
                <w:szCs w:val="22"/>
              </w:rPr>
            </w:pPr>
            <w:r w:rsidRPr="00BA60CB">
              <w:rPr>
                <w:rFonts w:cs="Arial"/>
                <w:color w:val="000000"/>
                <w:sz w:val="22"/>
                <w:szCs w:val="22"/>
              </w:rPr>
              <w:t>7</w:t>
            </w:r>
          </w:p>
        </w:tc>
        <w:tc>
          <w:tcPr>
            <w:tcW w:w="1419" w:type="dxa"/>
            <w:tcBorders>
              <w:top w:val="nil"/>
              <w:left w:val="nil"/>
              <w:bottom w:val="single" w:sz="4" w:space="0" w:color="auto"/>
              <w:right w:val="single" w:sz="4" w:space="0" w:color="auto"/>
            </w:tcBorders>
            <w:shd w:val="clear" w:color="auto" w:fill="auto"/>
            <w:noWrap/>
            <w:vAlign w:val="center"/>
            <w:hideMark/>
          </w:tcPr>
          <w:p w14:paraId="2150961D" w14:textId="77777777" w:rsidR="00DF71DD" w:rsidRPr="00BA60CB" w:rsidRDefault="00DF71DD" w:rsidP="00BA60CB">
            <w:pPr>
              <w:jc w:val="right"/>
              <w:rPr>
                <w:rFonts w:cs="Arial"/>
                <w:color w:val="000000"/>
                <w:sz w:val="22"/>
                <w:szCs w:val="22"/>
              </w:rPr>
            </w:pPr>
            <w:r w:rsidRPr="00BA60CB">
              <w:rPr>
                <w:rFonts w:cs="Arial"/>
                <w:color w:val="000000"/>
                <w:sz w:val="22"/>
                <w:szCs w:val="22"/>
              </w:rPr>
              <w:t>3.8</w:t>
            </w:r>
          </w:p>
        </w:tc>
        <w:tc>
          <w:tcPr>
            <w:tcW w:w="1796" w:type="dxa"/>
            <w:tcBorders>
              <w:top w:val="nil"/>
              <w:left w:val="nil"/>
              <w:bottom w:val="single" w:sz="4" w:space="0" w:color="auto"/>
              <w:right w:val="single" w:sz="4" w:space="0" w:color="auto"/>
            </w:tcBorders>
            <w:shd w:val="clear" w:color="auto" w:fill="auto"/>
            <w:noWrap/>
            <w:vAlign w:val="bottom"/>
            <w:hideMark/>
          </w:tcPr>
          <w:p w14:paraId="2B9BA13E"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Upnor</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0C857EAD" w14:textId="77777777" w:rsidR="00DF71DD" w:rsidRPr="00BA60CB" w:rsidRDefault="00DF71DD" w:rsidP="00BA60CB">
            <w:pPr>
              <w:jc w:val="right"/>
              <w:rPr>
                <w:rFonts w:cs="Arial"/>
                <w:color w:val="000000"/>
                <w:sz w:val="22"/>
                <w:szCs w:val="22"/>
              </w:rPr>
            </w:pPr>
            <w:r w:rsidRPr="00BA60CB">
              <w:rPr>
                <w:rFonts w:cs="Arial"/>
                <w:color w:val="000000"/>
                <w:sz w:val="22"/>
                <w:szCs w:val="22"/>
              </w:rPr>
              <w:t>3</w:t>
            </w:r>
          </w:p>
        </w:tc>
        <w:tc>
          <w:tcPr>
            <w:tcW w:w="1317" w:type="dxa"/>
            <w:tcBorders>
              <w:top w:val="nil"/>
              <w:left w:val="nil"/>
              <w:bottom w:val="single" w:sz="4" w:space="0" w:color="auto"/>
              <w:right w:val="single" w:sz="4" w:space="0" w:color="auto"/>
            </w:tcBorders>
            <w:shd w:val="clear" w:color="auto" w:fill="auto"/>
            <w:noWrap/>
            <w:vAlign w:val="center"/>
            <w:hideMark/>
          </w:tcPr>
          <w:p w14:paraId="78595A55" w14:textId="77777777" w:rsidR="00DF71DD" w:rsidRPr="00BA60CB" w:rsidRDefault="00DF71DD" w:rsidP="00BA60CB">
            <w:pPr>
              <w:jc w:val="right"/>
              <w:rPr>
                <w:rFonts w:cs="Arial"/>
                <w:color w:val="000000"/>
                <w:sz w:val="22"/>
                <w:szCs w:val="22"/>
              </w:rPr>
            </w:pPr>
            <w:r w:rsidRPr="00BA60CB">
              <w:rPr>
                <w:rFonts w:cs="Arial"/>
                <w:color w:val="000000"/>
                <w:sz w:val="22"/>
                <w:szCs w:val="22"/>
              </w:rPr>
              <w:t>1.6</w:t>
            </w:r>
          </w:p>
        </w:tc>
      </w:tr>
      <w:tr w:rsidR="00BA60CB" w:rsidRPr="00BA60CB" w14:paraId="688F076D"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5F7BFCAF"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Halling</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14:paraId="3299B285" w14:textId="77777777" w:rsidR="00DF71DD" w:rsidRPr="00BA60CB" w:rsidRDefault="00DF71DD" w:rsidP="00BA60CB">
            <w:pPr>
              <w:jc w:val="right"/>
              <w:rPr>
                <w:rFonts w:cs="Arial"/>
                <w:color w:val="000000"/>
                <w:sz w:val="22"/>
                <w:szCs w:val="22"/>
              </w:rPr>
            </w:pPr>
            <w:r w:rsidRPr="00BA60CB">
              <w:rPr>
                <w:rFonts w:cs="Arial"/>
                <w:color w:val="000000"/>
                <w:sz w:val="22"/>
                <w:szCs w:val="22"/>
              </w:rPr>
              <w:t>7</w:t>
            </w:r>
          </w:p>
        </w:tc>
        <w:tc>
          <w:tcPr>
            <w:tcW w:w="1419" w:type="dxa"/>
            <w:tcBorders>
              <w:top w:val="nil"/>
              <w:left w:val="nil"/>
              <w:bottom w:val="single" w:sz="4" w:space="0" w:color="auto"/>
              <w:right w:val="single" w:sz="4" w:space="0" w:color="auto"/>
            </w:tcBorders>
            <w:shd w:val="clear" w:color="auto" w:fill="auto"/>
            <w:noWrap/>
            <w:vAlign w:val="center"/>
            <w:hideMark/>
          </w:tcPr>
          <w:p w14:paraId="4D627633" w14:textId="77777777" w:rsidR="00DF71DD" w:rsidRPr="00BA60CB" w:rsidRDefault="00DF71DD" w:rsidP="00BA60CB">
            <w:pPr>
              <w:jc w:val="right"/>
              <w:rPr>
                <w:rFonts w:cs="Arial"/>
                <w:color w:val="000000"/>
                <w:sz w:val="22"/>
                <w:szCs w:val="22"/>
              </w:rPr>
            </w:pPr>
            <w:r w:rsidRPr="00BA60CB">
              <w:rPr>
                <w:rFonts w:cs="Arial"/>
                <w:color w:val="000000"/>
                <w:sz w:val="22"/>
                <w:szCs w:val="22"/>
              </w:rPr>
              <w:t>3.8</w:t>
            </w:r>
          </w:p>
        </w:tc>
        <w:tc>
          <w:tcPr>
            <w:tcW w:w="1796" w:type="dxa"/>
            <w:tcBorders>
              <w:top w:val="nil"/>
              <w:left w:val="nil"/>
              <w:bottom w:val="single" w:sz="4" w:space="0" w:color="auto"/>
              <w:right w:val="single" w:sz="4" w:space="0" w:color="auto"/>
            </w:tcBorders>
            <w:shd w:val="clear" w:color="auto" w:fill="auto"/>
            <w:noWrap/>
            <w:vAlign w:val="bottom"/>
            <w:hideMark/>
          </w:tcPr>
          <w:p w14:paraId="555D7338" w14:textId="77777777" w:rsidR="00DF71DD" w:rsidRPr="00BA60CB" w:rsidRDefault="00DF71DD" w:rsidP="00DF71DD">
            <w:pPr>
              <w:rPr>
                <w:rFonts w:cs="Arial"/>
                <w:color w:val="000000"/>
                <w:sz w:val="22"/>
                <w:szCs w:val="22"/>
              </w:rPr>
            </w:pPr>
            <w:r w:rsidRPr="00BA60CB">
              <w:rPr>
                <w:rFonts w:cs="Arial"/>
                <w:color w:val="000000"/>
                <w:sz w:val="22"/>
                <w:szCs w:val="22"/>
              </w:rPr>
              <w:t xml:space="preserve">Upper </w:t>
            </w:r>
            <w:proofErr w:type="spellStart"/>
            <w:r w:rsidRPr="00BA60CB">
              <w:rPr>
                <w:rFonts w:cs="Arial"/>
                <w:color w:val="000000"/>
                <w:sz w:val="22"/>
                <w:szCs w:val="22"/>
              </w:rPr>
              <w:t>Halling</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7D1A0C5F"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6B59A154"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4DCC8C44"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521CE0CD" w14:textId="77777777" w:rsidR="00DF71DD" w:rsidRPr="00BA60CB" w:rsidRDefault="00DF71DD" w:rsidP="00DF71DD">
            <w:pPr>
              <w:rPr>
                <w:rFonts w:cs="Arial"/>
                <w:color w:val="000000"/>
                <w:sz w:val="22"/>
                <w:szCs w:val="22"/>
              </w:rPr>
            </w:pPr>
            <w:r w:rsidRPr="00BA60CB">
              <w:rPr>
                <w:rFonts w:cs="Arial"/>
                <w:color w:val="000000"/>
                <w:sz w:val="22"/>
                <w:szCs w:val="22"/>
              </w:rPr>
              <w:t>Hempstead</w:t>
            </w:r>
          </w:p>
        </w:tc>
        <w:tc>
          <w:tcPr>
            <w:tcW w:w="1419" w:type="dxa"/>
            <w:tcBorders>
              <w:top w:val="nil"/>
              <w:left w:val="nil"/>
              <w:bottom w:val="single" w:sz="4" w:space="0" w:color="auto"/>
              <w:right w:val="single" w:sz="4" w:space="0" w:color="auto"/>
            </w:tcBorders>
            <w:shd w:val="clear" w:color="auto" w:fill="auto"/>
            <w:noWrap/>
            <w:vAlign w:val="center"/>
            <w:hideMark/>
          </w:tcPr>
          <w:p w14:paraId="38E8EA25" w14:textId="77777777" w:rsidR="00DF71DD" w:rsidRPr="00BA60CB" w:rsidRDefault="00DF71DD" w:rsidP="00BA60CB">
            <w:pPr>
              <w:jc w:val="right"/>
              <w:rPr>
                <w:rFonts w:cs="Arial"/>
                <w:color w:val="000000"/>
                <w:sz w:val="22"/>
                <w:szCs w:val="22"/>
              </w:rPr>
            </w:pPr>
            <w:r w:rsidRPr="00BA60CB">
              <w:rPr>
                <w:rFonts w:cs="Arial"/>
                <w:color w:val="000000"/>
                <w:sz w:val="22"/>
                <w:szCs w:val="22"/>
              </w:rPr>
              <w:t>8</w:t>
            </w:r>
          </w:p>
        </w:tc>
        <w:tc>
          <w:tcPr>
            <w:tcW w:w="1419" w:type="dxa"/>
            <w:tcBorders>
              <w:top w:val="nil"/>
              <w:left w:val="nil"/>
              <w:bottom w:val="single" w:sz="4" w:space="0" w:color="auto"/>
              <w:right w:val="single" w:sz="4" w:space="0" w:color="auto"/>
            </w:tcBorders>
            <w:shd w:val="clear" w:color="auto" w:fill="auto"/>
            <w:noWrap/>
            <w:vAlign w:val="center"/>
            <w:hideMark/>
          </w:tcPr>
          <w:p w14:paraId="5A6B66D4" w14:textId="77777777" w:rsidR="00DF71DD" w:rsidRPr="00BA60CB" w:rsidRDefault="00DF71DD" w:rsidP="00BA60CB">
            <w:pPr>
              <w:jc w:val="right"/>
              <w:rPr>
                <w:rFonts w:cs="Arial"/>
                <w:color w:val="000000"/>
                <w:sz w:val="22"/>
                <w:szCs w:val="22"/>
              </w:rPr>
            </w:pPr>
            <w:r w:rsidRPr="00BA60CB">
              <w:rPr>
                <w:rFonts w:cs="Arial"/>
                <w:color w:val="000000"/>
                <w:sz w:val="22"/>
                <w:szCs w:val="22"/>
              </w:rPr>
              <w:t>4.4</w:t>
            </w:r>
          </w:p>
        </w:tc>
        <w:tc>
          <w:tcPr>
            <w:tcW w:w="1796" w:type="dxa"/>
            <w:tcBorders>
              <w:top w:val="nil"/>
              <w:left w:val="nil"/>
              <w:bottom w:val="single" w:sz="4" w:space="0" w:color="auto"/>
              <w:right w:val="single" w:sz="4" w:space="0" w:color="auto"/>
            </w:tcBorders>
            <w:shd w:val="clear" w:color="auto" w:fill="auto"/>
            <w:noWrap/>
            <w:vAlign w:val="bottom"/>
            <w:hideMark/>
          </w:tcPr>
          <w:p w14:paraId="6554C79A"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Wainscott</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007A5111"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6F849ECA"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2EF1D900"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3B2DECD6" w14:textId="77777777" w:rsidR="00DF71DD" w:rsidRPr="00BA60CB" w:rsidRDefault="00DF71DD" w:rsidP="00DF71DD">
            <w:pPr>
              <w:rPr>
                <w:rFonts w:cs="Arial"/>
                <w:color w:val="000000"/>
                <w:sz w:val="22"/>
                <w:szCs w:val="22"/>
              </w:rPr>
            </w:pPr>
            <w:r w:rsidRPr="00BA60CB">
              <w:rPr>
                <w:rFonts w:cs="Arial"/>
                <w:color w:val="000000"/>
                <w:sz w:val="22"/>
                <w:szCs w:val="22"/>
              </w:rPr>
              <w:t xml:space="preserve">High </w:t>
            </w:r>
            <w:proofErr w:type="spellStart"/>
            <w:r w:rsidRPr="00BA60CB">
              <w:rPr>
                <w:rFonts w:cs="Arial"/>
                <w:color w:val="000000"/>
                <w:sz w:val="22"/>
                <w:szCs w:val="22"/>
              </w:rPr>
              <w:t>Halstow</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14:paraId="6BE3A94D" w14:textId="77777777" w:rsidR="00DF71DD" w:rsidRPr="00BA60CB" w:rsidRDefault="00DF71DD" w:rsidP="00BA60CB">
            <w:pPr>
              <w:jc w:val="right"/>
              <w:rPr>
                <w:rFonts w:cs="Arial"/>
                <w:color w:val="000000"/>
                <w:sz w:val="22"/>
                <w:szCs w:val="22"/>
              </w:rPr>
            </w:pPr>
            <w:r w:rsidRPr="00BA60CB">
              <w:rPr>
                <w:rFonts w:cs="Arial"/>
                <w:color w:val="000000"/>
                <w:sz w:val="22"/>
                <w:szCs w:val="22"/>
              </w:rPr>
              <w:t>6</w:t>
            </w:r>
          </w:p>
        </w:tc>
        <w:tc>
          <w:tcPr>
            <w:tcW w:w="1419" w:type="dxa"/>
            <w:tcBorders>
              <w:top w:val="nil"/>
              <w:left w:val="nil"/>
              <w:bottom w:val="single" w:sz="4" w:space="0" w:color="auto"/>
              <w:right w:val="single" w:sz="4" w:space="0" w:color="auto"/>
            </w:tcBorders>
            <w:shd w:val="clear" w:color="auto" w:fill="auto"/>
            <w:noWrap/>
            <w:vAlign w:val="center"/>
            <w:hideMark/>
          </w:tcPr>
          <w:p w14:paraId="17E2EDD4" w14:textId="77777777" w:rsidR="00DF71DD" w:rsidRPr="00BA60CB" w:rsidRDefault="00DF71DD" w:rsidP="00BA60CB">
            <w:pPr>
              <w:jc w:val="right"/>
              <w:rPr>
                <w:rFonts w:cs="Arial"/>
                <w:color w:val="000000"/>
                <w:sz w:val="22"/>
                <w:szCs w:val="22"/>
              </w:rPr>
            </w:pPr>
            <w:r w:rsidRPr="00BA60CB">
              <w:rPr>
                <w:rFonts w:cs="Arial"/>
                <w:color w:val="000000"/>
                <w:sz w:val="22"/>
                <w:szCs w:val="22"/>
              </w:rPr>
              <w:t>3.3</w:t>
            </w:r>
          </w:p>
        </w:tc>
        <w:tc>
          <w:tcPr>
            <w:tcW w:w="1796" w:type="dxa"/>
            <w:tcBorders>
              <w:top w:val="nil"/>
              <w:left w:val="nil"/>
              <w:bottom w:val="single" w:sz="4" w:space="0" w:color="auto"/>
              <w:right w:val="single" w:sz="4" w:space="0" w:color="auto"/>
            </w:tcBorders>
            <w:shd w:val="clear" w:color="auto" w:fill="auto"/>
            <w:noWrap/>
            <w:vAlign w:val="bottom"/>
            <w:hideMark/>
          </w:tcPr>
          <w:p w14:paraId="77CAA56B" w14:textId="77777777" w:rsidR="00DF71DD" w:rsidRPr="00BA60CB" w:rsidRDefault="00DF71DD" w:rsidP="00DF71DD">
            <w:pPr>
              <w:rPr>
                <w:rFonts w:cs="Arial"/>
                <w:color w:val="000000"/>
                <w:sz w:val="22"/>
                <w:szCs w:val="22"/>
              </w:rPr>
            </w:pPr>
            <w:r w:rsidRPr="00BA60CB">
              <w:rPr>
                <w:rFonts w:cs="Arial"/>
                <w:color w:val="000000"/>
                <w:sz w:val="22"/>
                <w:szCs w:val="22"/>
              </w:rPr>
              <w:t>Walderslade</w:t>
            </w:r>
          </w:p>
        </w:tc>
        <w:tc>
          <w:tcPr>
            <w:tcW w:w="1394" w:type="dxa"/>
            <w:tcBorders>
              <w:top w:val="nil"/>
              <w:left w:val="nil"/>
              <w:bottom w:val="single" w:sz="4" w:space="0" w:color="auto"/>
              <w:right w:val="single" w:sz="4" w:space="0" w:color="auto"/>
            </w:tcBorders>
            <w:shd w:val="clear" w:color="auto" w:fill="auto"/>
            <w:noWrap/>
            <w:vAlign w:val="center"/>
            <w:hideMark/>
          </w:tcPr>
          <w:p w14:paraId="3438FE0C" w14:textId="77777777" w:rsidR="00DF71DD" w:rsidRPr="00BA60CB" w:rsidRDefault="00DF71DD" w:rsidP="00BA60CB">
            <w:pPr>
              <w:jc w:val="right"/>
              <w:rPr>
                <w:rFonts w:cs="Arial"/>
                <w:color w:val="000000"/>
                <w:sz w:val="22"/>
                <w:szCs w:val="22"/>
              </w:rPr>
            </w:pPr>
            <w:r w:rsidRPr="00BA60CB">
              <w:rPr>
                <w:rFonts w:cs="Arial"/>
                <w:color w:val="000000"/>
                <w:sz w:val="22"/>
                <w:szCs w:val="22"/>
              </w:rPr>
              <w:t>8</w:t>
            </w:r>
          </w:p>
        </w:tc>
        <w:tc>
          <w:tcPr>
            <w:tcW w:w="1317" w:type="dxa"/>
            <w:tcBorders>
              <w:top w:val="nil"/>
              <w:left w:val="nil"/>
              <w:bottom w:val="single" w:sz="4" w:space="0" w:color="auto"/>
              <w:right w:val="single" w:sz="4" w:space="0" w:color="auto"/>
            </w:tcBorders>
            <w:shd w:val="clear" w:color="auto" w:fill="auto"/>
            <w:noWrap/>
            <w:vAlign w:val="center"/>
            <w:hideMark/>
          </w:tcPr>
          <w:p w14:paraId="0976D5B9" w14:textId="77777777" w:rsidR="00DF71DD" w:rsidRPr="00BA60CB" w:rsidRDefault="00DF71DD" w:rsidP="00BA60CB">
            <w:pPr>
              <w:jc w:val="right"/>
              <w:rPr>
                <w:rFonts w:cs="Arial"/>
                <w:color w:val="000000"/>
                <w:sz w:val="22"/>
                <w:szCs w:val="22"/>
              </w:rPr>
            </w:pPr>
            <w:r w:rsidRPr="00BA60CB">
              <w:rPr>
                <w:rFonts w:cs="Arial"/>
                <w:color w:val="000000"/>
                <w:sz w:val="22"/>
                <w:szCs w:val="22"/>
              </w:rPr>
              <w:t>4.4</w:t>
            </w:r>
          </w:p>
        </w:tc>
      </w:tr>
      <w:tr w:rsidR="00BA60CB" w:rsidRPr="00BA60CB" w14:paraId="76FE0D26"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0F1E90B9" w14:textId="77777777" w:rsidR="00DF71DD" w:rsidRPr="00BA60CB" w:rsidRDefault="00DF71DD" w:rsidP="00DF71DD">
            <w:pPr>
              <w:rPr>
                <w:rFonts w:cs="Arial"/>
                <w:color w:val="000000"/>
                <w:sz w:val="22"/>
                <w:szCs w:val="22"/>
              </w:rPr>
            </w:pPr>
            <w:r w:rsidRPr="00BA60CB">
              <w:rPr>
                <w:rFonts w:cs="Arial"/>
                <w:color w:val="000000"/>
                <w:sz w:val="22"/>
                <w:szCs w:val="22"/>
              </w:rPr>
              <w:t>Higham</w:t>
            </w:r>
          </w:p>
        </w:tc>
        <w:tc>
          <w:tcPr>
            <w:tcW w:w="1419" w:type="dxa"/>
            <w:tcBorders>
              <w:top w:val="nil"/>
              <w:left w:val="nil"/>
              <w:bottom w:val="single" w:sz="4" w:space="0" w:color="auto"/>
              <w:right w:val="single" w:sz="4" w:space="0" w:color="auto"/>
            </w:tcBorders>
            <w:shd w:val="clear" w:color="auto" w:fill="auto"/>
            <w:noWrap/>
            <w:vAlign w:val="center"/>
            <w:hideMark/>
          </w:tcPr>
          <w:p w14:paraId="22A2B3C5" w14:textId="77777777" w:rsidR="00DF71DD" w:rsidRPr="00BA60CB" w:rsidRDefault="00DF71DD" w:rsidP="00BA60CB">
            <w:pPr>
              <w:jc w:val="right"/>
              <w:rPr>
                <w:rFonts w:cs="Arial"/>
                <w:color w:val="000000"/>
                <w:sz w:val="22"/>
                <w:szCs w:val="22"/>
              </w:rPr>
            </w:pPr>
            <w:r w:rsidRPr="00BA60CB">
              <w:rPr>
                <w:rFonts w:cs="Arial"/>
                <w:color w:val="000000"/>
                <w:sz w:val="22"/>
                <w:szCs w:val="22"/>
              </w:rPr>
              <w:t>2</w:t>
            </w:r>
          </w:p>
        </w:tc>
        <w:tc>
          <w:tcPr>
            <w:tcW w:w="1419" w:type="dxa"/>
            <w:tcBorders>
              <w:top w:val="nil"/>
              <w:left w:val="nil"/>
              <w:bottom w:val="single" w:sz="4" w:space="0" w:color="auto"/>
              <w:right w:val="single" w:sz="4" w:space="0" w:color="auto"/>
            </w:tcBorders>
            <w:shd w:val="clear" w:color="auto" w:fill="auto"/>
            <w:noWrap/>
            <w:vAlign w:val="center"/>
            <w:hideMark/>
          </w:tcPr>
          <w:p w14:paraId="56D746A3" w14:textId="77777777" w:rsidR="00DF71DD" w:rsidRPr="00BA60CB" w:rsidRDefault="00DF71DD" w:rsidP="00BA60CB">
            <w:pPr>
              <w:jc w:val="right"/>
              <w:rPr>
                <w:rFonts w:cs="Arial"/>
                <w:color w:val="000000"/>
                <w:sz w:val="22"/>
                <w:szCs w:val="22"/>
              </w:rPr>
            </w:pPr>
            <w:r w:rsidRPr="00BA60CB">
              <w:rPr>
                <w:rFonts w:cs="Arial"/>
                <w:color w:val="000000"/>
                <w:sz w:val="22"/>
                <w:szCs w:val="22"/>
              </w:rPr>
              <w:t>1.1</w:t>
            </w:r>
          </w:p>
        </w:tc>
        <w:tc>
          <w:tcPr>
            <w:tcW w:w="1796" w:type="dxa"/>
            <w:tcBorders>
              <w:top w:val="nil"/>
              <w:left w:val="nil"/>
              <w:bottom w:val="single" w:sz="4" w:space="0" w:color="auto"/>
              <w:right w:val="single" w:sz="4" w:space="0" w:color="auto"/>
            </w:tcBorders>
            <w:shd w:val="clear" w:color="auto" w:fill="auto"/>
            <w:noWrap/>
            <w:vAlign w:val="bottom"/>
            <w:hideMark/>
          </w:tcPr>
          <w:p w14:paraId="1BBDAC4A" w14:textId="77777777" w:rsidR="00DF71DD" w:rsidRPr="00BA60CB" w:rsidRDefault="00DF71DD" w:rsidP="00DF71DD">
            <w:pPr>
              <w:rPr>
                <w:rFonts w:cs="Arial"/>
                <w:color w:val="000000"/>
                <w:sz w:val="22"/>
                <w:szCs w:val="22"/>
              </w:rPr>
            </w:pPr>
            <w:r w:rsidRPr="00BA60CB">
              <w:rPr>
                <w:rFonts w:cs="Arial"/>
                <w:color w:val="000000"/>
                <w:sz w:val="22"/>
                <w:szCs w:val="22"/>
              </w:rPr>
              <w:t>Western Area</w:t>
            </w:r>
          </w:p>
        </w:tc>
        <w:tc>
          <w:tcPr>
            <w:tcW w:w="1394" w:type="dxa"/>
            <w:tcBorders>
              <w:top w:val="nil"/>
              <w:left w:val="nil"/>
              <w:bottom w:val="single" w:sz="4" w:space="0" w:color="auto"/>
              <w:right w:val="single" w:sz="4" w:space="0" w:color="auto"/>
            </w:tcBorders>
            <w:shd w:val="clear" w:color="auto" w:fill="auto"/>
            <w:noWrap/>
            <w:vAlign w:val="center"/>
            <w:hideMark/>
          </w:tcPr>
          <w:p w14:paraId="56875AE3"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317" w:type="dxa"/>
            <w:tcBorders>
              <w:top w:val="nil"/>
              <w:left w:val="nil"/>
              <w:bottom w:val="single" w:sz="4" w:space="0" w:color="auto"/>
              <w:right w:val="single" w:sz="4" w:space="0" w:color="auto"/>
            </w:tcBorders>
            <w:shd w:val="clear" w:color="auto" w:fill="auto"/>
            <w:noWrap/>
            <w:vAlign w:val="center"/>
            <w:hideMark/>
          </w:tcPr>
          <w:p w14:paraId="21B6A5A9"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r>
      <w:tr w:rsidR="00BA60CB" w:rsidRPr="00BA60CB" w14:paraId="673CF982"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0B4B52F5"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Hoo</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14:paraId="63BA470F" w14:textId="77777777" w:rsidR="00DF71DD" w:rsidRPr="00BA60CB" w:rsidRDefault="00DF71DD" w:rsidP="00BA60CB">
            <w:pPr>
              <w:jc w:val="right"/>
              <w:rPr>
                <w:rFonts w:cs="Arial"/>
                <w:color w:val="000000"/>
                <w:sz w:val="22"/>
                <w:szCs w:val="22"/>
              </w:rPr>
            </w:pPr>
            <w:r w:rsidRPr="00BA60CB">
              <w:rPr>
                <w:rFonts w:cs="Arial"/>
                <w:color w:val="000000"/>
                <w:sz w:val="22"/>
                <w:szCs w:val="22"/>
              </w:rPr>
              <w:t>4</w:t>
            </w:r>
          </w:p>
        </w:tc>
        <w:tc>
          <w:tcPr>
            <w:tcW w:w="1419" w:type="dxa"/>
            <w:tcBorders>
              <w:top w:val="nil"/>
              <w:left w:val="nil"/>
              <w:bottom w:val="single" w:sz="4" w:space="0" w:color="auto"/>
              <w:right w:val="single" w:sz="4" w:space="0" w:color="auto"/>
            </w:tcBorders>
            <w:shd w:val="clear" w:color="auto" w:fill="auto"/>
            <w:noWrap/>
            <w:vAlign w:val="center"/>
            <w:hideMark/>
          </w:tcPr>
          <w:p w14:paraId="7C450447" w14:textId="77777777" w:rsidR="00DF71DD" w:rsidRPr="00BA60CB" w:rsidRDefault="00DF71DD" w:rsidP="00BA60CB">
            <w:pPr>
              <w:jc w:val="right"/>
              <w:rPr>
                <w:rFonts w:cs="Arial"/>
                <w:color w:val="000000"/>
                <w:sz w:val="22"/>
                <w:szCs w:val="22"/>
              </w:rPr>
            </w:pPr>
            <w:r w:rsidRPr="00BA60CB">
              <w:rPr>
                <w:rFonts w:cs="Arial"/>
                <w:color w:val="000000"/>
                <w:sz w:val="22"/>
                <w:szCs w:val="22"/>
              </w:rPr>
              <w:t>2.2</w:t>
            </w:r>
          </w:p>
        </w:tc>
        <w:tc>
          <w:tcPr>
            <w:tcW w:w="1796" w:type="dxa"/>
            <w:tcBorders>
              <w:top w:val="nil"/>
              <w:left w:val="nil"/>
              <w:bottom w:val="single" w:sz="4" w:space="0" w:color="auto"/>
              <w:right w:val="single" w:sz="4" w:space="0" w:color="auto"/>
            </w:tcBorders>
            <w:shd w:val="clear" w:color="auto" w:fill="auto"/>
            <w:noWrap/>
            <w:vAlign w:val="bottom"/>
            <w:hideMark/>
          </w:tcPr>
          <w:p w14:paraId="7EC22554"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Wigmore</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791F0C5C" w14:textId="77777777" w:rsidR="00DF71DD" w:rsidRPr="00BA60CB" w:rsidRDefault="00DF71DD" w:rsidP="00BA60CB">
            <w:pPr>
              <w:jc w:val="right"/>
              <w:rPr>
                <w:rFonts w:cs="Arial"/>
                <w:color w:val="000000"/>
                <w:sz w:val="22"/>
                <w:szCs w:val="22"/>
              </w:rPr>
            </w:pPr>
            <w:r w:rsidRPr="00BA60CB">
              <w:rPr>
                <w:rFonts w:cs="Arial"/>
                <w:color w:val="000000"/>
                <w:sz w:val="22"/>
                <w:szCs w:val="22"/>
              </w:rPr>
              <w:t>4</w:t>
            </w:r>
          </w:p>
        </w:tc>
        <w:tc>
          <w:tcPr>
            <w:tcW w:w="1317" w:type="dxa"/>
            <w:tcBorders>
              <w:top w:val="nil"/>
              <w:left w:val="nil"/>
              <w:bottom w:val="single" w:sz="4" w:space="0" w:color="auto"/>
              <w:right w:val="single" w:sz="4" w:space="0" w:color="auto"/>
            </w:tcBorders>
            <w:shd w:val="clear" w:color="auto" w:fill="auto"/>
            <w:noWrap/>
            <w:vAlign w:val="center"/>
            <w:hideMark/>
          </w:tcPr>
          <w:p w14:paraId="372A2793" w14:textId="77777777" w:rsidR="00DF71DD" w:rsidRPr="00BA60CB" w:rsidRDefault="00DF71DD" w:rsidP="00BA60CB">
            <w:pPr>
              <w:jc w:val="right"/>
              <w:rPr>
                <w:rFonts w:cs="Arial"/>
                <w:color w:val="000000"/>
                <w:sz w:val="22"/>
                <w:szCs w:val="22"/>
              </w:rPr>
            </w:pPr>
            <w:r w:rsidRPr="00BA60CB">
              <w:rPr>
                <w:rFonts w:cs="Arial"/>
                <w:color w:val="000000"/>
                <w:sz w:val="22"/>
                <w:szCs w:val="22"/>
              </w:rPr>
              <w:t>2.2</w:t>
            </w:r>
          </w:p>
        </w:tc>
      </w:tr>
      <w:tr w:rsidR="00BA60CB" w:rsidRPr="00BA60CB" w14:paraId="686A71B7"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293CD887" w14:textId="77777777" w:rsidR="00DF71DD" w:rsidRPr="00BA60CB" w:rsidRDefault="00DF71DD" w:rsidP="00DF71DD">
            <w:pPr>
              <w:rPr>
                <w:rFonts w:cs="Arial"/>
                <w:color w:val="000000"/>
                <w:sz w:val="22"/>
                <w:szCs w:val="22"/>
              </w:rPr>
            </w:pPr>
            <w:proofErr w:type="spellStart"/>
            <w:r w:rsidRPr="00BA60CB">
              <w:rPr>
                <w:rFonts w:cs="Arial"/>
                <w:color w:val="000000"/>
                <w:sz w:val="22"/>
                <w:szCs w:val="22"/>
              </w:rPr>
              <w:t>Hoo</w:t>
            </w:r>
            <w:proofErr w:type="spellEnd"/>
            <w:r w:rsidRPr="00BA60CB">
              <w:rPr>
                <w:rFonts w:cs="Arial"/>
                <w:color w:val="000000"/>
                <w:sz w:val="22"/>
                <w:szCs w:val="22"/>
              </w:rPr>
              <w:t xml:space="preserve"> Peninsula</w:t>
            </w:r>
          </w:p>
        </w:tc>
        <w:tc>
          <w:tcPr>
            <w:tcW w:w="1419" w:type="dxa"/>
            <w:tcBorders>
              <w:top w:val="nil"/>
              <w:left w:val="nil"/>
              <w:bottom w:val="single" w:sz="4" w:space="0" w:color="auto"/>
              <w:right w:val="single" w:sz="4" w:space="0" w:color="auto"/>
            </w:tcBorders>
            <w:shd w:val="clear" w:color="auto" w:fill="auto"/>
            <w:noWrap/>
            <w:vAlign w:val="center"/>
            <w:hideMark/>
          </w:tcPr>
          <w:p w14:paraId="1E4B86E4" w14:textId="77777777" w:rsidR="00DF71DD" w:rsidRPr="00BA60CB" w:rsidRDefault="00DF71DD" w:rsidP="00BA60CB">
            <w:pPr>
              <w:jc w:val="right"/>
              <w:rPr>
                <w:rFonts w:cs="Arial"/>
                <w:color w:val="000000"/>
                <w:sz w:val="22"/>
                <w:szCs w:val="22"/>
              </w:rPr>
            </w:pPr>
            <w:r w:rsidRPr="00BA60CB">
              <w:rPr>
                <w:rFonts w:cs="Arial"/>
                <w:color w:val="000000"/>
                <w:sz w:val="22"/>
                <w:szCs w:val="22"/>
              </w:rPr>
              <w:t>4</w:t>
            </w:r>
          </w:p>
        </w:tc>
        <w:tc>
          <w:tcPr>
            <w:tcW w:w="1419" w:type="dxa"/>
            <w:tcBorders>
              <w:top w:val="nil"/>
              <w:left w:val="nil"/>
              <w:bottom w:val="single" w:sz="4" w:space="0" w:color="auto"/>
              <w:right w:val="single" w:sz="4" w:space="0" w:color="auto"/>
            </w:tcBorders>
            <w:shd w:val="clear" w:color="auto" w:fill="auto"/>
            <w:noWrap/>
            <w:vAlign w:val="center"/>
            <w:hideMark/>
          </w:tcPr>
          <w:p w14:paraId="5282961E" w14:textId="77777777" w:rsidR="00DF71DD" w:rsidRPr="00BA60CB" w:rsidRDefault="00DF71DD" w:rsidP="00BA60CB">
            <w:pPr>
              <w:jc w:val="right"/>
              <w:rPr>
                <w:rFonts w:cs="Arial"/>
                <w:color w:val="000000"/>
                <w:sz w:val="22"/>
                <w:szCs w:val="22"/>
              </w:rPr>
            </w:pPr>
            <w:r w:rsidRPr="00BA60CB">
              <w:rPr>
                <w:rFonts w:cs="Arial"/>
                <w:color w:val="000000"/>
                <w:sz w:val="22"/>
                <w:szCs w:val="22"/>
              </w:rPr>
              <w:t>2.2</w:t>
            </w:r>
          </w:p>
        </w:tc>
        <w:tc>
          <w:tcPr>
            <w:tcW w:w="1796" w:type="dxa"/>
            <w:tcBorders>
              <w:top w:val="nil"/>
              <w:left w:val="nil"/>
              <w:bottom w:val="single" w:sz="4" w:space="0" w:color="auto"/>
              <w:right w:val="single" w:sz="4" w:space="0" w:color="auto"/>
            </w:tcBorders>
            <w:shd w:val="clear" w:color="auto" w:fill="auto"/>
            <w:noWrap/>
            <w:vAlign w:val="bottom"/>
            <w:hideMark/>
          </w:tcPr>
          <w:p w14:paraId="76C5ED10" w14:textId="77777777" w:rsidR="00DF71DD" w:rsidRPr="00BA60CB" w:rsidRDefault="00DF71DD" w:rsidP="00DF71DD">
            <w:pPr>
              <w:rPr>
                <w:rFonts w:cs="Arial"/>
                <w:color w:val="000000"/>
                <w:sz w:val="22"/>
                <w:szCs w:val="22"/>
              </w:rPr>
            </w:pPr>
            <w:r w:rsidRPr="00BA60CB">
              <w:rPr>
                <w:rFonts w:cs="Arial"/>
                <w:color w:val="000000"/>
                <w:sz w:val="22"/>
                <w:szCs w:val="22"/>
              </w:rPr>
              <w:t>Total</w:t>
            </w:r>
          </w:p>
        </w:tc>
        <w:tc>
          <w:tcPr>
            <w:tcW w:w="1394" w:type="dxa"/>
            <w:tcBorders>
              <w:top w:val="nil"/>
              <w:left w:val="nil"/>
              <w:bottom w:val="single" w:sz="4" w:space="0" w:color="auto"/>
              <w:right w:val="single" w:sz="4" w:space="0" w:color="auto"/>
            </w:tcBorders>
            <w:shd w:val="clear" w:color="auto" w:fill="auto"/>
            <w:noWrap/>
            <w:vAlign w:val="center"/>
            <w:hideMark/>
          </w:tcPr>
          <w:p w14:paraId="22247BCC" w14:textId="77777777" w:rsidR="00DF71DD" w:rsidRPr="00BA60CB" w:rsidRDefault="00DF71DD" w:rsidP="00BA60CB">
            <w:pPr>
              <w:jc w:val="right"/>
              <w:rPr>
                <w:rFonts w:cs="Arial"/>
                <w:color w:val="000000"/>
                <w:sz w:val="22"/>
                <w:szCs w:val="22"/>
              </w:rPr>
            </w:pPr>
            <w:r w:rsidRPr="00BA60CB">
              <w:rPr>
                <w:rFonts w:cs="Arial"/>
                <w:color w:val="000000"/>
                <w:sz w:val="22"/>
                <w:szCs w:val="22"/>
              </w:rPr>
              <w:t>183</w:t>
            </w:r>
          </w:p>
        </w:tc>
        <w:tc>
          <w:tcPr>
            <w:tcW w:w="1317" w:type="dxa"/>
            <w:tcBorders>
              <w:top w:val="nil"/>
              <w:left w:val="nil"/>
              <w:bottom w:val="single" w:sz="4" w:space="0" w:color="auto"/>
              <w:right w:val="single" w:sz="4" w:space="0" w:color="auto"/>
            </w:tcBorders>
            <w:shd w:val="clear" w:color="auto" w:fill="auto"/>
            <w:noWrap/>
            <w:vAlign w:val="center"/>
            <w:hideMark/>
          </w:tcPr>
          <w:p w14:paraId="6CADF3AF" w14:textId="77777777" w:rsidR="00DF71DD" w:rsidRPr="00BA60CB" w:rsidRDefault="00DF71DD" w:rsidP="00BA60CB">
            <w:pPr>
              <w:jc w:val="right"/>
              <w:rPr>
                <w:rFonts w:cs="Arial"/>
                <w:color w:val="000000"/>
                <w:sz w:val="22"/>
                <w:szCs w:val="22"/>
              </w:rPr>
            </w:pPr>
            <w:r w:rsidRPr="00BA60CB">
              <w:rPr>
                <w:rFonts w:cs="Arial"/>
                <w:color w:val="000000"/>
                <w:sz w:val="22"/>
                <w:szCs w:val="22"/>
              </w:rPr>
              <w:t>100.0</w:t>
            </w:r>
          </w:p>
        </w:tc>
      </w:tr>
      <w:tr w:rsidR="00BA60CB" w:rsidRPr="00BA60CB" w14:paraId="11C4E180" w14:textId="77777777" w:rsidTr="00BA60CB">
        <w:trPr>
          <w:trHeight w:val="30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56995E1C" w14:textId="77777777" w:rsidR="00DF71DD" w:rsidRPr="00BA60CB" w:rsidRDefault="00DF71DD" w:rsidP="00DF71DD">
            <w:pPr>
              <w:rPr>
                <w:rFonts w:cs="Arial"/>
                <w:color w:val="000000"/>
                <w:sz w:val="22"/>
                <w:szCs w:val="22"/>
              </w:rPr>
            </w:pPr>
            <w:r w:rsidRPr="00BA60CB">
              <w:rPr>
                <w:rFonts w:cs="Arial"/>
                <w:color w:val="000000"/>
                <w:sz w:val="22"/>
                <w:szCs w:val="22"/>
              </w:rPr>
              <w:t>Isle of Grain</w:t>
            </w:r>
          </w:p>
        </w:tc>
        <w:tc>
          <w:tcPr>
            <w:tcW w:w="1419" w:type="dxa"/>
            <w:tcBorders>
              <w:top w:val="nil"/>
              <w:left w:val="nil"/>
              <w:bottom w:val="single" w:sz="4" w:space="0" w:color="auto"/>
              <w:right w:val="single" w:sz="4" w:space="0" w:color="auto"/>
            </w:tcBorders>
            <w:shd w:val="clear" w:color="auto" w:fill="auto"/>
            <w:noWrap/>
            <w:vAlign w:val="center"/>
            <w:hideMark/>
          </w:tcPr>
          <w:p w14:paraId="54BC2FD6" w14:textId="77777777" w:rsidR="00DF71DD" w:rsidRPr="00BA60CB" w:rsidRDefault="00DF71DD" w:rsidP="00BA60CB">
            <w:pPr>
              <w:jc w:val="right"/>
              <w:rPr>
                <w:rFonts w:cs="Arial"/>
                <w:color w:val="000000"/>
                <w:sz w:val="22"/>
                <w:szCs w:val="22"/>
              </w:rPr>
            </w:pPr>
            <w:r w:rsidRPr="00BA60CB">
              <w:rPr>
                <w:rFonts w:cs="Arial"/>
                <w:color w:val="000000"/>
                <w:sz w:val="22"/>
                <w:szCs w:val="22"/>
              </w:rPr>
              <w:t>1</w:t>
            </w:r>
          </w:p>
        </w:tc>
        <w:tc>
          <w:tcPr>
            <w:tcW w:w="1419" w:type="dxa"/>
            <w:tcBorders>
              <w:top w:val="nil"/>
              <w:left w:val="nil"/>
              <w:bottom w:val="single" w:sz="4" w:space="0" w:color="auto"/>
              <w:right w:val="single" w:sz="4" w:space="0" w:color="auto"/>
            </w:tcBorders>
            <w:shd w:val="clear" w:color="auto" w:fill="auto"/>
            <w:noWrap/>
            <w:vAlign w:val="center"/>
            <w:hideMark/>
          </w:tcPr>
          <w:p w14:paraId="52841283" w14:textId="77777777" w:rsidR="00DF71DD" w:rsidRPr="00BA60CB" w:rsidRDefault="00DF71DD" w:rsidP="00BA60CB">
            <w:pPr>
              <w:jc w:val="right"/>
              <w:rPr>
                <w:rFonts w:cs="Arial"/>
                <w:color w:val="000000"/>
                <w:sz w:val="22"/>
                <w:szCs w:val="22"/>
              </w:rPr>
            </w:pPr>
            <w:r w:rsidRPr="00BA60CB">
              <w:rPr>
                <w:rFonts w:cs="Arial"/>
                <w:color w:val="000000"/>
                <w:sz w:val="22"/>
                <w:szCs w:val="22"/>
              </w:rPr>
              <w:t>0.5</w:t>
            </w:r>
          </w:p>
        </w:tc>
        <w:tc>
          <w:tcPr>
            <w:tcW w:w="1796" w:type="dxa"/>
            <w:tcBorders>
              <w:top w:val="nil"/>
              <w:left w:val="nil"/>
              <w:bottom w:val="nil"/>
              <w:right w:val="nil"/>
            </w:tcBorders>
            <w:shd w:val="clear" w:color="auto" w:fill="auto"/>
            <w:noWrap/>
            <w:vAlign w:val="bottom"/>
            <w:hideMark/>
          </w:tcPr>
          <w:p w14:paraId="2FC70967" w14:textId="77777777" w:rsidR="00DF71DD" w:rsidRPr="00BA60CB" w:rsidRDefault="00DF71DD" w:rsidP="00DF71DD">
            <w:pPr>
              <w:jc w:val="right"/>
              <w:rPr>
                <w:rFonts w:cs="Arial"/>
                <w:color w:val="000000"/>
                <w:sz w:val="22"/>
                <w:szCs w:val="22"/>
              </w:rPr>
            </w:pPr>
          </w:p>
        </w:tc>
        <w:tc>
          <w:tcPr>
            <w:tcW w:w="1394" w:type="dxa"/>
            <w:tcBorders>
              <w:top w:val="nil"/>
              <w:left w:val="nil"/>
              <w:bottom w:val="nil"/>
              <w:right w:val="nil"/>
            </w:tcBorders>
            <w:shd w:val="clear" w:color="auto" w:fill="auto"/>
            <w:noWrap/>
            <w:vAlign w:val="bottom"/>
            <w:hideMark/>
          </w:tcPr>
          <w:p w14:paraId="01C077C8" w14:textId="77777777" w:rsidR="00DF71DD" w:rsidRPr="00BA60CB" w:rsidRDefault="00DF71DD" w:rsidP="00DF71DD">
            <w:pPr>
              <w:rPr>
                <w:rFonts w:cs="Arial"/>
                <w:sz w:val="22"/>
                <w:szCs w:val="22"/>
              </w:rPr>
            </w:pPr>
          </w:p>
        </w:tc>
        <w:tc>
          <w:tcPr>
            <w:tcW w:w="1317" w:type="dxa"/>
            <w:tcBorders>
              <w:top w:val="nil"/>
              <w:left w:val="nil"/>
              <w:bottom w:val="nil"/>
              <w:right w:val="nil"/>
            </w:tcBorders>
            <w:shd w:val="clear" w:color="auto" w:fill="auto"/>
            <w:noWrap/>
            <w:vAlign w:val="bottom"/>
            <w:hideMark/>
          </w:tcPr>
          <w:p w14:paraId="4FBFF272" w14:textId="77777777" w:rsidR="00DF71DD" w:rsidRPr="00BA60CB" w:rsidRDefault="00DF71DD" w:rsidP="00DF71DD">
            <w:pPr>
              <w:rPr>
                <w:rFonts w:cs="Arial"/>
                <w:sz w:val="22"/>
                <w:szCs w:val="22"/>
              </w:rPr>
            </w:pPr>
          </w:p>
        </w:tc>
      </w:tr>
    </w:tbl>
    <w:p w14:paraId="11E17641" w14:textId="69279251" w:rsidR="00DF71DD" w:rsidRPr="0082072D" w:rsidRDefault="0082072D" w:rsidP="00BA60CB">
      <w:pPr>
        <w:pStyle w:val="Reporttext"/>
        <w:numPr>
          <w:ilvl w:val="0"/>
          <w:numId w:val="0"/>
        </w:numPr>
        <w:rPr>
          <w:rFonts w:cs="Arial"/>
        </w:rPr>
      </w:pPr>
      <w:r w:rsidRPr="0082072D">
        <w:rPr>
          <w:rFonts w:cs="Arial"/>
        </w:rPr>
        <w:t>Source: Council self-build register</w:t>
      </w:r>
    </w:p>
    <w:p w14:paraId="2E251ECB" w14:textId="66EF243A" w:rsidR="0082072D" w:rsidRPr="0082072D" w:rsidRDefault="0082072D" w:rsidP="00BA60CB">
      <w:pPr>
        <w:pStyle w:val="Reporttext"/>
        <w:numPr>
          <w:ilvl w:val="0"/>
          <w:numId w:val="0"/>
        </w:numPr>
        <w:rPr>
          <w:rFonts w:cs="Arial"/>
        </w:rPr>
      </w:pPr>
      <w:r w:rsidRPr="0082072D">
        <w:rPr>
          <w:rFonts w:cs="Arial"/>
        </w:rPr>
        <w:t>Note: Some applicants have stated more than one location as a preference hence the higher base figure in this table</w:t>
      </w:r>
    </w:p>
    <w:p w14:paraId="55D04503" w14:textId="77777777" w:rsidR="00CE1BDB" w:rsidRPr="00FA4DC7" w:rsidRDefault="00CE1BDB" w:rsidP="00CE1BDB">
      <w:pPr>
        <w:rPr>
          <w:rFonts w:cs="Arial"/>
          <w:highlight w:val="yellow"/>
        </w:rPr>
      </w:pPr>
      <w:bookmarkStart w:id="417" w:name="_Toc13046147"/>
    </w:p>
    <w:p w14:paraId="31F460DA" w14:textId="77777777" w:rsidR="00CE1BDB" w:rsidRPr="00FA4DC7" w:rsidRDefault="00CE1BDB" w:rsidP="00CE1BDB">
      <w:pPr>
        <w:pStyle w:val="Heading3"/>
        <w:rPr>
          <w:rFonts w:cs="Arial"/>
        </w:rPr>
      </w:pPr>
      <w:r w:rsidRPr="00FA4DC7">
        <w:rPr>
          <w:rFonts w:cs="Arial"/>
        </w:rPr>
        <w:t>Student housing need</w:t>
      </w:r>
    </w:p>
    <w:p w14:paraId="07346018" w14:textId="5591C0DA" w:rsidR="00CE1BDB" w:rsidRPr="00FA4DC7" w:rsidRDefault="00CE1BDB" w:rsidP="00CE1BDB">
      <w:pPr>
        <w:pStyle w:val="Reporttext"/>
        <w:rPr>
          <w:rFonts w:cs="Arial"/>
        </w:rPr>
      </w:pPr>
      <w:r w:rsidRPr="00FA4DC7">
        <w:rPr>
          <w:rFonts w:cs="Arial"/>
        </w:rPr>
        <w:t xml:space="preserve">There are four higher education institutions in Medway (University of Greenwich, Canterbury Christ Church, University of </w:t>
      </w:r>
      <w:proofErr w:type="gramStart"/>
      <w:r w:rsidRPr="00FA4DC7">
        <w:rPr>
          <w:rFonts w:cs="Arial"/>
        </w:rPr>
        <w:t>Kent</w:t>
      </w:r>
      <w:proofErr w:type="gramEnd"/>
      <w:r w:rsidRPr="00FA4DC7">
        <w:rPr>
          <w:rFonts w:cs="Arial"/>
        </w:rPr>
        <w:t xml:space="preserve"> and the University for the Creative Arts). The Higher Education Statistics Agency (HESA) reports 7,155 higher education students </w:t>
      </w:r>
      <w:r w:rsidR="001668AB">
        <w:rPr>
          <w:rFonts w:cs="Arial"/>
        </w:rPr>
        <w:t xml:space="preserve">studying </w:t>
      </w:r>
      <w:r w:rsidRPr="00FA4DC7">
        <w:rPr>
          <w:rFonts w:cs="Arial"/>
        </w:rPr>
        <w:t xml:space="preserve">in Medway during 2019/20. </w:t>
      </w:r>
    </w:p>
    <w:p w14:paraId="7F572479" w14:textId="10F2B8CC" w:rsidR="00CE1BDB" w:rsidRDefault="00CE1BDB" w:rsidP="00CE1BDB">
      <w:pPr>
        <w:pStyle w:val="Reporttext"/>
        <w:rPr>
          <w:rFonts w:cs="Arial"/>
        </w:rPr>
      </w:pPr>
      <w:r w:rsidRPr="00FA4DC7">
        <w:rPr>
          <w:rFonts w:cs="Arial"/>
        </w:rPr>
        <w:t xml:space="preserve">There are an estimated 1,730 units of purpose build student accommodation with further planned development. This would imply that around 25% of students are accommodated in PBSA which is in line with a national average of 27% of students in 2019/20 living in provider maintained or private-sector halls (HESA Reference ID OC051Chart 4 </w:t>
      </w:r>
      <w:hyperlink r:id="rId66" w:history="1">
        <w:r w:rsidRPr="00FA4DC7">
          <w:rPr>
            <w:rStyle w:val="Hyperlink"/>
            <w:rFonts w:cs="Arial"/>
          </w:rPr>
          <w:t>www.hesa.co.uk</w:t>
        </w:r>
      </w:hyperlink>
      <w:r w:rsidRPr="00FA4DC7">
        <w:rPr>
          <w:rFonts w:cs="Arial"/>
        </w:rPr>
        <w:t>).</w:t>
      </w:r>
      <w:r w:rsidR="00FE13D1">
        <w:rPr>
          <w:rFonts w:cs="Arial"/>
        </w:rPr>
        <w:t xml:space="preserve"> Council Tax information reports a total of 553 student discount households (Table 5.18), with over half in the Chatham Mar</w:t>
      </w:r>
      <w:r w:rsidR="002E0B25">
        <w:rPr>
          <w:rFonts w:cs="Arial"/>
        </w:rPr>
        <w:t>i</w:t>
      </w:r>
      <w:r w:rsidR="00FE13D1">
        <w:rPr>
          <w:rFonts w:cs="Arial"/>
        </w:rPr>
        <w:t xml:space="preserve">time/Gillingham area. </w:t>
      </w:r>
    </w:p>
    <w:p w14:paraId="4E431330" w14:textId="657FDAD7" w:rsidR="00FE13D1" w:rsidRDefault="00FE13D1" w:rsidP="00FE13D1">
      <w:pPr>
        <w:pStyle w:val="Reporttext"/>
        <w:numPr>
          <w:ilvl w:val="0"/>
          <w:numId w:val="0"/>
        </w:numPr>
        <w:ind w:left="709"/>
        <w:rPr>
          <w:rFonts w:cs="Arial"/>
        </w:rPr>
      </w:pPr>
    </w:p>
    <w:p w14:paraId="74FB5912" w14:textId="1392E0A6" w:rsidR="00BA60CB" w:rsidRDefault="00BA60CB">
      <w:pPr>
        <w:rPr>
          <w:rFonts w:cs="Arial"/>
          <w:lang w:eastAsia="en-US"/>
        </w:rPr>
      </w:pPr>
      <w:r>
        <w:rPr>
          <w:rFonts w:cs="Arial"/>
        </w:rPr>
        <w:br w:type="page"/>
      </w:r>
    </w:p>
    <w:tbl>
      <w:tblPr>
        <w:tblW w:w="7220" w:type="dxa"/>
        <w:tblInd w:w="602" w:type="dxa"/>
        <w:tblLook w:val="04A0" w:firstRow="1" w:lastRow="0" w:firstColumn="1" w:lastColumn="0" w:noHBand="0" w:noVBand="1"/>
      </w:tblPr>
      <w:tblGrid>
        <w:gridCol w:w="4385"/>
        <w:gridCol w:w="1701"/>
        <w:gridCol w:w="1134"/>
      </w:tblGrid>
      <w:tr w:rsidR="00FE13D1" w:rsidRPr="00BA60CB" w14:paraId="3A35D77A" w14:textId="77777777" w:rsidTr="00BA60CB">
        <w:tc>
          <w:tcPr>
            <w:tcW w:w="7220" w:type="dxa"/>
            <w:gridSpan w:val="3"/>
            <w:tcBorders>
              <w:top w:val="single" w:sz="8" w:space="0" w:color="000000"/>
              <w:left w:val="single" w:sz="8" w:space="0" w:color="000000"/>
              <w:bottom w:val="single" w:sz="8" w:space="0" w:color="000000"/>
              <w:right w:val="single" w:sz="8" w:space="0" w:color="000000"/>
            </w:tcBorders>
            <w:shd w:val="clear" w:color="auto" w:fill="006666"/>
            <w:noWrap/>
            <w:vAlign w:val="bottom"/>
          </w:tcPr>
          <w:p w14:paraId="1678FAAF" w14:textId="0546AEFE" w:rsidR="00FE13D1" w:rsidRPr="00BA60CB" w:rsidRDefault="00FE13D1" w:rsidP="00BA60CB">
            <w:pPr>
              <w:pStyle w:val="Tableheading1"/>
              <w:rPr>
                <w:b w:val="0"/>
                <w:bCs w:val="0"/>
                <w:color w:val="000000"/>
              </w:rPr>
            </w:pPr>
            <w:bookmarkStart w:id="418" w:name="_Toc83036119"/>
            <w:r w:rsidRPr="00BA60CB">
              <w:lastRenderedPageBreak/>
              <w:t>Table 5.18</w:t>
            </w:r>
            <w:r w:rsidRPr="00BA60CB">
              <w:tab/>
              <w:t>Location of council tax student discount properties</w:t>
            </w:r>
            <w:bookmarkEnd w:id="418"/>
          </w:p>
        </w:tc>
      </w:tr>
      <w:tr w:rsidR="00BA60CB" w:rsidRPr="00BA60CB" w14:paraId="405EE8C4" w14:textId="77777777" w:rsidTr="00BA60CB">
        <w:tc>
          <w:tcPr>
            <w:tcW w:w="4385" w:type="dxa"/>
            <w:tcBorders>
              <w:top w:val="single" w:sz="8" w:space="0" w:color="000000"/>
              <w:left w:val="single" w:sz="8" w:space="0" w:color="000000"/>
              <w:bottom w:val="single" w:sz="4" w:space="0" w:color="000000"/>
              <w:right w:val="single" w:sz="4" w:space="0" w:color="000000"/>
            </w:tcBorders>
            <w:shd w:val="clear" w:color="auto" w:fill="006666"/>
            <w:noWrap/>
            <w:vAlign w:val="center"/>
          </w:tcPr>
          <w:p w14:paraId="7CE3AAAF" w14:textId="77777777" w:rsidR="00BA60CB" w:rsidRPr="00BA60CB" w:rsidRDefault="00BA60CB" w:rsidP="00BA60CB">
            <w:pPr>
              <w:spacing w:before="20" w:after="20"/>
              <w:jc w:val="both"/>
              <w:rPr>
                <w:rFonts w:cs="Arial"/>
                <w:b/>
                <w:bCs/>
                <w:color w:val="FFFFFF" w:themeColor="background1"/>
                <w:sz w:val="22"/>
                <w:szCs w:val="22"/>
              </w:rPr>
            </w:pPr>
          </w:p>
        </w:tc>
        <w:tc>
          <w:tcPr>
            <w:tcW w:w="1701" w:type="dxa"/>
            <w:tcBorders>
              <w:top w:val="single" w:sz="8" w:space="0" w:color="000000"/>
              <w:left w:val="nil"/>
              <w:bottom w:val="single" w:sz="4" w:space="0" w:color="000000"/>
              <w:right w:val="single" w:sz="4" w:space="0" w:color="000000"/>
            </w:tcBorders>
            <w:shd w:val="clear" w:color="auto" w:fill="006666"/>
            <w:noWrap/>
            <w:vAlign w:val="center"/>
          </w:tcPr>
          <w:p w14:paraId="4517F256" w14:textId="77777777" w:rsidR="00BA60CB" w:rsidRPr="00BA60CB" w:rsidRDefault="00BA60CB" w:rsidP="00BA60CB">
            <w:pPr>
              <w:spacing w:before="20" w:after="20"/>
              <w:jc w:val="center"/>
              <w:rPr>
                <w:rFonts w:cs="Arial"/>
                <w:b/>
                <w:bCs/>
                <w:color w:val="FFFFFF" w:themeColor="background1"/>
                <w:sz w:val="22"/>
                <w:szCs w:val="22"/>
              </w:rPr>
            </w:pPr>
            <w:r w:rsidRPr="00BA60CB">
              <w:rPr>
                <w:rFonts w:cs="Arial"/>
                <w:b/>
                <w:bCs/>
                <w:color w:val="FFFFFF" w:themeColor="background1"/>
                <w:sz w:val="22"/>
                <w:szCs w:val="22"/>
              </w:rPr>
              <w:t>Number</w:t>
            </w:r>
          </w:p>
        </w:tc>
        <w:tc>
          <w:tcPr>
            <w:tcW w:w="1134" w:type="dxa"/>
            <w:tcBorders>
              <w:top w:val="single" w:sz="8" w:space="0" w:color="000000"/>
              <w:left w:val="nil"/>
              <w:bottom w:val="single" w:sz="4" w:space="0" w:color="000000"/>
              <w:right w:val="single" w:sz="8" w:space="0" w:color="000000"/>
            </w:tcBorders>
            <w:shd w:val="clear" w:color="auto" w:fill="006666"/>
            <w:noWrap/>
            <w:vAlign w:val="bottom"/>
          </w:tcPr>
          <w:p w14:paraId="42B8A356" w14:textId="77777777" w:rsidR="00BA60CB" w:rsidRPr="00BA60CB" w:rsidRDefault="00BA60CB" w:rsidP="00BA60CB">
            <w:pPr>
              <w:spacing w:before="20" w:after="20"/>
              <w:jc w:val="center"/>
              <w:rPr>
                <w:rFonts w:cs="Arial"/>
                <w:b/>
                <w:bCs/>
                <w:color w:val="FFFFFF" w:themeColor="background1"/>
                <w:sz w:val="22"/>
                <w:szCs w:val="22"/>
              </w:rPr>
            </w:pPr>
            <w:r w:rsidRPr="00BA60CB">
              <w:rPr>
                <w:rFonts w:cs="Arial"/>
                <w:b/>
                <w:bCs/>
                <w:color w:val="FFFFFF" w:themeColor="background1"/>
                <w:sz w:val="22"/>
                <w:szCs w:val="22"/>
              </w:rPr>
              <w:t>%</w:t>
            </w:r>
          </w:p>
        </w:tc>
      </w:tr>
      <w:tr w:rsidR="00FE13D1" w:rsidRPr="00BA60CB" w14:paraId="640BB665" w14:textId="77777777" w:rsidTr="00BA60CB">
        <w:tc>
          <w:tcPr>
            <w:tcW w:w="7220" w:type="dxa"/>
            <w:gridSpan w:val="3"/>
            <w:tcBorders>
              <w:top w:val="single" w:sz="8" w:space="0" w:color="000000"/>
              <w:left w:val="single" w:sz="8" w:space="0" w:color="000000"/>
              <w:bottom w:val="single" w:sz="4" w:space="0" w:color="000000"/>
              <w:right w:val="single" w:sz="8" w:space="0" w:color="000000"/>
            </w:tcBorders>
            <w:shd w:val="clear" w:color="auto" w:fill="auto"/>
            <w:noWrap/>
            <w:vAlign w:val="center"/>
          </w:tcPr>
          <w:p w14:paraId="0646C54C" w14:textId="5110BD53" w:rsidR="00FE13D1" w:rsidRPr="00BA60CB" w:rsidRDefault="00FE13D1" w:rsidP="00BA60CB">
            <w:pPr>
              <w:spacing w:before="20" w:after="20"/>
              <w:rPr>
                <w:rFonts w:cs="Arial"/>
                <w:color w:val="000000"/>
                <w:sz w:val="22"/>
                <w:szCs w:val="22"/>
              </w:rPr>
            </w:pPr>
            <w:r w:rsidRPr="00BA60CB">
              <w:rPr>
                <w:rFonts w:cs="Arial"/>
                <w:b/>
                <w:bCs/>
                <w:color w:val="000000"/>
                <w:sz w:val="22"/>
                <w:szCs w:val="22"/>
              </w:rPr>
              <w:t>Key Development Location</w:t>
            </w:r>
          </w:p>
        </w:tc>
      </w:tr>
      <w:tr w:rsidR="00FE13D1" w:rsidRPr="00BA60CB" w14:paraId="32B62D71" w14:textId="77777777" w:rsidTr="00BA60CB">
        <w:tc>
          <w:tcPr>
            <w:tcW w:w="4385"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01A6218A"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Chatham</w:t>
            </w:r>
          </w:p>
        </w:tc>
        <w:tc>
          <w:tcPr>
            <w:tcW w:w="1701" w:type="dxa"/>
            <w:tcBorders>
              <w:top w:val="single" w:sz="8" w:space="0" w:color="000000"/>
              <w:left w:val="nil"/>
              <w:bottom w:val="single" w:sz="4" w:space="0" w:color="000000"/>
              <w:right w:val="single" w:sz="4" w:space="0" w:color="000000"/>
            </w:tcBorders>
            <w:shd w:val="clear" w:color="auto" w:fill="auto"/>
            <w:noWrap/>
            <w:vAlign w:val="center"/>
            <w:hideMark/>
          </w:tcPr>
          <w:p w14:paraId="5D615338"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63</w:t>
            </w:r>
          </w:p>
        </w:tc>
        <w:tc>
          <w:tcPr>
            <w:tcW w:w="1134" w:type="dxa"/>
            <w:tcBorders>
              <w:top w:val="single" w:sz="8" w:space="0" w:color="000000"/>
              <w:left w:val="nil"/>
              <w:bottom w:val="single" w:sz="4" w:space="0" w:color="000000"/>
              <w:right w:val="single" w:sz="8" w:space="0" w:color="000000"/>
            </w:tcBorders>
            <w:shd w:val="clear" w:color="auto" w:fill="auto"/>
            <w:noWrap/>
            <w:vAlign w:val="center"/>
            <w:hideMark/>
          </w:tcPr>
          <w:p w14:paraId="79C26C00"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11.4</w:t>
            </w:r>
          </w:p>
        </w:tc>
      </w:tr>
      <w:tr w:rsidR="00FE13D1" w:rsidRPr="00BA60CB" w14:paraId="46A745DD"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6FB8E975"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 xml:space="preserve">Chatham Maritime and Gillingham </w:t>
            </w:r>
          </w:p>
          <w:p w14:paraId="11FA2231" w14:textId="55D5375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 xml:space="preserve">(inc. St Mary’s Island &amp; Brompton) </w:t>
            </w:r>
          </w:p>
        </w:tc>
        <w:tc>
          <w:tcPr>
            <w:tcW w:w="1701" w:type="dxa"/>
            <w:tcBorders>
              <w:top w:val="nil"/>
              <w:left w:val="nil"/>
              <w:bottom w:val="single" w:sz="4" w:space="0" w:color="000000"/>
              <w:right w:val="single" w:sz="4" w:space="0" w:color="000000"/>
            </w:tcBorders>
            <w:shd w:val="clear" w:color="auto" w:fill="auto"/>
            <w:noWrap/>
            <w:vAlign w:val="center"/>
            <w:hideMark/>
          </w:tcPr>
          <w:p w14:paraId="43FE78FC"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298</w:t>
            </w:r>
          </w:p>
        </w:tc>
        <w:tc>
          <w:tcPr>
            <w:tcW w:w="1134" w:type="dxa"/>
            <w:tcBorders>
              <w:top w:val="nil"/>
              <w:left w:val="nil"/>
              <w:bottom w:val="single" w:sz="4" w:space="0" w:color="000000"/>
              <w:right w:val="single" w:sz="8" w:space="0" w:color="000000"/>
            </w:tcBorders>
            <w:shd w:val="clear" w:color="auto" w:fill="auto"/>
            <w:noWrap/>
            <w:vAlign w:val="center"/>
            <w:hideMark/>
          </w:tcPr>
          <w:p w14:paraId="14742475"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53.9</w:t>
            </w:r>
          </w:p>
        </w:tc>
      </w:tr>
      <w:tr w:rsidR="00FE13D1" w:rsidRPr="00BA60CB" w14:paraId="262904CE"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1A301351"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Rainham</w:t>
            </w:r>
          </w:p>
        </w:tc>
        <w:tc>
          <w:tcPr>
            <w:tcW w:w="1701" w:type="dxa"/>
            <w:tcBorders>
              <w:top w:val="nil"/>
              <w:left w:val="nil"/>
              <w:bottom w:val="single" w:sz="4" w:space="0" w:color="000000"/>
              <w:right w:val="single" w:sz="4" w:space="0" w:color="000000"/>
            </w:tcBorders>
            <w:shd w:val="clear" w:color="auto" w:fill="auto"/>
            <w:noWrap/>
            <w:vAlign w:val="center"/>
            <w:hideMark/>
          </w:tcPr>
          <w:p w14:paraId="4161D0B5"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18</w:t>
            </w:r>
          </w:p>
        </w:tc>
        <w:tc>
          <w:tcPr>
            <w:tcW w:w="1134" w:type="dxa"/>
            <w:tcBorders>
              <w:top w:val="nil"/>
              <w:left w:val="nil"/>
              <w:bottom w:val="single" w:sz="4" w:space="0" w:color="000000"/>
              <w:right w:val="single" w:sz="8" w:space="0" w:color="000000"/>
            </w:tcBorders>
            <w:shd w:val="clear" w:color="auto" w:fill="auto"/>
            <w:noWrap/>
            <w:vAlign w:val="center"/>
            <w:hideMark/>
          </w:tcPr>
          <w:p w14:paraId="60909821"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3.3</w:t>
            </w:r>
          </w:p>
        </w:tc>
      </w:tr>
      <w:tr w:rsidR="00FE13D1" w:rsidRPr="00BA60CB" w14:paraId="6305AA92"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0EAA0C02"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Rochester</w:t>
            </w:r>
          </w:p>
        </w:tc>
        <w:tc>
          <w:tcPr>
            <w:tcW w:w="1701" w:type="dxa"/>
            <w:tcBorders>
              <w:top w:val="nil"/>
              <w:left w:val="nil"/>
              <w:bottom w:val="single" w:sz="4" w:space="0" w:color="000000"/>
              <w:right w:val="single" w:sz="4" w:space="0" w:color="000000"/>
            </w:tcBorders>
            <w:shd w:val="clear" w:color="auto" w:fill="auto"/>
            <w:noWrap/>
            <w:vAlign w:val="center"/>
            <w:hideMark/>
          </w:tcPr>
          <w:p w14:paraId="2C9B72E8"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46</w:t>
            </w:r>
          </w:p>
        </w:tc>
        <w:tc>
          <w:tcPr>
            <w:tcW w:w="1134" w:type="dxa"/>
            <w:tcBorders>
              <w:top w:val="nil"/>
              <w:left w:val="nil"/>
              <w:bottom w:val="single" w:sz="4" w:space="0" w:color="000000"/>
              <w:right w:val="single" w:sz="8" w:space="0" w:color="000000"/>
            </w:tcBorders>
            <w:shd w:val="clear" w:color="auto" w:fill="auto"/>
            <w:noWrap/>
            <w:vAlign w:val="center"/>
            <w:hideMark/>
          </w:tcPr>
          <w:p w14:paraId="62940160"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8.3</w:t>
            </w:r>
          </w:p>
        </w:tc>
      </w:tr>
      <w:tr w:rsidR="00FE13D1" w:rsidRPr="00BA60CB" w14:paraId="468277DE"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6B6D960D"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Strood</w:t>
            </w:r>
          </w:p>
        </w:tc>
        <w:tc>
          <w:tcPr>
            <w:tcW w:w="1701" w:type="dxa"/>
            <w:tcBorders>
              <w:top w:val="nil"/>
              <w:left w:val="nil"/>
              <w:bottom w:val="single" w:sz="4" w:space="0" w:color="000000"/>
              <w:right w:val="single" w:sz="4" w:space="0" w:color="000000"/>
            </w:tcBorders>
            <w:shd w:val="clear" w:color="auto" w:fill="auto"/>
            <w:noWrap/>
            <w:vAlign w:val="center"/>
            <w:hideMark/>
          </w:tcPr>
          <w:p w14:paraId="662269F4"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26</w:t>
            </w:r>
          </w:p>
        </w:tc>
        <w:tc>
          <w:tcPr>
            <w:tcW w:w="1134" w:type="dxa"/>
            <w:tcBorders>
              <w:top w:val="nil"/>
              <w:left w:val="nil"/>
              <w:bottom w:val="single" w:sz="4" w:space="0" w:color="000000"/>
              <w:right w:val="single" w:sz="8" w:space="0" w:color="000000"/>
            </w:tcBorders>
            <w:shd w:val="clear" w:color="auto" w:fill="auto"/>
            <w:noWrap/>
            <w:vAlign w:val="center"/>
            <w:hideMark/>
          </w:tcPr>
          <w:p w14:paraId="5147B1F2"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4.7</w:t>
            </w:r>
          </w:p>
        </w:tc>
      </w:tr>
      <w:tr w:rsidR="00FE13D1" w:rsidRPr="00BA60CB" w14:paraId="35B4CFC0" w14:textId="77777777" w:rsidTr="00BA60CB">
        <w:tc>
          <w:tcPr>
            <w:tcW w:w="7220" w:type="dxa"/>
            <w:gridSpan w:val="3"/>
            <w:tcBorders>
              <w:top w:val="nil"/>
              <w:left w:val="single" w:sz="8" w:space="0" w:color="000000"/>
              <w:bottom w:val="single" w:sz="4" w:space="0" w:color="000000"/>
              <w:right w:val="single" w:sz="8" w:space="0" w:color="000000"/>
            </w:tcBorders>
            <w:shd w:val="clear" w:color="auto" w:fill="auto"/>
            <w:noWrap/>
            <w:vAlign w:val="center"/>
          </w:tcPr>
          <w:p w14:paraId="429DAAF8" w14:textId="3EEA9986" w:rsidR="00FE13D1" w:rsidRPr="00BA60CB" w:rsidRDefault="00FE13D1" w:rsidP="00BA60CB">
            <w:pPr>
              <w:spacing w:before="20" w:after="20"/>
              <w:rPr>
                <w:rFonts w:cs="Arial"/>
                <w:color w:val="000000"/>
                <w:sz w:val="22"/>
                <w:szCs w:val="22"/>
              </w:rPr>
            </w:pPr>
            <w:r w:rsidRPr="00BA60CB">
              <w:rPr>
                <w:rFonts w:cs="Arial"/>
                <w:b/>
                <w:bCs/>
                <w:color w:val="000000"/>
                <w:sz w:val="22"/>
                <w:szCs w:val="22"/>
              </w:rPr>
              <w:t>Neighbourhood Planning Area</w:t>
            </w:r>
          </w:p>
        </w:tc>
      </w:tr>
      <w:tr w:rsidR="00FE13D1" w:rsidRPr="00BA60CB" w14:paraId="025456D8"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163D4928"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Arches (Chatham)</w:t>
            </w:r>
          </w:p>
        </w:tc>
        <w:tc>
          <w:tcPr>
            <w:tcW w:w="1701" w:type="dxa"/>
            <w:tcBorders>
              <w:top w:val="nil"/>
              <w:left w:val="nil"/>
              <w:bottom w:val="single" w:sz="4" w:space="0" w:color="000000"/>
              <w:right w:val="single" w:sz="4" w:space="0" w:color="000000"/>
            </w:tcBorders>
            <w:shd w:val="clear" w:color="auto" w:fill="auto"/>
            <w:noWrap/>
            <w:vAlign w:val="center"/>
            <w:hideMark/>
          </w:tcPr>
          <w:p w14:paraId="482C3E46"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30</w:t>
            </w:r>
          </w:p>
        </w:tc>
        <w:tc>
          <w:tcPr>
            <w:tcW w:w="1134" w:type="dxa"/>
            <w:tcBorders>
              <w:top w:val="nil"/>
              <w:left w:val="nil"/>
              <w:bottom w:val="single" w:sz="4" w:space="0" w:color="000000"/>
              <w:right w:val="single" w:sz="8" w:space="0" w:color="000000"/>
            </w:tcBorders>
            <w:shd w:val="clear" w:color="auto" w:fill="auto"/>
            <w:noWrap/>
            <w:vAlign w:val="center"/>
            <w:hideMark/>
          </w:tcPr>
          <w:p w14:paraId="645DECDA"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5.4</w:t>
            </w:r>
          </w:p>
        </w:tc>
      </w:tr>
      <w:tr w:rsidR="00FE13D1" w:rsidRPr="00BA60CB" w14:paraId="77322E96"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7894424E" w14:textId="13C8FCF5"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 xml:space="preserve">Other </w:t>
            </w:r>
            <w:proofErr w:type="gramStart"/>
            <w:r w:rsidRPr="00BA60CB">
              <w:rPr>
                <w:rFonts w:cs="Arial"/>
                <w:color w:val="000000"/>
                <w:sz w:val="22"/>
                <w:szCs w:val="22"/>
              </w:rPr>
              <w:t>NPAs.(</w:t>
            </w:r>
            <w:proofErr w:type="gramEnd"/>
            <w:r w:rsidRPr="00BA60CB">
              <w:rPr>
                <w:rFonts w:cs="Arial"/>
                <w:color w:val="000000"/>
                <w:sz w:val="22"/>
                <w:szCs w:val="22"/>
              </w:rPr>
              <w:t>not specified in data)</w:t>
            </w:r>
          </w:p>
        </w:tc>
        <w:tc>
          <w:tcPr>
            <w:tcW w:w="1701" w:type="dxa"/>
            <w:tcBorders>
              <w:top w:val="nil"/>
              <w:left w:val="nil"/>
              <w:bottom w:val="single" w:sz="4" w:space="0" w:color="000000"/>
              <w:right w:val="single" w:sz="4" w:space="0" w:color="000000"/>
            </w:tcBorders>
            <w:shd w:val="clear" w:color="auto" w:fill="auto"/>
            <w:noWrap/>
            <w:vAlign w:val="center"/>
            <w:hideMark/>
          </w:tcPr>
          <w:p w14:paraId="6AC0A020"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17</w:t>
            </w:r>
          </w:p>
        </w:tc>
        <w:tc>
          <w:tcPr>
            <w:tcW w:w="1134" w:type="dxa"/>
            <w:tcBorders>
              <w:top w:val="nil"/>
              <w:left w:val="nil"/>
              <w:bottom w:val="single" w:sz="4" w:space="0" w:color="000000"/>
              <w:right w:val="single" w:sz="8" w:space="0" w:color="000000"/>
            </w:tcBorders>
            <w:shd w:val="clear" w:color="auto" w:fill="auto"/>
            <w:noWrap/>
            <w:vAlign w:val="center"/>
            <w:hideMark/>
          </w:tcPr>
          <w:p w14:paraId="7ACBCADB"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3.1</w:t>
            </w:r>
          </w:p>
        </w:tc>
      </w:tr>
      <w:tr w:rsidR="00FE13D1" w:rsidRPr="00BA60CB" w14:paraId="708903BB" w14:textId="77777777" w:rsidTr="00BA60CB">
        <w:tc>
          <w:tcPr>
            <w:tcW w:w="4385" w:type="dxa"/>
            <w:tcBorders>
              <w:top w:val="nil"/>
              <w:left w:val="single" w:sz="8" w:space="0" w:color="000000"/>
              <w:bottom w:val="single" w:sz="4" w:space="0" w:color="000000"/>
              <w:right w:val="single" w:sz="4" w:space="0" w:color="000000"/>
            </w:tcBorders>
            <w:shd w:val="clear" w:color="auto" w:fill="auto"/>
            <w:noWrap/>
            <w:vAlign w:val="center"/>
            <w:hideMark/>
          </w:tcPr>
          <w:p w14:paraId="5B323A95" w14:textId="4CC63E25"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Other areas</w:t>
            </w:r>
          </w:p>
        </w:tc>
        <w:tc>
          <w:tcPr>
            <w:tcW w:w="1701" w:type="dxa"/>
            <w:tcBorders>
              <w:top w:val="nil"/>
              <w:left w:val="nil"/>
              <w:bottom w:val="single" w:sz="4" w:space="0" w:color="000000"/>
              <w:right w:val="single" w:sz="4" w:space="0" w:color="000000"/>
            </w:tcBorders>
            <w:shd w:val="clear" w:color="auto" w:fill="auto"/>
            <w:noWrap/>
            <w:vAlign w:val="center"/>
            <w:hideMark/>
          </w:tcPr>
          <w:p w14:paraId="30FE5D57"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55</w:t>
            </w:r>
          </w:p>
        </w:tc>
        <w:tc>
          <w:tcPr>
            <w:tcW w:w="1134" w:type="dxa"/>
            <w:tcBorders>
              <w:top w:val="nil"/>
              <w:left w:val="nil"/>
              <w:bottom w:val="single" w:sz="4" w:space="0" w:color="000000"/>
              <w:right w:val="single" w:sz="8" w:space="0" w:color="000000"/>
            </w:tcBorders>
            <w:shd w:val="clear" w:color="auto" w:fill="auto"/>
            <w:noWrap/>
            <w:vAlign w:val="center"/>
            <w:hideMark/>
          </w:tcPr>
          <w:p w14:paraId="294FAC12"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9.9</w:t>
            </w:r>
          </w:p>
        </w:tc>
      </w:tr>
      <w:tr w:rsidR="00FE13D1" w:rsidRPr="00BA60CB" w14:paraId="5C3F0403" w14:textId="77777777" w:rsidTr="00BA60CB">
        <w:tc>
          <w:tcPr>
            <w:tcW w:w="4385" w:type="dxa"/>
            <w:tcBorders>
              <w:top w:val="nil"/>
              <w:left w:val="single" w:sz="8" w:space="0" w:color="000000"/>
              <w:bottom w:val="single" w:sz="8" w:space="0" w:color="000000"/>
              <w:right w:val="single" w:sz="4" w:space="0" w:color="000000"/>
            </w:tcBorders>
            <w:shd w:val="clear" w:color="auto" w:fill="auto"/>
            <w:noWrap/>
            <w:vAlign w:val="center"/>
            <w:hideMark/>
          </w:tcPr>
          <w:p w14:paraId="53610AED" w14:textId="77777777" w:rsidR="00FE13D1" w:rsidRPr="00BA60CB" w:rsidRDefault="00FE13D1" w:rsidP="00BA60CB">
            <w:pPr>
              <w:spacing w:before="20" w:after="20"/>
              <w:jc w:val="both"/>
              <w:rPr>
                <w:rFonts w:cs="Arial"/>
                <w:color w:val="000000"/>
                <w:sz w:val="22"/>
                <w:szCs w:val="22"/>
              </w:rPr>
            </w:pPr>
            <w:r w:rsidRPr="00BA60CB">
              <w:rPr>
                <w:rFonts w:cs="Arial"/>
                <w:color w:val="000000"/>
                <w:sz w:val="22"/>
                <w:szCs w:val="22"/>
              </w:rPr>
              <w:t>TOTAL</w:t>
            </w:r>
          </w:p>
        </w:tc>
        <w:tc>
          <w:tcPr>
            <w:tcW w:w="1701" w:type="dxa"/>
            <w:tcBorders>
              <w:top w:val="nil"/>
              <w:left w:val="nil"/>
              <w:bottom w:val="single" w:sz="8" w:space="0" w:color="000000"/>
              <w:right w:val="single" w:sz="4" w:space="0" w:color="000000"/>
            </w:tcBorders>
            <w:shd w:val="clear" w:color="auto" w:fill="auto"/>
            <w:noWrap/>
            <w:vAlign w:val="center"/>
            <w:hideMark/>
          </w:tcPr>
          <w:p w14:paraId="4CED18D0"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553</w:t>
            </w:r>
          </w:p>
        </w:tc>
        <w:tc>
          <w:tcPr>
            <w:tcW w:w="1134" w:type="dxa"/>
            <w:tcBorders>
              <w:top w:val="nil"/>
              <w:left w:val="nil"/>
              <w:bottom w:val="single" w:sz="8" w:space="0" w:color="000000"/>
              <w:right w:val="single" w:sz="8" w:space="0" w:color="000000"/>
            </w:tcBorders>
            <w:shd w:val="clear" w:color="auto" w:fill="auto"/>
            <w:noWrap/>
            <w:vAlign w:val="center"/>
            <w:hideMark/>
          </w:tcPr>
          <w:p w14:paraId="3EDDC0EC" w14:textId="77777777" w:rsidR="00FE13D1" w:rsidRPr="00BA60CB" w:rsidRDefault="00FE13D1" w:rsidP="00BA60CB">
            <w:pPr>
              <w:spacing w:before="20" w:after="20"/>
              <w:jc w:val="right"/>
              <w:rPr>
                <w:rFonts w:cs="Arial"/>
                <w:color w:val="000000"/>
                <w:sz w:val="22"/>
                <w:szCs w:val="22"/>
              </w:rPr>
            </w:pPr>
            <w:r w:rsidRPr="00BA60CB">
              <w:rPr>
                <w:rFonts w:cs="Arial"/>
                <w:color w:val="000000"/>
                <w:sz w:val="22"/>
                <w:szCs w:val="22"/>
              </w:rPr>
              <w:t>100.0</w:t>
            </w:r>
          </w:p>
        </w:tc>
      </w:tr>
    </w:tbl>
    <w:p w14:paraId="6B91A385" w14:textId="57425BBF" w:rsidR="00FE13D1" w:rsidRDefault="00FE13D1" w:rsidP="00FE13D1">
      <w:pPr>
        <w:pStyle w:val="Reporttext"/>
        <w:numPr>
          <w:ilvl w:val="0"/>
          <w:numId w:val="0"/>
        </w:numPr>
        <w:ind w:left="709"/>
        <w:rPr>
          <w:rFonts w:cs="Arial"/>
        </w:rPr>
      </w:pPr>
      <w:r>
        <w:rPr>
          <w:rFonts w:cs="Arial"/>
        </w:rPr>
        <w:t>Source: Council tax data 2021</w:t>
      </w:r>
    </w:p>
    <w:p w14:paraId="0DF7B362" w14:textId="77777777" w:rsidR="00FE13D1" w:rsidRPr="00FA4DC7" w:rsidRDefault="00FE13D1" w:rsidP="00FE13D1">
      <w:pPr>
        <w:pStyle w:val="Reporttext"/>
        <w:numPr>
          <w:ilvl w:val="0"/>
          <w:numId w:val="0"/>
        </w:numPr>
        <w:ind w:left="709"/>
        <w:rPr>
          <w:rFonts w:cs="Arial"/>
        </w:rPr>
      </w:pPr>
    </w:p>
    <w:p w14:paraId="4D1F3928" w14:textId="77777777" w:rsidR="00CE1BDB" w:rsidRPr="00FA4DC7" w:rsidRDefault="00CE1BDB" w:rsidP="00CE1BDB">
      <w:pPr>
        <w:pStyle w:val="Reporttext"/>
        <w:rPr>
          <w:rFonts w:cs="Arial"/>
        </w:rPr>
      </w:pPr>
      <w:r w:rsidRPr="00FA4DC7">
        <w:rPr>
          <w:rFonts w:cs="Arial"/>
        </w:rPr>
        <w:t xml:space="preserve">The council are seeking to ensure a sufficient supply of accommodation to meet needs. PBSA is included in the overall housing need if it meets the C3 dwelling-house use class. New development is likely to reflect changing student numbers and growth strategies of the universities. Given current student numbers, new provision is likely to modest and meet specific needs. It is therefore unlikely that the overall housing need number requires an upward adjustment to reflect student housing development. </w:t>
      </w:r>
    </w:p>
    <w:p w14:paraId="41E08F78" w14:textId="77777777" w:rsidR="00CE1BDB" w:rsidRPr="00FA4DC7" w:rsidRDefault="00CE1BDB" w:rsidP="00CE1BDB">
      <w:pPr>
        <w:pStyle w:val="bullet"/>
        <w:numPr>
          <w:ilvl w:val="0"/>
          <w:numId w:val="0"/>
        </w:numPr>
        <w:ind w:left="709"/>
        <w:rPr>
          <w:rFonts w:cs="Arial"/>
          <w:highlight w:val="yellow"/>
        </w:rPr>
      </w:pPr>
    </w:p>
    <w:p w14:paraId="5EECC390" w14:textId="77777777" w:rsidR="00CE1BDB" w:rsidRPr="00FA4DC7" w:rsidRDefault="00CE1BDB" w:rsidP="00CE1BDB">
      <w:pPr>
        <w:pStyle w:val="Heading2"/>
        <w:rPr>
          <w:rFonts w:cs="Arial"/>
        </w:rPr>
      </w:pPr>
      <w:bookmarkStart w:id="419" w:name="_Toc83035682"/>
      <w:bookmarkEnd w:id="417"/>
      <w:r w:rsidRPr="00FA4DC7">
        <w:rPr>
          <w:rFonts w:cs="Arial"/>
        </w:rPr>
        <w:t>Conclusion</w:t>
      </w:r>
      <w:bookmarkEnd w:id="419"/>
    </w:p>
    <w:p w14:paraId="3C174467" w14:textId="77777777" w:rsidR="00CE1BDB" w:rsidRPr="00FA4DC7" w:rsidRDefault="00CE1BDB" w:rsidP="00CE1BDB">
      <w:pPr>
        <w:pStyle w:val="Reporttext"/>
        <w:rPr>
          <w:rFonts w:cs="Arial"/>
        </w:rPr>
      </w:pPr>
      <w:r w:rsidRPr="00FA4DC7">
        <w:rPr>
          <w:rFonts w:cs="Arial"/>
          <w:lang w:val="en-US"/>
        </w:rPr>
        <w:t xml:space="preserve">In accordance with PPG, this housing need assessment has considered the future need for specialist </w:t>
      </w:r>
      <w:r w:rsidRPr="00FA4DC7">
        <w:rPr>
          <w:rFonts w:cs="Arial"/>
        </w:rPr>
        <w:t>accommodation</w:t>
      </w:r>
      <w:r w:rsidRPr="00FA4DC7">
        <w:rPr>
          <w:rFonts w:cs="Arial"/>
          <w:lang w:val="en-US"/>
        </w:rPr>
        <w:t>, the need for residential care and considered the role of general housing in meeting needs, in particular bungalows and homes that can be adapted to meet a change in needs.</w:t>
      </w:r>
    </w:p>
    <w:p w14:paraId="63A7FC22" w14:textId="77777777" w:rsidR="00CE1BDB" w:rsidRPr="00FA4DC7" w:rsidRDefault="00CE1BDB" w:rsidP="00CE1BDB">
      <w:pPr>
        <w:pStyle w:val="Reporttext"/>
        <w:rPr>
          <w:rFonts w:cs="Arial"/>
          <w:lang w:val="en-US"/>
        </w:rPr>
      </w:pPr>
      <w:r w:rsidRPr="00FA4DC7">
        <w:rPr>
          <w:rFonts w:cs="Arial"/>
        </w:rPr>
        <w:t xml:space="preserve">The number of households headed by someone aged 65 or over is expected to increase by 8,136 (26.8%) by 2037 and 8,874 (29.3%) by 2040. According to the arc4 national database, </w:t>
      </w:r>
      <w:r w:rsidRPr="00FA4DC7">
        <w:rPr>
          <w:rFonts w:cs="Arial"/>
          <w:lang w:val="en-US"/>
        </w:rPr>
        <w:t>the majority of older people 65 and over (76.6%) want to continue to live in their current home with support when needed according to the household survey, with help with repair/maintenance, gardening, cleaning, and other practical tasks, which would help people remain in their own home. There is also a need to deliver a range of smaller dwellings (particularly level-access accommodation) for older people across all tenures and specialist older persons housing provision.</w:t>
      </w:r>
    </w:p>
    <w:p w14:paraId="3E808097" w14:textId="77777777" w:rsidR="00CE1BDB" w:rsidRPr="00FA4DC7" w:rsidRDefault="00CE1BDB" w:rsidP="00CE1BDB">
      <w:pPr>
        <w:pStyle w:val="Reporttext"/>
        <w:rPr>
          <w:rFonts w:cs="Arial"/>
        </w:rPr>
      </w:pPr>
      <w:r w:rsidRPr="00FA4DC7">
        <w:rPr>
          <w:rFonts w:cs="Arial"/>
        </w:rPr>
        <w:t>Across Medway, there are currently around 3,253 units of specialist older persons accommodation (1,193 units of residential care (C2) and 2,060 specialist older persons dwellings (C3)). Based on population projections to 2037, there is an additional need for 1,189 additional units of specialist older persons’ accommodation and 1,482 units by 2040.</w:t>
      </w:r>
    </w:p>
    <w:p w14:paraId="62D1EB55" w14:textId="77777777" w:rsidR="00CE1BDB" w:rsidRPr="00FA4DC7" w:rsidRDefault="00CE1BDB" w:rsidP="00CE1BDB">
      <w:pPr>
        <w:pStyle w:val="Reporttext"/>
        <w:rPr>
          <w:rFonts w:cs="Arial"/>
        </w:rPr>
      </w:pPr>
      <w:r w:rsidRPr="00FA4DC7">
        <w:rPr>
          <w:rFonts w:cs="Arial"/>
          <w:lang w:val="en-US"/>
        </w:rPr>
        <w:lastRenderedPageBreak/>
        <w:t>The LNHA does not specify the precise nature of specialist older person dwellings to be built. This is to allow flexibility in delivery and</w:t>
      </w:r>
      <w:r w:rsidRPr="00FA4DC7">
        <w:rPr>
          <w:rFonts w:cs="Arial"/>
          <w:b/>
          <w:bCs/>
          <w:lang w:val="en-US"/>
        </w:rPr>
        <w:t xml:space="preserve"> </w:t>
      </w:r>
      <w:r w:rsidRPr="00FA4DC7">
        <w:rPr>
          <w:rFonts w:cs="Arial"/>
          <w:lang w:val="en-US"/>
        </w:rPr>
        <w:t>PPG states that ‘any single development may contain a range of different types of specialist housing</w:t>
      </w:r>
      <w:r w:rsidRPr="00FA4DC7">
        <w:rPr>
          <w:rFonts w:cs="Arial"/>
          <w:b/>
          <w:bCs/>
          <w:lang w:val="en-US"/>
        </w:rPr>
        <w:t>’</w:t>
      </w:r>
      <w:r w:rsidRPr="00FA4DC7">
        <w:rPr>
          <w:rFonts w:cs="Arial"/>
          <w:i/>
          <w:lang w:val="en-US"/>
        </w:rPr>
        <w:t xml:space="preserve"> </w:t>
      </w:r>
      <w:r w:rsidRPr="00FA4DC7">
        <w:rPr>
          <w:rFonts w:cs="Arial"/>
        </w:rPr>
        <w:t>(source: PPG June 2019 Paragraph: 010 Reference ID: 63-010-20190626)</w:t>
      </w:r>
      <w:r w:rsidRPr="00FA4DC7">
        <w:rPr>
          <w:rFonts w:cs="Arial"/>
          <w:i/>
          <w:lang w:val="en-US"/>
        </w:rPr>
        <w:t>.</w:t>
      </w:r>
    </w:p>
    <w:p w14:paraId="2A3E0AD9" w14:textId="77777777" w:rsidR="00CE1BDB" w:rsidRPr="00FA4DC7" w:rsidRDefault="00CE1BDB" w:rsidP="00CE1BDB">
      <w:pPr>
        <w:pStyle w:val="Reporttext"/>
        <w:rPr>
          <w:rFonts w:cs="Arial"/>
        </w:rPr>
      </w:pPr>
      <w:bookmarkStart w:id="420" w:name="_Hlk38362036"/>
      <w:r w:rsidRPr="00FA4DC7">
        <w:rPr>
          <w:rFonts w:cs="Arial"/>
          <w:lang w:val="en-US"/>
        </w:rPr>
        <w:t xml:space="preserve">A key </w:t>
      </w:r>
      <w:r w:rsidRPr="00FA4DC7">
        <w:rPr>
          <w:rFonts w:cs="Arial"/>
        </w:rPr>
        <w:t>conclusion</w:t>
      </w:r>
      <w:r w:rsidRPr="00FA4DC7">
        <w:rPr>
          <w:rFonts w:cs="Arial"/>
          <w:lang w:val="en-US"/>
        </w:rPr>
        <w:t xml:space="preserve"> is that there needs to be a broader housing offer for older people across the borough and the LHNA has provided evidence of the scale and range of dwellings needed. </w:t>
      </w:r>
    </w:p>
    <w:bookmarkEnd w:id="420"/>
    <w:p w14:paraId="2933010C" w14:textId="77777777" w:rsidR="00CE1BDB" w:rsidRPr="00FA4DC7" w:rsidRDefault="00CE1BDB" w:rsidP="00CE1BDB">
      <w:pPr>
        <w:pStyle w:val="Reporttext"/>
        <w:rPr>
          <w:rFonts w:cs="Arial"/>
        </w:rPr>
      </w:pPr>
      <w:r w:rsidRPr="00FA4DC7">
        <w:rPr>
          <w:rFonts w:cs="Arial"/>
          <w:lang w:val="en-US"/>
        </w:rPr>
        <w:t>A wealth of information has been assembled from various sources which helps to scope out the likely level of disability across the borough’s population. Although it is a challenge to quantify the precise accommodation and support requirements, the LHNA has helped to scope out where needs are arising and has provided indicators of specific needs across various needs groups.</w:t>
      </w:r>
    </w:p>
    <w:p w14:paraId="24BBF783" w14:textId="77777777" w:rsidR="00CE1BDB" w:rsidRPr="00FA4DC7" w:rsidRDefault="00CE1BDB" w:rsidP="00CE1BDB">
      <w:pPr>
        <w:pStyle w:val="Reporttext"/>
        <w:rPr>
          <w:rFonts w:cs="Arial"/>
        </w:rPr>
      </w:pPr>
      <w:r w:rsidRPr="00FA4DC7">
        <w:rPr>
          <w:rFonts w:cs="Arial"/>
        </w:rPr>
        <w:t xml:space="preserve">It is estimated there are around 56,980 people with a disability across Medway </w:t>
      </w:r>
      <w:r w:rsidRPr="00FA4DC7">
        <w:rPr>
          <w:rFonts w:cs="Arial"/>
          <w:lang w:val="en-US"/>
        </w:rPr>
        <w:t>and is projected to increase to around 62,410 by 2037 and 63,240 by 2040</w:t>
      </w:r>
      <w:r w:rsidRPr="00FA4DC7">
        <w:rPr>
          <w:rFonts w:cs="Arial"/>
        </w:rPr>
        <w:t xml:space="preserve">. Regarding </w:t>
      </w:r>
      <w:r w:rsidRPr="00FA4DC7">
        <w:rPr>
          <w:rFonts w:cs="Arial"/>
          <w:bCs/>
        </w:rPr>
        <w:t>housing for people with disabilities</w:t>
      </w:r>
      <w:r w:rsidRPr="00FA4DC7">
        <w:rPr>
          <w:rFonts w:cs="Arial"/>
          <w:b/>
        </w:rPr>
        <w:t xml:space="preserve">, </w:t>
      </w:r>
      <w:r w:rsidRPr="00FA4DC7">
        <w:rPr>
          <w:rFonts w:cs="Arial"/>
        </w:rPr>
        <w:t xml:space="preserve">arc4 national data suggests around 7.5% of households live in properties which have either been purpose-built or adapted for someone with an illness or disability. </w:t>
      </w:r>
    </w:p>
    <w:p w14:paraId="5A13215F" w14:textId="77777777" w:rsidR="00CE1BDB" w:rsidRPr="00FA4DC7" w:rsidRDefault="00CE1BDB" w:rsidP="00CE1BDB">
      <w:pPr>
        <w:pStyle w:val="Reporttext"/>
        <w:rPr>
          <w:rFonts w:cs="Arial"/>
        </w:rPr>
      </w:pPr>
      <w:r w:rsidRPr="00FA4DC7">
        <w:rPr>
          <w:rFonts w:cs="Arial"/>
          <w:shd w:val="clear" w:color="auto" w:fill="FFFFFF"/>
        </w:rPr>
        <w:t xml:space="preserve">Given the ageing population of the borough and the identified levels of disability amongst the population, it is recommended </w:t>
      </w:r>
      <w:r w:rsidRPr="00FA4DC7">
        <w:rPr>
          <w:rFonts w:cs="Arial"/>
          <w:color w:val="000000" w:themeColor="text1"/>
          <w:shd w:val="clear" w:color="auto" w:fill="FFFFFF"/>
        </w:rPr>
        <w:t xml:space="preserve">that 5% </w:t>
      </w:r>
      <w:r w:rsidRPr="00FA4DC7">
        <w:rPr>
          <w:rFonts w:cs="Arial"/>
          <w:shd w:val="clear" w:color="auto" w:fill="FFFFFF"/>
        </w:rPr>
        <w:t xml:space="preserve">of new dwellings are built to wheelchair accessible M4(3) standard. </w:t>
      </w:r>
      <w:r w:rsidRPr="00FA4DC7">
        <w:rPr>
          <w:rFonts w:cs="Arial"/>
          <w:color w:val="000000" w:themeColor="text1"/>
        </w:rPr>
        <w:t xml:space="preserve">All remaining new dwellings are built to M4(2) accessible and adaptable standard, to take account of the ageing demographics of Medway. </w:t>
      </w:r>
    </w:p>
    <w:p w14:paraId="2AF42FFA" w14:textId="61BA9AE2" w:rsidR="00BA60CB" w:rsidRDefault="00BA60CB">
      <w:pPr>
        <w:rPr>
          <w:rFonts w:cs="Arial"/>
          <w:highlight w:val="yellow"/>
          <w:shd w:val="clear" w:color="auto" w:fill="FFFFFF"/>
          <w:lang w:eastAsia="en-US"/>
        </w:rPr>
      </w:pPr>
      <w:r>
        <w:rPr>
          <w:rFonts w:cs="Arial"/>
          <w:highlight w:val="yellow"/>
          <w:shd w:val="clear" w:color="auto" w:fill="FFFFFF"/>
        </w:rPr>
        <w:br w:type="page"/>
      </w:r>
    </w:p>
    <w:p w14:paraId="731D99E3" w14:textId="77777777" w:rsidR="00CE1BDB" w:rsidRPr="00FA4DC7" w:rsidRDefault="00CE1BDB" w:rsidP="00CE1BDB">
      <w:pPr>
        <w:pStyle w:val="Heading1"/>
        <w:tabs>
          <w:tab w:val="left" w:pos="0"/>
          <w:tab w:val="left" w:pos="709"/>
          <w:tab w:val="left" w:pos="1418"/>
        </w:tabs>
        <w:rPr>
          <w:rFonts w:cs="Arial"/>
        </w:rPr>
      </w:pPr>
      <w:bookmarkStart w:id="421" w:name="_Toc529652005"/>
      <w:bookmarkStart w:id="422" w:name="_Toc7683310"/>
      <w:bookmarkStart w:id="423" w:name="_Toc83035683"/>
      <w:bookmarkStart w:id="424" w:name="_Toc321860596"/>
      <w:bookmarkStart w:id="425" w:name="_Toc341182619"/>
      <w:bookmarkStart w:id="426" w:name="_Toc399864412"/>
      <w:bookmarkStart w:id="427" w:name="_Toc428528506"/>
      <w:bookmarkStart w:id="428" w:name="_Toc430084600"/>
      <w:bookmarkStart w:id="429" w:name="_Toc430782039"/>
      <w:bookmarkEnd w:id="242"/>
      <w:bookmarkEnd w:id="338"/>
      <w:bookmarkEnd w:id="339"/>
      <w:bookmarkEnd w:id="340"/>
      <w:bookmarkEnd w:id="341"/>
      <w:r w:rsidRPr="00FA4DC7">
        <w:rPr>
          <w:rFonts w:cs="Arial"/>
        </w:rPr>
        <w:lastRenderedPageBreak/>
        <w:t>Overall housing need, dwelling type and mix</w:t>
      </w:r>
      <w:bookmarkStart w:id="430" w:name="_Toc529652006"/>
      <w:bookmarkStart w:id="431" w:name="_Toc7683311"/>
      <w:bookmarkEnd w:id="421"/>
      <w:bookmarkEnd w:id="422"/>
      <w:bookmarkEnd w:id="423"/>
    </w:p>
    <w:p w14:paraId="51A59000" w14:textId="77777777" w:rsidR="00CE1BDB" w:rsidRPr="00FA4DC7" w:rsidRDefault="00CE1BDB" w:rsidP="00CE1BDB">
      <w:pPr>
        <w:pStyle w:val="Heading2"/>
        <w:rPr>
          <w:rFonts w:cs="Arial"/>
        </w:rPr>
      </w:pPr>
      <w:bookmarkStart w:id="432" w:name="_Toc83035684"/>
      <w:r w:rsidRPr="00FA4DC7">
        <w:rPr>
          <w:rFonts w:cs="Arial"/>
        </w:rPr>
        <w:t>Introduction</w:t>
      </w:r>
      <w:bookmarkEnd w:id="432"/>
    </w:p>
    <w:p w14:paraId="57924304" w14:textId="77777777" w:rsidR="00CE1BDB" w:rsidRPr="00FA4DC7" w:rsidRDefault="00CE1BDB" w:rsidP="00CE1BDB">
      <w:pPr>
        <w:pStyle w:val="Reporttext"/>
        <w:tabs>
          <w:tab w:val="left" w:pos="0"/>
          <w:tab w:val="left" w:pos="1418"/>
        </w:tabs>
        <w:rPr>
          <w:rFonts w:cs="Arial"/>
        </w:rPr>
      </w:pPr>
      <w:r w:rsidRPr="00FA4DC7">
        <w:rPr>
          <w:rFonts w:cs="Arial"/>
        </w:rPr>
        <w:t xml:space="preserve">This chapter considers overall housing need, affordable need and establishes an overall dwelling type, size and tenure mix for Medway. The detailed analysis underpinning this chapter is presented in Technical Appendix D. </w:t>
      </w:r>
    </w:p>
    <w:p w14:paraId="2121C353" w14:textId="77777777" w:rsidR="00CE1BDB" w:rsidRPr="00FA4DC7" w:rsidRDefault="00CE1BDB" w:rsidP="00CE1BDB">
      <w:pPr>
        <w:pStyle w:val="Reporttext"/>
        <w:numPr>
          <w:ilvl w:val="0"/>
          <w:numId w:val="0"/>
        </w:numPr>
        <w:tabs>
          <w:tab w:val="left" w:pos="0"/>
          <w:tab w:val="left" w:pos="1418"/>
        </w:tabs>
        <w:ind w:left="1418"/>
        <w:rPr>
          <w:rFonts w:cs="Arial"/>
        </w:rPr>
      </w:pPr>
    </w:p>
    <w:p w14:paraId="274F1CF2" w14:textId="77777777" w:rsidR="00CE1BDB" w:rsidRPr="00FA4DC7" w:rsidRDefault="00CE1BDB" w:rsidP="00CE1BDB">
      <w:pPr>
        <w:pStyle w:val="Heading2"/>
        <w:rPr>
          <w:rFonts w:cs="Arial"/>
        </w:rPr>
      </w:pPr>
      <w:bookmarkStart w:id="433" w:name="_Toc83035685"/>
      <w:r w:rsidRPr="00FA4DC7">
        <w:rPr>
          <w:rFonts w:cs="Arial"/>
        </w:rPr>
        <w:t>Overall housing need</w:t>
      </w:r>
      <w:bookmarkEnd w:id="433"/>
    </w:p>
    <w:p w14:paraId="211648EE" w14:textId="77777777" w:rsidR="00CE1BDB" w:rsidRPr="00FA4DC7" w:rsidRDefault="00CE1BDB" w:rsidP="00CE1BDB">
      <w:pPr>
        <w:pStyle w:val="Reporttext"/>
        <w:rPr>
          <w:rFonts w:cs="Arial"/>
        </w:rPr>
      </w:pPr>
      <w:r w:rsidRPr="00FA4DC7">
        <w:rPr>
          <w:rFonts w:cs="Arial"/>
        </w:rPr>
        <w:t xml:space="preserve">The standard method identifies a need for 1,586 dwellings each year. This compares with an annual housing requirement of 1,000 (2011/12 to 2018/19 and 1,662 in 2019/20. </w:t>
      </w:r>
    </w:p>
    <w:p w14:paraId="6EF8A435" w14:textId="77777777" w:rsidR="00CE1BDB" w:rsidRPr="00FA4DC7" w:rsidRDefault="00CE1BDB" w:rsidP="00CE1BDB">
      <w:pPr>
        <w:pStyle w:val="Reporttext"/>
        <w:numPr>
          <w:ilvl w:val="0"/>
          <w:numId w:val="0"/>
        </w:numPr>
        <w:rPr>
          <w:rFonts w:cs="Arial"/>
        </w:rPr>
      </w:pPr>
    </w:p>
    <w:p w14:paraId="53C0659C" w14:textId="77777777" w:rsidR="00CE1BDB" w:rsidRPr="00FA4DC7" w:rsidRDefault="00CE1BDB" w:rsidP="00BA60CB">
      <w:pPr>
        <w:pStyle w:val="Heading3"/>
      </w:pPr>
      <w:r w:rsidRPr="00FA4DC7">
        <w:t>Affordable housing need</w:t>
      </w:r>
    </w:p>
    <w:p w14:paraId="1707024B" w14:textId="7B979E73" w:rsidR="00CE1BDB" w:rsidRPr="00FA4DC7" w:rsidRDefault="00CE1BDB" w:rsidP="00CE1BDB">
      <w:pPr>
        <w:pStyle w:val="Reporttext"/>
        <w:rPr>
          <w:rFonts w:cs="Arial"/>
        </w:rPr>
      </w:pPr>
      <w:r w:rsidRPr="00FA4DC7">
        <w:rPr>
          <w:rFonts w:cs="Arial"/>
        </w:rPr>
        <w:t xml:space="preserve">A detailed analysis of affordable housing need in accordance with PPG is presented at Technical Appendix C. This establishes an overall gross affordable need of 1,735 and after </w:t>
      </w:r>
      <w:proofErr w:type="gramStart"/>
      <w:r w:rsidRPr="00FA4DC7">
        <w:rPr>
          <w:rFonts w:cs="Arial"/>
        </w:rPr>
        <w:t>taking into account</w:t>
      </w:r>
      <w:proofErr w:type="gramEnd"/>
      <w:r w:rsidRPr="00FA4DC7">
        <w:rPr>
          <w:rFonts w:cs="Arial"/>
        </w:rPr>
        <w:t xml:space="preserve"> affordable lettings and newbuild the net shortfall is </w:t>
      </w:r>
      <w:r w:rsidR="0035224C">
        <w:rPr>
          <w:rFonts w:cs="Arial"/>
        </w:rPr>
        <w:t>870</w:t>
      </w:r>
      <w:r w:rsidRPr="00FA4DC7">
        <w:rPr>
          <w:rFonts w:cs="Arial"/>
        </w:rPr>
        <w:t xml:space="preserve"> each year. </w:t>
      </w:r>
    </w:p>
    <w:p w14:paraId="02EFAAF3"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Local Plan Policy H3 (affordable housing) states ‘where a need has been identified, affordable housing will be sought as a proportion of residential development of a substantial scale. The proportion of affordable housing to be delivered is negotiable based on factors including site suitability, economics of provision and proximity to local </w:t>
      </w:r>
      <w:proofErr w:type="gramStart"/>
      <w:r w:rsidRPr="00FA4DC7">
        <w:rPr>
          <w:rFonts w:cs="Arial"/>
        </w:rPr>
        <w:t>services’</w:t>
      </w:r>
      <w:proofErr w:type="gramEnd"/>
      <w:r w:rsidRPr="00FA4DC7">
        <w:rPr>
          <w:rFonts w:cs="Arial"/>
        </w:rPr>
        <w:t>. The Council target is to seek at least 25% of homes to be affordable on any site meeting the Council’s site threshold</w:t>
      </w:r>
    </w:p>
    <w:p w14:paraId="3F7DEC7E" w14:textId="77777777" w:rsidR="00CE1BDB" w:rsidRPr="00FA4DC7" w:rsidRDefault="00CE1BDB" w:rsidP="00CE1BDB">
      <w:pPr>
        <w:pStyle w:val="Reporttext"/>
        <w:rPr>
          <w:rFonts w:cs="Arial"/>
        </w:rPr>
      </w:pPr>
      <w:r w:rsidRPr="00FA4DC7">
        <w:rPr>
          <w:rFonts w:cs="Arial"/>
        </w:rPr>
        <w:t xml:space="preserve">Analysis in the LHNA would suggest an overall affordable tenure split of 51% rented and 49% affordable home ownership across Medway which includes an allowance for First Homes. </w:t>
      </w:r>
    </w:p>
    <w:p w14:paraId="5CE66ACD" w14:textId="77777777" w:rsidR="00CE1BDB" w:rsidRPr="00FA4DC7" w:rsidRDefault="00CE1BDB" w:rsidP="00CE1BDB">
      <w:pPr>
        <w:pStyle w:val="Heading2"/>
        <w:tabs>
          <w:tab w:val="left" w:pos="0"/>
          <w:tab w:val="left" w:pos="709"/>
          <w:tab w:val="left" w:pos="1418"/>
        </w:tabs>
        <w:ind w:left="0" w:firstLine="0"/>
        <w:rPr>
          <w:rFonts w:cs="Arial"/>
          <w:highlight w:val="yellow"/>
        </w:rPr>
      </w:pPr>
    </w:p>
    <w:p w14:paraId="0E9C20D4" w14:textId="77777777" w:rsidR="00CE1BDB" w:rsidRPr="00FA4DC7" w:rsidRDefault="00CE1BDB" w:rsidP="00CE1BDB">
      <w:pPr>
        <w:pStyle w:val="Heading2"/>
        <w:tabs>
          <w:tab w:val="left" w:pos="0"/>
          <w:tab w:val="left" w:pos="709"/>
          <w:tab w:val="left" w:pos="1418"/>
        </w:tabs>
        <w:rPr>
          <w:rFonts w:cs="Arial"/>
        </w:rPr>
      </w:pPr>
      <w:bookmarkStart w:id="434" w:name="_Toc83035686"/>
      <w:r w:rsidRPr="00FA4DC7">
        <w:rPr>
          <w:rFonts w:cs="Arial"/>
        </w:rPr>
        <w:t>Dwelling type and mix</w:t>
      </w:r>
      <w:bookmarkEnd w:id="434"/>
    </w:p>
    <w:p w14:paraId="16A41D24" w14:textId="60990CFC" w:rsidR="00CE1BDB" w:rsidRPr="00FA4DC7" w:rsidRDefault="0035224C" w:rsidP="00CE1BDB">
      <w:pPr>
        <w:pStyle w:val="Reporttext"/>
        <w:rPr>
          <w:rFonts w:cs="Arial"/>
        </w:rPr>
      </w:pPr>
      <w:r>
        <w:rPr>
          <w:rFonts w:cs="Arial"/>
        </w:rPr>
        <w:t>Dwelling</w:t>
      </w:r>
      <w:r w:rsidR="00CE1BDB" w:rsidRPr="00FA4DC7">
        <w:rPr>
          <w:rFonts w:cs="Arial"/>
        </w:rPr>
        <w:t xml:space="preserve"> mix analysis is underpinned by a demographic scenario </w:t>
      </w:r>
      <w:r>
        <w:rPr>
          <w:rFonts w:cs="Arial"/>
        </w:rPr>
        <w:t xml:space="preserve">model </w:t>
      </w:r>
      <w:r w:rsidR="00CE1BDB" w:rsidRPr="00FA4DC7">
        <w:rPr>
          <w:rFonts w:cs="Arial"/>
        </w:rPr>
        <w:t xml:space="preserve">which </w:t>
      </w:r>
      <w:proofErr w:type="gramStart"/>
      <w:r w:rsidR="00CE1BDB" w:rsidRPr="00FA4DC7">
        <w:rPr>
          <w:rFonts w:cs="Arial"/>
        </w:rPr>
        <w:t>takes into account</w:t>
      </w:r>
      <w:proofErr w:type="gramEnd"/>
      <w:r w:rsidR="00CE1BDB" w:rsidRPr="00FA4DC7">
        <w:rPr>
          <w:rFonts w:cs="Arial"/>
        </w:rPr>
        <w:t xml:space="preserve"> projected household change to 2037 using 2018-based ONS household projections and also makes an allowance for the dwelling needs of the under 35 age group. A key reason for this is to support the council’s growth and regeneration policies and help address suppression of household formation. To support flexibility in delivery, dwelling type and mix by tenure is presented as a broad range. </w:t>
      </w:r>
    </w:p>
    <w:p w14:paraId="5ED992A2" w14:textId="27275029" w:rsidR="00CE1BDB" w:rsidRPr="001A51F7" w:rsidRDefault="00CE1BDB" w:rsidP="001A51F7">
      <w:pPr>
        <w:pStyle w:val="Reporttext"/>
        <w:rPr>
          <w:rFonts w:cs="Arial"/>
        </w:rPr>
        <w:sectPr w:rsidR="00CE1BDB" w:rsidRPr="001A51F7" w:rsidSect="00EF49A7">
          <w:pgSz w:w="11906" w:h="16838"/>
          <w:pgMar w:top="1440" w:right="1276" w:bottom="1134" w:left="1440" w:header="708" w:footer="708" w:gutter="0"/>
          <w:cols w:space="708"/>
          <w:docGrid w:linePitch="360"/>
        </w:sectPr>
      </w:pPr>
      <w:r w:rsidRPr="00FA4DC7">
        <w:rPr>
          <w:rFonts w:cs="Arial"/>
          <w:bCs/>
          <w:color w:val="222222"/>
        </w:rPr>
        <w:t xml:space="preserve">Further </w:t>
      </w:r>
      <w:r w:rsidR="0035224C">
        <w:rPr>
          <w:rFonts w:cs="Arial"/>
          <w:bCs/>
          <w:color w:val="222222"/>
        </w:rPr>
        <w:t xml:space="preserve">detail of the modelling along with analysis </w:t>
      </w:r>
      <w:proofErr w:type="gramStart"/>
      <w:r w:rsidR="0035224C">
        <w:rPr>
          <w:rFonts w:cs="Arial"/>
          <w:bCs/>
          <w:color w:val="222222"/>
        </w:rPr>
        <w:t xml:space="preserve">of </w:t>
      </w:r>
      <w:r w:rsidRPr="00FA4DC7">
        <w:rPr>
          <w:rFonts w:cs="Arial"/>
          <w:bCs/>
          <w:color w:val="222222"/>
        </w:rPr>
        <w:t xml:space="preserve"> dwelling</w:t>
      </w:r>
      <w:proofErr w:type="gramEnd"/>
      <w:r w:rsidRPr="00FA4DC7">
        <w:rPr>
          <w:rFonts w:cs="Arial"/>
          <w:bCs/>
          <w:color w:val="222222"/>
        </w:rPr>
        <w:t xml:space="preserve"> mix by sub-area is presented in Table D7 in Technical Appendix D.</w:t>
      </w:r>
      <w:r w:rsidR="0035224C">
        <w:rPr>
          <w:rFonts w:cs="Arial"/>
          <w:bCs/>
          <w:color w:val="222222"/>
        </w:rPr>
        <w:t xml:space="preserve"> On the basis of modelling carried out, Table 6.1 sets out the overall annual dwelling type/size recommendation by different tenures. </w:t>
      </w:r>
    </w:p>
    <w:tbl>
      <w:tblPr>
        <w:tblW w:w="502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74"/>
        <w:gridCol w:w="2140"/>
        <w:gridCol w:w="2834"/>
        <w:gridCol w:w="2553"/>
        <w:gridCol w:w="2127"/>
      </w:tblGrid>
      <w:tr w:rsidR="00CE1BDB" w:rsidRPr="00FA4DC7" w14:paraId="263C5621" w14:textId="77777777" w:rsidTr="00EF49A7">
        <w:tc>
          <w:tcPr>
            <w:tcW w:w="5000" w:type="pct"/>
            <w:gridSpan w:val="5"/>
            <w:shd w:val="clear" w:color="auto" w:fill="006666"/>
            <w:noWrap/>
            <w:vAlign w:val="center"/>
          </w:tcPr>
          <w:p w14:paraId="01AB5DDB" w14:textId="4E4A5F9B" w:rsidR="00CE1BDB" w:rsidRPr="00FA4DC7" w:rsidRDefault="00CE1BDB" w:rsidP="00EF49A7">
            <w:pPr>
              <w:pStyle w:val="Tableheading1"/>
              <w:rPr>
                <w:rFonts w:cs="Arial"/>
                <w:b w:val="0"/>
                <w:bCs w:val="0"/>
                <w:color w:val="FFFFFF"/>
                <w:szCs w:val="22"/>
                <w:highlight w:val="yellow"/>
              </w:rPr>
            </w:pPr>
            <w:bookmarkStart w:id="435" w:name="_Toc83036120"/>
            <w:bookmarkStart w:id="436" w:name="_Toc391751924"/>
            <w:bookmarkStart w:id="437" w:name="_Toc395193582"/>
            <w:r w:rsidRPr="00FA4DC7">
              <w:rPr>
                <w:rFonts w:cs="Arial"/>
                <w:szCs w:val="22"/>
              </w:rPr>
              <w:lastRenderedPageBreak/>
              <w:t>Table 6.</w:t>
            </w:r>
            <w:r w:rsidR="0035224C">
              <w:rPr>
                <w:rFonts w:cs="Arial"/>
                <w:szCs w:val="22"/>
              </w:rPr>
              <w:t>1</w:t>
            </w:r>
            <w:r w:rsidRPr="00FA4DC7">
              <w:rPr>
                <w:rFonts w:cs="Arial"/>
                <w:szCs w:val="22"/>
              </w:rPr>
              <w:tab/>
              <w:t>Overall annual dwelling type/size and tenure mix recommendations</w:t>
            </w:r>
            <w:bookmarkEnd w:id="435"/>
          </w:p>
        </w:tc>
      </w:tr>
      <w:tr w:rsidR="00CE1BDB" w:rsidRPr="00FA4DC7" w14:paraId="42E17B55" w14:textId="77777777" w:rsidTr="00EF49A7">
        <w:tc>
          <w:tcPr>
            <w:tcW w:w="1559" w:type="pct"/>
            <w:vMerge w:val="restart"/>
            <w:shd w:val="clear" w:color="auto" w:fill="006666"/>
            <w:noWrap/>
            <w:vAlign w:val="bottom"/>
            <w:hideMark/>
          </w:tcPr>
          <w:p w14:paraId="73C0F2F9"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type/size</w:t>
            </w:r>
          </w:p>
        </w:tc>
        <w:tc>
          <w:tcPr>
            <w:tcW w:w="2683" w:type="pct"/>
            <w:gridSpan w:val="3"/>
            <w:shd w:val="clear" w:color="auto" w:fill="006666"/>
            <w:noWrap/>
            <w:vAlign w:val="bottom"/>
            <w:hideMark/>
          </w:tcPr>
          <w:p w14:paraId="4C363A22"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Tenure</w:t>
            </w:r>
          </w:p>
        </w:tc>
        <w:tc>
          <w:tcPr>
            <w:tcW w:w="758" w:type="pct"/>
            <w:shd w:val="clear" w:color="auto" w:fill="006666"/>
            <w:noWrap/>
            <w:vAlign w:val="bottom"/>
            <w:hideMark/>
          </w:tcPr>
          <w:p w14:paraId="576117F8" w14:textId="77777777" w:rsidR="00CE1BDB" w:rsidRPr="00FA4DC7" w:rsidRDefault="00CE1BDB" w:rsidP="00EF49A7">
            <w:pPr>
              <w:jc w:val="center"/>
              <w:rPr>
                <w:rFonts w:cs="Arial"/>
                <w:b/>
                <w:bCs/>
                <w:color w:val="FFFFFF"/>
                <w:sz w:val="22"/>
                <w:szCs w:val="22"/>
              </w:rPr>
            </w:pPr>
            <w:r w:rsidRPr="00FA4DC7">
              <w:rPr>
                <w:rFonts w:cs="Arial"/>
                <w:b/>
                <w:bCs/>
                <w:color w:val="FFFFFF"/>
                <w:sz w:val="22"/>
                <w:szCs w:val="22"/>
              </w:rPr>
              <w:t>Total</w:t>
            </w:r>
          </w:p>
        </w:tc>
      </w:tr>
      <w:tr w:rsidR="00FA4DC7" w:rsidRPr="00FA4DC7" w14:paraId="44BFC9D0" w14:textId="77777777" w:rsidTr="00EF49A7">
        <w:tc>
          <w:tcPr>
            <w:tcW w:w="1559" w:type="pct"/>
            <w:vMerge/>
            <w:shd w:val="clear" w:color="auto" w:fill="006666"/>
            <w:vAlign w:val="bottom"/>
            <w:hideMark/>
          </w:tcPr>
          <w:p w14:paraId="5F45377B" w14:textId="77777777" w:rsidR="00CE1BDB" w:rsidRPr="00FA4DC7" w:rsidRDefault="00CE1BDB" w:rsidP="00EF49A7">
            <w:pPr>
              <w:jc w:val="center"/>
              <w:rPr>
                <w:rFonts w:cs="Arial"/>
                <w:b/>
                <w:bCs/>
                <w:color w:val="FFFFFF"/>
                <w:sz w:val="22"/>
                <w:szCs w:val="22"/>
              </w:rPr>
            </w:pPr>
          </w:p>
        </w:tc>
        <w:tc>
          <w:tcPr>
            <w:tcW w:w="763" w:type="pct"/>
            <w:shd w:val="clear" w:color="auto" w:fill="006666"/>
            <w:vAlign w:val="bottom"/>
            <w:hideMark/>
          </w:tcPr>
          <w:p w14:paraId="7D6E4E16"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Market</w:t>
            </w:r>
          </w:p>
        </w:tc>
        <w:tc>
          <w:tcPr>
            <w:tcW w:w="1010" w:type="pct"/>
            <w:shd w:val="clear" w:color="auto" w:fill="006666"/>
            <w:vAlign w:val="bottom"/>
            <w:hideMark/>
          </w:tcPr>
          <w:p w14:paraId="0BB68B1F"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Affordable/</w:t>
            </w:r>
          </w:p>
          <w:p w14:paraId="7503D1BE"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Social Rented</w:t>
            </w:r>
          </w:p>
        </w:tc>
        <w:tc>
          <w:tcPr>
            <w:tcW w:w="910" w:type="pct"/>
            <w:shd w:val="clear" w:color="auto" w:fill="006666"/>
            <w:vAlign w:val="bottom"/>
            <w:hideMark/>
          </w:tcPr>
          <w:p w14:paraId="2E9249AE"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Affordable home ownership including First Homes</w:t>
            </w:r>
          </w:p>
        </w:tc>
        <w:tc>
          <w:tcPr>
            <w:tcW w:w="758" w:type="pct"/>
            <w:shd w:val="clear" w:color="auto" w:fill="006666"/>
            <w:vAlign w:val="center"/>
            <w:hideMark/>
          </w:tcPr>
          <w:p w14:paraId="3D21622A" w14:textId="77777777" w:rsidR="00CE1BDB" w:rsidRPr="00FA4DC7" w:rsidRDefault="00CE1BDB" w:rsidP="00FA21F6">
            <w:pPr>
              <w:jc w:val="center"/>
              <w:rPr>
                <w:rFonts w:cs="Arial"/>
                <w:b/>
                <w:bCs/>
                <w:color w:val="FFFFFF"/>
                <w:sz w:val="22"/>
                <w:szCs w:val="22"/>
              </w:rPr>
            </w:pPr>
          </w:p>
        </w:tc>
      </w:tr>
      <w:tr w:rsidR="00CE1BDB" w:rsidRPr="00FA4DC7" w14:paraId="2265633E" w14:textId="77777777" w:rsidTr="00EF49A7">
        <w:tc>
          <w:tcPr>
            <w:tcW w:w="1559" w:type="pct"/>
            <w:shd w:val="clear" w:color="auto" w:fill="006666"/>
            <w:vAlign w:val="center"/>
          </w:tcPr>
          <w:p w14:paraId="0CAE0144" w14:textId="77777777" w:rsidR="00CE1BDB" w:rsidRPr="00FA4DC7" w:rsidRDefault="00CE1BDB" w:rsidP="00EF49A7">
            <w:pPr>
              <w:rPr>
                <w:rFonts w:cs="Arial"/>
                <w:b/>
                <w:bCs/>
                <w:color w:val="FFFFFF"/>
                <w:sz w:val="22"/>
                <w:szCs w:val="22"/>
              </w:rPr>
            </w:pPr>
            <w:r w:rsidRPr="00FA4DC7">
              <w:rPr>
                <w:rFonts w:cs="Arial"/>
                <w:b/>
                <w:bCs/>
                <w:color w:val="FFFFFF"/>
                <w:sz w:val="22"/>
                <w:szCs w:val="22"/>
              </w:rPr>
              <w:t>Overall % split&gt;&gt;</w:t>
            </w:r>
          </w:p>
        </w:tc>
        <w:tc>
          <w:tcPr>
            <w:tcW w:w="763" w:type="pct"/>
            <w:shd w:val="clear" w:color="auto" w:fill="006666"/>
            <w:vAlign w:val="center"/>
          </w:tcPr>
          <w:p w14:paraId="0A7332DF"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75%</w:t>
            </w:r>
          </w:p>
        </w:tc>
        <w:tc>
          <w:tcPr>
            <w:tcW w:w="1010" w:type="pct"/>
            <w:shd w:val="clear" w:color="auto" w:fill="006666"/>
            <w:vAlign w:val="center"/>
          </w:tcPr>
          <w:p w14:paraId="00734C17"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13%</w:t>
            </w:r>
          </w:p>
        </w:tc>
        <w:tc>
          <w:tcPr>
            <w:tcW w:w="910" w:type="pct"/>
            <w:shd w:val="clear" w:color="auto" w:fill="006666"/>
            <w:vAlign w:val="center"/>
          </w:tcPr>
          <w:p w14:paraId="623AAEDF"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12%</w:t>
            </w:r>
          </w:p>
        </w:tc>
        <w:tc>
          <w:tcPr>
            <w:tcW w:w="758" w:type="pct"/>
            <w:shd w:val="clear" w:color="auto" w:fill="006666"/>
            <w:vAlign w:val="center"/>
          </w:tcPr>
          <w:p w14:paraId="00539AC7"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100%</w:t>
            </w:r>
          </w:p>
        </w:tc>
      </w:tr>
      <w:tr w:rsidR="00430E56" w:rsidRPr="00FA4DC7" w14:paraId="475D7AF1" w14:textId="77777777" w:rsidTr="00EF49A7">
        <w:tc>
          <w:tcPr>
            <w:tcW w:w="1559" w:type="pct"/>
            <w:shd w:val="clear" w:color="auto" w:fill="auto"/>
            <w:noWrap/>
            <w:vAlign w:val="center"/>
            <w:hideMark/>
          </w:tcPr>
          <w:p w14:paraId="269CF5AD" w14:textId="01FCB6D7" w:rsidR="00430E56" w:rsidRPr="00FA4DC7" w:rsidRDefault="00430E56" w:rsidP="00430E56">
            <w:pPr>
              <w:rPr>
                <w:rFonts w:cs="Arial"/>
                <w:color w:val="000000"/>
                <w:sz w:val="22"/>
                <w:szCs w:val="22"/>
              </w:rPr>
            </w:pPr>
            <w:r w:rsidRPr="00FA4DC7">
              <w:rPr>
                <w:rFonts w:cs="Arial"/>
                <w:color w:val="000000"/>
                <w:sz w:val="22"/>
                <w:szCs w:val="22"/>
              </w:rPr>
              <w:t>1-bedroom house</w:t>
            </w:r>
          </w:p>
        </w:tc>
        <w:tc>
          <w:tcPr>
            <w:tcW w:w="763" w:type="pct"/>
            <w:shd w:val="clear" w:color="auto" w:fill="auto"/>
            <w:vAlign w:val="center"/>
          </w:tcPr>
          <w:p w14:paraId="6E89BFE4" w14:textId="7ACDEBF4" w:rsidR="00430E56" w:rsidRPr="00FA21F6" w:rsidRDefault="00430E56" w:rsidP="00FA21F6">
            <w:pPr>
              <w:jc w:val="center"/>
              <w:rPr>
                <w:rFonts w:cs="Arial"/>
                <w:color w:val="000000"/>
                <w:sz w:val="22"/>
                <w:szCs w:val="22"/>
              </w:rPr>
            </w:pPr>
            <w:r w:rsidRPr="00FA21F6">
              <w:rPr>
                <w:rFonts w:cs="Arial"/>
                <w:color w:val="000000"/>
                <w:sz w:val="22"/>
                <w:szCs w:val="22"/>
              </w:rPr>
              <w:t>0-2%</w:t>
            </w:r>
          </w:p>
        </w:tc>
        <w:tc>
          <w:tcPr>
            <w:tcW w:w="1010" w:type="pct"/>
            <w:shd w:val="clear" w:color="auto" w:fill="auto"/>
            <w:vAlign w:val="center"/>
          </w:tcPr>
          <w:p w14:paraId="35938A0F" w14:textId="1FAF5826" w:rsidR="00430E56" w:rsidRPr="00FA21F6" w:rsidRDefault="00430E56" w:rsidP="00FA21F6">
            <w:pPr>
              <w:jc w:val="center"/>
              <w:rPr>
                <w:rFonts w:cs="Arial"/>
                <w:color w:val="000000"/>
                <w:sz w:val="22"/>
                <w:szCs w:val="22"/>
              </w:rPr>
            </w:pPr>
            <w:r w:rsidRPr="00FA21F6">
              <w:rPr>
                <w:rFonts w:cs="Arial"/>
                <w:color w:val="000000"/>
                <w:sz w:val="22"/>
                <w:szCs w:val="22"/>
              </w:rPr>
              <w:t>0-2%</w:t>
            </w:r>
          </w:p>
        </w:tc>
        <w:tc>
          <w:tcPr>
            <w:tcW w:w="910" w:type="pct"/>
            <w:shd w:val="clear" w:color="auto" w:fill="auto"/>
            <w:vAlign w:val="center"/>
          </w:tcPr>
          <w:p w14:paraId="78244194" w14:textId="2D564C0E" w:rsidR="00430E56" w:rsidRPr="00FA21F6" w:rsidRDefault="00430E56" w:rsidP="00FA21F6">
            <w:pPr>
              <w:jc w:val="center"/>
              <w:rPr>
                <w:rFonts w:cs="Arial"/>
                <w:color w:val="000000"/>
                <w:sz w:val="22"/>
                <w:szCs w:val="22"/>
              </w:rPr>
            </w:pPr>
            <w:r w:rsidRPr="00FA21F6">
              <w:rPr>
                <w:rFonts w:cs="Arial"/>
                <w:color w:val="000000"/>
                <w:sz w:val="22"/>
                <w:szCs w:val="22"/>
              </w:rPr>
              <w:t>0-5%</w:t>
            </w:r>
          </w:p>
        </w:tc>
        <w:tc>
          <w:tcPr>
            <w:tcW w:w="758" w:type="pct"/>
            <w:shd w:val="clear" w:color="auto" w:fill="auto"/>
            <w:vAlign w:val="bottom"/>
          </w:tcPr>
          <w:p w14:paraId="21F4CCB2" w14:textId="296DD706" w:rsidR="00430E56" w:rsidRPr="00FA21F6" w:rsidRDefault="00430E56" w:rsidP="00FA21F6">
            <w:pPr>
              <w:jc w:val="center"/>
              <w:rPr>
                <w:rFonts w:cs="Arial"/>
                <w:color w:val="000000"/>
                <w:sz w:val="22"/>
                <w:szCs w:val="22"/>
              </w:rPr>
            </w:pPr>
            <w:r w:rsidRPr="00FA21F6">
              <w:rPr>
                <w:rFonts w:cs="Arial"/>
                <w:color w:val="000000"/>
                <w:sz w:val="22"/>
                <w:szCs w:val="22"/>
              </w:rPr>
              <w:t>2-4%</w:t>
            </w:r>
          </w:p>
        </w:tc>
      </w:tr>
      <w:tr w:rsidR="00430E56" w:rsidRPr="00FA4DC7" w14:paraId="77270972" w14:textId="77777777" w:rsidTr="00EF49A7">
        <w:tc>
          <w:tcPr>
            <w:tcW w:w="1559" w:type="pct"/>
            <w:shd w:val="clear" w:color="auto" w:fill="auto"/>
            <w:noWrap/>
            <w:vAlign w:val="center"/>
          </w:tcPr>
          <w:p w14:paraId="187D32EB" w14:textId="7F19B10F" w:rsidR="00430E56" w:rsidRPr="00FA4DC7" w:rsidRDefault="00430E56" w:rsidP="00430E56">
            <w:pPr>
              <w:rPr>
                <w:rFonts w:cs="Arial"/>
                <w:color w:val="000000"/>
                <w:sz w:val="22"/>
                <w:szCs w:val="22"/>
              </w:rPr>
            </w:pPr>
            <w:r>
              <w:rPr>
                <w:rFonts w:cs="Arial"/>
                <w:color w:val="000000"/>
                <w:sz w:val="22"/>
                <w:szCs w:val="22"/>
              </w:rPr>
              <w:t>2</w:t>
            </w:r>
            <w:r w:rsidRPr="00FA4DC7">
              <w:rPr>
                <w:rFonts w:cs="Arial"/>
                <w:color w:val="000000"/>
                <w:sz w:val="22"/>
                <w:szCs w:val="22"/>
              </w:rPr>
              <w:t>-bedroom house</w:t>
            </w:r>
          </w:p>
        </w:tc>
        <w:tc>
          <w:tcPr>
            <w:tcW w:w="763" w:type="pct"/>
            <w:shd w:val="clear" w:color="auto" w:fill="auto"/>
            <w:vAlign w:val="center"/>
          </w:tcPr>
          <w:p w14:paraId="1617252F" w14:textId="7DB0EC96" w:rsidR="00430E56" w:rsidRPr="00FA21F6" w:rsidRDefault="00430E56" w:rsidP="00FA21F6">
            <w:pPr>
              <w:jc w:val="center"/>
              <w:rPr>
                <w:rFonts w:cs="Arial"/>
                <w:color w:val="000000"/>
                <w:sz w:val="22"/>
                <w:szCs w:val="22"/>
              </w:rPr>
            </w:pPr>
            <w:r w:rsidRPr="00FA21F6">
              <w:rPr>
                <w:rFonts w:cs="Arial"/>
                <w:color w:val="000000"/>
                <w:sz w:val="22"/>
                <w:szCs w:val="22"/>
              </w:rPr>
              <w:t>20-25%</w:t>
            </w:r>
          </w:p>
        </w:tc>
        <w:tc>
          <w:tcPr>
            <w:tcW w:w="1010" w:type="pct"/>
            <w:shd w:val="clear" w:color="auto" w:fill="auto"/>
            <w:vAlign w:val="center"/>
          </w:tcPr>
          <w:p w14:paraId="10FA3E50" w14:textId="0771282A" w:rsidR="00430E56" w:rsidRPr="00FA21F6" w:rsidRDefault="00430E56" w:rsidP="00FA21F6">
            <w:pPr>
              <w:jc w:val="center"/>
              <w:rPr>
                <w:rFonts w:cs="Arial"/>
                <w:color w:val="000000"/>
                <w:sz w:val="22"/>
                <w:szCs w:val="22"/>
              </w:rPr>
            </w:pPr>
            <w:r w:rsidRPr="00FA21F6">
              <w:rPr>
                <w:rFonts w:cs="Arial"/>
                <w:color w:val="000000"/>
                <w:sz w:val="22"/>
                <w:szCs w:val="22"/>
              </w:rPr>
              <w:t>5-10%</w:t>
            </w:r>
          </w:p>
        </w:tc>
        <w:tc>
          <w:tcPr>
            <w:tcW w:w="910" w:type="pct"/>
            <w:shd w:val="clear" w:color="auto" w:fill="auto"/>
            <w:vAlign w:val="center"/>
          </w:tcPr>
          <w:p w14:paraId="6B354C6A" w14:textId="1B1E7581" w:rsidR="00430E56" w:rsidRPr="00FA21F6" w:rsidRDefault="00430E56" w:rsidP="00FA21F6">
            <w:pPr>
              <w:jc w:val="center"/>
              <w:rPr>
                <w:rFonts w:cs="Arial"/>
                <w:color w:val="000000"/>
                <w:sz w:val="22"/>
                <w:szCs w:val="22"/>
              </w:rPr>
            </w:pPr>
            <w:r w:rsidRPr="00FA21F6">
              <w:rPr>
                <w:rFonts w:cs="Arial"/>
                <w:color w:val="000000"/>
                <w:sz w:val="22"/>
                <w:szCs w:val="22"/>
              </w:rPr>
              <w:t>20-25%</w:t>
            </w:r>
          </w:p>
        </w:tc>
        <w:tc>
          <w:tcPr>
            <w:tcW w:w="758" w:type="pct"/>
            <w:shd w:val="clear" w:color="auto" w:fill="auto"/>
            <w:vAlign w:val="bottom"/>
          </w:tcPr>
          <w:p w14:paraId="76C1780A" w14:textId="7A8E89B6" w:rsidR="00430E56" w:rsidRPr="00FA21F6" w:rsidRDefault="00430E56" w:rsidP="00FA21F6">
            <w:pPr>
              <w:jc w:val="center"/>
              <w:rPr>
                <w:rFonts w:cs="Arial"/>
                <w:color w:val="000000"/>
                <w:sz w:val="22"/>
                <w:szCs w:val="22"/>
              </w:rPr>
            </w:pPr>
            <w:r w:rsidRPr="00FA21F6">
              <w:rPr>
                <w:rFonts w:cs="Arial"/>
                <w:color w:val="000000"/>
                <w:sz w:val="22"/>
                <w:szCs w:val="22"/>
              </w:rPr>
              <w:t>15-20%</w:t>
            </w:r>
          </w:p>
        </w:tc>
      </w:tr>
      <w:tr w:rsidR="00430E56" w:rsidRPr="00FA4DC7" w14:paraId="1639654B" w14:textId="77777777" w:rsidTr="00EF49A7">
        <w:tc>
          <w:tcPr>
            <w:tcW w:w="1559" w:type="pct"/>
            <w:shd w:val="clear" w:color="auto" w:fill="auto"/>
            <w:noWrap/>
            <w:vAlign w:val="center"/>
            <w:hideMark/>
          </w:tcPr>
          <w:p w14:paraId="684244D1" w14:textId="77777777" w:rsidR="00430E56" w:rsidRPr="00FA4DC7" w:rsidRDefault="00430E56" w:rsidP="00430E56">
            <w:pPr>
              <w:rPr>
                <w:rFonts w:cs="Arial"/>
                <w:color w:val="000000"/>
                <w:sz w:val="22"/>
                <w:szCs w:val="22"/>
              </w:rPr>
            </w:pPr>
            <w:r w:rsidRPr="00FA4DC7">
              <w:rPr>
                <w:rFonts w:cs="Arial"/>
                <w:color w:val="000000"/>
                <w:sz w:val="22"/>
                <w:szCs w:val="22"/>
              </w:rPr>
              <w:t>3-bedroom house</w:t>
            </w:r>
          </w:p>
        </w:tc>
        <w:tc>
          <w:tcPr>
            <w:tcW w:w="763" w:type="pct"/>
            <w:shd w:val="clear" w:color="auto" w:fill="auto"/>
            <w:vAlign w:val="center"/>
          </w:tcPr>
          <w:p w14:paraId="5156FAE3" w14:textId="1D6CAEB7" w:rsidR="00430E56" w:rsidRPr="00FA21F6" w:rsidRDefault="00430E56" w:rsidP="00FA21F6">
            <w:pPr>
              <w:jc w:val="center"/>
              <w:rPr>
                <w:rFonts w:cs="Arial"/>
                <w:color w:val="000000"/>
                <w:sz w:val="22"/>
                <w:szCs w:val="22"/>
              </w:rPr>
            </w:pPr>
            <w:r w:rsidRPr="00FA21F6">
              <w:rPr>
                <w:rFonts w:cs="Arial"/>
                <w:color w:val="000000"/>
                <w:sz w:val="22"/>
                <w:szCs w:val="22"/>
              </w:rPr>
              <w:t>35-40%</w:t>
            </w:r>
          </w:p>
        </w:tc>
        <w:tc>
          <w:tcPr>
            <w:tcW w:w="1010" w:type="pct"/>
            <w:shd w:val="clear" w:color="auto" w:fill="auto"/>
            <w:vAlign w:val="center"/>
          </w:tcPr>
          <w:p w14:paraId="10E3C510" w14:textId="15BF0E77" w:rsidR="00430E56" w:rsidRPr="00FA21F6" w:rsidRDefault="00430E56" w:rsidP="00FA21F6">
            <w:pPr>
              <w:jc w:val="center"/>
              <w:rPr>
                <w:rFonts w:cs="Arial"/>
                <w:color w:val="000000"/>
                <w:sz w:val="22"/>
                <w:szCs w:val="22"/>
              </w:rPr>
            </w:pPr>
            <w:r w:rsidRPr="00FA21F6">
              <w:rPr>
                <w:rFonts w:cs="Arial"/>
                <w:color w:val="000000"/>
                <w:sz w:val="22"/>
                <w:szCs w:val="22"/>
              </w:rPr>
              <w:t>15-20%</w:t>
            </w:r>
          </w:p>
        </w:tc>
        <w:tc>
          <w:tcPr>
            <w:tcW w:w="910" w:type="pct"/>
            <w:shd w:val="clear" w:color="auto" w:fill="auto"/>
            <w:vAlign w:val="center"/>
          </w:tcPr>
          <w:p w14:paraId="0D0BAE30" w14:textId="0F9399C2" w:rsidR="00430E56" w:rsidRPr="00FA21F6" w:rsidRDefault="00430E56" w:rsidP="00FA21F6">
            <w:pPr>
              <w:jc w:val="center"/>
              <w:rPr>
                <w:rFonts w:cs="Arial"/>
                <w:color w:val="000000"/>
                <w:sz w:val="22"/>
                <w:szCs w:val="22"/>
              </w:rPr>
            </w:pPr>
            <w:r w:rsidRPr="00FA21F6">
              <w:rPr>
                <w:rFonts w:cs="Arial"/>
                <w:color w:val="000000"/>
                <w:sz w:val="22"/>
                <w:szCs w:val="22"/>
              </w:rPr>
              <w:t>35-40%</w:t>
            </w:r>
          </w:p>
        </w:tc>
        <w:tc>
          <w:tcPr>
            <w:tcW w:w="758" w:type="pct"/>
            <w:shd w:val="clear" w:color="auto" w:fill="auto"/>
            <w:vAlign w:val="bottom"/>
          </w:tcPr>
          <w:p w14:paraId="142623D5" w14:textId="0601197D" w:rsidR="00430E56" w:rsidRPr="00FA21F6" w:rsidRDefault="00430E56" w:rsidP="00FA21F6">
            <w:pPr>
              <w:jc w:val="center"/>
              <w:rPr>
                <w:rFonts w:cs="Arial"/>
                <w:color w:val="000000"/>
                <w:sz w:val="22"/>
                <w:szCs w:val="22"/>
              </w:rPr>
            </w:pPr>
            <w:r w:rsidRPr="00FA21F6">
              <w:rPr>
                <w:rFonts w:cs="Arial"/>
                <w:color w:val="000000"/>
                <w:sz w:val="22"/>
                <w:szCs w:val="22"/>
              </w:rPr>
              <w:t>30-35%</w:t>
            </w:r>
          </w:p>
        </w:tc>
      </w:tr>
      <w:tr w:rsidR="00430E56" w:rsidRPr="00FA4DC7" w14:paraId="16A7FA74" w14:textId="77777777" w:rsidTr="00EF49A7">
        <w:tc>
          <w:tcPr>
            <w:tcW w:w="1559" w:type="pct"/>
            <w:shd w:val="clear" w:color="auto" w:fill="auto"/>
            <w:noWrap/>
            <w:vAlign w:val="center"/>
            <w:hideMark/>
          </w:tcPr>
          <w:p w14:paraId="32EFA997" w14:textId="77777777" w:rsidR="00430E56" w:rsidRPr="00FA4DC7" w:rsidRDefault="00430E56" w:rsidP="00430E56">
            <w:pPr>
              <w:rPr>
                <w:rFonts w:cs="Arial"/>
                <w:color w:val="000000"/>
                <w:sz w:val="22"/>
                <w:szCs w:val="22"/>
              </w:rPr>
            </w:pPr>
            <w:r w:rsidRPr="00FA4DC7">
              <w:rPr>
                <w:rFonts w:cs="Arial"/>
                <w:color w:val="000000"/>
                <w:sz w:val="22"/>
                <w:szCs w:val="22"/>
              </w:rPr>
              <w:t>4 or more-bedroom house</w:t>
            </w:r>
          </w:p>
        </w:tc>
        <w:tc>
          <w:tcPr>
            <w:tcW w:w="763" w:type="pct"/>
            <w:shd w:val="clear" w:color="auto" w:fill="auto"/>
            <w:vAlign w:val="center"/>
          </w:tcPr>
          <w:p w14:paraId="2F49DA4D" w14:textId="4EE31A41" w:rsidR="00430E56" w:rsidRPr="00FA21F6" w:rsidRDefault="00430E56" w:rsidP="00FA21F6">
            <w:pPr>
              <w:jc w:val="center"/>
              <w:rPr>
                <w:rFonts w:cs="Arial"/>
                <w:color w:val="000000"/>
                <w:sz w:val="22"/>
                <w:szCs w:val="22"/>
              </w:rPr>
            </w:pPr>
            <w:r w:rsidRPr="00FA21F6">
              <w:rPr>
                <w:rFonts w:cs="Arial"/>
                <w:color w:val="000000"/>
                <w:sz w:val="22"/>
                <w:szCs w:val="22"/>
              </w:rPr>
              <w:t>15-20%</w:t>
            </w:r>
          </w:p>
        </w:tc>
        <w:tc>
          <w:tcPr>
            <w:tcW w:w="1010" w:type="pct"/>
            <w:shd w:val="clear" w:color="auto" w:fill="auto"/>
            <w:vAlign w:val="center"/>
          </w:tcPr>
          <w:p w14:paraId="3F488AA6" w14:textId="4EFEE4A3" w:rsidR="00430E56" w:rsidRPr="00FA21F6" w:rsidRDefault="00430E56" w:rsidP="00FA21F6">
            <w:pPr>
              <w:jc w:val="center"/>
              <w:rPr>
                <w:rFonts w:cs="Arial"/>
                <w:color w:val="000000"/>
                <w:sz w:val="22"/>
                <w:szCs w:val="22"/>
              </w:rPr>
            </w:pPr>
            <w:r w:rsidRPr="00FA21F6">
              <w:rPr>
                <w:rFonts w:cs="Arial"/>
                <w:color w:val="000000"/>
                <w:sz w:val="22"/>
                <w:szCs w:val="22"/>
              </w:rPr>
              <w:t>2-4%</w:t>
            </w:r>
          </w:p>
        </w:tc>
        <w:tc>
          <w:tcPr>
            <w:tcW w:w="910" w:type="pct"/>
            <w:shd w:val="clear" w:color="auto" w:fill="auto"/>
            <w:vAlign w:val="center"/>
          </w:tcPr>
          <w:p w14:paraId="5CFBD181" w14:textId="51F1AA3D" w:rsidR="00430E56" w:rsidRPr="00FA21F6" w:rsidRDefault="00430E56" w:rsidP="00FA21F6">
            <w:pPr>
              <w:jc w:val="center"/>
              <w:rPr>
                <w:rFonts w:cs="Arial"/>
                <w:color w:val="000000"/>
                <w:sz w:val="22"/>
                <w:szCs w:val="22"/>
              </w:rPr>
            </w:pPr>
            <w:r w:rsidRPr="00FA21F6">
              <w:rPr>
                <w:rFonts w:cs="Arial"/>
                <w:color w:val="000000"/>
                <w:sz w:val="22"/>
                <w:szCs w:val="22"/>
              </w:rPr>
              <w:t>10-15%</w:t>
            </w:r>
          </w:p>
        </w:tc>
        <w:tc>
          <w:tcPr>
            <w:tcW w:w="758" w:type="pct"/>
            <w:shd w:val="clear" w:color="auto" w:fill="auto"/>
            <w:vAlign w:val="bottom"/>
          </w:tcPr>
          <w:p w14:paraId="43A11B7A" w14:textId="4D8E4B34" w:rsidR="00430E56" w:rsidRPr="00FA21F6" w:rsidRDefault="00430E56" w:rsidP="00FA21F6">
            <w:pPr>
              <w:jc w:val="center"/>
              <w:rPr>
                <w:rFonts w:cs="Arial"/>
                <w:color w:val="000000"/>
                <w:sz w:val="22"/>
                <w:szCs w:val="22"/>
              </w:rPr>
            </w:pPr>
            <w:r w:rsidRPr="00FA21F6">
              <w:rPr>
                <w:rFonts w:cs="Arial"/>
                <w:color w:val="000000"/>
                <w:sz w:val="22"/>
                <w:szCs w:val="22"/>
              </w:rPr>
              <w:t>10-15%</w:t>
            </w:r>
          </w:p>
        </w:tc>
      </w:tr>
      <w:tr w:rsidR="00430E56" w:rsidRPr="00FA4DC7" w14:paraId="6A84F88D" w14:textId="77777777" w:rsidTr="00EF49A7">
        <w:tc>
          <w:tcPr>
            <w:tcW w:w="1559" w:type="pct"/>
            <w:shd w:val="clear" w:color="auto" w:fill="auto"/>
            <w:noWrap/>
            <w:vAlign w:val="center"/>
            <w:hideMark/>
          </w:tcPr>
          <w:p w14:paraId="453FF388" w14:textId="77777777" w:rsidR="00430E56" w:rsidRPr="00FA4DC7" w:rsidRDefault="00430E56" w:rsidP="00430E56">
            <w:pPr>
              <w:rPr>
                <w:rFonts w:cs="Arial"/>
                <w:color w:val="000000"/>
                <w:sz w:val="22"/>
                <w:szCs w:val="22"/>
              </w:rPr>
            </w:pPr>
            <w:r w:rsidRPr="00FA4DC7">
              <w:rPr>
                <w:rFonts w:cs="Arial"/>
                <w:color w:val="000000"/>
                <w:sz w:val="22"/>
                <w:szCs w:val="22"/>
              </w:rPr>
              <w:t>1-bedroom flat</w:t>
            </w:r>
          </w:p>
        </w:tc>
        <w:tc>
          <w:tcPr>
            <w:tcW w:w="763" w:type="pct"/>
            <w:shd w:val="clear" w:color="auto" w:fill="auto"/>
            <w:vAlign w:val="center"/>
          </w:tcPr>
          <w:p w14:paraId="416E7582" w14:textId="6CA4A5BC" w:rsidR="00430E56" w:rsidRPr="00FA21F6" w:rsidRDefault="00430E56" w:rsidP="00FA21F6">
            <w:pPr>
              <w:jc w:val="center"/>
              <w:rPr>
                <w:rFonts w:cs="Arial"/>
                <w:color w:val="000000"/>
                <w:sz w:val="22"/>
                <w:szCs w:val="22"/>
              </w:rPr>
            </w:pPr>
            <w:r w:rsidRPr="00FA21F6">
              <w:rPr>
                <w:rFonts w:cs="Arial"/>
                <w:color w:val="000000"/>
                <w:sz w:val="22"/>
                <w:szCs w:val="22"/>
              </w:rPr>
              <w:t>5-10%</w:t>
            </w:r>
          </w:p>
        </w:tc>
        <w:tc>
          <w:tcPr>
            <w:tcW w:w="1010" w:type="pct"/>
            <w:shd w:val="clear" w:color="auto" w:fill="auto"/>
            <w:vAlign w:val="center"/>
          </w:tcPr>
          <w:p w14:paraId="459ED28B" w14:textId="0BF2C668" w:rsidR="00430E56" w:rsidRPr="00FA21F6" w:rsidRDefault="00430E56" w:rsidP="00FA21F6">
            <w:pPr>
              <w:jc w:val="center"/>
              <w:rPr>
                <w:rFonts w:cs="Arial"/>
                <w:color w:val="000000"/>
                <w:sz w:val="22"/>
                <w:szCs w:val="22"/>
              </w:rPr>
            </w:pPr>
            <w:r w:rsidRPr="00FA21F6">
              <w:rPr>
                <w:rFonts w:cs="Arial"/>
                <w:color w:val="000000"/>
                <w:sz w:val="22"/>
                <w:szCs w:val="22"/>
              </w:rPr>
              <w:t>30-35%</w:t>
            </w:r>
          </w:p>
        </w:tc>
        <w:tc>
          <w:tcPr>
            <w:tcW w:w="910" w:type="pct"/>
            <w:shd w:val="clear" w:color="auto" w:fill="auto"/>
            <w:vAlign w:val="center"/>
          </w:tcPr>
          <w:p w14:paraId="790001EC" w14:textId="7DE21D73" w:rsidR="00430E56" w:rsidRPr="00FA21F6" w:rsidRDefault="00430E56" w:rsidP="00FA21F6">
            <w:pPr>
              <w:jc w:val="center"/>
              <w:rPr>
                <w:rFonts w:cs="Arial"/>
                <w:color w:val="000000"/>
                <w:sz w:val="22"/>
                <w:szCs w:val="22"/>
              </w:rPr>
            </w:pPr>
            <w:r w:rsidRPr="00FA21F6">
              <w:rPr>
                <w:rFonts w:cs="Arial"/>
                <w:color w:val="000000"/>
                <w:sz w:val="22"/>
                <w:szCs w:val="22"/>
              </w:rPr>
              <w:t>0-2%</w:t>
            </w:r>
          </w:p>
        </w:tc>
        <w:tc>
          <w:tcPr>
            <w:tcW w:w="758" w:type="pct"/>
            <w:shd w:val="clear" w:color="auto" w:fill="auto"/>
            <w:vAlign w:val="bottom"/>
          </w:tcPr>
          <w:p w14:paraId="1056BC5D" w14:textId="58B9BBC2" w:rsidR="00430E56" w:rsidRPr="00FA21F6" w:rsidRDefault="00430E56" w:rsidP="00FA21F6">
            <w:pPr>
              <w:jc w:val="center"/>
              <w:rPr>
                <w:rFonts w:cs="Arial"/>
                <w:color w:val="000000"/>
                <w:sz w:val="22"/>
                <w:szCs w:val="22"/>
              </w:rPr>
            </w:pPr>
            <w:r w:rsidRPr="00FA21F6">
              <w:rPr>
                <w:rFonts w:cs="Arial"/>
                <w:color w:val="000000"/>
                <w:sz w:val="22"/>
                <w:szCs w:val="22"/>
              </w:rPr>
              <w:t>15-20%</w:t>
            </w:r>
          </w:p>
        </w:tc>
      </w:tr>
      <w:tr w:rsidR="00430E56" w:rsidRPr="00FA4DC7" w14:paraId="6510E8F0" w14:textId="77777777" w:rsidTr="00EF49A7">
        <w:tc>
          <w:tcPr>
            <w:tcW w:w="1559" w:type="pct"/>
            <w:shd w:val="clear" w:color="auto" w:fill="auto"/>
            <w:noWrap/>
            <w:vAlign w:val="center"/>
            <w:hideMark/>
          </w:tcPr>
          <w:p w14:paraId="0A401EFB" w14:textId="77777777" w:rsidR="00430E56" w:rsidRPr="00FA4DC7" w:rsidRDefault="00430E56" w:rsidP="00430E56">
            <w:pPr>
              <w:rPr>
                <w:rFonts w:cs="Arial"/>
                <w:color w:val="000000"/>
                <w:sz w:val="22"/>
                <w:szCs w:val="22"/>
              </w:rPr>
            </w:pPr>
            <w:r w:rsidRPr="00FA4DC7">
              <w:rPr>
                <w:rFonts w:cs="Arial"/>
                <w:color w:val="000000"/>
                <w:sz w:val="22"/>
                <w:szCs w:val="22"/>
              </w:rPr>
              <w:t>2 or more -bedroom flat</w:t>
            </w:r>
          </w:p>
        </w:tc>
        <w:tc>
          <w:tcPr>
            <w:tcW w:w="763" w:type="pct"/>
            <w:shd w:val="clear" w:color="auto" w:fill="auto"/>
            <w:vAlign w:val="center"/>
          </w:tcPr>
          <w:p w14:paraId="58F129EC" w14:textId="04D06F77" w:rsidR="00430E56" w:rsidRPr="00FA21F6" w:rsidRDefault="00430E56" w:rsidP="00FA21F6">
            <w:pPr>
              <w:jc w:val="center"/>
              <w:rPr>
                <w:rFonts w:cs="Arial"/>
                <w:color w:val="000000"/>
                <w:sz w:val="22"/>
                <w:szCs w:val="22"/>
              </w:rPr>
            </w:pPr>
            <w:r w:rsidRPr="00FA21F6">
              <w:rPr>
                <w:rFonts w:cs="Arial"/>
                <w:color w:val="000000"/>
                <w:sz w:val="22"/>
                <w:szCs w:val="22"/>
              </w:rPr>
              <w:t>5-10%</w:t>
            </w:r>
          </w:p>
        </w:tc>
        <w:tc>
          <w:tcPr>
            <w:tcW w:w="1010" w:type="pct"/>
            <w:shd w:val="clear" w:color="auto" w:fill="auto"/>
            <w:vAlign w:val="center"/>
          </w:tcPr>
          <w:p w14:paraId="36E2190D" w14:textId="79934EB4" w:rsidR="00430E56" w:rsidRPr="00FA21F6" w:rsidRDefault="00430E56" w:rsidP="00FA21F6">
            <w:pPr>
              <w:jc w:val="center"/>
              <w:rPr>
                <w:rFonts w:cs="Arial"/>
                <w:color w:val="000000"/>
                <w:sz w:val="22"/>
                <w:szCs w:val="22"/>
              </w:rPr>
            </w:pPr>
            <w:r w:rsidRPr="00FA21F6">
              <w:rPr>
                <w:rFonts w:cs="Arial"/>
                <w:color w:val="000000"/>
                <w:sz w:val="22"/>
                <w:szCs w:val="22"/>
              </w:rPr>
              <w:t>35-40%</w:t>
            </w:r>
          </w:p>
        </w:tc>
        <w:tc>
          <w:tcPr>
            <w:tcW w:w="910" w:type="pct"/>
            <w:shd w:val="clear" w:color="auto" w:fill="auto"/>
            <w:vAlign w:val="center"/>
          </w:tcPr>
          <w:p w14:paraId="1AE7EB28" w14:textId="506CDA10" w:rsidR="00430E56" w:rsidRPr="00FA21F6" w:rsidRDefault="00430E56" w:rsidP="00FA21F6">
            <w:pPr>
              <w:jc w:val="center"/>
              <w:rPr>
                <w:rFonts w:cs="Arial"/>
                <w:color w:val="000000"/>
                <w:sz w:val="22"/>
                <w:szCs w:val="22"/>
              </w:rPr>
            </w:pPr>
            <w:r w:rsidRPr="00FA21F6">
              <w:rPr>
                <w:rFonts w:cs="Arial"/>
                <w:color w:val="000000"/>
                <w:sz w:val="22"/>
                <w:szCs w:val="22"/>
              </w:rPr>
              <w:t>15-20%</w:t>
            </w:r>
          </w:p>
        </w:tc>
        <w:tc>
          <w:tcPr>
            <w:tcW w:w="758" w:type="pct"/>
            <w:shd w:val="clear" w:color="auto" w:fill="auto"/>
            <w:vAlign w:val="bottom"/>
          </w:tcPr>
          <w:p w14:paraId="4E35126E" w14:textId="5DDCE989" w:rsidR="00430E56" w:rsidRPr="00FA21F6" w:rsidRDefault="00430E56" w:rsidP="00FA21F6">
            <w:pPr>
              <w:jc w:val="center"/>
              <w:rPr>
                <w:rFonts w:cs="Arial"/>
                <w:color w:val="000000"/>
                <w:sz w:val="22"/>
                <w:szCs w:val="22"/>
              </w:rPr>
            </w:pPr>
            <w:r w:rsidRPr="00FA21F6">
              <w:rPr>
                <w:rFonts w:cs="Arial"/>
                <w:color w:val="000000"/>
                <w:sz w:val="22"/>
                <w:szCs w:val="22"/>
              </w:rPr>
              <w:t>20-25%</w:t>
            </w:r>
          </w:p>
        </w:tc>
      </w:tr>
      <w:tr w:rsidR="00430E56" w:rsidRPr="00FA4DC7" w14:paraId="09B4061D" w14:textId="77777777" w:rsidTr="00EF49A7">
        <w:tc>
          <w:tcPr>
            <w:tcW w:w="1559" w:type="pct"/>
            <w:shd w:val="clear" w:color="auto" w:fill="auto"/>
            <w:noWrap/>
            <w:vAlign w:val="center"/>
            <w:hideMark/>
          </w:tcPr>
          <w:p w14:paraId="54C53D5E" w14:textId="77777777" w:rsidR="00430E56" w:rsidRPr="00FA4DC7" w:rsidRDefault="00430E56" w:rsidP="00430E56">
            <w:pPr>
              <w:rPr>
                <w:rFonts w:cs="Arial"/>
                <w:color w:val="000000"/>
                <w:sz w:val="22"/>
                <w:szCs w:val="22"/>
              </w:rPr>
            </w:pPr>
            <w:r w:rsidRPr="00FA4DC7">
              <w:rPr>
                <w:rFonts w:cs="Arial"/>
                <w:color w:val="000000"/>
                <w:sz w:val="22"/>
                <w:szCs w:val="22"/>
              </w:rPr>
              <w:t>1-bedroom bungalow/level-access</w:t>
            </w:r>
          </w:p>
        </w:tc>
        <w:tc>
          <w:tcPr>
            <w:tcW w:w="763" w:type="pct"/>
            <w:shd w:val="clear" w:color="auto" w:fill="auto"/>
            <w:vAlign w:val="center"/>
          </w:tcPr>
          <w:p w14:paraId="2DD0147E" w14:textId="0B872755" w:rsidR="00430E56" w:rsidRPr="00FA21F6" w:rsidRDefault="00430E56" w:rsidP="00FA21F6">
            <w:pPr>
              <w:jc w:val="center"/>
              <w:rPr>
                <w:rFonts w:cs="Arial"/>
                <w:color w:val="000000"/>
                <w:sz w:val="22"/>
                <w:szCs w:val="22"/>
              </w:rPr>
            </w:pPr>
            <w:r w:rsidRPr="00FA21F6">
              <w:rPr>
                <w:rFonts w:cs="Arial"/>
                <w:color w:val="000000"/>
                <w:sz w:val="22"/>
                <w:szCs w:val="22"/>
              </w:rPr>
              <w:t>1-3%</w:t>
            </w:r>
          </w:p>
        </w:tc>
        <w:tc>
          <w:tcPr>
            <w:tcW w:w="1010" w:type="pct"/>
            <w:shd w:val="clear" w:color="auto" w:fill="auto"/>
            <w:vAlign w:val="center"/>
          </w:tcPr>
          <w:p w14:paraId="22AEFB58" w14:textId="26AA51B3" w:rsidR="00430E56" w:rsidRPr="00FA21F6" w:rsidRDefault="00430E56" w:rsidP="00FA21F6">
            <w:pPr>
              <w:jc w:val="center"/>
              <w:rPr>
                <w:rFonts w:cs="Arial"/>
                <w:color w:val="000000"/>
                <w:sz w:val="22"/>
                <w:szCs w:val="22"/>
              </w:rPr>
            </w:pPr>
            <w:r w:rsidRPr="00FA21F6">
              <w:rPr>
                <w:rFonts w:cs="Arial"/>
                <w:color w:val="000000"/>
                <w:sz w:val="22"/>
                <w:szCs w:val="22"/>
              </w:rPr>
              <w:t>1-3%</w:t>
            </w:r>
          </w:p>
        </w:tc>
        <w:tc>
          <w:tcPr>
            <w:tcW w:w="910" w:type="pct"/>
            <w:shd w:val="clear" w:color="auto" w:fill="auto"/>
            <w:vAlign w:val="center"/>
          </w:tcPr>
          <w:p w14:paraId="2DED2314" w14:textId="624A867A" w:rsidR="00430E56" w:rsidRPr="00FA21F6" w:rsidRDefault="00430E56" w:rsidP="00FA21F6">
            <w:pPr>
              <w:jc w:val="center"/>
              <w:rPr>
                <w:rFonts w:cs="Arial"/>
                <w:color w:val="000000"/>
                <w:sz w:val="22"/>
                <w:szCs w:val="22"/>
              </w:rPr>
            </w:pPr>
            <w:r w:rsidRPr="00FA21F6">
              <w:rPr>
                <w:rFonts w:cs="Arial"/>
                <w:color w:val="000000"/>
                <w:sz w:val="22"/>
                <w:szCs w:val="22"/>
              </w:rPr>
              <w:t>4-6%</w:t>
            </w:r>
          </w:p>
        </w:tc>
        <w:tc>
          <w:tcPr>
            <w:tcW w:w="758" w:type="pct"/>
            <w:shd w:val="clear" w:color="auto" w:fill="auto"/>
            <w:vAlign w:val="bottom"/>
          </w:tcPr>
          <w:p w14:paraId="7D67945F" w14:textId="4304625B" w:rsidR="00430E56" w:rsidRPr="00FA21F6" w:rsidRDefault="00430E56" w:rsidP="00FA21F6">
            <w:pPr>
              <w:jc w:val="center"/>
              <w:rPr>
                <w:rFonts w:cs="Arial"/>
                <w:color w:val="000000"/>
                <w:sz w:val="22"/>
                <w:szCs w:val="22"/>
              </w:rPr>
            </w:pPr>
            <w:r w:rsidRPr="00FA21F6">
              <w:rPr>
                <w:rFonts w:cs="Arial"/>
                <w:color w:val="000000"/>
                <w:sz w:val="22"/>
                <w:szCs w:val="22"/>
              </w:rPr>
              <w:t>2-4%</w:t>
            </w:r>
          </w:p>
        </w:tc>
      </w:tr>
      <w:tr w:rsidR="00430E56" w:rsidRPr="00FA4DC7" w14:paraId="66918208" w14:textId="77777777" w:rsidTr="00EF49A7">
        <w:tc>
          <w:tcPr>
            <w:tcW w:w="1559" w:type="pct"/>
            <w:shd w:val="clear" w:color="auto" w:fill="auto"/>
            <w:noWrap/>
            <w:vAlign w:val="center"/>
            <w:hideMark/>
          </w:tcPr>
          <w:p w14:paraId="5A5B34EA" w14:textId="77777777" w:rsidR="00430E56" w:rsidRPr="00FA4DC7" w:rsidRDefault="00430E56" w:rsidP="00430E56">
            <w:pPr>
              <w:rPr>
                <w:rFonts w:cs="Arial"/>
                <w:color w:val="000000"/>
                <w:sz w:val="22"/>
                <w:szCs w:val="22"/>
              </w:rPr>
            </w:pPr>
            <w:r w:rsidRPr="00FA4DC7">
              <w:rPr>
                <w:rFonts w:cs="Arial"/>
                <w:color w:val="000000"/>
                <w:sz w:val="22"/>
                <w:szCs w:val="22"/>
              </w:rPr>
              <w:t>2-bedroom bungalow/level-access</w:t>
            </w:r>
          </w:p>
        </w:tc>
        <w:tc>
          <w:tcPr>
            <w:tcW w:w="763" w:type="pct"/>
            <w:shd w:val="clear" w:color="auto" w:fill="auto"/>
            <w:vAlign w:val="center"/>
          </w:tcPr>
          <w:p w14:paraId="7809DF8E" w14:textId="5A7D0D2D" w:rsidR="00430E56" w:rsidRPr="00FA21F6" w:rsidRDefault="00430E56" w:rsidP="00FA21F6">
            <w:pPr>
              <w:jc w:val="center"/>
              <w:rPr>
                <w:rFonts w:cs="Arial"/>
                <w:color w:val="000000"/>
                <w:sz w:val="22"/>
                <w:szCs w:val="22"/>
              </w:rPr>
            </w:pPr>
            <w:r w:rsidRPr="00FA21F6">
              <w:rPr>
                <w:rFonts w:cs="Arial"/>
                <w:color w:val="000000"/>
                <w:sz w:val="22"/>
                <w:szCs w:val="22"/>
              </w:rPr>
              <w:t>2-4%</w:t>
            </w:r>
          </w:p>
        </w:tc>
        <w:tc>
          <w:tcPr>
            <w:tcW w:w="1010" w:type="pct"/>
            <w:shd w:val="clear" w:color="auto" w:fill="auto"/>
            <w:vAlign w:val="center"/>
          </w:tcPr>
          <w:p w14:paraId="2DD22FAA" w14:textId="6B22F4C3" w:rsidR="00430E56" w:rsidRPr="00FA21F6" w:rsidRDefault="00430E56" w:rsidP="00FA21F6">
            <w:pPr>
              <w:jc w:val="center"/>
              <w:rPr>
                <w:rFonts w:cs="Arial"/>
                <w:color w:val="000000"/>
                <w:sz w:val="22"/>
                <w:szCs w:val="22"/>
              </w:rPr>
            </w:pPr>
            <w:r w:rsidRPr="00FA21F6">
              <w:rPr>
                <w:rFonts w:cs="Arial"/>
                <w:color w:val="000000"/>
                <w:sz w:val="22"/>
                <w:szCs w:val="22"/>
              </w:rPr>
              <w:t>1-3%</w:t>
            </w:r>
          </w:p>
        </w:tc>
        <w:tc>
          <w:tcPr>
            <w:tcW w:w="910" w:type="pct"/>
            <w:shd w:val="clear" w:color="auto" w:fill="auto"/>
            <w:vAlign w:val="center"/>
          </w:tcPr>
          <w:p w14:paraId="737B67F1" w14:textId="359C0A50" w:rsidR="00430E56" w:rsidRPr="00FA21F6" w:rsidRDefault="00430E56" w:rsidP="00FA21F6">
            <w:pPr>
              <w:jc w:val="center"/>
              <w:rPr>
                <w:rFonts w:cs="Arial"/>
                <w:color w:val="000000"/>
                <w:sz w:val="22"/>
                <w:szCs w:val="22"/>
              </w:rPr>
            </w:pPr>
            <w:r w:rsidRPr="00FA21F6">
              <w:rPr>
                <w:rFonts w:cs="Arial"/>
                <w:color w:val="000000"/>
                <w:sz w:val="22"/>
                <w:szCs w:val="22"/>
              </w:rPr>
              <w:t>4-6%</w:t>
            </w:r>
          </w:p>
        </w:tc>
        <w:tc>
          <w:tcPr>
            <w:tcW w:w="758" w:type="pct"/>
            <w:shd w:val="clear" w:color="auto" w:fill="auto"/>
            <w:vAlign w:val="bottom"/>
          </w:tcPr>
          <w:p w14:paraId="604F8AED" w14:textId="648E5FB3" w:rsidR="00430E56" w:rsidRPr="00FA21F6" w:rsidRDefault="00430E56" w:rsidP="00FA21F6">
            <w:pPr>
              <w:jc w:val="center"/>
              <w:rPr>
                <w:rFonts w:cs="Arial"/>
                <w:color w:val="000000"/>
                <w:sz w:val="22"/>
                <w:szCs w:val="22"/>
              </w:rPr>
            </w:pPr>
            <w:r w:rsidRPr="00FA21F6">
              <w:rPr>
                <w:rFonts w:cs="Arial"/>
                <w:color w:val="000000"/>
                <w:sz w:val="22"/>
                <w:szCs w:val="22"/>
              </w:rPr>
              <w:t>2-4%</w:t>
            </w:r>
          </w:p>
        </w:tc>
      </w:tr>
      <w:tr w:rsidR="00430E56" w:rsidRPr="00FA4DC7" w14:paraId="0783451B" w14:textId="77777777" w:rsidTr="00EF49A7">
        <w:tc>
          <w:tcPr>
            <w:tcW w:w="1559" w:type="pct"/>
            <w:shd w:val="clear" w:color="auto" w:fill="auto"/>
            <w:noWrap/>
            <w:vAlign w:val="center"/>
            <w:hideMark/>
          </w:tcPr>
          <w:p w14:paraId="7736683C" w14:textId="77777777" w:rsidR="00430E56" w:rsidRPr="00FA4DC7" w:rsidRDefault="00430E56" w:rsidP="00430E56">
            <w:pPr>
              <w:rPr>
                <w:rFonts w:cs="Arial"/>
                <w:color w:val="000000"/>
                <w:sz w:val="22"/>
                <w:szCs w:val="22"/>
              </w:rPr>
            </w:pPr>
            <w:r w:rsidRPr="00FA4DC7">
              <w:rPr>
                <w:rFonts w:cs="Arial"/>
                <w:color w:val="000000"/>
                <w:sz w:val="22"/>
                <w:szCs w:val="22"/>
              </w:rPr>
              <w:t>3 or more-bedroom bungalow/level-access</w:t>
            </w:r>
          </w:p>
        </w:tc>
        <w:tc>
          <w:tcPr>
            <w:tcW w:w="763" w:type="pct"/>
            <w:shd w:val="clear" w:color="auto" w:fill="auto"/>
            <w:vAlign w:val="center"/>
          </w:tcPr>
          <w:p w14:paraId="7D49C53F" w14:textId="4F8C2C7B" w:rsidR="00430E56" w:rsidRPr="00FA21F6" w:rsidRDefault="00430E56" w:rsidP="00FA21F6">
            <w:pPr>
              <w:jc w:val="center"/>
              <w:rPr>
                <w:rFonts w:cs="Arial"/>
                <w:color w:val="000000"/>
                <w:sz w:val="22"/>
                <w:szCs w:val="22"/>
              </w:rPr>
            </w:pPr>
            <w:r w:rsidRPr="00FA21F6">
              <w:rPr>
                <w:rFonts w:cs="Arial"/>
                <w:color w:val="000000"/>
                <w:sz w:val="22"/>
                <w:szCs w:val="22"/>
              </w:rPr>
              <w:t>2-4%</w:t>
            </w:r>
          </w:p>
        </w:tc>
        <w:tc>
          <w:tcPr>
            <w:tcW w:w="1010" w:type="pct"/>
            <w:shd w:val="clear" w:color="auto" w:fill="auto"/>
            <w:vAlign w:val="center"/>
          </w:tcPr>
          <w:p w14:paraId="1221010B" w14:textId="5FE97827" w:rsidR="00430E56" w:rsidRPr="00FA21F6" w:rsidRDefault="00430E56" w:rsidP="00FA21F6">
            <w:pPr>
              <w:jc w:val="center"/>
              <w:rPr>
                <w:rFonts w:cs="Arial"/>
                <w:color w:val="000000"/>
                <w:sz w:val="22"/>
                <w:szCs w:val="22"/>
              </w:rPr>
            </w:pPr>
            <w:r w:rsidRPr="00FA21F6">
              <w:rPr>
                <w:rFonts w:cs="Arial"/>
                <w:color w:val="000000"/>
                <w:sz w:val="22"/>
                <w:szCs w:val="22"/>
              </w:rPr>
              <w:t>1-3%</w:t>
            </w:r>
          </w:p>
        </w:tc>
        <w:tc>
          <w:tcPr>
            <w:tcW w:w="910" w:type="pct"/>
            <w:shd w:val="clear" w:color="auto" w:fill="auto"/>
            <w:vAlign w:val="center"/>
          </w:tcPr>
          <w:p w14:paraId="1731BFEA" w14:textId="6C1995A9" w:rsidR="00430E56" w:rsidRPr="00FA21F6" w:rsidRDefault="00430E56" w:rsidP="00FA21F6">
            <w:pPr>
              <w:jc w:val="center"/>
              <w:rPr>
                <w:rFonts w:cs="Arial"/>
                <w:color w:val="000000"/>
                <w:sz w:val="22"/>
                <w:szCs w:val="22"/>
              </w:rPr>
            </w:pPr>
            <w:r w:rsidRPr="00FA21F6">
              <w:rPr>
                <w:rFonts w:cs="Arial"/>
                <w:color w:val="000000"/>
                <w:sz w:val="22"/>
                <w:szCs w:val="22"/>
              </w:rPr>
              <w:t>0-2%</w:t>
            </w:r>
          </w:p>
        </w:tc>
        <w:tc>
          <w:tcPr>
            <w:tcW w:w="758" w:type="pct"/>
            <w:shd w:val="clear" w:color="auto" w:fill="auto"/>
            <w:vAlign w:val="bottom"/>
          </w:tcPr>
          <w:p w14:paraId="6A9C4155" w14:textId="16E33E79" w:rsidR="00430E56" w:rsidRPr="00FA21F6" w:rsidRDefault="00430E56" w:rsidP="00FA21F6">
            <w:pPr>
              <w:jc w:val="center"/>
              <w:rPr>
                <w:rFonts w:cs="Arial"/>
                <w:color w:val="000000"/>
                <w:sz w:val="22"/>
                <w:szCs w:val="22"/>
              </w:rPr>
            </w:pPr>
            <w:r w:rsidRPr="00FA21F6">
              <w:rPr>
                <w:rFonts w:cs="Arial"/>
                <w:color w:val="000000"/>
                <w:sz w:val="22"/>
                <w:szCs w:val="22"/>
              </w:rPr>
              <w:t>2-4%</w:t>
            </w:r>
          </w:p>
        </w:tc>
      </w:tr>
      <w:tr w:rsidR="00FA4DC7" w:rsidRPr="00FA4DC7" w14:paraId="4EDDE9A9" w14:textId="77777777" w:rsidTr="00EF49A7">
        <w:tc>
          <w:tcPr>
            <w:tcW w:w="1559" w:type="pct"/>
            <w:shd w:val="clear" w:color="auto" w:fill="006666"/>
            <w:noWrap/>
            <w:vAlign w:val="bottom"/>
            <w:hideMark/>
          </w:tcPr>
          <w:p w14:paraId="51FECD83"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w:t>
            </w:r>
          </w:p>
        </w:tc>
        <w:tc>
          <w:tcPr>
            <w:tcW w:w="763" w:type="pct"/>
            <w:shd w:val="clear" w:color="auto" w:fill="006666"/>
            <w:vAlign w:val="bottom"/>
            <w:hideMark/>
          </w:tcPr>
          <w:p w14:paraId="371EF6FA"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Market</w:t>
            </w:r>
          </w:p>
        </w:tc>
        <w:tc>
          <w:tcPr>
            <w:tcW w:w="1010" w:type="pct"/>
            <w:shd w:val="clear" w:color="auto" w:fill="006666"/>
            <w:vAlign w:val="bottom"/>
            <w:hideMark/>
          </w:tcPr>
          <w:p w14:paraId="39F5AD3D"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Affordable/</w:t>
            </w:r>
          </w:p>
          <w:p w14:paraId="2103BD87"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Social Rented</w:t>
            </w:r>
          </w:p>
        </w:tc>
        <w:tc>
          <w:tcPr>
            <w:tcW w:w="910" w:type="pct"/>
            <w:shd w:val="clear" w:color="auto" w:fill="006666"/>
            <w:vAlign w:val="bottom"/>
            <w:hideMark/>
          </w:tcPr>
          <w:p w14:paraId="278A98A5"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Affordable home ownership</w:t>
            </w:r>
          </w:p>
        </w:tc>
        <w:tc>
          <w:tcPr>
            <w:tcW w:w="758" w:type="pct"/>
            <w:shd w:val="clear" w:color="auto" w:fill="006666"/>
            <w:noWrap/>
            <w:vAlign w:val="bottom"/>
            <w:hideMark/>
          </w:tcPr>
          <w:p w14:paraId="0B0EB90D" w14:textId="77777777" w:rsidR="00CE1BDB" w:rsidRPr="00FA4DC7" w:rsidRDefault="00CE1BDB" w:rsidP="00FA21F6">
            <w:pPr>
              <w:jc w:val="center"/>
              <w:rPr>
                <w:rFonts w:cs="Arial"/>
                <w:b/>
                <w:bCs/>
                <w:color w:val="FFFFFF"/>
                <w:sz w:val="22"/>
                <w:szCs w:val="22"/>
              </w:rPr>
            </w:pPr>
            <w:r w:rsidRPr="00FA4DC7">
              <w:rPr>
                <w:rFonts w:cs="Arial"/>
                <w:b/>
                <w:bCs/>
                <w:color w:val="FFFFFF"/>
                <w:sz w:val="22"/>
                <w:szCs w:val="22"/>
              </w:rPr>
              <w:t>Total</w:t>
            </w:r>
          </w:p>
        </w:tc>
      </w:tr>
      <w:tr w:rsidR="00430E56" w:rsidRPr="00FA4DC7" w14:paraId="71BABE09" w14:textId="77777777" w:rsidTr="00EF49A7">
        <w:tc>
          <w:tcPr>
            <w:tcW w:w="1559" w:type="pct"/>
            <w:shd w:val="clear" w:color="auto" w:fill="auto"/>
            <w:noWrap/>
            <w:vAlign w:val="center"/>
            <w:hideMark/>
          </w:tcPr>
          <w:p w14:paraId="3259CC3E" w14:textId="77777777" w:rsidR="00430E56" w:rsidRPr="00FA4DC7" w:rsidRDefault="00430E56" w:rsidP="00430E56">
            <w:pPr>
              <w:rPr>
                <w:rFonts w:cs="Arial"/>
                <w:color w:val="000000"/>
                <w:sz w:val="22"/>
                <w:szCs w:val="22"/>
              </w:rPr>
            </w:pPr>
            <w:r w:rsidRPr="00FA4DC7">
              <w:rPr>
                <w:rFonts w:cs="Arial"/>
                <w:color w:val="000000"/>
                <w:sz w:val="22"/>
                <w:szCs w:val="22"/>
              </w:rPr>
              <w:t>House</w:t>
            </w:r>
          </w:p>
        </w:tc>
        <w:tc>
          <w:tcPr>
            <w:tcW w:w="763" w:type="pct"/>
            <w:shd w:val="clear" w:color="auto" w:fill="auto"/>
            <w:vAlign w:val="center"/>
          </w:tcPr>
          <w:p w14:paraId="39FD23D1" w14:textId="2BD8E58D" w:rsidR="00430E56" w:rsidRPr="00FA21F6" w:rsidRDefault="00430E56" w:rsidP="00FA21F6">
            <w:pPr>
              <w:jc w:val="center"/>
              <w:rPr>
                <w:rFonts w:cs="Arial"/>
                <w:color w:val="000000"/>
                <w:sz w:val="22"/>
                <w:szCs w:val="22"/>
              </w:rPr>
            </w:pPr>
            <w:r w:rsidRPr="00FA21F6">
              <w:rPr>
                <w:rFonts w:cs="Arial"/>
                <w:color w:val="000000"/>
                <w:sz w:val="22"/>
                <w:szCs w:val="22"/>
              </w:rPr>
              <w:t>75-80%</w:t>
            </w:r>
          </w:p>
        </w:tc>
        <w:tc>
          <w:tcPr>
            <w:tcW w:w="1010" w:type="pct"/>
            <w:shd w:val="clear" w:color="auto" w:fill="auto"/>
            <w:vAlign w:val="center"/>
          </w:tcPr>
          <w:p w14:paraId="3F53D2BB" w14:textId="69206957" w:rsidR="00430E56" w:rsidRPr="00FA21F6" w:rsidRDefault="00430E56" w:rsidP="00FA21F6">
            <w:pPr>
              <w:jc w:val="center"/>
              <w:rPr>
                <w:rFonts w:cs="Arial"/>
                <w:color w:val="000000"/>
                <w:sz w:val="22"/>
                <w:szCs w:val="22"/>
              </w:rPr>
            </w:pPr>
            <w:r w:rsidRPr="00FA21F6">
              <w:rPr>
                <w:rFonts w:cs="Arial"/>
                <w:color w:val="000000"/>
                <w:sz w:val="22"/>
                <w:szCs w:val="22"/>
              </w:rPr>
              <w:t>25-30%</w:t>
            </w:r>
          </w:p>
        </w:tc>
        <w:tc>
          <w:tcPr>
            <w:tcW w:w="910" w:type="pct"/>
            <w:shd w:val="clear" w:color="auto" w:fill="auto"/>
            <w:vAlign w:val="center"/>
          </w:tcPr>
          <w:p w14:paraId="0DC8268E" w14:textId="1B00A5A6" w:rsidR="00430E56" w:rsidRPr="00FA21F6" w:rsidRDefault="00430E56" w:rsidP="00FA21F6">
            <w:pPr>
              <w:jc w:val="center"/>
              <w:rPr>
                <w:rFonts w:cs="Arial"/>
                <w:color w:val="000000"/>
                <w:sz w:val="22"/>
                <w:szCs w:val="22"/>
              </w:rPr>
            </w:pPr>
            <w:r w:rsidRPr="00FA21F6">
              <w:rPr>
                <w:rFonts w:cs="Arial"/>
                <w:color w:val="000000"/>
                <w:sz w:val="22"/>
                <w:szCs w:val="22"/>
              </w:rPr>
              <w:t>20-25%</w:t>
            </w:r>
          </w:p>
        </w:tc>
        <w:tc>
          <w:tcPr>
            <w:tcW w:w="758" w:type="pct"/>
            <w:shd w:val="clear" w:color="auto" w:fill="auto"/>
            <w:vAlign w:val="center"/>
          </w:tcPr>
          <w:p w14:paraId="527BC829" w14:textId="54CD54A1" w:rsidR="00430E56" w:rsidRPr="00FA21F6" w:rsidRDefault="00430E56" w:rsidP="00FA21F6">
            <w:pPr>
              <w:jc w:val="center"/>
              <w:rPr>
                <w:rFonts w:cs="Arial"/>
                <w:color w:val="000000"/>
                <w:sz w:val="22"/>
                <w:szCs w:val="22"/>
              </w:rPr>
            </w:pPr>
            <w:r w:rsidRPr="00FA21F6">
              <w:rPr>
                <w:rFonts w:cs="Arial"/>
                <w:color w:val="000000"/>
                <w:sz w:val="22"/>
                <w:szCs w:val="22"/>
              </w:rPr>
              <w:t>60-65%</w:t>
            </w:r>
          </w:p>
        </w:tc>
      </w:tr>
      <w:tr w:rsidR="00430E56" w:rsidRPr="00FA4DC7" w14:paraId="6B085802" w14:textId="77777777" w:rsidTr="00EF49A7">
        <w:tc>
          <w:tcPr>
            <w:tcW w:w="1559" w:type="pct"/>
            <w:shd w:val="clear" w:color="auto" w:fill="auto"/>
            <w:noWrap/>
            <w:vAlign w:val="center"/>
            <w:hideMark/>
          </w:tcPr>
          <w:p w14:paraId="241943C0" w14:textId="77777777" w:rsidR="00430E56" w:rsidRPr="00FA4DC7" w:rsidRDefault="00430E56" w:rsidP="00430E56">
            <w:pPr>
              <w:rPr>
                <w:rFonts w:cs="Arial"/>
                <w:color w:val="000000"/>
                <w:sz w:val="22"/>
                <w:szCs w:val="22"/>
              </w:rPr>
            </w:pPr>
            <w:r w:rsidRPr="00FA4DC7">
              <w:rPr>
                <w:rFonts w:cs="Arial"/>
                <w:color w:val="000000"/>
                <w:sz w:val="22"/>
                <w:szCs w:val="22"/>
              </w:rPr>
              <w:t>Flat</w:t>
            </w:r>
          </w:p>
        </w:tc>
        <w:tc>
          <w:tcPr>
            <w:tcW w:w="763" w:type="pct"/>
            <w:shd w:val="clear" w:color="auto" w:fill="auto"/>
            <w:vAlign w:val="center"/>
          </w:tcPr>
          <w:p w14:paraId="7848E68D" w14:textId="4C7AA9B7" w:rsidR="00430E56" w:rsidRPr="00FA21F6" w:rsidRDefault="00430E56" w:rsidP="00FA21F6">
            <w:pPr>
              <w:jc w:val="center"/>
              <w:rPr>
                <w:rFonts w:cs="Arial"/>
                <w:color w:val="000000"/>
                <w:sz w:val="22"/>
                <w:szCs w:val="22"/>
              </w:rPr>
            </w:pPr>
            <w:r w:rsidRPr="00FA21F6">
              <w:rPr>
                <w:rFonts w:cs="Arial"/>
                <w:color w:val="000000"/>
                <w:sz w:val="22"/>
                <w:szCs w:val="22"/>
              </w:rPr>
              <w:t>10-15%</w:t>
            </w:r>
          </w:p>
        </w:tc>
        <w:tc>
          <w:tcPr>
            <w:tcW w:w="1010" w:type="pct"/>
            <w:shd w:val="clear" w:color="auto" w:fill="auto"/>
            <w:vAlign w:val="center"/>
          </w:tcPr>
          <w:p w14:paraId="1FC1AC35" w14:textId="28235894" w:rsidR="00430E56" w:rsidRPr="00FA21F6" w:rsidRDefault="00430E56" w:rsidP="00FA21F6">
            <w:pPr>
              <w:jc w:val="center"/>
              <w:rPr>
                <w:rFonts w:cs="Arial"/>
                <w:color w:val="000000"/>
                <w:sz w:val="22"/>
                <w:szCs w:val="22"/>
              </w:rPr>
            </w:pPr>
            <w:r w:rsidRPr="00FA21F6">
              <w:rPr>
                <w:rFonts w:cs="Arial"/>
                <w:color w:val="000000"/>
                <w:sz w:val="22"/>
                <w:szCs w:val="22"/>
              </w:rPr>
              <w:t>70-75%</w:t>
            </w:r>
          </w:p>
        </w:tc>
        <w:tc>
          <w:tcPr>
            <w:tcW w:w="910" w:type="pct"/>
            <w:shd w:val="clear" w:color="auto" w:fill="auto"/>
            <w:vAlign w:val="center"/>
          </w:tcPr>
          <w:p w14:paraId="63F81FD4" w14:textId="6CB9B953" w:rsidR="00430E56" w:rsidRPr="00FA21F6" w:rsidRDefault="00430E56" w:rsidP="00FA21F6">
            <w:pPr>
              <w:jc w:val="center"/>
              <w:rPr>
                <w:rFonts w:cs="Arial"/>
                <w:color w:val="000000"/>
                <w:sz w:val="22"/>
                <w:szCs w:val="22"/>
              </w:rPr>
            </w:pPr>
            <w:r w:rsidRPr="00FA21F6">
              <w:rPr>
                <w:rFonts w:cs="Arial"/>
                <w:color w:val="000000"/>
                <w:sz w:val="22"/>
                <w:szCs w:val="22"/>
              </w:rPr>
              <w:t>75-80%</w:t>
            </w:r>
          </w:p>
        </w:tc>
        <w:tc>
          <w:tcPr>
            <w:tcW w:w="758" w:type="pct"/>
            <w:shd w:val="clear" w:color="auto" w:fill="auto"/>
            <w:vAlign w:val="center"/>
          </w:tcPr>
          <w:p w14:paraId="40E9F928" w14:textId="39FE0139" w:rsidR="00430E56" w:rsidRPr="00FA21F6" w:rsidRDefault="00430E56" w:rsidP="00FA21F6">
            <w:pPr>
              <w:jc w:val="center"/>
              <w:rPr>
                <w:rFonts w:cs="Arial"/>
                <w:color w:val="000000"/>
                <w:sz w:val="22"/>
                <w:szCs w:val="22"/>
              </w:rPr>
            </w:pPr>
            <w:r w:rsidRPr="00FA21F6">
              <w:rPr>
                <w:rFonts w:cs="Arial"/>
                <w:color w:val="000000"/>
                <w:sz w:val="22"/>
                <w:szCs w:val="22"/>
              </w:rPr>
              <w:t>30-35%</w:t>
            </w:r>
          </w:p>
        </w:tc>
      </w:tr>
      <w:tr w:rsidR="00430E56" w:rsidRPr="00FA4DC7" w14:paraId="0A603C55" w14:textId="77777777" w:rsidTr="00EF49A7">
        <w:tc>
          <w:tcPr>
            <w:tcW w:w="1559" w:type="pct"/>
            <w:shd w:val="clear" w:color="auto" w:fill="auto"/>
            <w:noWrap/>
            <w:vAlign w:val="center"/>
            <w:hideMark/>
          </w:tcPr>
          <w:p w14:paraId="3A2534D2" w14:textId="77777777" w:rsidR="00430E56" w:rsidRPr="00FA4DC7" w:rsidRDefault="00430E56" w:rsidP="00430E56">
            <w:pPr>
              <w:rPr>
                <w:rFonts w:cs="Arial"/>
                <w:color w:val="000000"/>
                <w:sz w:val="22"/>
                <w:szCs w:val="22"/>
              </w:rPr>
            </w:pPr>
            <w:r w:rsidRPr="00FA4DC7">
              <w:rPr>
                <w:rFonts w:cs="Arial"/>
                <w:color w:val="000000"/>
                <w:sz w:val="22"/>
                <w:szCs w:val="22"/>
              </w:rPr>
              <w:t>Bungalow/level-access</w:t>
            </w:r>
          </w:p>
        </w:tc>
        <w:tc>
          <w:tcPr>
            <w:tcW w:w="763" w:type="pct"/>
            <w:shd w:val="clear" w:color="auto" w:fill="auto"/>
            <w:vAlign w:val="center"/>
          </w:tcPr>
          <w:p w14:paraId="40682BF0" w14:textId="6C978D47" w:rsidR="00430E56" w:rsidRPr="00FA21F6" w:rsidRDefault="00430E56" w:rsidP="00FA21F6">
            <w:pPr>
              <w:jc w:val="center"/>
              <w:rPr>
                <w:rFonts w:cs="Arial"/>
                <w:color w:val="000000"/>
                <w:sz w:val="22"/>
                <w:szCs w:val="22"/>
              </w:rPr>
            </w:pPr>
            <w:r w:rsidRPr="00FA21F6">
              <w:rPr>
                <w:rFonts w:cs="Arial"/>
                <w:color w:val="000000"/>
                <w:sz w:val="22"/>
                <w:szCs w:val="22"/>
              </w:rPr>
              <w:t>5-10%</w:t>
            </w:r>
          </w:p>
        </w:tc>
        <w:tc>
          <w:tcPr>
            <w:tcW w:w="1010" w:type="pct"/>
            <w:shd w:val="clear" w:color="auto" w:fill="auto"/>
            <w:vAlign w:val="center"/>
          </w:tcPr>
          <w:p w14:paraId="776A733F" w14:textId="4EAA4D74" w:rsidR="00430E56" w:rsidRPr="00FA21F6" w:rsidRDefault="00430E56" w:rsidP="00FA21F6">
            <w:pPr>
              <w:jc w:val="center"/>
              <w:rPr>
                <w:rFonts w:cs="Arial"/>
                <w:color w:val="000000"/>
                <w:sz w:val="22"/>
                <w:szCs w:val="22"/>
              </w:rPr>
            </w:pPr>
            <w:r w:rsidRPr="00FA21F6">
              <w:rPr>
                <w:rFonts w:cs="Arial"/>
                <w:color w:val="000000"/>
                <w:sz w:val="22"/>
                <w:szCs w:val="22"/>
              </w:rPr>
              <w:t>1-3%</w:t>
            </w:r>
          </w:p>
        </w:tc>
        <w:tc>
          <w:tcPr>
            <w:tcW w:w="910" w:type="pct"/>
            <w:shd w:val="clear" w:color="auto" w:fill="auto"/>
            <w:vAlign w:val="center"/>
          </w:tcPr>
          <w:p w14:paraId="49D428A7" w14:textId="65315F53" w:rsidR="00430E56" w:rsidRPr="00FA21F6" w:rsidRDefault="00430E56" w:rsidP="00FA21F6">
            <w:pPr>
              <w:jc w:val="center"/>
              <w:rPr>
                <w:rFonts w:cs="Arial"/>
                <w:color w:val="000000"/>
                <w:sz w:val="22"/>
                <w:szCs w:val="22"/>
              </w:rPr>
            </w:pPr>
            <w:r w:rsidRPr="00FA21F6">
              <w:rPr>
                <w:rFonts w:cs="Arial"/>
                <w:color w:val="000000"/>
                <w:sz w:val="22"/>
                <w:szCs w:val="22"/>
              </w:rPr>
              <w:t>1-5%</w:t>
            </w:r>
          </w:p>
        </w:tc>
        <w:tc>
          <w:tcPr>
            <w:tcW w:w="758" w:type="pct"/>
            <w:shd w:val="clear" w:color="auto" w:fill="auto"/>
            <w:vAlign w:val="center"/>
          </w:tcPr>
          <w:p w14:paraId="6B2876BE" w14:textId="24B461CD" w:rsidR="00430E56" w:rsidRPr="00FA21F6" w:rsidRDefault="00430E56" w:rsidP="00FA21F6">
            <w:pPr>
              <w:jc w:val="center"/>
              <w:rPr>
                <w:rFonts w:cs="Arial"/>
                <w:color w:val="000000"/>
                <w:sz w:val="22"/>
                <w:szCs w:val="22"/>
              </w:rPr>
            </w:pPr>
            <w:r w:rsidRPr="00FA21F6">
              <w:rPr>
                <w:rFonts w:cs="Arial"/>
                <w:color w:val="000000"/>
                <w:sz w:val="22"/>
                <w:szCs w:val="22"/>
              </w:rPr>
              <w:t>5-</w:t>
            </w:r>
            <w:r w:rsidR="001163AD">
              <w:rPr>
                <w:rFonts w:cs="Arial"/>
                <w:color w:val="000000"/>
                <w:sz w:val="22"/>
                <w:szCs w:val="22"/>
              </w:rPr>
              <w:t>1</w:t>
            </w:r>
            <w:r w:rsidRPr="00FA21F6">
              <w:rPr>
                <w:rFonts w:cs="Arial"/>
                <w:color w:val="000000"/>
                <w:sz w:val="22"/>
                <w:szCs w:val="22"/>
              </w:rPr>
              <w:t>0%</w:t>
            </w:r>
          </w:p>
        </w:tc>
      </w:tr>
      <w:tr w:rsidR="00FA4DC7" w:rsidRPr="00FA4DC7" w14:paraId="12C6BBC6" w14:textId="77777777" w:rsidTr="00EF49A7">
        <w:tc>
          <w:tcPr>
            <w:tcW w:w="1559" w:type="pct"/>
            <w:shd w:val="clear" w:color="auto" w:fill="006666"/>
            <w:noWrap/>
            <w:vAlign w:val="bottom"/>
            <w:hideMark/>
          </w:tcPr>
          <w:p w14:paraId="28F72C2C" w14:textId="77777777" w:rsidR="00CE1BDB" w:rsidRPr="00FA4DC7" w:rsidRDefault="00CE1BDB" w:rsidP="00EF49A7">
            <w:pPr>
              <w:rPr>
                <w:rFonts w:cs="Arial"/>
                <w:b/>
                <w:bCs/>
                <w:color w:val="FFFFFF"/>
                <w:sz w:val="22"/>
                <w:szCs w:val="22"/>
              </w:rPr>
            </w:pPr>
            <w:r w:rsidRPr="00FA4DC7">
              <w:rPr>
                <w:rFonts w:cs="Arial"/>
                <w:b/>
                <w:bCs/>
                <w:color w:val="FFFFFF"/>
                <w:sz w:val="22"/>
                <w:szCs w:val="22"/>
              </w:rPr>
              <w:t>Number of bedrooms</w:t>
            </w:r>
          </w:p>
        </w:tc>
        <w:tc>
          <w:tcPr>
            <w:tcW w:w="763" w:type="pct"/>
            <w:shd w:val="clear" w:color="auto" w:fill="006666"/>
            <w:vAlign w:val="bottom"/>
            <w:hideMark/>
          </w:tcPr>
          <w:p w14:paraId="2D665CAB" w14:textId="77777777" w:rsidR="00CE1BDB" w:rsidRPr="00FA21F6" w:rsidRDefault="00CE1BDB" w:rsidP="00FA21F6">
            <w:pPr>
              <w:jc w:val="center"/>
              <w:rPr>
                <w:rFonts w:cs="Arial"/>
                <w:b/>
                <w:bCs/>
                <w:color w:val="FFFFFF"/>
                <w:sz w:val="22"/>
                <w:szCs w:val="22"/>
              </w:rPr>
            </w:pPr>
            <w:r w:rsidRPr="00FA21F6">
              <w:rPr>
                <w:rFonts w:cs="Arial"/>
                <w:b/>
                <w:bCs/>
                <w:color w:val="FFFFFF"/>
                <w:sz w:val="22"/>
                <w:szCs w:val="22"/>
              </w:rPr>
              <w:t>Market</w:t>
            </w:r>
          </w:p>
        </w:tc>
        <w:tc>
          <w:tcPr>
            <w:tcW w:w="1010" w:type="pct"/>
            <w:shd w:val="clear" w:color="auto" w:fill="006666"/>
            <w:vAlign w:val="bottom"/>
            <w:hideMark/>
          </w:tcPr>
          <w:p w14:paraId="4AFDC6F1" w14:textId="77777777" w:rsidR="00CE1BDB" w:rsidRPr="00FA21F6" w:rsidRDefault="00CE1BDB" w:rsidP="00FA21F6">
            <w:pPr>
              <w:jc w:val="center"/>
              <w:rPr>
                <w:rFonts w:cs="Arial"/>
                <w:b/>
                <w:bCs/>
                <w:color w:val="FFFFFF"/>
                <w:sz w:val="22"/>
                <w:szCs w:val="22"/>
              </w:rPr>
            </w:pPr>
            <w:r w:rsidRPr="00FA21F6">
              <w:rPr>
                <w:rFonts w:cs="Arial"/>
                <w:b/>
                <w:bCs/>
                <w:color w:val="FFFFFF"/>
                <w:sz w:val="22"/>
                <w:szCs w:val="22"/>
              </w:rPr>
              <w:t>Affordable/</w:t>
            </w:r>
          </w:p>
          <w:p w14:paraId="04C5D595" w14:textId="77777777" w:rsidR="00CE1BDB" w:rsidRPr="00FA21F6" w:rsidRDefault="00CE1BDB" w:rsidP="00FA21F6">
            <w:pPr>
              <w:jc w:val="center"/>
              <w:rPr>
                <w:rFonts w:cs="Arial"/>
                <w:b/>
                <w:bCs/>
                <w:color w:val="FFFFFF"/>
                <w:sz w:val="22"/>
                <w:szCs w:val="22"/>
              </w:rPr>
            </w:pPr>
            <w:r w:rsidRPr="00FA21F6">
              <w:rPr>
                <w:rFonts w:cs="Arial"/>
                <w:b/>
                <w:bCs/>
                <w:color w:val="FFFFFF"/>
                <w:sz w:val="22"/>
                <w:szCs w:val="22"/>
              </w:rPr>
              <w:t>Social Rented</w:t>
            </w:r>
          </w:p>
        </w:tc>
        <w:tc>
          <w:tcPr>
            <w:tcW w:w="910" w:type="pct"/>
            <w:shd w:val="clear" w:color="auto" w:fill="006666"/>
            <w:vAlign w:val="bottom"/>
            <w:hideMark/>
          </w:tcPr>
          <w:p w14:paraId="349F7A4A" w14:textId="77777777" w:rsidR="00CE1BDB" w:rsidRPr="00FA21F6" w:rsidRDefault="00CE1BDB" w:rsidP="00FA21F6">
            <w:pPr>
              <w:jc w:val="center"/>
              <w:rPr>
                <w:rFonts w:cs="Arial"/>
                <w:b/>
                <w:bCs/>
                <w:color w:val="FFFFFF"/>
                <w:sz w:val="22"/>
                <w:szCs w:val="22"/>
              </w:rPr>
            </w:pPr>
            <w:r w:rsidRPr="00FA21F6">
              <w:rPr>
                <w:rFonts w:cs="Arial"/>
                <w:b/>
                <w:bCs/>
                <w:color w:val="FFFFFF"/>
                <w:sz w:val="22"/>
                <w:szCs w:val="22"/>
              </w:rPr>
              <w:t>Affordable home ownership</w:t>
            </w:r>
          </w:p>
        </w:tc>
        <w:tc>
          <w:tcPr>
            <w:tcW w:w="758" w:type="pct"/>
            <w:shd w:val="clear" w:color="auto" w:fill="006666"/>
            <w:noWrap/>
            <w:vAlign w:val="bottom"/>
            <w:hideMark/>
          </w:tcPr>
          <w:p w14:paraId="65233575" w14:textId="77777777" w:rsidR="00CE1BDB" w:rsidRPr="00FA21F6" w:rsidRDefault="00CE1BDB" w:rsidP="00FA21F6">
            <w:pPr>
              <w:jc w:val="center"/>
              <w:rPr>
                <w:rFonts w:cs="Arial"/>
                <w:b/>
                <w:bCs/>
                <w:color w:val="FFFFFF"/>
                <w:sz w:val="22"/>
                <w:szCs w:val="22"/>
              </w:rPr>
            </w:pPr>
            <w:r w:rsidRPr="00FA21F6">
              <w:rPr>
                <w:rFonts w:cs="Arial"/>
                <w:b/>
                <w:bCs/>
                <w:color w:val="FFFFFF"/>
                <w:sz w:val="22"/>
                <w:szCs w:val="22"/>
              </w:rPr>
              <w:t>Total</w:t>
            </w:r>
          </w:p>
        </w:tc>
      </w:tr>
      <w:tr w:rsidR="00430E56" w:rsidRPr="00FA4DC7" w14:paraId="22617E66" w14:textId="77777777" w:rsidTr="00EF49A7">
        <w:tc>
          <w:tcPr>
            <w:tcW w:w="1559" w:type="pct"/>
            <w:shd w:val="clear" w:color="auto" w:fill="auto"/>
            <w:noWrap/>
            <w:vAlign w:val="center"/>
            <w:hideMark/>
          </w:tcPr>
          <w:p w14:paraId="6D1E4E7A" w14:textId="77777777" w:rsidR="00430E56" w:rsidRPr="00FA4DC7" w:rsidRDefault="00430E56" w:rsidP="00430E56">
            <w:pPr>
              <w:rPr>
                <w:rFonts w:cs="Arial"/>
                <w:color w:val="000000"/>
                <w:sz w:val="22"/>
                <w:szCs w:val="22"/>
              </w:rPr>
            </w:pPr>
            <w:r w:rsidRPr="00FA4DC7">
              <w:rPr>
                <w:rFonts w:cs="Arial"/>
                <w:color w:val="000000"/>
                <w:sz w:val="22"/>
                <w:szCs w:val="22"/>
              </w:rPr>
              <w:t>1</w:t>
            </w:r>
          </w:p>
        </w:tc>
        <w:tc>
          <w:tcPr>
            <w:tcW w:w="763" w:type="pct"/>
            <w:shd w:val="clear" w:color="auto" w:fill="auto"/>
            <w:vAlign w:val="center"/>
          </w:tcPr>
          <w:p w14:paraId="3EB59D53" w14:textId="563FCD26"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5-10%</w:t>
            </w:r>
          </w:p>
        </w:tc>
        <w:tc>
          <w:tcPr>
            <w:tcW w:w="1010" w:type="pct"/>
            <w:shd w:val="clear" w:color="auto" w:fill="auto"/>
            <w:vAlign w:val="center"/>
          </w:tcPr>
          <w:p w14:paraId="58614E7F" w14:textId="44FD4C9D"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20-25%</w:t>
            </w:r>
          </w:p>
        </w:tc>
        <w:tc>
          <w:tcPr>
            <w:tcW w:w="910" w:type="pct"/>
            <w:shd w:val="clear" w:color="auto" w:fill="auto"/>
            <w:vAlign w:val="center"/>
          </w:tcPr>
          <w:p w14:paraId="280D33B5" w14:textId="3DE12C34"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20-25%</w:t>
            </w:r>
          </w:p>
        </w:tc>
        <w:tc>
          <w:tcPr>
            <w:tcW w:w="758" w:type="pct"/>
            <w:shd w:val="clear" w:color="auto" w:fill="auto"/>
            <w:vAlign w:val="center"/>
          </w:tcPr>
          <w:p w14:paraId="1D856ADE" w14:textId="27201070"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15-20%</w:t>
            </w:r>
          </w:p>
        </w:tc>
      </w:tr>
      <w:tr w:rsidR="00430E56" w:rsidRPr="00FA4DC7" w14:paraId="14D0BE2D" w14:textId="77777777" w:rsidTr="00EF49A7">
        <w:tc>
          <w:tcPr>
            <w:tcW w:w="1559" w:type="pct"/>
            <w:shd w:val="clear" w:color="auto" w:fill="auto"/>
            <w:noWrap/>
            <w:vAlign w:val="center"/>
            <w:hideMark/>
          </w:tcPr>
          <w:p w14:paraId="113AC7EE" w14:textId="77777777" w:rsidR="00430E56" w:rsidRPr="00FA4DC7" w:rsidRDefault="00430E56" w:rsidP="00430E56">
            <w:pPr>
              <w:rPr>
                <w:rFonts w:cs="Arial"/>
                <w:color w:val="000000"/>
                <w:sz w:val="22"/>
                <w:szCs w:val="22"/>
              </w:rPr>
            </w:pPr>
            <w:r w:rsidRPr="00FA4DC7">
              <w:rPr>
                <w:rFonts w:cs="Arial"/>
                <w:color w:val="000000"/>
                <w:sz w:val="22"/>
                <w:szCs w:val="22"/>
              </w:rPr>
              <w:t>2</w:t>
            </w:r>
          </w:p>
        </w:tc>
        <w:tc>
          <w:tcPr>
            <w:tcW w:w="763" w:type="pct"/>
            <w:shd w:val="clear" w:color="auto" w:fill="auto"/>
            <w:vAlign w:val="center"/>
          </w:tcPr>
          <w:p w14:paraId="1714A3C5" w14:textId="2CB46753"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30-35%</w:t>
            </w:r>
          </w:p>
        </w:tc>
        <w:tc>
          <w:tcPr>
            <w:tcW w:w="1010" w:type="pct"/>
            <w:shd w:val="clear" w:color="auto" w:fill="auto"/>
            <w:vAlign w:val="center"/>
          </w:tcPr>
          <w:p w14:paraId="0DDB79C9" w14:textId="5707E486"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30-35%</w:t>
            </w:r>
          </w:p>
        </w:tc>
        <w:tc>
          <w:tcPr>
            <w:tcW w:w="910" w:type="pct"/>
            <w:shd w:val="clear" w:color="auto" w:fill="auto"/>
            <w:vAlign w:val="center"/>
          </w:tcPr>
          <w:p w14:paraId="37DBD6DB" w14:textId="1CD4A6CB"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70-75%</w:t>
            </w:r>
          </w:p>
        </w:tc>
        <w:tc>
          <w:tcPr>
            <w:tcW w:w="758" w:type="pct"/>
            <w:shd w:val="clear" w:color="auto" w:fill="auto"/>
            <w:vAlign w:val="center"/>
          </w:tcPr>
          <w:p w14:paraId="07CE6A4D" w14:textId="5F72EC1F"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40-45%</w:t>
            </w:r>
          </w:p>
        </w:tc>
      </w:tr>
      <w:tr w:rsidR="00430E56" w:rsidRPr="00FA4DC7" w14:paraId="3E2167DA" w14:textId="77777777" w:rsidTr="00EF49A7">
        <w:tc>
          <w:tcPr>
            <w:tcW w:w="1559" w:type="pct"/>
            <w:shd w:val="clear" w:color="auto" w:fill="auto"/>
            <w:noWrap/>
            <w:vAlign w:val="center"/>
            <w:hideMark/>
          </w:tcPr>
          <w:p w14:paraId="271C92A6" w14:textId="77777777" w:rsidR="00430E56" w:rsidRPr="00FA4DC7" w:rsidRDefault="00430E56" w:rsidP="00430E56">
            <w:pPr>
              <w:rPr>
                <w:rFonts w:cs="Arial"/>
                <w:color w:val="000000"/>
                <w:sz w:val="22"/>
                <w:szCs w:val="22"/>
              </w:rPr>
            </w:pPr>
            <w:r w:rsidRPr="00FA4DC7">
              <w:rPr>
                <w:rFonts w:cs="Arial"/>
                <w:color w:val="000000"/>
                <w:sz w:val="22"/>
                <w:szCs w:val="22"/>
              </w:rPr>
              <w:t>3</w:t>
            </w:r>
          </w:p>
        </w:tc>
        <w:tc>
          <w:tcPr>
            <w:tcW w:w="763" w:type="pct"/>
            <w:shd w:val="clear" w:color="auto" w:fill="auto"/>
            <w:vAlign w:val="center"/>
          </w:tcPr>
          <w:p w14:paraId="0E32BD07" w14:textId="6AE1D665"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40-45%</w:t>
            </w:r>
          </w:p>
        </w:tc>
        <w:tc>
          <w:tcPr>
            <w:tcW w:w="1010" w:type="pct"/>
            <w:shd w:val="clear" w:color="auto" w:fill="auto"/>
            <w:vAlign w:val="center"/>
          </w:tcPr>
          <w:p w14:paraId="4B8A7D66" w14:textId="6E054E13"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25-30%</w:t>
            </w:r>
          </w:p>
        </w:tc>
        <w:tc>
          <w:tcPr>
            <w:tcW w:w="910" w:type="pct"/>
            <w:shd w:val="clear" w:color="auto" w:fill="auto"/>
            <w:vAlign w:val="center"/>
          </w:tcPr>
          <w:p w14:paraId="1AF99350" w14:textId="4980E847"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5-10%</w:t>
            </w:r>
          </w:p>
        </w:tc>
        <w:tc>
          <w:tcPr>
            <w:tcW w:w="758" w:type="pct"/>
            <w:shd w:val="clear" w:color="auto" w:fill="auto"/>
            <w:vAlign w:val="center"/>
          </w:tcPr>
          <w:p w14:paraId="7395350F" w14:textId="6A6BB5FE"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25-30%</w:t>
            </w:r>
          </w:p>
        </w:tc>
      </w:tr>
      <w:tr w:rsidR="00430E56" w:rsidRPr="00FA4DC7" w14:paraId="3C8ED56E" w14:textId="77777777" w:rsidTr="00EF49A7">
        <w:tc>
          <w:tcPr>
            <w:tcW w:w="1559" w:type="pct"/>
            <w:shd w:val="clear" w:color="auto" w:fill="auto"/>
            <w:noWrap/>
            <w:vAlign w:val="center"/>
            <w:hideMark/>
          </w:tcPr>
          <w:p w14:paraId="2299E326" w14:textId="77777777" w:rsidR="00430E56" w:rsidRPr="00FA4DC7" w:rsidRDefault="00430E56" w:rsidP="00430E56">
            <w:pPr>
              <w:rPr>
                <w:rFonts w:cs="Arial"/>
                <w:color w:val="000000"/>
                <w:sz w:val="22"/>
                <w:szCs w:val="22"/>
              </w:rPr>
            </w:pPr>
            <w:r w:rsidRPr="00FA4DC7">
              <w:rPr>
                <w:rFonts w:cs="Arial"/>
                <w:color w:val="000000"/>
                <w:sz w:val="22"/>
                <w:szCs w:val="22"/>
              </w:rPr>
              <w:t>4</w:t>
            </w:r>
          </w:p>
        </w:tc>
        <w:tc>
          <w:tcPr>
            <w:tcW w:w="763" w:type="pct"/>
            <w:shd w:val="clear" w:color="auto" w:fill="auto"/>
            <w:vAlign w:val="center"/>
          </w:tcPr>
          <w:p w14:paraId="04ABF130" w14:textId="2DEAD641"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15-20%</w:t>
            </w:r>
          </w:p>
        </w:tc>
        <w:tc>
          <w:tcPr>
            <w:tcW w:w="1010" w:type="pct"/>
            <w:shd w:val="clear" w:color="auto" w:fill="auto"/>
            <w:vAlign w:val="center"/>
          </w:tcPr>
          <w:p w14:paraId="535083BF" w14:textId="622EAB0E"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20-25%</w:t>
            </w:r>
          </w:p>
        </w:tc>
        <w:tc>
          <w:tcPr>
            <w:tcW w:w="910" w:type="pct"/>
            <w:shd w:val="clear" w:color="auto" w:fill="auto"/>
            <w:vAlign w:val="center"/>
          </w:tcPr>
          <w:p w14:paraId="52DB10E6" w14:textId="4A19A3FD"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1-5%</w:t>
            </w:r>
          </w:p>
        </w:tc>
        <w:tc>
          <w:tcPr>
            <w:tcW w:w="758" w:type="pct"/>
            <w:shd w:val="clear" w:color="auto" w:fill="auto"/>
            <w:vAlign w:val="center"/>
          </w:tcPr>
          <w:p w14:paraId="39243194" w14:textId="40714D7D" w:rsidR="00430E56" w:rsidRPr="00FA21F6" w:rsidRDefault="00430E56" w:rsidP="00FA21F6">
            <w:pPr>
              <w:ind w:left="1440" w:hanging="1440"/>
              <w:jc w:val="center"/>
              <w:rPr>
                <w:rFonts w:cs="Arial"/>
                <w:color w:val="000000"/>
                <w:sz w:val="22"/>
                <w:szCs w:val="22"/>
              </w:rPr>
            </w:pPr>
            <w:r w:rsidRPr="00FA21F6">
              <w:rPr>
                <w:rFonts w:cs="Arial"/>
                <w:color w:val="000000"/>
                <w:sz w:val="22"/>
                <w:szCs w:val="22"/>
              </w:rPr>
              <w:t>15-20%</w:t>
            </w:r>
          </w:p>
        </w:tc>
      </w:tr>
    </w:tbl>
    <w:p w14:paraId="4E9EAE8F" w14:textId="77777777" w:rsidR="00CE1BDB" w:rsidRPr="00FA4DC7" w:rsidRDefault="00CE1BDB" w:rsidP="00CE1BDB">
      <w:pPr>
        <w:tabs>
          <w:tab w:val="left" w:pos="0"/>
          <w:tab w:val="left" w:pos="709"/>
          <w:tab w:val="left" w:pos="1418"/>
        </w:tabs>
        <w:rPr>
          <w:rFonts w:cs="Arial"/>
          <w:highlight w:val="yellow"/>
        </w:rPr>
        <w:sectPr w:rsidR="00CE1BDB" w:rsidRPr="00FA4DC7" w:rsidSect="00EF49A7">
          <w:pgSz w:w="16840" w:h="11900" w:orient="landscape"/>
          <w:pgMar w:top="1440" w:right="1440" w:bottom="1440" w:left="1440" w:header="708" w:footer="708" w:gutter="0"/>
          <w:cols w:space="708"/>
          <w:docGrid w:linePitch="360"/>
        </w:sectPr>
      </w:pPr>
    </w:p>
    <w:p w14:paraId="389B765F" w14:textId="77777777" w:rsidR="00CE1BDB" w:rsidRPr="00FA4DC7" w:rsidRDefault="00CE1BDB" w:rsidP="00CE1BDB">
      <w:pPr>
        <w:pStyle w:val="Heading2"/>
        <w:tabs>
          <w:tab w:val="left" w:pos="0"/>
          <w:tab w:val="left" w:pos="709"/>
          <w:tab w:val="left" w:pos="1418"/>
        </w:tabs>
        <w:rPr>
          <w:rFonts w:cs="Arial"/>
        </w:rPr>
      </w:pPr>
      <w:bookmarkStart w:id="438" w:name="_Toc391314093"/>
      <w:bookmarkStart w:id="439" w:name="_Toc531988319"/>
      <w:bookmarkStart w:id="440" w:name="_Toc535594110"/>
      <w:bookmarkStart w:id="441" w:name="_Toc7683316"/>
      <w:bookmarkStart w:id="442" w:name="_Toc83035687"/>
      <w:r w:rsidRPr="00FA4DC7">
        <w:rPr>
          <w:rFonts w:cs="Arial"/>
        </w:rPr>
        <w:lastRenderedPageBreak/>
        <w:t>Conclusions</w:t>
      </w:r>
      <w:bookmarkEnd w:id="438"/>
      <w:bookmarkEnd w:id="439"/>
      <w:bookmarkEnd w:id="440"/>
      <w:bookmarkEnd w:id="441"/>
      <w:bookmarkEnd w:id="442"/>
    </w:p>
    <w:p w14:paraId="3F18ECDC" w14:textId="77777777" w:rsidR="00CE1BDB" w:rsidRPr="00FA4DC7" w:rsidRDefault="00CE1BDB" w:rsidP="00CE1BDB">
      <w:pPr>
        <w:pStyle w:val="Reporttext"/>
        <w:tabs>
          <w:tab w:val="left" w:pos="709"/>
        </w:tabs>
        <w:rPr>
          <w:rFonts w:cs="Arial"/>
        </w:rPr>
      </w:pPr>
      <w:r w:rsidRPr="00FA4DC7">
        <w:rPr>
          <w:rFonts w:cs="Arial"/>
        </w:rPr>
        <w:t xml:space="preserve">The standard method establishes a minimum affordable housing need of 1,586 dwellings each year. The relationship between households, future household change and dwellings occupied has been considered to provide an indication of an appropriate dwelling mix for Medway over the period 2021 to 2037. Having established future household change and the implications this has for dwelling type, size and tenure mix, the council can make an informed strategic decision on the range and size of dwellings that will need to be built to meet need and aspiration over the period to 2037. </w:t>
      </w:r>
      <w:bookmarkEnd w:id="436"/>
      <w:bookmarkEnd w:id="437"/>
    </w:p>
    <w:p w14:paraId="3A437F4D"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Given the level of affordable need, the forthcoming Local Plan needs to maintain a robust affordable housing policy setting out targets and tenure split. An affordable policy should therefore continue to support the ongoing delivery of affordable housing and diversify the affordable products available to local residents to reflect identified needs. </w:t>
      </w:r>
    </w:p>
    <w:p w14:paraId="4A777C79" w14:textId="77777777" w:rsidR="00CE1BDB" w:rsidRPr="00FA4DC7" w:rsidRDefault="00CE1BDB" w:rsidP="0035224C">
      <w:pPr>
        <w:pStyle w:val="Reporttext"/>
        <w:numPr>
          <w:ilvl w:val="0"/>
          <w:numId w:val="0"/>
        </w:numPr>
        <w:ind w:left="709"/>
        <w:rPr>
          <w:rFonts w:cs="Arial"/>
        </w:rPr>
      </w:pPr>
    </w:p>
    <w:p w14:paraId="64EEFD14" w14:textId="77777777" w:rsidR="00CE1BDB" w:rsidRPr="00FA4DC7" w:rsidRDefault="00CE1BDB" w:rsidP="00CE1BDB">
      <w:pPr>
        <w:tabs>
          <w:tab w:val="left" w:pos="0"/>
          <w:tab w:val="left" w:pos="709"/>
          <w:tab w:val="left" w:pos="1418"/>
        </w:tabs>
        <w:rPr>
          <w:rFonts w:cs="Arial"/>
          <w:sz w:val="12"/>
          <w:highlight w:val="yellow"/>
        </w:rPr>
      </w:pPr>
      <w:r w:rsidRPr="00FA4DC7">
        <w:rPr>
          <w:rFonts w:cs="Arial"/>
          <w:sz w:val="12"/>
          <w:highlight w:val="yellow"/>
        </w:rPr>
        <w:br w:type="page"/>
      </w:r>
    </w:p>
    <w:p w14:paraId="3F6FE146" w14:textId="77777777" w:rsidR="00CE1BDB" w:rsidRPr="00FA4DC7" w:rsidRDefault="00CE1BDB" w:rsidP="00CE1BDB">
      <w:pPr>
        <w:pStyle w:val="Heading1"/>
        <w:tabs>
          <w:tab w:val="left" w:pos="0"/>
          <w:tab w:val="left" w:pos="709"/>
          <w:tab w:val="left" w:pos="1418"/>
        </w:tabs>
        <w:rPr>
          <w:rFonts w:cs="Arial"/>
          <w:shd w:val="clear" w:color="auto" w:fill="FFFFFF"/>
          <w:lang w:eastAsia="en-GB"/>
        </w:rPr>
      </w:pPr>
      <w:bookmarkStart w:id="443" w:name="_Toc529652013"/>
      <w:bookmarkStart w:id="444" w:name="_Toc7683317"/>
      <w:bookmarkStart w:id="445" w:name="_Toc83035688"/>
      <w:bookmarkEnd w:id="430"/>
      <w:bookmarkEnd w:id="431"/>
      <w:r w:rsidRPr="00FA4DC7">
        <w:rPr>
          <w:rFonts w:cs="Arial"/>
        </w:rPr>
        <w:lastRenderedPageBreak/>
        <w:t>Conclusion: policy and strategic issues</w:t>
      </w:r>
      <w:bookmarkStart w:id="446" w:name="_Toc156642342"/>
      <w:bookmarkStart w:id="447" w:name="_Toc156642810"/>
      <w:bookmarkStart w:id="448" w:name="_Toc166484923"/>
      <w:bookmarkStart w:id="449" w:name="_Toc184123851"/>
      <w:bookmarkStart w:id="450" w:name="_Toc184198270"/>
      <w:bookmarkStart w:id="451" w:name="_Toc214433431"/>
      <w:bookmarkEnd w:id="424"/>
      <w:bookmarkEnd w:id="425"/>
      <w:bookmarkEnd w:id="426"/>
      <w:bookmarkEnd w:id="427"/>
      <w:bookmarkEnd w:id="428"/>
      <w:bookmarkEnd w:id="429"/>
      <w:bookmarkEnd w:id="443"/>
      <w:bookmarkEnd w:id="444"/>
      <w:bookmarkEnd w:id="445"/>
    </w:p>
    <w:p w14:paraId="422221AE"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This document has been prepared to equip the council and their partners with robust, </w:t>
      </w:r>
      <w:proofErr w:type="gramStart"/>
      <w:r w:rsidRPr="00FA4DC7">
        <w:rPr>
          <w:rFonts w:cs="Arial"/>
        </w:rPr>
        <w:t>defensible</w:t>
      </w:r>
      <w:proofErr w:type="gramEnd"/>
      <w:r w:rsidRPr="00FA4DC7">
        <w:rPr>
          <w:rFonts w:cs="Arial"/>
        </w:rPr>
        <w:t xml:space="preserve"> and transparent information to help inform strategic decision-making and the formulation of appropriate housing and planning policies. The work also takes account of existing and emerging government policy and guidance.</w:t>
      </w:r>
    </w:p>
    <w:p w14:paraId="3272F597" w14:textId="77777777" w:rsidR="00CE1BDB" w:rsidRPr="00FA4DC7" w:rsidRDefault="00CE1BDB" w:rsidP="00CE1BDB">
      <w:pPr>
        <w:pStyle w:val="Reporttext"/>
        <w:tabs>
          <w:tab w:val="left" w:pos="0"/>
          <w:tab w:val="left" w:pos="709"/>
          <w:tab w:val="left" w:pos="1418"/>
        </w:tabs>
        <w:rPr>
          <w:rFonts w:cs="Arial"/>
        </w:rPr>
      </w:pPr>
      <w:r w:rsidRPr="00FA4DC7">
        <w:rPr>
          <w:rFonts w:cs="Arial"/>
        </w:rPr>
        <w:t>The Medway LHNA will help the council plan for a mix of housing based on current and future demographic trends, market trends and the needs of different groups in the community. Specifically, the LHNA identifies the size, type and tenure of housing required by considering current market demand relative to supply; and also identifies a continued affordable housing imbalance across the authority.</w:t>
      </w:r>
    </w:p>
    <w:p w14:paraId="7F44727A" w14:textId="77777777" w:rsidR="00CE1BDB" w:rsidRPr="00FA4DC7" w:rsidRDefault="00CE1BDB" w:rsidP="00CE1BDB">
      <w:pPr>
        <w:pStyle w:val="Reporttext"/>
        <w:tabs>
          <w:tab w:val="left" w:pos="0"/>
          <w:tab w:val="left" w:pos="709"/>
          <w:tab w:val="left" w:pos="1418"/>
        </w:tabs>
        <w:rPr>
          <w:rFonts w:cs="Arial"/>
        </w:rPr>
      </w:pPr>
      <w:r w:rsidRPr="00FA4DC7">
        <w:rPr>
          <w:rFonts w:cs="Arial"/>
        </w:rPr>
        <w:t>This concluding chapter summarises key messages from the research findings</w:t>
      </w:r>
      <w:bookmarkStart w:id="452" w:name="_Toc100131025"/>
      <w:bookmarkStart w:id="453" w:name="_Toc103485196"/>
      <w:r w:rsidRPr="00FA4DC7">
        <w:rPr>
          <w:rFonts w:cs="Arial"/>
        </w:rPr>
        <w:t>, structured around a commentary on the current and future housing markets and key local strategic issues.</w:t>
      </w:r>
    </w:p>
    <w:p w14:paraId="7FE89D3D" w14:textId="77777777" w:rsidR="00CE1BDB" w:rsidRPr="00FA4DC7" w:rsidRDefault="00CE1BDB" w:rsidP="00CE1BDB">
      <w:pPr>
        <w:pStyle w:val="Reporttext"/>
        <w:numPr>
          <w:ilvl w:val="0"/>
          <w:numId w:val="0"/>
        </w:numPr>
        <w:tabs>
          <w:tab w:val="left" w:pos="0"/>
          <w:tab w:val="left" w:pos="709"/>
          <w:tab w:val="left" w:pos="1418"/>
        </w:tabs>
        <w:rPr>
          <w:rFonts w:cs="Arial"/>
        </w:rPr>
      </w:pPr>
      <w:bookmarkStart w:id="454" w:name="_Toc428528509"/>
      <w:bookmarkStart w:id="455" w:name="_Toc430084603"/>
      <w:bookmarkStart w:id="456" w:name="_Toc430782042"/>
      <w:bookmarkStart w:id="457" w:name="_Toc476317237"/>
      <w:bookmarkEnd w:id="452"/>
      <w:bookmarkEnd w:id="453"/>
    </w:p>
    <w:p w14:paraId="19E53528" w14:textId="77777777" w:rsidR="00CE1BDB" w:rsidRPr="00FA4DC7" w:rsidRDefault="00CE1BDB" w:rsidP="00CE1BDB">
      <w:pPr>
        <w:pStyle w:val="Heading2"/>
        <w:tabs>
          <w:tab w:val="left" w:pos="0"/>
          <w:tab w:val="left" w:pos="709"/>
          <w:tab w:val="left" w:pos="1418"/>
        </w:tabs>
        <w:rPr>
          <w:rFonts w:cs="Arial"/>
        </w:rPr>
      </w:pPr>
      <w:bookmarkStart w:id="458" w:name="_Toc83035689"/>
      <w:bookmarkStart w:id="459" w:name="_Toc7683319"/>
      <w:r w:rsidRPr="00FA4DC7">
        <w:rPr>
          <w:rFonts w:cs="Arial"/>
        </w:rPr>
        <w:t>Overall Housing need</w:t>
      </w:r>
      <w:bookmarkEnd w:id="458"/>
      <w:r w:rsidRPr="00FA4DC7">
        <w:rPr>
          <w:rFonts w:cs="Arial"/>
        </w:rPr>
        <w:t xml:space="preserve"> </w:t>
      </w:r>
      <w:bookmarkEnd w:id="459"/>
    </w:p>
    <w:p w14:paraId="09350D16" w14:textId="77777777" w:rsidR="00CE1BDB" w:rsidRPr="00FA4DC7" w:rsidRDefault="00CE1BDB" w:rsidP="00CE1BDB">
      <w:pPr>
        <w:pStyle w:val="Reporttext"/>
        <w:rPr>
          <w:rFonts w:cs="Arial"/>
        </w:rPr>
      </w:pPr>
      <w:r w:rsidRPr="00FA4DC7">
        <w:rPr>
          <w:rFonts w:cs="Arial"/>
        </w:rPr>
        <w:t xml:space="preserve">The current annual housing requirements are set out in the council’s Annual Monitoring reports. There were 1,000 dwellings each year 2011/12 to 2018/19 and 1,662 in 2019/20. </w:t>
      </w:r>
    </w:p>
    <w:p w14:paraId="5343B864" w14:textId="77777777" w:rsidR="00CE1BDB" w:rsidRPr="00FA4DC7" w:rsidRDefault="00CE1BDB" w:rsidP="00CE1BDB">
      <w:pPr>
        <w:pStyle w:val="Reporttext"/>
        <w:rPr>
          <w:rFonts w:cs="Arial"/>
        </w:rPr>
      </w:pPr>
      <w:r w:rsidRPr="00FA4DC7">
        <w:rPr>
          <w:rFonts w:cs="Arial"/>
        </w:rPr>
        <w:t>Under the standard method December 2020, the annual minimum housing need is 1,586 dwellings. A further adjustment to this number is not recommended.</w:t>
      </w:r>
    </w:p>
    <w:p w14:paraId="6805C565" w14:textId="77777777" w:rsidR="00CE1BDB" w:rsidRPr="00FA4DC7" w:rsidRDefault="00CE1BDB" w:rsidP="00CE1BDB">
      <w:pPr>
        <w:rPr>
          <w:rFonts w:cs="Arial"/>
          <w:highlight w:val="yellow"/>
        </w:rPr>
      </w:pPr>
    </w:p>
    <w:p w14:paraId="40729134" w14:textId="77777777" w:rsidR="00CE1BDB" w:rsidRPr="00FA4DC7" w:rsidRDefault="00CE1BDB" w:rsidP="00CE1BDB">
      <w:pPr>
        <w:pStyle w:val="Heading2"/>
        <w:tabs>
          <w:tab w:val="left" w:pos="0"/>
          <w:tab w:val="left" w:pos="709"/>
          <w:tab w:val="left" w:pos="1418"/>
        </w:tabs>
        <w:rPr>
          <w:rFonts w:cs="Arial"/>
        </w:rPr>
      </w:pPr>
      <w:bookmarkStart w:id="460" w:name="_Toc83035690"/>
      <w:r w:rsidRPr="00FA4DC7">
        <w:rPr>
          <w:rFonts w:cs="Arial"/>
        </w:rPr>
        <w:t xml:space="preserve">Dwelling type, </w:t>
      </w:r>
      <w:proofErr w:type="gramStart"/>
      <w:r w:rsidRPr="00FA4DC7">
        <w:rPr>
          <w:rFonts w:cs="Arial"/>
        </w:rPr>
        <w:t>tenure</w:t>
      </w:r>
      <w:proofErr w:type="gramEnd"/>
      <w:r w:rsidRPr="00FA4DC7">
        <w:rPr>
          <w:rFonts w:cs="Arial"/>
        </w:rPr>
        <w:t xml:space="preserve"> and mix</w:t>
      </w:r>
      <w:bookmarkEnd w:id="460"/>
    </w:p>
    <w:p w14:paraId="063945BF" w14:textId="509A0406" w:rsidR="00BA60CB" w:rsidRDefault="00CE1BDB" w:rsidP="00CE1BDB">
      <w:pPr>
        <w:pStyle w:val="Reporttext"/>
        <w:tabs>
          <w:tab w:val="left" w:pos="709"/>
          <w:tab w:val="left" w:pos="1418"/>
        </w:tabs>
        <w:rPr>
          <w:rFonts w:cs="Arial"/>
          <w:color w:val="000000" w:themeColor="text1"/>
        </w:rPr>
      </w:pPr>
      <w:r w:rsidRPr="00FA4DC7">
        <w:rPr>
          <w:rFonts w:cs="Arial"/>
          <w:color w:val="000000" w:themeColor="text1"/>
        </w:rPr>
        <w:t>The relationship between household change and dwelling type/size and tenure requirements have been fully explored. The evidence will help the council deliver an appropriate range of dwelling stock for residents over the plan period. The overall dwelling mix is summarised in Table 7.1</w:t>
      </w:r>
      <w:r w:rsidR="00BA60CB">
        <w:rPr>
          <w:rFonts w:cs="Arial"/>
          <w:color w:val="000000" w:themeColor="text1"/>
        </w:rPr>
        <w:t>.</w:t>
      </w:r>
    </w:p>
    <w:p w14:paraId="3F9943D4" w14:textId="77777777" w:rsidR="00BA60CB" w:rsidRDefault="00BA60CB">
      <w:pPr>
        <w:rPr>
          <w:rFonts w:cs="Arial"/>
          <w:color w:val="000000" w:themeColor="text1"/>
          <w:lang w:eastAsia="en-US"/>
        </w:rPr>
      </w:pPr>
      <w:r>
        <w:rPr>
          <w:rFonts w:cs="Arial"/>
          <w:color w:val="000000" w:themeColor="text1"/>
        </w:rP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682"/>
        <w:gridCol w:w="1133"/>
        <w:gridCol w:w="1416"/>
        <w:gridCol w:w="1418"/>
        <w:gridCol w:w="1361"/>
      </w:tblGrid>
      <w:tr w:rsidR="00CE1BDB" w:rsidRPr="00FA4DC7" w14:paraId="3D5BAA54" w14:textId="77777777" w:rsidTr="00BA60CB">
        <w:trPr>
          <w:trHeight w:val="253"/>
        </w:trPr>
        <w:tc>
          <w:tcPr>
            <w:tcW w:w="5000" w:type="pct"/>
            <w:gridSpan w:val="5"/>
            <w:shd w:val="clear" w:color="auto" w:fill="006666"/>
          </w:tcPr>
          <w:p w14:paraId="4E94CBCF" w14:textId="55F4FD4F" w:rsidR="00CE1BDB" w:rsidRPr="00FA4DC7" w:rsidRDefault="00CE1BDB" w:rsidP="00BA60CB">
            <w:pPr>
              <w:pStyle w:val="Tableheading1"/>
            </w:pPr>
            <w:bookmarkStart w:id="461" w:name="_Toc83036121"/>
            <w:r w:rsidRPr="00FA4DC7">
              <w:lastRenderedPageBreak/>
              <w:t>Table 7.1</w:t>
            </w:r>
            <w:r w:rsidR="000957EE">
              <w:tab/>
            </w:r>
            <w:r w:rsidRPr="00FA4DC7">
              <w:t>Summary of overall dwelling mix</w:t>
            </w:r>
            <w:bookmarkEnd w:id="461"/>
          </w:p>
        </w:tc>
      </w:tr>
      <w:tr w:rsidR="00FA4DC7" w:rsidRPr="00FA4DC7" w14:paraId="6EBFF9D2" w14:textId="77777777" w:rsidTr="00BA60CB">
        <w:trPr>
          <w:trHeight w:val="253"/>
        </w:trPr>
        <w:tc>
          <w:tcPr>
            <w:tcW w:w="2043" w:type="pct"/>
            <w:shd w:val="clear" w:color="auto" w:fill="006666"/>
            <w:vAlign w:val="bottom"/>
            <w:hideMark/>
          </w:tcPr>
          <w:p w14:paraId="00A22219"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type/size</w:t>
            </w:r>
          </w:p>
        </w:tc>
        <w:tc>
          <w:tcPr>
            <w:tcW w:w="629" w:type="pct"/>
            <w:shd w:val="clear" w:color="auto" w:fill="006666"/>
            <w:vAlign w:val="bottom"/>
          </w:tcPr>
          <w:p w14:paraId="6702DACB"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Market</w:t>
            </w:r>
          </w:p>
        </w:tc>
        <w:tc>
          <w:tcPr>
            <w:tcW w:w="786" w:type="pct"/>
            <w:shd w:val="clear" w:color="auto" w:fill="006666"/>
            <w:vAlign w:val="bottom"/>
          </w:tcPr>
          <w:p w14:paraId="7390830C"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Affordable Rented</w:t>
            </w:r>
          </w:p>
        </w:tc>
        <w:tc>
          <w:tcPr>
            <w:tcW w:w="787" w:type="pct"/>
            <w:shd w:val="clear" w:color="auto" w:fill="006666"/>
            <w:vAlign w:val="bottom"/>
          </w:tcPr>
          <w:p w14:paraId="0A005ED8"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Affordable home ownership</w:t>
            </w:r>
          </w:p>
        </w:tc>
        <w:tc>
          <w:tcPr>
            <w:tcW w:w="755" w:type="pct"/>
            <w:shd w:val="clear" w:color="auto" w:fill="006666"/>
            <w:vAlign w:val="bottom"/>
          </w:tcPr>
          <w:p w14:paraId="4B434522"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Overall range</w:t>
            </w:r>
          </w:p>
        </w:tc>
      </w:tr>
      <w:tr w:rsidR="00FA21F6" w:rsidRPr="00FA4DC7" w14:paraId="211F2C18" w14:textId="77777777" w:rsidTr="00BA60CB">
        <w:tc>
          <w:tcPr>
            <w:tcW w:w="2043" w:type="pct"/>
            <w:shd w:val="clear" w:color="auto" w:fill="auto"/>
            <w:noWrap/>
            <w:vAlign w:val="center"/>
            <w:hideMark/>
          </w:tcPr>
          <w:p w14:paraId="55DFF0A3" w14:textId="2FD7F4AE" w:rsidR="00FA21F6" w:rsidRPr="00FA4DC7" w:rsidRDefault="00FA21F6" w:rsidP="00FA21F6">
            <w:pPr>
              <w:rPr>
                <w:rFonts w:cs="Arial"/>
                <w:color w:val="000000"/>
                <w:sz w:val="22"/>
                <w:szCs w:val="22"/>
              </w:rPr>
            </w:pPr>
            <w:r w:rsidRPr="00FA4DC7">
              <w:rPr>
                <w:rFonts w:cs="Arial"/>
                <w:color w:val="000000"/>
                <w:sz w:val="22"/>
                <w:szCs w:val="22"/>
              </w:rPr>
              <w:t>1</w:t>
            </w:r>
            <w:r>
              <w:rPr>
                <w:rFonts w:cs="Arial"/>
                <w:color w:val="000000"/>
                <w:sz w:val="22"/>
                <w:szCs w:val="22"/>
              </w:rPr>
              <w:t>-</w:t>
            </w:r>
            <w:r w:rsidRPr="00FA4DC7">
              <w:rPr>
                <w:rFonts w:cs="Arial"/>
                <w:color w:val="000000"/>
                <w:sz w:val="22"/>
                <w:szCs w:val="22"/>
              </w:rPr>
              <w:t>bedroom house</w:t>
            </w:r>
          </w:p>
        </w:tc>
        <w:tc>
          <w:tcPr>
            <w:tcW w:w="629" w:type="pct"/>
            <w:vAlign w:val="center"/>
          </w:tcPr>
          <w:p w14:paraId="0B1F8718" w14:textId="01C500F1" w:rsidR="00FA21F6" w:rsidRPr="00FA4DC7" w:rsidRDefault="00FA21F6" w:rsidP="00BA60CB">
            <w:pPr>
              <w:jc w:val="right"/>
              <w:rPr>
                <w:rFonts w:cs="Arial"/>
                <w:color w:val="000000"/>
                <w:sz w:val="22"/>
                <w:szCs w:val="22"/>
              </w:rPr>
            </w:pPr>
            <w:r w:rsidRPr="00FA21F6">
              <w:rPr>
                <w:rFonts w:cs="Arial"/>
                <w:color w:val="000000"/>
                <w:sz w:val="22"/>
                <w:szCs w:val="22"/>
              </w:rPr>
              <w:t>0-2%</w:t>
            </w:r>
          </w:p>
        </w:tc>
        <w:tc>
          <w:tcPr>
            <w:tcW w:w="786" w:type="pct"/>
            <w:vAlign w:val="center"/>
          </w:tcPr>
          <w:p w14:paraId="538E4A15" w14:textId="114B9666" w:rsidR="00FA21F6" w:rsidRPr="00FA4DC7" w:rsidRDefault="00FA21F6" w:rsidP="00BA60CB">
            <w:pPr>
              <w:jc w:val="right"/>
              <w:rPr>
                <w:rFonts w:cs="Arial"/>
                <w:color w:val="000000"/>
                <w:sz w:val="22"/>
                <w:szCs w:val="22"/>
              </w:rPr>
            </w:pPr>
            <w:r w:rsidRPr="00FA21F6">
              <w:rPr>
                <w:rFonts w:cs="Arial"/>
                <w:color w:val="000000"/>
                <w:sz w:val="22"/>
                <w:szCs w:val="22"/>
              </w:rPr>
              <w:t>0-2%</w:t>
            </w:r>
          </w:p>
        </w:tc>
        <w:tc>
          <w:tcPr>
            <w:tcW w:w="787" w:type="pct"/>
            <w:vAlign w:val="center"/>
          </w:tcPr>
          <w:p w14:paraId="14BCE179" w14:textId="6979B1AD" w:rsidR="00FA21F6" w:rsidRPr="00FA4DC7" w:rsidRDefault="00FA21F6" w:rsidP="00BA60CB">
            <w:pPr>
              <w:jc w:val="right"/>
              <w:rPr>
                <w:rFonts w:cs="Arial"/>
                <w:color w:val="000000"/>
                <w:sz w:val="22"/>
                <w:szCs w:val="22"/>
              </w:rPr>
            </w:pPr>
            <w:r w:rsidRPr="00FA21F6">
              <w:rPr>
                <w:rFonts w:cs="Arial"/>
                <w:color w:val="000000"/>
                <w:sz w:val="22"/>
                <w:szCs w:val="22"/>
              </w:rPr>
              <w:t>0-5%</w:t>
            </w:r>
          </w:p>
        </w:tc>
        <w:tc>
          <w:tcPr>
            <w:tcW w:w="755" w:type="pct"/>
            <w:vAlign w:val="center"/>
          </w:tcPr>
          <w:p w14:paraId="2D228A44" w14:textId="75E1DEAB" w:rsidR="00FA21F6" w:rsidRPr="00FA4DC7" w:rsidRDefault="00FA21F6" w:rsidP="00BA60CB">
            <w:pPr>
              <w:jc w:val="right"/>
              <w:rPr>
                <w:rFonts w:cs="Arial"/>
                <w:color w:val="000000"/>
                <w:sz w:val="22"/>
                <w:szCs w:val="22"/>
              </w:rPr>
            </w:pPr>
            <w:r w:rsidRPr="00FA21F6">
              <w:rPr>
                <w:rFonts w:cs="Arial"/>
                <w:color w:val="000000"/>
                <w:sz w:val="22"/>
                <w:szCs w:val="22"/>
              </w:rPr>
              <w:t>2-4%</w:t>
            </w:r>
          </w:p>
        </w:tc>
      </w:tr>
      <w:tr w:rsidR="00FA21F6" w:rsidRPr="00FA4DC7" w14:paraId="1F7B18B5" w14:textId="77777777" w:rsidTr="00BA60CB">
        <w:tc>
          <w:tcPr>
            <w:tcW w:w="2043" w:type="pct"/>
            <w:shd w:val="clear" w:color="auto" w:fill="auto"/>
            <w:noWrap/>
            <w:vAlign w:val="center"/>
          </w:tcPr>
          <w:p w14:paraId="7E8AD4D9" w14:textId="41D8615F" w:rsidR="00FA21F6" w:rsidRPr="00FA4DC7" w:rsidRDefault="00FA21F6" w:rsidP="00FA21F6">
            <w:pPr>
              <w:rPr>
                <w:rFonts w:cs="Arial"/>
                <w:color w:val="000000"/>
                <w:sz w:val="22"/>
                <w:szCs w:val="22"/>
              </w:rPr>
            </w:pPr>
            <w:r>
              <w:rPr>
                <w:rFonts w:cs="Arial"/>
                <w:color w:val="000000"/>
                <w:sz w:val="22"/>
                <w:szCs w:val="22"/>
              </w:rPr>
              <w:t>2-</w:t>
            </w:r>
            <w:r w:rsidRPr="00FA4DC7">
              <w:rPr>
                <w:rFonts w:cs="Arial"/>
                <w:color w:val="000000"/>
                <w:sz w:val="22"/>
                <w:szCs w:val="22"/>
              </w:rPr>
              <w:t>bedroom house</w:t>
            </w:r>
          </w:p>
        </w:tc>
        <w:tc>
          <w:tcPr>
            <w:tcW w:w="629" w:type="pct"/>
            <w:vAlign w:val="center"/>
          </w:tcPr>
          <w:p w14:paraId="2F14812B" w14:textId="7528413A" w:rsidR="00FA21F6" w:rsidRPr="00FA4DC7" w:rsidRDefault="00FA21F6" w:rsidP="00BA60CB">
            <w:pPr>
              <w:jc w:val="right"/>
              <w:rPr>
                <w:rFonts w:cs="Arial"/>
                <w:color w:val="000000"/>
                <w:sz w:val="22"/>
                <w:szCs w:val="22"/>
              </w:rPr>
            </w:pPr>
            <w:r w:rsidRPr="00FA21F6">
              <w:rPr>
                <w:rFonts w:cs="Arial"/>
                <w:color w:val="000000"/>
                <w:sz w:val="22"/>
                <w:szCs w:val="22"/>
              </w:rPr>
              <w:t>20-25%</w:t>
            </w:r>
          </w:p>
        </w:tc>
        <w:tc>
          <w:tcPr>
            <w:tcW w:w="786" w:type="pct"/>
            <w:vAlign w:val="center"/>
          </w:tcPr>
          <w:p w14:paraId="40AC1DAC" w14:textId="245B38B2" w:rsidR="00FA21F6" w:rsidRPr="00FA4DC7" w:rsidRDefault="00FA21F6" w:rsidP="00BA60CB">
            <w:pPr>
              <w:jc w:val="right"/>
              <w:rPr>
                <w:rFonts w:cs="Arial"/>
                <w:color w:val="000000"/>
                <w:sz w:val="22"/>
                <w:szCs w:val="22"/>
              </w:rPr>
            </w:pPr>
            <w:r w:rsidRPr="00FA21F6">
              <w:rPr>
                <w:rFonts w:cs="Arial"/>
                <w:color w:val="000000"/>
                <w:sz w:val="22"/>
                <w:szCs w:val="22"/>
              </w:rPr>
              <w:t>5-10%</w:t>
            </w:r>
          </w:p>
        </w:tc>
        <w:tc>
          <w:tcPr>
            <w:tcW w:w="787" w:type="pct"/>
            <w:vAlign w:val="center"/>
          </w:tcPr>
          <w:p w14:paraId="25FB1B2A" w14:textId="5A9ACA6C" w:rsidR="00FA21F6" w:rsidRPr="00FA4DC7" w:rsidRDefault="00FA21F6" w:rsidP="00BA60CB">
            <w:pPr>
              <w:jc w:val="right"/>
              <w:rPr>
                <w:rFonts w:cs="Arial"/>
                <w:color w:val="000000"/>
                <w:sz w:val="22"/>
                <w:szCs w:val="22"/>
              </w:rPr>
            </w:pPr>
            <w:r w:rsidRPr="00FA21F6">
              <w:rPr>
                <w:rFonts w:cs="Arial"/>
                <w:color w:val="000000"/>
                <w:sz w:val="22"/>
                <w:szCs w:val="22"/>
              </w:rPr>
              <w:t>20-25%</w:t>
            </w:r>
          </w:p>
        </w:tc>
        <w:tc>
          <w:tcPr>
            <w:tcW w:w="755" w:type="pct"/>
            <w:vAlign w:val="center"/>
          </w:tcPr>
          <w:p w14:paraId="2D4DDF45" w14:textId="7F546F31" w:rsidR="00FA21F6" w:rsidRPr="00FA4DC7" w:rsidRDefault="00FA21F6" w:rsidP="00BA60CB">
            <w:pPr>
              <w:jc w:val="right"/>
              <w:rPr>
                <w:rFonts w:cs="Arial"/>
                <w:color w:val="000000"/>
                <w:sz w:val="22"/>
                <w:szCs w:val="22"/>
              </w:rPr>
            </w:pPr>
            <w:r w:rsidRPr="00FA21F6">
              <w:rPr>
                <w:rFonts w:cs="Arial"/>
                <w:color w:val="000000"/>
                <w:sz w:val="22"/>
                <w:szCs w:val="22"/>
              </w:rPr>
              <w:t>15-20%</w:t>
            </w:r>
          </w:p>
        </w:tc>
      </w:tr>
      <w:tr w:rsidR="00FA21F6" w:rsidRPr="00FA4DC7" w14:paraId="41CCB0D7" w14:textId="77777777" w:rsidTr="00BA60CB">
        <w:tc>
          <w:tcPr>
            <w:tcW w:w="2043" w:type="pct"/>
            <w:shd w:val="clear" w:color="auto" w:fill="auto"/>
            <w:noWrap/>
            <w:vAlign w:val="center"/>
            <w:hideMark/>
          </w:tcPr>
          <w:p w14:paraId="43EB62F2" w14:textId="77777777" w:rsidR="00FA21F6" w:rsidRPr="00FA4DC7" w:rsidRDefault="00FA21F6" w:rsidP="00FA21F6">
            <w:pPr>
              <w:rPr>
                <w:rFonts w:cs="Arial"/>
                <w:color w:val="000000"/>
                <w:sz w:val="22"/>
                <w:szCs w:val="22"/>
              </w:rPr>
            </w:pPr>
            <w:r w:rsidRPr="00FA4DC7">
              <w:rPr>
                <w:rFonts w:cs="Arial"/>
                <w:color w:val="000000"/>
                <w:sz w:val="22"/>
                <w:szCs w:val="22"/>
              </w:rPr>
              <w:t>3-bedroom house</w:t>
            </w:r>
          </w:p>
        </w:tc>
        <w:tc>
          <w:tcPr>
            <w:tcW w:w="629" w:type="pct"/>
            <w:vAlign w:val="center"/>
          </w:tcPr>
          <w:p w14:paraId="383FA9AB" w14:textId="157765DB" w:rsidR="00FA21F6" w:rsidRPr="00FA4DC7" w:rsidRDefault="00FA21F6" w:rsidP="00BA60CB">
            <w:pPr>
              <w:jc w:val="right"/>
              <w:rPr>
                <w:rFonts w:cs="Arial"/>
                <w:color w:val="000000"/>
                <w:sz w:val="22"/>
                <w:szCs w:val="22"/>
              </w:rPr>
            </w:pPr>
            <w:r w:rsidRPr="00FA21F6">
              <w:rPr>
                <w:rFonts w:cs="Arial"/>
                <w:color w:val="000000"/>
                <w:sz w:val="22"/>
                <w:szCs w:val="22"/>
              </w:rPr>
              <w:t>35-40%</w:t>
            </w:r>
          </w:p>
        </w:tc>
        <w:tc>
          <w:tcPr>
            <w:tcW w:w="786" w:type="pct"/>
            <w:vAlign w:val="center"/>
          </w:tcPr>
          <w:p w14:paraId="7D5CD118" w14:textId="1A090D66" w:rsidR="00FA21F6" w:rsidRPr="00FA4DC7" w:rsidRDefault="00FA21F6" w:rsidP="00BA60CB">
            <w:pPr>
              <w:jc w:val="right"/>
              <w:rPr>
                <w:rFonts w:cs="Arial"/>
                <w:color w:val="000000"/>
                <w:sz w:val="22"/>
                <w:szCs w:val="22"/>
              </w:rPr>
            </w:pPr>
            <w:r w:rsidRPr="00FA21F6">
              <w:rPr>
                <w:rFonts w:cs="Arial"/>
                <w:color w:val="000000"/>
                <w:sz w:val="22"/>
                <w:szCs w:val="22"/>
              </w:rPr>
              <w:t>15-20%</w:t>
            </w:r>
          </w:p>
        </w:tc>
        <w:tc>
          <w:tcPr>
            <w:tcW w:w="787" w:type="pct"/>
            <w:vAlign w:val="center"/>
          </w:tcPr>
          <w:p w14:paraId="6CCE8CF6" w14:textId="6F060CF6" w:rsidR="00FA21F6" w:rsidRPr="00FA4DC7" w:rsidRDefault="00FA21F6" w:rsidP="00BA60CB">
            <w:pPr>
              <w:jc w:val="right"/>
              <w:rPr>
                <w:rFonts w:cs="Arial"/>
                <w:color w:val="000000"/>
                <w:sz w:val="22"/>
                <w:szCs w:val="22"/>
              </w:rPr>
            </w:pPr>
            <w:r w:rsidRPr="00FA21F6">
              <w:rPr>
                <w:rFonts w:cs="Arial"/>
                <w:color w:val="000000"/>
                <w:sz w:val="22"/>
                <w:szCs w:val="22"/>
              </w:rPr>
              <w:t>35-40%</w:t>
            </w:r>
          </w:p>
        </w:tc>
        <w:tc>
          <w:tcPr>
            <w:tcW w:w="755" w:type="pct"/>
            <w:vAlign w:val="center"/>
          </w:tcPr>
          <w:p w14:paraId="4B02B453" w14:textId="7A1F4268" w:rsidR="00FA21F6" w:rsidRPr="00FA4DC7" w:rsidRDefault="00FA21F6" w:rsidP="00BA60CB">
            <w:pPr>
              <w:jc w:val="right"/>
              <w:rPr>
                <w:rFonts w:cs="Arial"/>
                <w:color w:val="000000"/>
                <w:sz w:val="22"/>
                <w:szCs w:val="22"/>
              </w:rPr>
            </w:pPr>
            <w:r w:rsidRPr="00FA21F6">
              <w:rPr>
                <w:rFonts w:cs="Arial"/>
                <w:color w:val="000000"/>
                <w:sz w:val="22"/>
                <w:szCs w:val="22"/>
              </w:rPr>
              <w:t>30-35%</w:t>
            </w:r>
          </w:p>
        </w:tc>
      </w:tr>
      <w:tr w:rsidR="00FA21F6" w:rsidRPr="00FA4DC7" w14:paraId="7838EBEB" w14:textId="77777777" w:rsidTr="00BA60CB">
        <w:tc>
          <w:tcPr>
            <w:tcW w:w="2043" w:type="pct"/>
            <w:shd w:val="clear" w:color="auto" w:fill="auto"/>
            <w:noWrap/>
            <w:vAlign w:val="center"/>
            <w:hideMark/>
          </w:tcPr>
          <w:p w14:paraId="64A8F607" w14:textId="77777777" w:rsidR="00FA21F6" w:rsidRPr="00FA4DC7" w:rsidRDefault="00FA21F6" w:rsidP="00FA21F6">
            <w:pPr>
              <w:rPr>
                <w:rFonts w:cs="Arial"/>
                <w:color w:val="000000"/>
                <w:sz w:val="22"/>
                <w:szCs w:val="22"/>
              </w:rPr>
            </w:pPr>
            <w:r w:rsidRPr="00FA4DC7">
              <w:rPr>
                <w:rFonts w:cs="Arial"/>
                <w:color w:val="000000"/>
                <w:sz w:val="22"/>
                <w:szCs w:val="22"/>
              </w:rPr>
              <w:t>4 or more-bedroom house</w:t>
            </w:r>
          </w:p>
        </w:tc>
        <w:tc>
          <w:tcPr>
            <w:tcW w:w="629" w:type="pct"/>
            <w:vAlign w:val="center"/>
          </w:tcPr>
          <w:p w14:paraId="40F36726" w14:textId="649343EA" w:rsidR="00FA21F6" w:rsidRPr="00FA4DC7" w:rsidRDefault="00FA21F6" w:rsidP="00BA60CB">
            <w:pPr>
              <w:jc w:val="right"/>
              <w:rPr>
                <w:rFonts w:cs="Arial"/>
                <w:color w:val="000000"/>
                <w:sz w:val="22"/>
                <w:szCs w:val="22"/>
              </w:rPr>
            </w:pPr>
            <w:r w:rsidRPr="00FA21F6">
              <w:rPr>
                <w:rFonts w:cs="Arial"/>
                <w:color w:val="000000"/>
                <w:sz w:val="22"/>
                <w:szCs w:val="22"/>
              </w:rPr>
              <w:t>15-20%</w:t>
            </w:r>
          </w:p>
        </w:tc>
        <w:tc>
          <w:tcPr>
            <w:tcW w:w="786" w:type="pct"/>
            <w:vAlign w:val="center"/>
          </w:tcPr>
          <w:p w14:paraId="54C8F944" w14:textId="46BE041D" w:rsidR="00FA21F6" w:rsidRPr="00FA4DC7" w:rsidRDefault="00FA21F6" w:rsidP="00BA60CB">
            <w:pPr>
              <w:jc w:val="right"/>
              <w:rPr>
                <w:rFonts w:cs="Arial"/>
                <w:color w:val="000000"/>
                <w:sz w:val="22"/>
                <w:szCs w:val="22"/>
              </w:rPr>
            </w:pPr>
            <w:r w:rsidRPr="00FA21F6">
              <w:rPr>
                <w:rFonts w:cs="Arial"/>
                <w:color w:val="000000"/>
                <w:sz w:val="22"/>
                <w:szCs w:val="22"/>
              </w:rPr>
              <w:t>2-4%</w:t>
            </w:r>
          </w:p>
        </w:tc>
        <w:tc>
          <w:tcPr>
            <w:tcW w:w="787" w:type="pct"/>
            <w:vAlign w:val="center"/>
          </w:tcPr>
          <w:p w14:paraId="3D0F8516" w14:textId="4F19606E" w:rsidR="00FA21F6" w:rsidRPr="00FA4DC7" w:rsidRDefault="00FA21F6" w:rsidP="00BA60CB">
            <w:pPr>
              <w:jc w:val="right"/>
              <w:rPr>
                <w:rFonts w:cs="Arial"/>
                <w:color w:val="000000"/>
                <w:sz w:val="22"/>
                <w:szCs w:val="22"/>
              </w:rPr>
            </w:pPr>
            <w:r w:rsidRPr="00FA21F6">
              <w:rPr>
                <w:rFonts w:cs="Arial"/>
                <w:color w:val="000000"/>
                <w:sz w:val="22"/>
                <w:szCs w:val="22"/>
              </w:rPr>
              <w:t>10-15%</w:t>
            </w:r>
          </w:p>
        </w:tc>
        <w:tc>
          <w:tcPr>
            <w:tcW w:w="755" w:type="pct"/>
            <w:vAlign w:val="center"/>
          </w:tcPr>
          <w:p w14:paraId="17717F9A" w14:textId="491DC10A" w:rsidR="00FA21F6" w:rsidRPr="00FA4DC7" w:rsidRDefault="00FA21F6" w:rsidP="00BA60CB">
            <w:pPr>
              <w:jc w:val="right"/>
              <w:rPr>
                <w:rFonts w:cs="Arial"/>
                <w:color w:val="000000"/>
                <w:sz w:val="22"/>
                <w:szCs w:val="22"/>
              </w:rPr>
            </w:pPr>
            <w:r w:rsidRPr="00FA21F6">
              <w:rPr>
                <w:rFonts w:cs="Arial"/>
                <w:color w:val="000000"/>
                <w:sz w:val="22"/>
                <w:szCs w:val="22"/>
              </w:rPr>
              <w:t>10-15%</w:t>
            </w:r>
          </w:p>
        </w:tc>
      </w:tr>
      <w:tr w:rsidR="00FA21F6" w:rsidRPr="00FA4DC7" w14:paraId="2CD65E9F" w14:textId="77777777" w:rsidTr="00BA60CB">
        <w:tc>
          <w:tcPr>
            <w:tcW w:w="2043" w:type="pct"/>
            <w:shd w:val="clear" w:color="auto" w:fill="auto"/>
            <w:noWrap/>
            <w:vAlign w:val="center"/>
            <w:hideMark/>
          </w:tcPr>
          <w:p w14:paraId="3ABF8052" w14:textId="77777777" w:rsidR="00FA21F6" w:rsidRPr="00FA4DC7" w:rsidRDefault="00FA21F6" w:rsidP="00FA21F6">
            <w:pPr>
              <w:rPr>
                <w:rFonts w:cs="Arial"/>
                <w:color w:val="000000"/>
                <w:sz w:val="22"/>
                <w:szCs w:val="22"/>
              </w:rPr>
            </w:pPr>
            <w:r w:rsidRPr="00FA4DC7">
              <w:rPr>
                <w:rFonts w:cs="Arial"/>
                <w:color w:val="000000"/>
                <w:sz w:val="22"/>
                <w:szCs w:val="22"/>
              </w:rPr>
              <w:t>1-bedroom flat</w:t>
            </w:r>
          </w:p>
        </w:tc>
        <w:tc>
          <w:tcPr>
            <w:tcW w:w="629" w:type="pct"/>
            <w:vAlign w:val="center"/>
          </w:tcPr>
          <w:p w14:paraId="5FAA9DA2" w14:textId="70D7A0F1" w:rsidR="00FA21F6" w:rsidRPr="00FA4DC7" w:rsidRDefault="00FA21F6" w:rsidP="00BA60CB">
            <w:pPr>
              <w:jc w:val="right"/>
              <w:rPr>
                <w:rFonts w:cs="Arial"/>
                <w:color w:val="000000"/>
                <w:sz w:val="22"/>
                <w:szCs w:val="22"/>
              </w:rPr>
            </w:pPr>
            <w:r w:rsidRPr="00FA21F6">
              <w:rPr>
                <w:rFonts w:cs="Arial"/>
                <w:color w:val="000000"/>
                <w:sz w:val="22"/>
                <w:szCs w:val="22"/>
              </w:rPr>
              <w:t>5-10%</w:t>
            </w:r>
          </w:p>
        </w:tc>
        <w:tc>
          <w:tcPr>
            <w:tcW w:w="786" w:type="pct"/>
            <w:vAlign w:val="center"/>
          </w:tcPr>
          <w:p w14:paraId="2F6E3382" w14:textId="717C7E44" w:rsidR="00FA21F6" w:rsidRPr="00FA4DC7" w:rsidRDefault="00FA21F6" w:rsidP="00BA60CB">
            <w:pPr>
              <w:jc w:val="right"/>
              <w:rPr>
                <w:rFonts w:cs="Arial"/>
                <w:color w:val="000000"/>
                <w:sz w:val="22"/>
                <w:szCs w:val="22"/>
              </w:rPr>
            </w:pPr>
            <w:r w:rsidRPr="00FA21F6">
              <w:rPr>
                <w:rFonts w:cs="Arial"/>
                <w:color w:val="000000"/>
                <w:sz w:val="22"/>
                <w:szCs w:val="22"/>
              </w:rPr>
              <w:t>30-35%</w:t>
            </w:r>
          </w:p>
        </w:tc>
        <w:tc>
          <w:tcPr>
            <w:tcW w:w="787" w:type="pct"/>
            <w:vAlign w:val="center"/>
          </w:tcPr>
          <w:p w14:paraId="31BACC08" w14:textId="6A6409E2" w:rsidR="00FA21F6" w:rsidRPr="00FA4DC7" w:rsidRDefault="00FA21F6" w:rsidP="00BA60CB">
            <w:pPr>
              <w:jc w:val="right"/>
              <w:rPr>
                <w:rFonts w:cs="Arial"/>
                <w:color w:val="000000"/>
                <w:sz w:val="22"/>
                <w:szCs w:val="22"/>
              </w:rPr>
            </w:pPr>
            <w:r w:rsidRPr="00FA21F6">
              <w:rPr>
                <w:rFonts w:cs="Arial"/>
                <w:color w:val="000000"/>
                <w:sz w:val="22"/>
                <w:szCs w:val="22"/>
              </w:rPr>
              <w:t>0-2%</w:t>
            </w:r>
          </w:p>
        </w:tc>
        <w:tc>
          <w:tcPr>
            <w:tcW w:w="755" w:type="pct"/>
            <w:vAlign w:val="center"/>
          </w:tcPr>
          <w:p w14:paraId="66322585" w14:textId="097CE1EF" w:rsidR="00FA21F6" w:rsidRPr="00FA4DC7" w:rsidRDefault="00FA21F6" w:rsidP="00BA60CB">
            <w:pPr>
              <w:jc w:val="right"/>
              <w:rPr>
                <w:rFonts w:cs="Arial"/>
                <w:color w:val="000000"/>
                <w:sz w:val="22"/>
                <w:szCs w:val="22"/>
              </w:rPr>
            </w:pPr>
            <w:r w:rsidRPr="00FA21F6">
              <w:rPr>
                <w:rFonts w:cs="Arial"/>
                <w:color w:val="000000"/>
                <w:sz w:val="22"/>
                <w:szCs w:val="22"/>
              </w:rPr>
              <w:t>15-20%</w:t>
            </w:r>
          </w:p>
        </w:tc>
      </w:tr>
      <w:tr w:rsidR="00FA21F6" w:rsidRPr="00FA4DC7" w14:paraId="133791AA" w14:textId="77777777" w:rsidTr="00BA60CB">
        <w:tc>
          <w:tcPr>
            <w:tcW w:w="2043" w:type="pct"/>
            <w:shd w:val="clear" w:color="auto" w:fill="auto"/>
            <w:noWrap/>
            <w:vAlign w:val="center"/>
            <w:hideMark/>
          </w:tcPr>
          <w:p w14:paraId="36F8C48B" w14:textId="77777777" w:rsidR="00FA21F6" w:rsidRPr="00FA4DC7" w:rsidRDefault="00FA21F6" w:rsidP="00FA21F6">
            <w:pPr>
              <w:rPr>
                <w:rFonts w:cs="Arial"/>
                <w:color w:val="000000"/>
                <w:sz w:val="22"/>
                <w:szCs w:val="22"/>
              </w:rPr>
            </w:pPr>
            <w:r w:rsidRPr="00FA4DC7">
              <w:rPr>
                <w:rFonts w:cs="Arial"/>
                <w:color w:val="000000"/>
                <w:sz w:val="22"/>
                <w:szCs w:val="22"/>
              </w:rPr>
              <w:t>2 or more -bedroom flat</w:t>
            </w:r>
          </w:p>
        </w:tc>
        <w:tc>
          <w:tcPr>
            <w:tcW w:w="629" w:type="pct"/>
            <w:vAlign w:val="center"/>
          </w:tcPr>
          <w:p w14:paraId="0098C69E" w14:textId="35C73E22" w:rsidR="00FA21F6" w:rsidRPr="00FA4DC7" w:rsidRDefault="00FA21F6" w:rsidP="00BA60CB">
            <w:pPr>
              <w:jc w:val="right"/>
              <w:rPr>
                <w:rFonts w:cs="Arial"/>
                <w:color w:val="000000"/>
                <w:sz w:val="22"/>
                <w:szCs w:val="22"/>
              </w:rPr>
            </w:pPr>
            <w:r w:rsidRPr="00FA21F6">
              <w:rPr>
                <w:rFonts w:cs="Arial"/>
                <w:color w:val="000000"/>
                <w:sz w:val="22"/>
                <w:szCs w:val="22"/>
              </w:rPr>
              <w:t>5-10%</w:t>
            </w:r>
          </w:p>
        </w:tc>
        <w:tc>
          <w:tcPr>
            <w:tcW w:w="786" w:type="pct"/>
            <w:vAlign w:val="center"/>
          </w:tcPr>
          <w:p w14:paraId="00083EC5" w14:textId="2E89E3AC" w:rsidR="00FA21F6" w:rsidRPr="00FA4DC7" w:rsidRDefault="00FA21F6" w:rsidP="00BA60CB">
            <w:pPr>
              <w:jc w:val="right"/>
              <w:rPr>
                <w:rFonts w:cs="Arial"/>
                <w:color w:val="000000"/>
                <w:sz w:val="22"/>
                <w:szCs w:val="22"/>
              </w:rPr>
            </w:pPr>
            <w:r w:rsidRPr="00FA21F6">
              <w:rPr>
                <w:rFonts w:cs="Arial"/>
                <w:color w:val="000000"/>
                <w:sz w:val="22"/>
                <w:szCs w:val="22"/>
              </w:rPr>
              <w:t>35-40%</w:t>
            </w:r>
          </w:p>
        </w:tc>
        <w:tc>
          <w:tcPr>
            <w:tcW w:w="787" w:type="pct"/>
            <w:vAlign w:val="center"/>
          </w:tcPr>
          <w:p w14:paraId="575CB4DA" w14:textId="66AA891C" w:rsidR="00FA21F6" w:rsidRPr="00FA4DC7" w:rsidRDefault="00FA21F6" w:rsidP="00BA60CB">
            <w:pPr>
              <w:jc w:val="right"/>
              <w:rPr>
                <w:rFonts w:cs="Arial"/>
                <w:color w:val="000000"/>
                <w:sz w:val="22"/>
                <w:szCs w:val="22"/>
              </w:rPr>
            </w:pPr>
            <w:r w:rsidRPr="00FA21F6">
              <w:rPr>
                <w:rFonts w:cs="Arial"/>
                <w:color w:val="000000"/>
                <w:sz w:val="22"/>
                <w:szCs w:val="22"/>
              </w:rPr>
              <w:t>15-20%</w:t>
            </w:r>
          </w:p>
        </w:tc>
        <w:tc>
          <w:tcPr>
            <w:tcW w:w="755" w:type="pct"/>
            <w:vAlign w:val="center"/>
          </w:tcPr>
          <w:p w14:paraId="1A92F7C2" w14:textId="3330A4D5" w:rsidR="00FA21F6" w:rsidRPr="00FA4DC7" w:rsidRDefault="00FA21F6" w:rsidP="00BA60CB">
            <w:pPr>
              <w:jc w:val="right"/>
              <w:rPr>
                <w:rFonts w:cs="Arial"/>
                <w:color w:val="000000"/>
                <w:sz w:val="22"/>
                <w:szCs w:val="22"/>
              </w:rPr>
            </w:pPr>
            <w:r w:rsidRPr="00FA21F6">
              <w:rPr>
                <w:rFonts w:cs="Arial"/>
                <w:color w:val="000000"/>
                <w:sz w:val="22"/>
                <w:szCs w:val="22"/>
              </w:rPr>
              <w:t>20-25%</w:t>
            </w:r>
          </w:p>
        </w:tc>
      </w:tr>
      <w:tr w:rsidR="00FA21F6" w:rsidRPr="00FA4DC7" w14:paraId="3922AC69" w14:textId="77777777" w:rsidTr="00BA60CB">
        <w:tc>
          <w:tcPr>
            <w:tcW w:w="2043" w:type="pct"/>
            <w:shd w:val="clear" w:color="auto" w:fill="auto"/>
            <w:noWrap/>
            <w:vAlign w:val="center"/>
            <w:hideMark/>
          </w:tcPr>
          <w:p w14:paraId="55DBE579" w14:textId="77777777" w:rsidR="00FA21F6" w:rsidRPr="00FA4DC7" w:rsidRDefault="00FA21F6" w:rsidP="00FA21F6">
            <w:pPr>
              <w:rPr>
                <w:rFonts w:cs="Arial"/>
                <w:color w:val="000000"/>
                <w:sz w:val="22"/>
                <w:szCs w:val="22"/>
              </w:rPr>
            </w:pPr>
            <w:r w:rsidRPr="00FA4DC7">
              <w:rPr>
                <w:rFonts w:cs="Arial"/>
                <w:color w:val="000000"/>
                <w:sz w:val="22"/>
                <w:szCs w:val="22"/>
              </w:rPr>
              <w:t>1-bedroom bungalow/level-access</w:t>
            </w:r>
          </w:p>
        </w:tc>
        <w:tc>
          <w:tcPr>
            <w:tcW w:w="629" w:type="pct"/>
            <w:vAlign w:val="center"/>
          </w:tcPr>
          <w:p w14:paraId="6FFF2E11" w14:textId="1185FCF0" w:rsidR="00FA21F6" w:rsidRPr="00FA4DC7" w:rsidRDefault="00FA21F6" w:rsidP="00BA60CB">
            <w:pPr>
              <w:jc w:val="right"/>
              <w:rPr>
                <w:rFonts w:cs="Arial"/>
                <w:color w:val="000000"/>
                <w:sz w:val="22"/>
                <w:szCs w:val="22"/>
              </w:rPr>
            </w:pPr>
            <w:r w:rsidRPr="00FA21F6">
              <w:rPr>
                <w:rFonts w:cs="Arial"/>
                <w:color w:val="000000"/>
                <w:sz w:val="22"/>
                <w:szCs w:val="22"/>
              </w:rPr>
              <w:t>1-3%</w:t>
            </w:r>
          </w:p>
        </w:tc>
        <w:tc>
          <w:tcPr>
            <w:tcW w:w="786" w:type="pct"/>
            <w:vAlign w:val="center"/>
          </w:tcPr>
          <w:p w14:paraId="2B973D96" w14:textId="68E9CB6D" w:rsidR="00FA21F6" w:rsidRPr="00FA4DC7" w:rsidRDefault="00FA21F6" w:rsidP="00BA60CB">
            <w:pPr>
              <w:jc w:val="right"/>
              <w:rPr>
                <w:rFonts w:cs="Arial"/>
                <w:color w:val="000000"/>
                <w:sz w:val="22"/>
                <w:szCs w:val="22"/>
              </w:rPr>
            </w:pPr>
            <w:r w:rsidRPr="00FA21F6">
              <w:rPr>
                <w:rFonts w:cs="Arial"/>
                <w:color w:val="000000"/>
                <w:sz w:val="22"/>
                <w:szCs w:val="22"/>
              </w:rPr>
              <w:t>1-3%</w:t>
            </w:r>
          </w:p>
        </w:tc>
        <w:tc>
          <w:tcPr>
            <w:tcW w:w="787" w:type="pct"/>
            <w:vAlign w:val="center"/>
          </w:tcPr>
          <w:p w14:paraId="64225D43" w14:textId="3982CBF7" w:rsidR="00FA21F6" w:rsidRPr="00FA4DC7" w:rsidRDefault="00FA21F6" w:rsidP="00BA60CB">
            <w:pPr>
              <w:jc w:val="right"/>
              <w:rPr>
                <w:rFonts w:cs="Arial"/>
                <w:color w:val="000000"/>
                <w:sz w:val="22"/>
                <w:szCs w:val="22"/>
              </w:rPr>
            </w:pPr>
            <w:r w:rsidRPr="00FA21F6">
              <w:rPr>
                <w:rFonts w:cs="Arial"/>
                <w:color w:val="000000"/>
                <w:sz w:val="22"/>
                <w:szCs w:val="22"/>
              </w:rPr>
              <w:t>4-6%</w:t>
            </w:r>
          </w:p>
        </w:tc>
        <w:tc>
          <w:tcPr>
            <w:tcW w:w="755" w:type="pct"/>
            <w:vAlign w:val="center"/>
          </w:tcPr>
          <w:p w14:paraId="1560AEE8" w14:textId="0BCD0AAF" w:rsidR="00FA21F6" w:rsidRPr="00FA4DC7" w:rsidRDefault="00FA21F6" w:rsidP="00BA60CB">
            <w:pPr>
              <w:jc w:val="right"/>
              <w:rPr>
                <w:rFonts w:cs="Arial"/>
                <w:color w:val="000000"/>
                <w:sz w:val="22"/>
                <w:szCs w:val="22"/>
              </w:rPr>
            </w:pPr>
            <w:r w:rsidRPr="00FA21F6">
              <w:rPr>
                <w:rFonts w:cs="Arial"/>
                <w:color w:val="000000"/>
                <w:sz w:val="22"/>
                <w:szCs w:val="22"/>
              </w:rPr>
              <w:t>2-4%</w:t>
            </w:r>
          </w:p>
        </w:tc>
      </w:tr>
      <w:tr w:rsidR="00FA21F6" w:rsidRPr="00FA4DC7" w14:paraId="506F83BC" w14:textId="77777777" w:rsidTr="00BA60CB">
        <w:tc>
          <w:tcPr>
            <w:tcW w:w="2043" w:type="pct"/>
            <w:shd w:val="clear" w:color="auto" w:fill="auto"/>
            <w:noWrap/>
            <w:vAlign w:val="center"/>
            <w:hideMark/>
          </w:tcPr>
          <w:p w14:paraId="023CFF7B" w14:textId="77777777" w:rsidR="00FA21F6" w:rsidRPr="00FA4DC7" w:rsidRDefault="00FA21F6" w:rsidP="00FA21F6">
            <w:pPr>
              <w:rPr>
                <w:rFonts w:cs="Arial"/>
                <w:color w:val="000000"/>
                <w:sz w:val="22"/>
                <w:szCs w:val="22"/>
              </w:rPr>
            </w:pPr>
            <w:r w:rsidRPr="00FA4DC7">
              <w:rPr>
                <w:rFonts w:cs="Arial"/>
                <w:color w:val="000000"/>
                <w:sz w:val="22"/>
                <w:szCs w:val="22"/>
              </w:rPr>
              <w:t>2-bedroom bungalow/level-access</w:t>
            </w:r>
          </w:p>
        </w:tc>
        <w:tc>
          <w:tcPr>
            <w:tcW w:w="629" w:type="pct"/>
            <w:vAlign w:val="center"/>
          </w:tcPr>
          <w:p w14:paraId="7921C229" w14:textId="5CB0D582" w:rsidR="00FA21F6" w:rsidRPr="00FA4DC7" w:rsidRDefault="00FA21F6" w:rsidP="00BA60CB">
            <w:pPr>
              <w:jc w:val="right"/>
              <w:rPr>
                <w:rFonts w:cs="Arial"/>
                <w:color w:val="000000"/>
                <w:sz w:val="22"/>
                <w:szCs w:val="22"/>
              </w:rPr>
            </w:pPr>
            <w:r w:rsidRPr="00FA21F6">
              <w:rPr>
                <w:rFonts w:cs="Arial"/>
                <w:color w:val="000000"/>
                <w:sz w:val="22"/>
                <w:szCs w:val="22"/>
              </w:rPr>
              <w:t>2-4%</w:t>
            </w:r>
          </w:p>
        </w:tc>
        <w:tc>
          <w:tcPr>
            <w:tcW w:w="786" w:type="pct"/>
            <w:vAlign w:val="center"/>
          </w:tcPr>
          <w:p w14:paraId="1F228CBE" w14:textId="065E43FC" w:rsidR="00FA21F6" w:rsidRPr="00FA4DC7" w:rsidRDefault="00FA21F6" w:rsidP="00BA60CB">
            <w:pPr>
              <w:jc w:val="right"/>
              <w:rPr>
                <w:rFonts w:cs="Arial"/>
                <w:color w:val="000000"/>
                <w:sz w:val="22"/>
                <w:szCs w:val="22"/>
              </w:rPr>
            </w:pPr>
            <w:r w:rsidRPr="00FA21F6">
              <w:rPr>
                <w:rFonts w:cs="Arial"/>
                <w:color w:val="000000"/>
                <w:sz w:val="22"/>
                <w:szCs w:val="22"/>
              </w:rPr>
              <w:t>1-3%</w:t>
            </w:r>
          </w:p>
        </w:tc>
        <w:tc>
          <w:tcPr>
            <w:tcW w:w="787" w:type="pct"/>
            <w:vAlign w:val="center"/>
          </w:tcPr>
          <w:p w14:paraId="0B7E2A85" w14:textId="0C1F6988" w:rsidR="00FA21F6" w:rsidRPr="00FA4DC7" w:rsidRDefault="00FA21F6" w:rsidP="00BA60CB">
            <w:pPr>
              <w:jc w:val="right"/>
              <w:rPr>
                <w:rFonts w:cs="Arial"/>
                <w:color w:val="000000"/>
                <w:sz w:val="22"/>
                <w:szCs w:val="22"/>
              </w:rPr>
            </w:pPr>
            <w:r w:rsidRPr="00FA21F6">
              <w:rPr>
                <w:rFonts w:cs="Arial"/>
                <w:color w:val="000000"/>
                <w:sz w:val="22"/>
                <w:szCs w:val="22"/>
              </w:rPr>
              <w:t>4-6%</w:t>
            </w:r>
          </w:p>
        </w:tc>
        <w:tc>
          <w:tcPr>
            <w:tcW w:w="755" w:type="pct"/>
            <w:vAlign w:val="center"/>
          </w:tcPr>
          <w:p w14:paraId="0231ED76" w14:textId="6B36E653" w:rsidR="00FA21F6" w:rsidRPr="00FA4DC7" w:rsidRDefault="00FA21F6" w:rsidP="00BA60CB">
            <w:pPr>
              <w:jc w:val="right"/>
              <w:rPr>
                <w:rFonts w:cs="Arial"/>
                <w:color w:val="000000"/>
                <w:sz w:val="22"/>
                <w:szCs w:val="22"/>
              </w:rPr>
            </w:pPr>
            <w:r w:rsidRPr="00FA21F6">
              <w:rPr>
                <w:rFonts w:cs="Arial"/>
                <w:color w:val="000000"/>
                <w:sz w:val="22"/>
                <w:szCs w:val="22"/>
              </w:rPr>
              <w:t>2-4%</w:t>
            </w:r>
          </w:p>
        </w:tc>
      </w:tr>
      <w:tr w:rsidR="00FA21F6" w:rsidRPr="00FA4DC7" w14:paraId="1B9BEB6C" w14:textId="77777777" w:rsidTr="00BA60CB">
        <w:tc>
          <w:tcPr>
            <w:tcW w:w="2043" w:type="pct"/>
            <w:shd w:val="clear" w:color="auto" w:fill="auto"/>
            <w:noWrap/>
            <w:vAlign w:val="center"/>
            <w:hideMark/>
          </w:tcPr>
          <w:p w14:paraId="611DA228" w14:textId="05FA8398" w:rsidR="00FA21F6" w:rsidRPr="00FA4DC7" w:rsidRDefault="00FA21F6" w:rsidP="00FA21F6">
            <w:pPr>
              <w:rPr>
                <w:rFonts w:cs="Arial"/>
                <w:color w:val="000000"/>
                <w:sz w:val="22"/>
                <w:szCs w:val="22"/>
              </w:rPr>
            </w:pPr>
            <w:r w:rsidRPr="00FA4DC7">
              <w:rPr>
                <w:rFonts w:cs="Arial"/>
                <w:color w:val="000000"/>
                <w:sz w:val="22"/>
                <w:szCs w:val="22"/>
              </w:rPr>
              <w:t>3 or more-bedroom bungalow/</w:t>
            </w:r>
            <w:r w:rsidR="00BA60CB">
              <w:rPr>
                <w:rFonts w:cs="Arial"/>
                <w:color w:val="000000"/>
                <w:sz w:val="22"/>
                <w:szCs w:val="22"/>
              </w:rPr>
              <w:t xml:space="preserve"> </w:t>
            </w:r>
            <w:r w:rsidRPr="00FA4DC7">
              <w:rPr>
                <w:rFonts w:cs="Arial"/>
                <w:color w:val="000000"/>
                <w:sz w:val="22"/>
                <w:szCs w:val="22"/>
              </w:rPr>
              <w:t>level-access</w:t>
            </w:r>
          </w:p>
        </w:tc>
        <w:tc>
          <w:tcPr>
            <w:tcW w:w="629" w:type="pct"/>
            <w:vAlign w:val="center"/>
          </w:tcPr>
          <w:p w14:paraId="48E2C7BA" w14:textId="05B92AA9" w:rsidR="00FA21F6" w:rsidRPr="00FA4DC7" w:rsidRDefault="00FA21F6" w:rsidP="00BA60CB">
            <w:pPr>
              <w:jc w:val="right"/>
              <w:rPr>
                <w:rFonts w:cs="Arial"/>
                <w:color w:val="000000"/>
                <w:sz w:val="22"/>
                <w:szCs w:val="22"/>
              </w:rPr>
            </w:pPr>
            <w:r w:rsidRPr="00FA21F6">
              <w:rPr>
                <w:rFonts w:cs="Arial"/>
                <w:color w:val="000000"/>
                <w:sz w:val="22"/>
                <w:szCs w:val="22"/>
              </w:rPr>
              <w:t>2-4%</w:t>
            </w:r>
          </w:p>
        </w:tc>
        <w:tc>
          <w:tcPr>
            <w:tcW w:w="786" w:type="pct"/>
            <w:vAlign w:val="center"/>
          </w:tcPr>
          <w:p w14:paraId="3F14F353" w14:textId="24CACA3F" w:rsidR="00FA21F6" w:rsidRPr="00FA4DC7" w:rsidRDefault="00FA21F6" w:rsidP="00BA60CB">
            <w:pPr>
              <w:jc w:val="right"/>
              <w:rPr>
                <w:rFonts w:cs="Arial"/>
                <w:color w:val="000000"/>
                <w:sz w:val="22"/>
                <w:szCs w:val="22"/>
              </w:rPr>
            </w:pPr>
            <w:r w:rsidRPr="00FA21F6">
              <w:rPr>
                <w:rFonts w:cs="Arial"/>
                <w:color w:val="000000"/>
                <w:sz w:val="22"/>
                <w:szCs w:val="22"/>
              </w:rPr>
              <w:t>1-3%</w:t>
            </w:r>
          </w:p>
        </w:tc>
        <w:tc>
          <w:tcPr>
            <w:tcW w:w="787" w:type="pct"/>
            <w:vAlign w:val="center"/>
          </w:tcPr>
          <w:p w14:paraId="21C79F4E" w14:textId="0F56673D" w:rsidR="00FA21F6" w:rsidRPr="00FA4DC7" w:rsidRDefault="00FA21F6" w:rsidP="00BA60CB">
            <w:pPr>
              <w:jc w:val="right"/>
              <w:rPr>
                <w:rFonts w:cs="Arial"/>
                <w:color w:val="000000"/>
                <w:sz w:val="22"/>
                <w:szCs w:val="22"/>
              </w:rPr>
            </w:pPr>
            <w:r w:rsidRPr="00FA21F6">
              <w:rPr>
                <w:rFonts w:cs="Arial"/>
                <w:color w:val="000000"/>
                <w:sz w:val="22"/>
                <w:szCs w:val="22"/>
              </w:rPr>
              <w:t>0-2%</w:t>
            </w:r>
          </w:p>
        </w:tc>
        <w:tc>
          <w:tcPr>
            <w:tcW w:w="755" w:type="pct"/>
            <w:vAlign w:val="center"/>
          </w:tcPr>
          <w:p w14:paraId="02373940" w14:textId="6135F27A" w:rsidR="00FA21F6" w:rsidRPr="00FA4DC7" w:rsidRDefault="00FA21F6" w:rsidP="00BA60CB">
            <w:pPr>
              <w:jc w:val="right"/>
              <w:rPr>
                <w:rFonts w:cs="Arial"/>
                <w:color w:val="000000"/>
                <w:sz w:val="22"/>
                <w:szCs w:val="22"/>
              </w:rPr>
            </w:pPr>
            <w:r w:rsidRPr="00FA21F6">
              <w:rPr>
                <w:rFonts w:cs="Arial"/>
                <w:color w:val="000000"/>
                <w:sz w:val="22"/>
                <w:szCs w:val="22"/>
              </w:rPr>
              <w:t>2-4%</w:t>
            </w:r>
          </w:p>
        </w:tc>
      </w:tr>
      <w:tr w:rsidR="00FA4DC7" w:rsidRPr="00FA4DC7" w14:paraId="5962FDFB" w14:textId="77777777" w:rsidTr="00BA60CB">
        <w:trPr>
          <w:trHeight w:val="245"/>
        </w:trPr>
        <w:tc>
          <w:tcPr>
            <w:tcW w:w="2043" w:type="pct"/>
            <w:shd w:val="clear" w:color="auto" w:fill="006666"/>
            <w:noWrap/>
            <w:vAlign w:val="bottom"/>
            <w:hideMark/>
          </w:tcPr>
          <w:p w14:paraId="47A3574B"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w:t>
            </w:r>
          </w:p>
        </w:tc>
        <w:tc>
          <w:tcPr>
            <w:tcW w:w="629" w:type="pct"/>
            <w:shd w:val="clear" w:color="auto" w:fill="006666"/>
            <w:vAlign w:val="bottom"/>
          </w:tcPr>
          <w:p w14:paraId="6058A68B"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Market</w:t>
            </w:r>
          </w:p>
        </w:tc>
        <w:tc>
          <w:tcPr>
            <w:tcW w:w="786" w:type="pct"/>
            <w:shd w:val="clear" w:color="auto" w:fill="006666"/>
            <w:vAlign w:val="bottom"/>
          </w:tcPr>
          <w:p w14:paraId="43FA1B95"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Affordable Rented</w:t>
            </w:r>
          </w:p>
        </w:tc>
        <w:tc>
          <w:tcPr>
            <w:tcW w:w="787" w:type="pct"/>
            <w:shd w:val="clear" w:color="auto" w:fill="006666"/>
            <w:vAlign w:val="bottom"/>
          </w:tcPr>
          <w:p w14:paraId="6D00EAFC"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Affordable home ownership</w:t>
            </w:r>
          </w:p>
        </w:tc>
        <w:tc>
          <w:tcPr>
            <w:tcW w:w="755" w:type="pct"/>
            <w:shd w:val="clear" w:color="auto" w:fill="006666"/>
            <w:vAlign w:val="bottom"/>
          </w:tcPr>
          <w:p w14:paraId="5743A6CD"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Overall range</w:t>
            </w:r>
          </w:p>
        </w:tc>
      </w:tr>
      <w:tr w:rsidR="00FA21F6" w:rsidRPr="00FA4DC7" w14:paraId="6A652D39" w14:textId="77777777" w:rsidTr="00BA60CB">
        <w:tc>
          <w:tcPr>
            <w:tcW w:w="2043" w:type="pct"/>
            <w:shd w:val="clear" w:color="auto" w:fill="auto"/>
            <w:noWrap/>
            <w:vAlign w:val="center"/>
            <w:hideMark/>
          </w:tcPr>
          <w:p w14:paraId="45B67B85" w14:textId="77777777" w:rsidR="00FA21F6" w:rsidRPr="00FA4DC7" w:rsidRDefault="00FA21F6" w:rsidP="00FA21F6">
            <w:pPr>
              <w:rPr>
                <w:rFonts w:cs="Arial"/>
                <w:color w:val="000000"/>
                <w:sz w:val="22"/>
                <w:szCs w:val="22"/>
              </w:rPr>
            </w:pPr>
            <w:r w:rsidRPr="00FA4DC7">
              <w:rPr>
                <w:rFonts w:cs="Arial"/>
                <w:color w:val="000000"/>
                <w:sz w:val="22"/>
                <w:szCs w:val="22"/>
              </w:rPr>
              <w:t>House</w:t>
            </w:r>
          </w:p>
        </w:tc>
        <w:tc>
          <w:tcPr>
            <w:tcW w:w="629" w:type="pct"/>
            <w:vAlign w:val="center"/>
          </w:tcPr>
          <w:p w14:paraId="04AD8865" w14:textId="7B7C2297" w:rsidR="00FA21F6" w:rsidRPr="00FA4DC7" w:rsidRDefault="00FA21F6" w:rsidP="00BA60CB">
            <w:pPr>
              <w:jc w:val="right"/>
              <w:rPr>
                <w:rFonts w:cs="Arial"/>
                <w:color w:val="000000"/>
                <w:sz w:val="22"/>
                <w:szCs w:val="22"/>
              </w:rPr>
            </w:pPr>
            <w:r w:rsidRPr="00FA21F6">
              <w:rPr>
                <w:rFonts w:cs="Arial"/>
                <w:color w:val="000000"/>
                <w:sz w:val="22"/>
                <w:szCs w:val="22"/>
              </w:rPr>
              <w:t>75-80%</w:t>
            </w:r>
          </w:p>
        </w:tc>
        <w:tc>
          <w:tcPr>
            <w:tcW w:w="786" w:type="pct"/>
            <w:vAlign w:val="center"/>
          </w:tcPr>
          <w:p w14:paraId="10562D76" w14:textId="37C22845" w:rsidR="00FA21F6" w:rsidRPr="00FA4DC7" w:rsidRDefault="00FA21F6" w:rsidP="00BA60CB">
            <w:pPr>
              <w:jc w:val="right"/>
              <w:rPr>
                <w:rFonts w:cs="Arial"/>
                <w:color w:val="000000"/>
                <w:sz w:val="22"/>
                <w:szCs w:val="22"/>
              </w:rPr>
            </w:pPr>
            <w:r w:rsidRPr="00FA21F6">
              <w:rPr>
                <w:rFonts w:cs="Arial"/>
                <w:color w:val="000000"/>
                <w:sz w:val="22"/>
                <w:szCs w:val="22"/>
              </w:rPr>
              <w:t>25-30%</w:t>
            </w:r>
          </w:p>
        </w:tc>
        <w:tc>
          <w:tcPr>
            <w:tcW w:w="787" w:type="pct"/>
            <w:vAlign w:val="center"/>
          </w:tcPr>
          <w:p w14:paraId="551AC622" w14:textId="594E1E1E" w:rsidR="00FA21F6" w:rsidRPr="00FA4DC7" w:rsidRDefault="00FA21F6" w:rsidP="00BA60CB">
            <w:pPr>
              <w:jc w:val="right"/>
              <w:rPr>
                <w:rFonts w:cs="Arial"/>
                <w:color w:val="000000"/>
                <w:sz w:val="22"/>
                <w:szCs w:val="22"/>
              </w:rPr>
            </w:pPr>
            <w:r w:rsidRPr="00FA21F6">
              <w:rPr>
                <w:rFonts w:cs="Arial"/>
                <w:color w:val="000000"/>
                <w:sz w:val="22"/>
                <w:szCs w:val="22"/>
              </w:rPr>
              <w:t>20-25%</w:t>
            </w:r>
          </w:p>
        </w:tc>
        <w:tc>
          <w:tcPr>
            <w:tcW w:w="755" w:type="pct"/>
            <w:vAlign w:val="center"/>
          </w:tcPr>
          <w:p w14:paraId="7F2FDE04" w14:textId="3265EEC9" w:rsidR="00FA21F6" w:rsidRPr="00FA4DC7" w:rsidRDefault="00FA21F6" w:rsidP="00BA60CB">
            <w:pPr>
              <w:jc w:val="right"/>
              <w:rPr>
                <w:rFonts w:cs="Arial"/>
                <w:color w:val="000000"/>
                <w:sz w:val="22"/>
                <w:szCs w:val="22"/>
              </w:rPr>
            </w:pPr>
            <w:r w:rsidRPr="00FA21F6">
              <w:rPr>
                <w:rFonts w:cs="Arial"/>
                <w:color w:val="000000"/>
                <w:sz w:val="22"/>
                <w:szCs w:val="22"/>
              </w:rPr>
              <w:t>60-65%</w:t>
            </w:r>
          </w:p>
        </w:tc>
      </w:tr>
      <w:tr w:rsidR="00FA21F6" w:rsidRPr="00FA4DC7" w14:paraId="3672C674" w14:textId="77777777" w:rsidTr="00BA60CB">
        <w:tc>
          <w:tcPr>
            <w:tcW w:w="2043" w:type="pct"/>
            <w:shd w:val="clear" w:color="auto" w:fill="auto"/>
            <w:noWrap/>
            <w:vAlign w:val="center"/>
            <w:hideMark/>
          </w:tcPr>
          <w:p w14:paraId="4684C198" w14:textId="77777777" w:rsidR="00FA21F6" w:rsidRPr="00FA4DC7" w:rsidRDefault="00FA21F6" w:rsidP="00FA21F6">
            <w:pPr>
              <w:rPr>
                <w:rFonts w:cs="Arial"/>
                <w:color w:val="000000"/>
                <w:sz w:val="22"/>
                <w:szCs w:val="22"/>
              </w:rPr>
            </w:pPr>
            <w:r w:rsidRPr="00FA4DC7">
              <w:rPr>
                <w:rFonts w:cs="Arial"/>
                <w:color w:val="000000"/>
                <w:sz w:val="22"/>
                <w:szCs w:val="22"/>
              </w:rPr>
              <w:t>Flat</w:t>
            </w:r>
          </w:p>
        </w:tc>
        <w:tc>
          <w:tcPr>
            <w:tcW w:w="629" w:type="pct"/>
            <w:vAlign w:val="center"/>
          </w:tcPr>
          <w:p w14:paraId="6E03AE8C" w14:textId="3FF5D87B" w:rsidR="00FA21F6" w:rsidRPr="00FA4DC7" w:rsidRDefault="00FA21F6" w:rsidP="00BA60CB">
            <w:pPr>
              <w:jc w:val="right"/>
              <w:rPr>
                <w:rFonts w:cs="Arial"/>
                <w:color w:val="000000"/>
                <w:sz w:val="22"/>
                <w:szCs w:val="22"/>
              </w:rPr>
            </w:pPr>
            <w:r w:rsidRPr="00FA21F6">
              <w:rPr>
                <w:rFonts w:cs="Arial"/>
                <w:color w:val="000000"/>
                <w:sz w:val="22"/>
                <w:szCs w:val="22"/>
              </w:rPr>
              <w:t>10-15%</w:t>
            </w:r>
          </w:p>
        </w:tc>
        <w:tc>
          <w:tcPr>
            <w:tcW w:w="786" w:type="pct"/>
            <w:vAlign w:val="center"/>
          </w:tcPr>
          <w:p w14:paraId="1E4C11E5" w14:textId="7B22810C" w:rsidR="00FA21F6" w:rsidRPr="00FA4DC7" w:rsidRDefault="00FA21F6" w:rsidP="00BA60CB">
            <w:pPr>
              <w:jc w:val="right"/>
              <w:rPr>
                <w:rFonts w:cs="Arial"/>
                <w:color w:val="000000"/>
                <w:sz w:val="22"/>
                <w:szCs w:val="22"/>
              </w:rPr>
            </w:pPr>
            <w:r w:rsidRPr="00FA21F6">
              <w:rPr>
                <w:rFonts w:cs="Arial"/>
                <w:color w:val="000000"/>
                <w:sz w:val="22"/>
                <w:szCs w:val="22"/>
              </w:rPr>
              <w:t>70-75%</w:t>
            </w:r>
          </w:p>
        </w:tc>
        <w:tc>
          <w:tcPr>
            <w:tcW w:w="787" w:type="pct"/>
            <w:vAlign w:val="center"/>
          </w:tcPr>
          <w:p w14:paraId="67573A5B" w14:textId="05BA86AF" w:rsidR="00FA21F6" w:rsidRPr="00FA4DC7" w:rsidRDefault="00FA21F6" w:rsidP="00BA60CB">
            <w:pPr>
              <w:jc w:val="right"/>
              <w:rPr>
                <w:rFonts w:cs="Arial"/>
                <w:color w:val="000000"/>
                <w:sz w:val="22"/>
                <w:szCs w:val="22"/>
              </w:rPr>
            </w:pPr>
            <w:r w:rsidRPr="00FA21F6">
              <w:rPr>
                <w:rFonts w:cs="Arial"/>
                <w:color w:val="000000"/>
                <w:sz w:val="22"/>
                <w:szCs w:val="22"/>
              </w:rPr>
              <w:t>75-80%</w:t>
            </w:r>
          </w:p>
        </w:tc>
        <w:tc>
          <w:tcPr>
            <w:tcW w:w="755" w:type="pct"/>
            <w:vAlign w:val="center"/>
          </w:tcPr>
          <w:p w14:paraId="1866AFCB" w14:textId="6F1B03DF" w:rsidR="00FA21F6" w:rsidRPr="00FA4DC7" w:rsidRDefault="00FA21F6" w:rsidP="00BA60CB">
            <w:pPr>
              <w:jc w:val="right"/>
              <w:rPr>
                <w:rFonts w:cs="Arial"/>
                <w:color w:val="000000"/>
                <w:sz w:val="22"/>
                <w:szCs w:val="22"/>
              </w:rPr>
            </w:pPr>
            <w:r w:rsidRPr="00FA21F6">
              <w:rPr>
                <w:rFonts w:cs="Arial"/>
                <w:color w:val="000000"/>
                <w:sz w:val="22"/>
                <w:szCs w:val="22"/>
              </w:rPr>
              <w:t>30-35%</w:t>
            </w:r>
          </w:p>
        </w:tc>
      </w:tr>
      <w:tr w:rsidR="00FA21F6" w:rsidRPr="00FA4DC7" w14:paraId="04A0B9CC" w14:textId="77777777" w:rsidTr="00BA60CB">
        <w:tc>
          <w:tcPr>
            <w:tcW w:w="2043" w:type="pct"/>
            <w:shd w:val="clear" w:color="auto" w:fill="auto"/>
            <w:noWrap/>
            <w:vAlign w:val="center"/>
            <w:hideMark/>
          </w:tcPr>
          <w:p w14:paraId="6C342375" w14:textId="77777777" w:rsidR="00FA21F6" w:rsidRPr="00FA4DC7" w:rsidRDefault="00FA21F6" w:rsidP="00FA21F6">
            <w:pPr>
              <w:rPr>
                <w:rFonts w:cs="Arial"/>
                <w:color w:val="000000"/>
                <w:sz w:val="22"/>
                <w:szCs w:val="22"/>
              </w:rPr>
            </w:pPr>
            <w:r w:rsidRPr="00FA4DC7">
              <w:rPr>
                <w:rFonts w:cs="Arial"/>
                <w:color w:val="000000"/>
                <w:sz w:val="22"/>
                <w:szCs w:val="22"/>
              </w:rPr>
              <w:t>Bungalow/level-access</w:t>
            </w:r>
          </w:p>
        </w:tc>
        <w:tc>
          <w:tcPr>
            <w:tcW w:w="629" w:type="pct"/>
            <w:vAlign w:val="center"/>
          </w:tcPr>
          <w:p w14:paraId="27413F1C" w14:textId="49D00343" w:rsidR="00FA21F6" w:rsidRPr="00FA4DC7" w:rsidRDefault="00FA21F6" w:rsidP="00BA60CB">
            <w:pPr>
              <w:jc w:val="right"/>
              <w:rPr>
                <w:rFonts w:cs="Arial"/>
                <w:color w:val="000000"/>
                <w:sz w:val="22"/>
                <w:szCs w:val="22"/>
              </w:rPr>
            </w:pPr>
            <w:r w:rsidRPr="00FA21F6">
              <w:rPr>
                <w:rFonts w:cs="Arial"/>
                <w:color w:val="000000"/>
                <w:sz w:val="22"/>
                <w:szCs w:val="22"/>
              </w:rPr>
              <w:t>5-10%</w:t>
            </w:r>
          </w:p>
        </w:tc>
        <w:tc>
          <w:tcPr>
            <w:tcW w:w="786" w:type="pct"/>
            <w:vAlign w:val="center"/>
          </w:tcPr>
          <w:p w14:paraId="0D1ED58A" w14:textId="1AA0B294" w:rsidR="00FA21F6" w:rsidRPr="00FA4DC7" w:rsidRDefault="00FA21F6" w:rsidP="00BA60CB">
            <w:pPr>
              <w:jc w:val="right"/>
              <w:rPr>
                <w:rFonts w:cs="Arial"/>
                <w:color w:val="000000"/>
                <w:sz w:val="22"/>
                <w:szCs w:val="22"/>
              </w:rPr>
            </w:pPr>
            <w:r w:rsidRPr="00FA21F6">
              <w:rPr>
                <w:rFonts w:cs="Arial"/>
                <w:color w:val="000000"/>
                <w:sz w:val="22"/>
                <w:szCs w:val="22"/>
              </w:rPr>
              <w:t>1-3%</w:t>
            </w:r>
          </w:p>
        </w:tc>
        <w:tc>
          <w:tcPr>
            <w:tcW w:w="787" w:type="pct"/>
            <w:vAlign w:val="center"/>
          </w:tcPr>
          <w:p w14:paraId="72F2C3BB" w14:textId="7D6D1ED0" w:rsidR="00FA21F6" w:rsidRPr="00FA4DC7" w:rsidRDefault="00FA21F6" w:rsidP="00BA60CB">
            <w:pPr>
              <w:jc w:val="right"/>
              <w:rPr>
                <w:rFonts w:cs="Arial"/>
                <w:color w:val="000000"/>
                <w:sz w:val="22"/>
                <w:szCs w:val="22"/>
              </w:rPr>
            </w:pPr>
            <w:r w:rsidRPr="00FA21F6">
              <w:rPr>
                <w:rFonts w:cs="Arial"/>
                <w:color w:val="000000"/>
                <w:sz w:val="22"/>
                <w:szCs w:val="22"/>
              </w:rPr>
              <w:t>1-5%</w:t>
            </w:r>
          </w:p>
        </w:tc>
        <w:tc>
          <w:tcPr>
            <w:tcW w:w="755" w:type="pct"/>
            <w:vAlign w:val="center"/>
          </w:tcPr>
          <w:p w14:paraId="664BCA67" w14:textId="494CB5FB" w:rsidR="00FA21F6" w:rsidRPr="00FA4DC7" w:rsidRDefault="00FA21F6" w:rsidP="00BA60CB">
            <w:pPr>
              <w:jc w:val="right"/>
              <w:rPr>
                <w:rFonts w:cs="Arial"/>
                <w:color w:val="000000"/>
                <w:sz w:val="22"/>
                <w:szCs w:val="22"/>
              </w:rPr>
            </w:pPr>
            <w:r w:rsidRPr="00FA21F6">
              <w:rPr>
                <w:rFonts w:cs="Arial"/>
                <w:color w:val="000000"/>
                <w:sz w:val="22"/>
                <w:szCs w:val="22"/>
              </w:rPr>
              <w:t>5-</w:t>
            </w:r>
            <w:r w:rsidR="001163AD">
              <w:rPr>
                <w:rFonts w:cs="Arial"/>
                <w:color w:val="000000"/>
                <w:sz w:val="22"/>
                <w:szCs w:val="22"/>
              </w:rPr>
              <w:t>1</w:t>
            </w:r>
            <w:r w:rsidRPr="00FA21F6">
              <w:rPr>
                <w:rFonts w:cs="Arial"/>
                <w:color w:val="000000"/>
                <w:sz w:val="22"/>
                <w:szCs w:val="22"/>
              </w:rPr>
              <w:t>0%</w:t>
            </w:r>
          </w:p>
        </w:tc>
      </w:tr>
      <w:tr w:rsidR="00FA4DC7" w:rsidRPr="00FA4DC7" w14:paraId="01ACFFA9" w14:textId="77777777" w:rsidTr="00BA60CB">
        <w:tc>
          <w:tcPr>
            <w:tcW w:w="2043" w:type="pct"/>
            <w:shd w:val="clear" w:color="auto" w:fill="006666"/>
            <w:noWrap/>
            <w:vAlign w:val="bottom"/>
            <w:hideMark/>
          </w:tcPr>
          <w:p w14:paraId="25047B90" w14:textId="77777777" w:rsidR="00CE1BDB" w:rsidRPr="00FA4DC7" w:rsidRDefault="00CE1BDB" w:rsidP="00EF49A7">
            <w:pPr>
              <w:rPr>
                <w:rFonts w:cs="Arial"/>
                <w:b/>
                <w:bCs/>
                <w:color w:val="FFFFFF"/>
                <w:sz w:val="22"/>
                <w:szCs w:val="22"/>
              </w:rPr>
            </w:pPr>
            <w:r w:rsidRPr="00FA4DC7">
              <w:rPr>
                <w:rFonts w:cs="Arial"/>
                <w:b/>
                <w:bCs/>
                <w:color w:val="FFFFFF"/>
                <w:sz w:val="22"/>
                <w:szCs w:val="22"/>
              </w:rPr>
              <w:t>Number of bedrooms</w:t>
            </w:r>
          </w:p>
        </w:tc>
        <w:tc>
          <w:tcPr>
            <w:tcW w:w="629" w:type="pct"/>
            <w:shd w:val="clear" w:color="auto" w:fill="006666"/>
            <w:vAlign w:val="bottom"/>
          </w:tcPr>
          <w:p w14:paraId="3804FC7C"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Market</w:t>
            </w:r>
          </w:p>
        </w:tc>
        <w:tc>
          <w:tcPr>
            <w:tcW w:w="786" w:type="pct"/>
            <w:shd w:val="clear" w:color="auto" w:fill="006666"/>
            <w:vAlign w:val="bottom"/>
          </w:tcPr>
          <w:p w14:paraId="3256EB3A"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Affordable Rented</w:t>
            </w:r>
          </w:p>
        </w:tc>
        <w:tc>
          <w:tcPr>
            <w:tcW w:w="787" w:type="pct"/>
            <w:shd w:val="clear" w:color="auto" w:fill="006666"/>
            <w:vAlign w:val="bottom"/>
          </w:tcPr>
          <w:p w14:paraId="4B8AE32A"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Affordable home ownership</w:t>
            </w:r>
          </w:p>
        </w:tc>
        <w:tc>
          <w:tcPr>
            <w:tcW w:w="755" w:type="pct"/>
            <w:shd w:val="clear" w:color="auto" w:fill="006666"/>
            <w:vAlign w:val="bottom"/>
          </w:tcPr>
          <w:p w14:paraId="2A39ACF5" w14:textId="77777777" w:rsidR="00CE1BDB" w:rsidRPr="00FA4DC7" w:rsidRDefault="00CE1BDB" w:rsidP="00BA60CB">
            <w:pPr>
              <w:jc w:val="center"/>
              <w:rPr>
                <w:rFonts w:cs="Arial"/>
                <w:b/>
                <w:bCs/>
                <w:color w:val="FFFFFF"/>
                <w:sz w:val="22"/>
                <w:szCs w:val="22"/>
              </w:rPr>
            </w:pPr>
            <w:r w:rsidRPr="00FA4DC7">
              <w:rPr>
                <w:rFonts w:cs="Arial"/>
                <w:b/>
                <w:bCs/>
                <w:color w:val="FFFFFF"/>
                <w:sz w:val="22"/>
                <w:szCs w:val="22"/>
              </w:rPr>
              <w:t>Overall range</w:t>
            </w:r>
          </w:p>
        </w:tc>
      </w:tr>
      <w:tr w:rsidR="00FA21F6" w:rsidRPr="00FA4DC7" w14:paraId="12A0F369" w14:textId="77777777" w:rsidTr="00BA60CB">
        <w:tc>
          <w:tcPr>
            <w:tcW w:w="2043" w:type="pct"/>
            <w:shd w:val="clear" w:color="auto" w:fill="auto"/>
            <w:noWrap/>
            <w:vAlign w:val="center"/>
            <w:hideMark/>
          </w:tcPr>
          <w:p w14:paraId="64D8A2E6" w14:textId="77777777" w:rsidR="00FA21F6" w:rsidRPr="00FA4DC7" w:rsidRDefault="00FA21F6" w:rsidP="00BA60CB">
            <w:pPr>
              <w:jc w:val="center"/>
              <w:rPr>
                <w:rFonts w:cs="Arial"/>
                <w:color w:val="000000"/>
                <w:sz w:val="22"/>
                <w:szCs w:val="22"/>
              </w:rPr>
            </w:pPr>
            <w:r w:rsidRPr="00FA4DC7">
              <w:rPr>
                <w:rFonts w:cs="Arial"/>
                <w:color w:val="000000"/>
                <w:sz w:val="22"/>
                <w:szCs w:val="22"/>
              </w:rPr>
              <w:t>1</w:t>
            </w:r>
          </w:p>
        </w:tc>
        <w:tc>
          <w:tcPr>
            <w:tcW w:w="629" w:type="pct"/>
            <w:vAlign w:val="center"/>
          </w:tcPr>
          <w:p w14:paraId="65EE4DB6" w14:textId="667412B8" w:rsidR="00FA21F6" w:rsidRPr="00FA4DC7" w:rsidRDefault="00FA21F6" w:rsidP="00BA60CB">
            <w:pPr>
              <w:jc w:val="right"/>
              <w:rPr>
                <w:rFonts w:cs="Arial"/>
                <w:color w:val="000000"/>
                <w:sz w:val="22"/>
                <w:szCs w:val="22"/>
              </w:rPr>
            </w:pPr>
            <w:r w:rsidRPr="00FA21F6">
              <w:rPr>
                <w:rFonts w:cs="Arial"/>
                <w:color w:val="000000"/>
                <w:sz w:val="22"/>
                <w:szCs w:val="22"/>
              </w:rPr>
              <w:t>5-10%</w:t>
            </w:r>
          </w:p>
        </w:tc>
        <w:tc>
          <w:tcPr>
            <w:tcW w:w="786" w:type="pct"/>
            <w:vAlign w:val="center"/>
          </w:tcPr>
          <w:p w14:paraId="02282F24" w14:textId="0C41471C" w:rsidR="00FA21F6" w:rsidRPr="00FA4DC7" w:rsidRDefault="00FA21F6" w:rsidP="00BA60CB">
            <w:pPr>
              <w:jc w:val="right"/>
              <w:rPr>
                <w:rFonts w:cs="Arial"/>
                <w:color w:val="000000"/>
                <w:sz w:val="22"/>
                <w:szCs w:val="22"/>
              </w:rPr>
            </w:pPr>
            <w:r w:rsidRPr="00FA21F6">
              <w:rPr>
                <w:rFonts w:cs="Arial"/>
                <w:color w:val="000000"/>
                <w:sz w:val="22"/>
                <w:szCs w:val="22"/>
              </w:rPr>
              <w:t>20-25%</w:t>
            </w:r>
          </w:p>
        </w:tc>
        <w:tc>
          <w:tcPr>
            <w:tcW w:w="787" w:type="pct"/>
            <w:vAlign w:val="center"/>
          </w:tcPr>
          <w:p w14:paraId="5AA51A65" w14:textId="39D07A8D" w:rsidR="00FA21F6" w:rsidRPr="00FA4DC7" w:rsidRDefault="00FA21F6" w:rsidP="00BA60CB">
            <w:pPr>
              <w:jc w:val="right"/>
              <w:rPr>
                <w:rFonts w:cs="Arial"/>
                <w:color w:val="000000"/>
                <w:sz w:val="22"/>
                <w:szCs w:val="22"/>
              </w:rPr>
            </w:pPr>
            <w:r w:rsidRPr="00FA21F6">
              <w:rPr>
                <w:rFonts w:cs="Arial"/>
                <w:color w:val="000000"/>
                <w:sz w:val="22"/>
                <w:szCs w:val="22"/>
              </w:rPr>
              <w:t>20-25%</w:t>
            </w:r>
          </w:p>
        </w:tc>
        <w:tc>
          <w:tcPr>
            <w:tcW w:w="755" w:type="pct"/>
            <w:vAlign w:val="center"/>
          </w:tcPr>
          <w:p w14:paraId="0AF275E1" w14:textId="52F5D851" w:rsidR="00FA21F6" w:rsidRPr="00FA4DC7" w:rsidRDefault="00FA21F6" w:rsidP="00BA60CB">
            <w:pPr>
              <w:jc w:val="right"/>
              <w:rPr>
                <w:rFonts w:cs="Arial"/>
                <w:color w:val="000000"/>
                <w:sz w:val="22"/>
                <w:szCs w:val="22"/>
              </w:rPr>
            </w:pPr>
            <w:r w:rsidRPr="00FA21F6">
              <w:rPr>
                <w:rFonts w:cs="Arial"/>
                <w:color w:val="000000"/>
                <w:sz w:val="22"/>
                <w:szCs w:val="22"/>
              </w:rPr>
              <w:t>15-20%</w:t>
            </w:r>
          </w:p>
        </w:tc>
      </w:tr>
      <w:tr w:rsidR="00FA21F6" w:rsidRPr="00FA4DC7" w14:paraId="71D4B850" w14:textId="77777777" w:rsidTr="00BA60CB">
        <w:tc>
          <w:tcPr>
            <w:tcW w:w="2043" w:type="pct"/>
            <w:shd w:val="clear" w:color="auto" w:fill="auto"/>
            <w:noWrap/>
            <w:vAlign w:val="center"/>
            <w:hideMark/>
          </w:tcPr>
          <w:p w14:paraId="43A6BF3D" w14:textId="77777777" w:rsidR="00FA21F6" w:rsidRPr="00FA4DC7" w:rsidRDefault="00FA21F6" w:rsidP="00BA60CB">
            <w:pPr>
              <w:jc w:val="center"/>
              <w:rPr>
                <w:rFonts w:cs="Arial"/>
                <w:color w:val="000000"/>
                <w:sz w:val="22"/>
                <w:szCs w:val="22"/>
              </w:rPr>
            </w:pPr>
            <w:r w:rsidRPr="00FA4DC7">
              <w:rPr>
                <w:rFonts w:cs="Arial"/>
                <w:color w:val="000000"/>
                <w:sz w:val="22"/>
                <w:szCs w:val="22"/>
              </w:rPr>
              <w:t>2</w:t>
            </w:r>
          </w:p>
        </w:tc>
        <w:tc>
          <w:tcPr>
            <w:tcW w:w="629" w:type="pct"/>
            <w:vAlign w:val="center"/>
          </w:tcPr>
          <w:p w14:paraId="6F03548F" w14:textId="74A4BE75" w:rsidR="00FA21F6" w:rsidRPr="00FA4DC7" w:rsidRDefault="00FA21F6" w:rsidP="00BA60CB">
            <w:pPr>
              <w:jc w:val="right"/>
              <w:rPr>
                <w:rFonts w:cs="Arial"/>
                <w:color w:val="000000"/>
                <w:sz w:val="22"/>
                <w:szCs w:val="22"/>
              </w:rPr>
            </w:pPr>
            <w:r w:rsidRPr="00FA21F6">
              <w:rPr>
                <w:rFonts w:cs="Arial"/>
                <w:color w:val="000000"/>
                <w:sz w:val="22"/>
                <w:szCs w:val="22"/>
              </w:rPr>
              <w:t>30-35%</w:t>
            </w:r>
          </w:p>
        </w:tc>
        <w:tc>
          <w:tcPr>
            <w:tcW w:w="786" w:type="pct"/>
            <w:vAlign w:val="center"/>
          </w:tcPr>
          <w:p w14:paraId="6DCFE423" w14:textId="74848DB5" w:rsidR="00FA21F6" w:rsidRPr="00FA4DC7" w:rsidRDefault="00FA21F6" w:rsidP="00BA60CB">
            <w:pPr>
              <w:jc w:val="right"/>
              <w:rPr>
                <w:rFonts w:cs="Arial"/>
                <w:color w:val="000000"/>
                <w:sz w:val="22"/>
                <w:szCs w:val="22"/>
              </w:rPr>
            </w:pPr>
            <w:r w:rsidRPr="00FA21F6">
              <w:rPr>
                <w:rFonts w:cs="Arial"/>
                <w:color w:val="000000"/>
                <w:sz w:val="22"/>
                <w:szCs w:val="22"/>
              </w:rPr>
              <w:t>30-35%</w:t>
            </w:r>
          </w:p>
        </w:tc>
        <w:tc>
          <w:tcPr>
            <w:tcW w:w="787" w:type="pct"/>
            <w:vAlign w:val="center"/>
          </w:tcPr>
          <w:p w14:paraId="5B700C06" w14:textId="74ADAD3C" w:rsidR="00FA21F6" w:rsidRPr="00FA4DC7" w:rsidRDefault="00FA21F6" w:rsidP="00BA60CB">
            <w:pPr>
              <w:jc w:val="right"/>
              <w:rPr>
                <w:rFonts w:cs="Arial"/>
                <w:color w:val="000000"/>
                <w:sz w:val="22"/>
                <w:szCs w:val="22"/>
              </w:rPr>
            </w:pPr>
            <w:r w:rsidRPr="00FA21F6">
              <w:rPr>
                <w:rFonts w:cs="Arial"/>
                <w:color w:val="000000"/>
                <w:sz w:val="22"/>
                <w:szCs w:val="22"/>
              </w:rPr>
              <w:t>70-75%</w:t>
            </w:r>
          </w:p>
        </w:tc>
        <w:tc>
          <w:tcPr>
            <w:tcW w:w="755" w:type="pct"/>
            <w:vAlign w:val="center"/>
          </w:tcPr>
          <w:p w14:paraId="748A1F03" w14:textId="1E8904AD" w:rsidR="00FA21F6" w:rsidRPr="00FA4DC7" w:rsidRDefault="00FA21F6" w:rsidP="00BA60CB">
            <w:pPr>
              <w:jc w:val="right"/>
              <w:rPr>
                <w:rFonts w:cs="Arial"/>
                <w:color w:val="000000"/>
                <w:sz w:val="22"/>
                <w:szCs w:val="22"/>
              </w:rPr>
            </w:pPr>
            <w:r w:rsidRPr="00FA21F6">
              <w:rPr>
                <w:rFonts w:cs="Arial"/>
                <w:color w:val="000000"/>
                <w:sz w:val="22"/>
                <w:szCs w:val="22"/>
              </w:rPr>
              <w:t>40-45%</w:t>
            </w:r>
          </w:p>
        </w:tc>
      </w:tr>
      <w:tr w:rsidR="00FA21F6" w:rsidRPr="00FA4DC7" w14:paraId="294A66EC" w14:textId="77777777" w:rsidTr="00BA60CB">
        <w:tc>
          <w:tcPr>
            <w:tcW w:w="2043" w:type="pct"/>
            <w:shd w:val="clear" w:color="auto" w:fill="auto"/>
            <w:noWrap/>
            <w:vAlign w:val="center"/>
            <w:hideMark/>
          </w:tcPr>
          <w:p w14:paraId="08AFC994" w14:textId="77777777" w:rsidR="00FA21F6" w:rsidRPr="00FA4DC7" w:rsidRDefault="00FA21F6" w:rsidP="00BA60CB">
            <w:pPr>
              <w:jc w:val="center"/>
              <w:rPr>
                <w:rFonts w:cs="Arial"/>
                <w:color w:val="000000"/>
                <w:sz w:val="22"/>
                <w:szCs w:val="22"/>
              </w:rPr>
            </w:pPr>
            <w:r w:rsidRPr="00FA4DC7">
              <w:rPr>
                <w:rFonts w:cs="Arial"/>
                <w:color w:val="000000"/>
                <w:sz w:val="22"/>
                <w:szCs w:val="22"/>
              </w:rPr>
              <w:t>3</w:t>
            </w:r>
          </w:p>
        </w:tc>
        <w:tc>
          <w:tcPr>
            <w:tcW w:w="629" w:type="pct"/>
            <w:vAlign w:val="center"/>
          </w:tcPr>
          <w:p w14:paraId="5AD4F7A0" w14:textId="54C4FF28" w:rsidR="00FA21F6" w:rsidRPr="00FA4DC7" w:rsidRDefault="00FA21F6" w:rsidP="00BA60CB">
            <w:pPr>
              <w:jc w:val="right"/>
              <w:rPr>
                <w:rFonts w:cs="Arial"/>
                <w:color w:val="000000"/>
                <w:sz w:val="22"/>
                <w:szCs w:val="22"/>
              </w:rPr>
            </w:pPr>
            <w:r w:rsidRPr="00FA21F6">
              <w:rPr>
                <w:rFonts w:cs="Arial"/>
                <w:color w:val="000000"/>
                <w:sz w:val="22"/>
                <w:szCs w:val="22"/>
              </w:rPr>
              <w:t>40-45%</w:t>
            </w:r>
          </w:p>
        </w:tc>
        <w:tc>
          <w:tcPr>
            <w:tcW w:w="786" w:type="pct"/>
            <w:vAlign w:val="center"/>
          </w:tcPr>
          <w:p w14:paraId="372C8C31" w14:textId="7C3225D8" w:rsidR="00FA21F6" w:rsidRPr="00FA4DC7" w:rsidRDefault="00FA21F6" w:rsidP="00BA60CB">
            <w:pPr>
              <w:jc w:val="right"/>
              <w:rPr>
                <w:rFonts w:cs="Arial"/>
                <w:color w:val="000000"/>
                <w:sz w:val="22"/>
                <w:szCs w:val="22"/>
              </w:rPr>
            </w:pPr>
            <w:r w:rsidRPr="00FA21F6">
              <w:rPr>
                <w:rFonts w:cs="Arial"/>
                <w:color w:val="000000"/>
                <w:sz w:val="22"/>
                <w:szCs w:val="22"/>
              </w:rPr>
              <w:t>25-30%</w:t>
            </w:r>
          </w:p>
        </w:tc>
        <w:tc>
          <w:tcPr>
            <w:tcW w:w="787" w:type="pct"/>
            <w:vAlign w:val="center"/>
          </w:tcPr>
          <w:p w14:paraId="430B1030" w14:textId="5B56DF05" w:rsidR="00FA21F6" w:rsidRPr="00FA4DC7" w:rsidRDefault="00FA21F6" w:rsidP="00BA60CB">
            <w:pPr>
              <w:jc w:val="right"/>
              <w:rPr>
                <w:rFonts w:cs="Arial"/>
                <w:color w:val="000000"/>
                <w:sz w:val="22"/>
                <w:szCs w:val="22"/>
              </w:rPr>
            </w:pPr>
            <w:r w:rsidRPr="00FA21F6">
              <w:rPr>
                <w:rFonts w:cs="Arial"/>
                <w:color w:val="000000"/>
                <w:sz w:val="22"/>
                <w:szCs w:val="22"/>
              </w:rPr>
              <w:t>5-10%</w:t>
            </w:r>
          </w:p>
        </w:tc>
        <w:tc>
          <w:tcPr>
            <w:tcW w:w="755" w:type="pct"/>
            <w:vAlign w:val="center"/>
          </w:tcPr>
          <w:p w14:paraId="1A78D9DB" w14:textId="2F7C4101" w:rsidR="00FA21F6" w:rsidRPr="00FA4DC7" w:rsidRDefault="00FA21F6" w:rsidP="00BA60CB">
            <w:pPr>
              <w:jc w:val="right"/>
              <w:rPr>
                <w:rFonts w:cs="Arial"/>
                <w:color w:val="000000"/>
                <w:sz w:val="22"/>
                <w:szCs w:val="22"/>
              </w:rPr>
            </w:pPr>
            <w:r w:rsidRPr="00FA21F6">
              <w:rPr>
                <w:rFonts w:cs="Arial"/>
                <w:color w:val="000000"/>
                <w:sz w:val="22"/>
                <w:szCs w:val="22"/>
              </w:rPr>
              <w:t>25-30%</w:t>
            </w:r>
          </w:p>
        </w:tc>
      </w:tr>
      <w:tr w:rsidR="00FA21F6" w:rsidRPr="00FA4DC7" w14:paraId="41DB3DB1" w14:textId="77777777" w:rsidTr="00BA60CB">
        <w:tc>
          <w:tcPr>
            <w:tcW w:w="2043" w:type="pct"/>
            <w:shd w:val="clear" w:color="auto" w:fill="auto"/>
            <w:noWrap/>
            <w:vAlign w:val="center"/>
            <w:hideMark/>
          </w:tcPr>
          <w:p w14:paraId="265B46B3" w14:textId="77777777" w:rsidR="00FA21F6" w:rsidRPr="00FA4DC7" w:rsidRDefault="00FA21F6" w:rsidP="00BA60CB">
            <w:pPr>
              <w:jc w:val="center"/>
              <w:rPr>
                <w:rFonts w:cs="Arial"/>
                <w:color w:val="000000"/>
                <w:sz w:val="22"/>
                <w:szCs w:val="22"/>
              </w:rPr>
            </w:pPr>
            <w:r w:rsidRPr="00FA4DC7">
              <w:rPr>
                <w:rFonts w:cs="Arial"/>
                <w:color w:val="000000"/>
                <w:sz w:val="22"/>
                <w:szCs w:val="22"/>
              </w:rPr>
              <w:t>4</w:t>
            </w:r>
          </w:p>
        </w:tc>
        <w:tc>
          <w:tcPr>
            <w:tcW w:w="629" w:type="pct"/>
            <w:vAlign w:val="center"/>
          </w:tcPr>
          <w:p w14:paraId="16B40823" w14:textId="5FF50A16" w:rsidR="00FA21F6" w:rsidRPr="00FA4DC7" w:rsidRDefault="00FA21F6" w:rsidP="00BA60CB">
            <w:pPr>
              <w:jc w:val="right"/>
              <w:rPr>
                <w:rFonts w:cs="Arial"/>
                <w:color w:val="000000"/>
                <w:sz w:val="22"/>
                <w:szCs w:val="22"/>
              </w:rPr>
            </w:pPr>
            <w:r w:rsidRPr="00FA21F6">
              <w:rPr>
                <w:rFonts w:cs="Arial"/>
                <w:color w:val="000000"/>
                <w:sz w:val="22"/>
                <w:szCs w:val="22"/>
              </w:rPr>
              <w:t>15-20%</w:t>
            </w:r>
          </w:p>
        </w:tc>
        <w:tc>
          <w:tcPr>
            <w:tcW w:w="786" w:type="pct"/>
            <w:vAlign w:val="center"/>
          </w:tcPr>
          <w:p w14:paraId="13A8E8A8" w14:textId="0F9BF686" w:rsidR="00FA21F6" w:rsidRPr="00FA4DC7" w:rsidRDefault="00FA21F6" w:rsidP="00BA60CB">
            <w:pPr>
              <w:jc w:val="right"/>
              <w:rPr>
                <w:rFonts w:cs="Arial"/>
                <w:color w:val="000000"/>
                <w:sz w:val="22"/>
                <w:szCs w:val="22"/>
              </w:rPr>
            </w:pPr>
            <w:r w:rsidRPr="00FA21F6">
              <w:rPr>
                <w:rFonts w:cs="Arial"/>
                <w:color w:val="000000"/>
                <w:sz w:val="22"/>
                <w:szCs w:val="22"/>
              </w:rPr>
              <w:t>20-25%</w:t>
            </w:r>
          </w:p>
        </w:tc>
        <w:tc>
          <w:tcPr>
            <w:tcW w:w="787" w:type="pct"/>
            <w:vAlign w:val="center"/>
          </w:tcPr>
          <w:p w14:paraId="51F22283" w14:textId="42DA886C" w:rsidR="00FA21F6" w:rsidRPr="00FA4DC7" w:rsidRDefault="00FA21F6" w:rsidP="00BA60CB">
            <w:pPr>
              <w:jc w:val="right"/>
              <w:rPr>
                <w:rFonts w:cs="Arial"/>
                <w:color w:val="000000"/>
                <w:sz w:val="22"/>
                <w:szCs w:val="22"/>
              </w:rPr>
            </w:pPr>
            <w:r w:rsidRPr="00FA21F6">
              <w:rPr>
                <w:rFonts w:cs="Arial"/>
                <w:color w:val="000000"/>
                <w:sz w:val="22"/>
                <w:szCs w:val="22"/>
              </w:rPr>
              <w:t>1-5%</w:t>
            </w:r>
          </w:p>
        </w:tc>
        <w:tc>
          <w:tcPr>
            <w:tcW w:w="755" w:type="pct"/>
            <w:vAlign w:val="center"/>
          </w:tcPr>
          <w:p w14:paraId="5122DF3E" w14:textId="0CEC5A3D" w:rsidR="00FA21F6" w:rsidRPr="00FA4DC7" w:rsidRDefault="00FA21F6" w:rsidP="00BA60CB">
            <w:pPr>
              <w:jc w:val="right"/>
              <w:rPr>
                <w:rFonts w:cs="Arial"/>
                <w:color w:val="000000"/>
                <w:sz w:val="22"/>
                <w:szCs w:val="22"/>
              </w:rPr>
            </w:pPr>
            <w:r w:rsidRPr="00FA21F6">
              <w:rPr>
                <w:rFonts w:cs="Arial"/>
                <w:color w:val="000000"/>
                <w:sz w:val="22"/>
                <w:szCs w:val="22"/>
              </w:rPr>
              <w:t>15-20%</w:t>
            </w:r>
          </w:p>
        </w:tc>
      </w:tr>
    </w:tbl>
    <w:p w14:paraId="12DA85EC" w14:textId="77777777" w:rsidR="00CE1BDB" w:rsidRPr="00FA4DC7" w:rsidRDefault="00CE1BDB" w:rsidP="00066699">
      <w:pPr>
        <w:pStyle w:val="Reporttext"/>
        <w:numPr>
          <w:ilvl w:val="0"/>
          <w:numId w:val="0"/>
        </w:numPr>
        <w:tabs>
          <w:tab w:val="left" w:pos="1418"/>
        </w:tabs>
        <w:ind w:left="709"/>
        <w:rPr>
          <w:rFonts w:cs="Arial"/>
          <w:color w:val="000000" w:themeColor="text1"/>
        </w:rPr>
      </w:pPr>
    </w:p>
    <w:p w14:paraId="6450614F" w14:textId="77777777" w:rsidR="00CE1BDB" w:rsidRPr="00FA4DC7" w:rsidRDefault="00CE1BDB" w:rsidP="00CE1BDB">
      <w:pPr>
        <w:pStyle w:val="Reporttext"/>
        <w:tabs>
          <w:tab w:val="left" w:pos="0"/>
          <w:tab w:val="left" w:pos="709"/>
          <w:tab w:val="left" w:pos="1418"/>
        </w:tabs>
        <w:rPr>
          <w:rFonts w:cs="Arial"/>
          <w:color w:val="000000" w:themeColor="text1"/>
        </w:rPr>
      </w:pPr>
      <w:r w:rsidRPr="00FA4DC7">
        <w:rPr>
          <w:rFonts w:cs="Arial"/>
          <w:color w:val="000000" w:themeColor="text1"/>
        </w:rPr>
        <w:t xml:space="preserve">Regarding affordable need, there is an annual net shortfall of 870 dwellings.  However, delivery of affordable housing is subject to economic viability and the council does not need to plan to meet this number in full. Maintaining a minimum requirement of 25% of affordable dwellings on sites meeting the council’s site thresholds remains appropriate. A recommended affordable tenure split for Medway is 51% rented and 49% affordable home ownership including First Homes. </w:t>
      </w:r>
    </w:p>
    <w:p w14:paraId="7AB204D6" w14:textId="77777777" w:rsidR="00CE1BDB" w:rsidRPr="00FA4DC7" w:rsidRDefault="00CE1BDB" w:rsidP="00CE1BDB">
      <w:pPr>
        <w:rPr>
          <w:rFonts w:cs="Arial"/>
          <w:highlight w:val="yellow"/>
        </w:rPr>
      </w:pPr>
    </w:p>
    <w:p w14:paraId="1A709096" w14:textId="77777777" w:rsidR="00CE1BDB" w:rsidRPr="00FA4DC7" w:rsidRDefault="00CE1BDB" w:rsidP="00CE1BDB">
      <w:pPr>
        <w:pStyle w:val="Heading2"/>
        <w:tabs>
          <w:tab w:val="left" w:pos="0"/>
          <w:tab w:val="left" w:pos="709"/>
          <w:tab w:val="left" w:pos="1418"/>
        </w:tabs>
        <w:ind w:left="709" w:firstLine="0"/>
        <w:rPr>
          <w:rFonts w:cs="Arial"/>
        </w:rPr>
      </w:pPr>
      <w:bookmarkStart w:id="462" w:name="_Toc391019036"/>
      <w:bookmarkStart w:id="463" w:name="_Toc529652016"/>
      <w:bookmarkStart w:id="464" w:name="_Toc7683320"/>
      <w:bookmarkStart w:id="465" w:name="_Toc83035691"/>
      <w:bookmarkStart w:id="466" w:name="_Toc315343349"/>
      <w:bookmarkStart w:id="467" w:name="_Toc435447772"/>
      <w:r w:rsidRPr="00FA4DC7">
        <w:rPr>
          <w:rFonts w:cs="Arial"/>
        </w:rPr>
        <w:t>Meeting the needs of older people and those with disabilities</w:t>
      </w:r>
      <w:bookmarkEnd w:id="462"/>
      <w:bookmarkEnd w:id="463"/>
      <w:bookmarkEnd w:id="464"/>
      <w:bookmarkEnd w:id="465"/>
    </w:p>
    <w:p w14:paraId="6B67944B"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There is evidence to support a programme of accommodation delivery to help meet the needs of older people and those with disabilities. Although the vast majority of older people want to remain in their own home with support when needed, there is a need to diversify options available to older people wanting to move to more appropriate accommodation. </w:t>
      </w:r>
    </w:p>
    <w:p w14:paraId="7FB0FE39"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Currently there are around 3,253 units of specialist older person accommodation comprising 1,193 units of residential care (C2 use class) dwellings and 2,060 units of specialist older person dwellings (C3 use class) such as sheltered and Extra Care. Analysis of demographic change would </w:t>
      </w:r>
      <w:r w:rsidRPr="00FA4DC7">
        <w:rPr>
          <w:rFonts w:cs="Arial"/>
        </w:rPr>
        <w:lastRenderedPageBreak/>
        <w:t xml:space="preserve">suggest a need for an additional 1,189 units comprising 436 residential (C2) units and 753 older person (C3) dwelling units by 2037. The C3 units should be included in the overall housing figure of 1,586 each year, so 47 or 3% of new dwellings built each year should be specialist older persons accommodation. Delivery of C2 units would be in addition to this figure.  </w:t>
      </w:r>
    </w:p>
    <w:p w14:paraId="4415D003" w14:textId="77777777" w:rsidR="00CE1BDB" w:rsidRPr="00FA4DC7" w:rsidRDefault="00CE1BDB" w:rsidP="00CE1BDB">
      <w:pPr>
        <w:pStyle w:val="Reporttext"/>
        <w:tabs>
          <w:tab w:val="left" w:pos="0"/>
          <w:tab w:val="left" w:pos="709"/>
          <w:tab w:val="left" w:pos="1418"/>
        </w:tabs>
        <w:rPr>
          <w:rFonts w:cs="Arial"/>
          <w:lang w:val="en-US"/>
        </w:rPr>
      </w:pPr>
      <w:r w:rsidRPr="00FA4DC7">
        <w:rPr>
          <w:rFonts w:cs="Arial"/>
        </w:rPr>
        <w:t>A key conclusion is that there needs to be a broader housing offer for older people across Medway and the</w:t>
      </w:r>
      <w:r w:rsidRPr="00FA4DC7">
        <w:rPr>
          <w:rFonts w:cs="Arial"/>
          <w:lang w:val="en-US"/>
        </w:rPr>
        <w:t xml:space="preserve"> LHNA has provided evidence of scale and range of dwellings needed. </w:t>
      </w:r>
    </w:p>
    <w:p w14:paraId="13D9CDF2" w14:textId="77777777" w:rsidR="00CE1BDB" w:rsidRPr="00FA4DC7" w:rsidRDefault="00CE1BDB" w:rsidP="00CE1BDB">
      <w:pPr>
        <w:pStyle w:val="Reporttext"/>
        <w:tabs>
          <w:tab w:val="left" w:pos="0"/>
          <w:tab w:val="left" w:pos="709"/>
          <w:tab w:val="left" w:pos="1418"/>
        </w:tabs>
        <w:rPr>
          <w:rFonts w:cs="Arial"/>
        </w:rPr>
      </w:pPr>
      <w:r w:rsidRPr="00FA4DC7">
        <w:rPr>
          <w:rFonts w:cs="Arial"/>
        </w:rPr>
        <w:t xml:space="preserve">A range of information has been assembled from various sources </w:t>
      </w:r>
      <w:r w:rsidRPr="00FA4DC7">
        <w:rPr>
          <w:rFonts w:cs="Arial"/>
          <w:lang w:val="en-US"/>
        </w:rPr>
        <w:t xml:space="preserve">which helps to scope out the likely level of disability across Medway’s population. The strategic need for different types of accommodation has been evidenced using available information. </w:t>
      </w:r>
    </w:p>
    <w:p w14:paraId="25BE8200" w14:textId="77777777" w:rsidR="00CE1BDB" w:rsidRPr="00FA4DC7" w:rsidRDefault="00CE1BDB" w:rsidP="00CE1BDB">
      <w:pPr>
        <w:pStyle w:val="Reporttext"/>
        <w:tabs>
          <w:tab w:val="left" w:pos="0"/>
          <w:tab w:val="left" w:pos="709"/>
          <w:tab w:val="left" w:pos="1418"/>
        </w:tabs>
        <w:rPr>
          <w:rFonts w:cs="Arial"/>
        </w:rPr>
      </w:pPr>
      <w:r w:rsidRPr="00FA4DC7">
        <w:rPr>
          <w:rFonts w:cs="Arial"/>
          <w:lang w:val="en-US"/>
        </w:rPr>
        <w:t xml:space="preserve">Although it is a challenge </w:t>
      </w:r>
      <w:r w:rsidRPr="00FA4DC7">
        <w:rPr>
          <w:rFonts w:cs="Arial"/>
        </w:rPr>
        <w:t xml:space="preserve">to quantify the precise accommodation and support requirements, the LHNA has helped to scope out where needs are arising. </w:t>
      </w:r>
    </w:p>
    <w:p w14:paraId="188DFF9C" w14:textId="77777777" w:rsidR="00CE1BDB" w:rsidRPr="00FA4DC7" w:rsidRDefault="00CE1BDB" w:rsidP="00CE1BDB">
      <w:pPr>
        <w:pStyle w:val="Reporttext"/>
        <w:tabs>
          <w:tab w:val="left" w:pos="0"/>
          <w:tab w:val="left" w:pos="709"/>
          <w:tab w:val="left" w:pos="1418"/>
        </w:tabs>
        <w:rPr>
          <w:rFonts w:cs="Arial"/>
        </w:rPr>
      </w:pPr>
      <w:r w:rsidRPr="00FA4DC7">
        <w:rPr>
          <w:rFonts w:cs="Arial"/>
          <w:shd w:val="clear" w:color="auto" w:fill="FFFFFF"/>
        </w:rPr>
        <w:t xml:space="preserve">Given the ageing population of the borough and the identified levels of disability amongst the population, it is recommended </w:t>
      </w:r>
      <w:r w:rsidRPr="00FA4DC7">
        <w:rPr>
          <w:rFonts w:cs="Arial"/>
          <w:color w:val="000000" w:themeColor="text1"/>
          <w:shd w:val="clear" w:color="auto" w:fill="FFFFFF"/>
        </w:rPr>
        <w:t>that</w:t>
      </w:r>
      <w:r w:rsidRPr="00FA4DC7">
        <w:rPr>
          <w:rFonts w:cs="Arial"/>
          <w:color w:val="000000" w:themeColor="text1"/>
          <w:lang w:val="en-US"/>
        </w:rPr>
        <w:t xml:space="preserve"> 5% of new dwellings are built to M4(3) wheelchair accessible and adaptable standard and </w:t>
      </w:r>
      <w:r w:rsidRPr="00FA4DC7">
        <w:rPr>
          <w:rFonts w:cs="Arial"/>
          <w:color w:val="000000" w:themeColor="text1"/>
        </w:rPr>
        <w:t>all remaining new dwellings are built to M4(2) accessible and adaptable standard to take account of the ageing demographics of Medway.</w:t>
      </w:r>
    </w:p>
    <w:p w14:paraId="1A93D3B3" w14:textId="77777777" w:rsidR="00CE1BDB" w:rsidRPr="00FA4DC7" w:rsidRDefault="00CE1BDB" w:rsidP="00CE1BDB">
      <w:pPr>
        <w:pStyle w:val="Reporttext"/>
        <w:tabs>
          <w:tab w:val="left" w:pos="0"/>
          <w:tab w:val="left" w:pos="709"/>
          <w:tab w:val="left" w:pos="1418"/>
        </w:tabs>
        <w:rPr>
          <w:rFonts w:cs="Arial"/>
        </w:rPr>
      </w:pPr>
      <w:r w:rsidRPr="00FA4DC7">
        <w:rPr>
          <w:rFonts w:cs="Arial"/>
          <w:color w:val="000000" w:themeColor="text1"/>
        </w:rPr>
        <w:t xml:space="preserve">It is expected that some of this need will be met through the development of C3 accommodation and there is overlap between affordable, specialist older person and M4(3) need. For </w:t>
      </w:r>
      <w:proofErr w:type="gramStart"/>
      <w:r w:rsidRPr="00FA4DC7">
        <w:rPr>
          <w:rFonts w:cs="Arial"/>
          <w:color w:val="000000" w:themeColor="text1"/>
        </w:rPr>
        <w:t>instance</w:t>
      </w:r>
      <w:proofErr w:type="gramEnd"/>
      <w:r w:rsidRPr="00FA4DC7">
        <w:rPr>
          <w:rFonts w:cs="Arial"/>
          <w:color w:val="000000" w:themeColor="text1"/>
        </w:rPr>
        <w:t xml:space="preserve"> the development of an older person’s level access, wheelchair accessible affordable dwelling would help address three aspects of housing need.</w:t>
      </w:r>
    </w:p>
    <w:p w14:paraId="342D2D34" w14:textId="77777777" w:rsidR="00CE1BDB" w:rsidRPr="00FA4DC7" w:rsidRDefault="00CE1BDB" w:rsidP="00CE1BDB">
      <w:pPr>
        <w:pStyle w:val="Reporttext"/>
        <w:tabs>
          <w:tab w:val="left" w:pos="0"/>
          <w:tab w:val="left" w:pos="709"/>
          <w:tab w:val="left" w:pos="1418"/>
        </w:tabs>
        <w:rPr>
          <w:rFonts w:cs="Arial"/>
        </w:rPr>
      </w:pPr>
      <w:r w:rsidRPr="00FA4DC7">
        <w:rPr>
          <w:rFonts w:cs="Arial"/>
          <w:color w:val="000000" w:themeColor="text1"/>
          <w:shd w:val="clear" w:color="auto" w:fill="FFFFFF"/>
        </w:rPr>
        <w:t>It is also assumed that there will be ongoing adaptation of existing dwellings to support those with additional needs.</w:t>
      </w:r>
    </w:p>
    <w:p w14:paraId="442C000D" w14:textId="77777777" w:rsidR="00CE1BDB" w:rsidRPr="00FA4DC7" w:rsidRDefault="00CE1BDB" w:rsidP="00CE1BDB">
      <w:pPr>
        <w:rPr>
          <w:rFonts w:cs="Arial"/>
          <w:highlight w:val="yellow"/>
        </w:rPr>
      </w:pPr>
      <w:bookmarkStart w:id="468" w:name="_Toc315343353"/>
      <w:bookmarkStart w:id="469" w:name="_Toc435447776"/>
      <w:bookmarkStart w:id="470" w:name="_Toc368301808"/>
      <w:bookmarkStart w:id="471" w:name="_Toc391019037"/>
      <w:bookmarkStart w:id="472" w:name="_Toc529652017"/>
      <w:bookmarkStart w:id="473" w:name="_Toc7683321"/>
      <w:bookmarkEnd w:id="466"/>
      <w:bookmarkEnd w:id="467"/>
    </w:p>
    <w:p w14:paraId="670ADC98" w14:textId="77777777" w:rsidR="00CE1BDB" w:rsidRPr="00FA4DC7" w:rsidRDefault="00CE1BDB" w:rsidP="00CE1BDB">
      <w:pPr>
        <w:pStyle w:val="Heading2"/>
        <w:tabs>
          <w:tab w:val="left" w:pos="0"/>
          <w:tab w:val="left" w:pos="709"/>
          <w:tab w:val="left" w:pos="1418"/>
        </w:tabs>
        <w:rPr>
          <w:rFonts w:cs="Arial"/>
        </w:rPr>
      </w:pPr>
      <w:bookmarkStart w:id="474" w:name="_Toc83035692"/>
      <w:r w:rsidRPr="00FA4DC7">
        <w:rPr>
          <w:rFonts w:cs="Arial"/>
        </w:rPr>
        <w:t>Final comments</w:t>
      </w:r>
      <w:bookmarkEnd w:id="468"/>
      <w:bookmarkEnd w:id="469"/>
      <w:bookmarkEnd w:id="470"/>
      <w:bookmarkEnd w:id="471"/>
      <w:bookmarkEnd w:id="472"/>
      <w:bookmarkEnd w:id="473"/>
      <w:bookmarkEnd w:id="474"/>
    </w:p>
    <w:p w14:paraId="26BDA64F" w14:textId="77777777" w:rsidR="00CE1BDB" w:rsidRPr="00FA4DC7" w:rsidRDefault="00CE1BDB" w:rsidP="00CE1BDB">
      <w:pPr>
        <w:pStyle w:val="Reporttext"/>
        <w:tabs>
          <w:tab w:val="left" w:pos="0"/>
          <w:tab w:val="left" w:pos="709"/>
          <w:tab w:val="left" w:pos="1418"/>
        </w:tabs>
        <w:rPr>
          <w:rFonts w:cs="Arial"/>
        </w:rPr>
      </w:pPr>
      <w:r w:rsidRPr="00FA4DC7">
        <w:rPr>
          <w:rFonts w:cs="Arial"/>
        </w:rPr>
        <w:t>The evidence presented in this LHNA suggests that there are three main policy areas that require particular attention from both a planning policy and social policy perspective:</w:t>
      </w:r>
    </w:p>
    <w:p w14:paraId="54A1FE8A" w14:textId="77777777" w:rsidR="00CE1BDB" w:rsidRPr="00FA4DC7" w:rsidRDefault="00CE1BDB" w:rsidP="00CE1BDB">
      <w:pPr>
        <w:pStyle w:val="bullet"/>
        <w:tabs>
          <w:tab w:val="left" w:pos="0"/>
          <w:tab w:val="left" w:pos="709"/>
          <w:tab w:val="left" w:pos="1418"/>
        </w:tabs>
        <w:rPr>
          <w:rFonts w:cs="Arial"/>
        </w:rPr>
      </w:pPr>
      <w:r w:rsidRPr="00FA4DC7">
        <w:rPr>
          <w:rFonts w:cs="Arial"/>
        </w:rPr>
        <w:t xml:space="preserve">the challenge of enabling the quantity and mix of housing that needs to be delivered, including an appropriate level of affordable </w:t>
      </w:r>
      <w:proofErr w:type="gramStart"/>
      <w:r w:rsidRPr="00FA4DC7">
        <w:rPr>
          <w:rFonts w:cs="Arial"/>
        </w:rPr>
        <w:t>housing;</w:t>
      </w:r>
      <w:proofErr w:type="gramEnd"/>
    </w:p>
    <w:p w14:paraId="65AEC5CD" w14:textId="77777777" w:rsidR="00CE1BDB" w:rsidRPr="00FA4DC7" w:rsidRDefault="00CE1BDB" w:rsidP="00CE1BDB">
      <w:pPr>
        <w:pStyle w:val="bullet"/>
        <w:tabs>
          <w:tab w:val="left" w:pos="0"/>
          <w:tab w:val="left" w:pos="709"/>
          <w:tab w:val="left" w:pos="1418"/>
        </w:tabs>
        <w:rPr>
          <w:rFonts w:cs="Arial"/>
        </w:rPr>
      </w:pPr>
      <w:r w:rsidRPr="00FA4DC7">
        <w:rPr>
          <w:rFonts w:cs="Arial"/>
        </w:rPr>
        <w:t>the challenge of ensuring that the housing and support needs of older people are met going forward; and</w:t>
      </w:r>
    </w:p>
    <w:p w14:paraId="7CE74939" w14:textId="77777777" w:rsidR="00CE1BDB" w:rsidRPr="00FA4DC7" w:rsidRDefault="00CE1BDB" w:rsidP="00CE1BDB">
      <w:pPr>
        <w:pStyle w:val="bullet"/>
        <w:tabs>
          <w:tab w:val="left" w:pos="0"/>
          <w:tab w:val="left" w:pos="709"/>
          <w:tab w:val="left" w:pos="1418"/>
        </w:tabs>
        <w:rPr>
          <w:rFonts w:cs="Arial"/>
        </w:rPr>
      </w:pPr>
      <w:r w:rsidRPr="00FA4DC7">
        <w:rPr>
          <w:rFonts w:cs="Arial"/>
        </w:rPr>
        <w:t xml:space="preserve">the challenge of ensuring that the needs of people with disabilities is appropriately addressed. </w:t>
      </w:r>
    </w:p>
    <w:p w14:paraId="4FF1044B" w14:textId="77777777" w:rsidR="00CE1BDB" w:rsidRPr="00FA4DC7" w:rsidRDefault="00CE1BDB" w:rsidP="00CE1BDB">
      <w:pPr>
        <w:pStyle w:val="bullet"/>
        <w:numPr>
          <w:ilvl w:val="0"/>
          <w:numId w:val="0"/>
        </w:numPr>
        <w:tabs>
          <w:tab w:val="left" w:pos="0"/>
          <w:tab w:val="left" w:pos="709"/>
          <w:tab w:val="left" w:pos="1418"/>
        </w:tabs>
        <w:ind w:left="1069"/>
        <w:rPr>
          <w:rFonts w:cs="Arial"/>
          <w:highlight w:val="yellow"/>
        </w:rPr>
      </w:pPr>
    </w:p>
    <w:p w14:paraId="6C3EA35C" w14:textId="5E943EA8" w:rsidR="00BA60CB" w:rsidRDefault="00BA60CB">
      <w:pPr>
        <w:rPr>
          <w:rFonts w:cs="Arial"/>
          <w:bCs/>
          <w:color w:val="006666"/>
          <w:kern w:val="32"/>
          <w:sz w:val="40"/>
          <w:szCs w:val="28"/>
          <w:highlight w:val="yellow"/>
          <w:lang w:eastAsia="en-US"/>
        </w:rPr>
      </w:pPr>
      <w:bookmarkStart w:id="475" w:name="_Toc59204533"/>
      <w:r>
        <w:rPr>
          <w:rFonts w:cs="Arial"/>
          <w:highlight w:val="yellow"/>
        </w:rPr>
        <w:br w:type="page"/>
      </w:r>
    </w:p>
    <w:p w14:paraId="3A0DF2C3" w14:textId="77777777" w:rsidR="00CE1BDB" w:rsidRPr="00FA4DC7" w:rsidRDefault="00CE1BDB" w:rsidP="00CE1BDB">
      <w:pPr>
        <w:pStyle w:val="Heading1"/>
        <w:numPr>
          <w:ilvl w:val="0"/>
          <w:numId w:val="0"/>
        </w:numPr>
        <w:ind w:left="709" w:hanging="709"/>
        <w:rPr>
          <w:rFonts w:cs="Arial"/>
        </w:rPr>
      </w:pPr>
      <w:bookmarkStart w:id="476" w:name="_Toc83035693"/>
      <w:r w:rsidRPr="00FA4DC7">
        <w:rPr>
          <w:rFonts w:cs="Arial"/>
        </w:rPr>
        <w:lastRenderedPageBreak/>
        <w:t>Technical Appendix A: Research methodology</w:t>
      </w:r>
      <w:bookmarkEnd w:id="475"/>
      <w:bookmarkEnd w:id="476"/>
      <w:r w:rsidRPr="00FA4DC7">
        <w:rPr>
          <w:rFonts w:cs="Arial"/>
        </w:rPr>
        <w:t xml:space="preserve"> </w:t>
      </w:r>
    </w:p>
    <w:p w14:paraId="27CC6478" w14:textId="77777777" w:rsidR="00CE1BDB" w:rsidRPr="00FA4DC7" w:rsidRDefault="00CE1BDB" w:rsidP="00CE1BDB">
      <w:pPr>
        <w:pStyle w:val="Heading2"/>
        <w:rPr>
          <w:rFonts w:cs="Arial"/>
        </w:rPr>
      </w:pPr>
      <w:bookmarkStart w:id="477" w:name="_Toc62202409"/>
      <w:bookmarkStart w:id="478" w:name="_Toc70614004"/>
      <w:bookmarkStart w:id="479" w:name="_Toc83035694"/>
      <w:r w:rsidRPr="00FA4DC7">
        <w:rPr>
          <w:rFonts w:cs="Arial"/>
        </w:rPr>
        <w:t>Overall approach</w:t>
      </w:r>
      <w:bookmarkEnd w:id="477"/>
      <w:bookmarkEnd w:id="478"/>
      <w:bookmarkEnd w:id="479"/>
    </w:p>
    <w:p w14:paraId="67371CFE" w14:textId="77777777" w:rsidR="00CE1BDB" w:rsidRPr="00FA4DC7" w:rsidRDefault="00CE1BDB" w:rsidP="00CE1BDB">
      <w:pPr>
        <w:pStyle w:val="Maintext"/>
        <w:numPr>
          <w:ilvl w:val="1"/>
          <w:numId w:val="35"/>
        </w:numPr>
        <w:spacing w:before="0"/>
        <w:rPr>
          <w:rFonts w:ascii="Arial" w:hAnsi="Arial" w:cs="Arial"/>
        </w:rPr>
      </w:pPr>
      <w:r w:rsidRPr="00FA4DC7">
        <w:rPr>
          <w:rFonts w:ascii="Arial" w:hAnsi="Arial" w:cs="Arial"/>
        </w:rPr>
        <w:t>A multi-method approach was adopted in order to prepare a robust and credible housing needs assessment for Medway:</w:t>
      </w:r>
    </w:p>
    <w:p w14:paraId="48602E77" w14:textId="77777777" w:rsidR="00CE1BDB" w:rsidRPr="00FA4DC7" w:rsidRDefault="00CE1BDB" w:rsidP="00CE1BDB">
      <w:pPr>
        <w:pStyle w:val="bullet"/>
        <w:spacing w:before="0"/>
        <w:jc w:val="both"/>
        <w:rPr>
          <w:rFonts w:cs="Arial"/>
        </w:rPr>
      </w:pPr>
      <w:r w:rsidRPr="00FA4DC7">
        <w:rPr>
          <w:rFonts w:cs="Arial"/>
        </w:rPr>
        <w:t xml:space="preserve">a survey of key stakeholders including representatives from the council, neighbouring local authorities, housing associations, specialist housing providers, estate agents, adult social care and </w:t>
      </w:r>
      <w:proofErr w:type="gramStart"/>
      <w:r w:rsidRPr="00FA4DC7">
        <w:rPr>
          <w:rFonts w:cs="Arial"/>
        </w:rPr>
        <w:t>developers;</w:t>
      </w:r>
      <w:proofErr w:type="gramEnd"/>
    </w:p>
    <w:p w14:paraId="2CE35E2D" w14:textId="77777777" w:rsidR="00CE1BDB" w:rsidRPr="00FA4DC7" w:rsidRDefault="00CE1BDB" w:rsidP="00CE1BDB">
      <w:pPr>
        <w:pStyle w:val="bullet"/>
        <w:spacing w:before="0"/>
        <w:jc w:val="both"/>
        <w:rPr>
          <w:rFonts w:cs="Arial"/>
        </w:rPr>
      </w:pPr>
      <w:r w:rsidRPr="00FA4DC7">
        <w:rPr>
          <w:rFonts w:cs="Arial"/>
        </w:rPr>
        <w:t xml:space="preserve">interviews with estate and letting agents operating within the </w:t>
      </w:r>
      <w:proofErr w:type="gramStart"/>
      <w:r w:rsidRPr="00FA4DC7">
        <w:rPr>
          <w:rFonts w:cs="Arial"/>
        </w:rPr>
        <w:t>borough;</w:t>
      </w:r>
      <w:proofErr w:type="gramEnd"/>
    </w:p>
    <w:p w14:paraId="29A0C11C" w14:textId="77777777" w:rsidR="00CE1BDB" w:rsidRPr="00FA4DC7" w:rsidRDefault="00CE1BDB" w:rsidP="00CE1BDB">
      <w:pPr>
        <w:pStyle w:val="bullet"/>
        <w:spacing w:before="0"/>
        <w:jc w:val="both"/>
        <w:rPr>
          <w:rFonts w:cs="Arial"/>
        </w:rPr>
      </w:pPr>
      <w:r w:rsidRPr="00FA4DC7">
        <w:rPr>
          <w:rFonts w:cs="Arial"/>
        </w:rPr>
        <w:t>a review of relevant secondary data including the 2011 Census, house price trends, CORE lettings data and MHCLG Statistics; and</w:t>
      </w:r>
    </w:p>
    <w:p w14:paraId="171D2412" w14:textId="77777777" w:rsidR="00CE1BDB" w:rsidRPr="00FA4DC7" w:rsidRDefault="00CE1BDB" w:rsidP="00CE1BDB">
      <w:pPr>
        <w:pStyle w:val="bullet"/>
        <w:spacing w:before="0"/>
        <w:jc w:val="both"/>
        <w:rPr>
          <w:rFonts w:cs="Arial"/>
        </w:rPr>
      </w:pPr>
      <w:r w:rsidRPr="00FA4DC7">
        <w:rPr>
          <w:rFonts w:cs="Arial"/>
        </w:rPr>
        <w:t>review of data from the arc4 national database.</w:t>
      </w:r>
    </w:p>
    <w:p w14:paraId="53FD724C" w14:textId="77777777" w:rsidR="00CE1BDB" w:rsidRPr="00FA4DC7" w:rsidRDefault="00CE1BDB" w:rsidP="00CE1BDB">
      <w:pPr>
        <w:rPr>
          <w:rFonts w:cs="Arial"/>
        </w:rPr>
      </w:pPr>
    </w:p>
    <w:p w14:paraId="3D16AA72" w14:textId="77777777" w:rsidR="00CE1BDB" w:rsidRPr="00FA4DC7" w:rsidRDefault="00CE1BDB" w:rsidP="00CE1BDB">
      <w:pPr>
        <w:pStyle w:val="Heading2"/>
        <w:rPr>
          <w:rFonts w:cs="Arial"/>
        </w:rPr>
      </w:pPr>
      <w:bookmarkStart w:id="480" w:name="_Toc83035695"/>
      <w:r w:rsidRPr="00FA4DC7">
        <w:rPr>
          <w:rFonts w:cs="Arial"/>
        </w:rPr>
        <w:t>arc4 national database</w:t>
      </w:r>
      <w:bookmarkEnd w:id="480"/>
    </w:p>
    <w:p w14:paraId="2995B347" w14:textId="77777777" w:rsidR="00CE1BDB" w:rsidRPr="00FA4DC7" w:rsidRDefault="00CE1BDB" w:rsidP="00CE1BDB">
      <w:pPr>
        <w:pStyle w:val="Maintext"/>
        <w:numPr>
          <w:ilvl w:val="1"/>
          <w:numId w:val="35"/>
        </w:numPr>
        <w:spacing w:before="0"/>
        <w:rPr>
          <w:rFonts w:ascii="Arial" w:hAnsi="Arial" w:cs="Arial"/>
          <w:bCs/>
        </w:rPr>
      </w:pPr>
      <w:r w:rsidRPr="00FA4DC7">
        <w:rPr>
          <w:rFonts w:ascii="Arial" w:hAnsi="Arial" w:cs="Arial"/>
          <w:bCs/>
        </w:rPr>
        <w:t xml:space="preserve">The arc4 national database uses data from published reports which has been derived from household surveys carried out by arc4. The database draws upon data from 24 district-level household surveys across England and Wales. The data currently is based on around 84,000 household surveys which, when weighted and grossed, relates </w:t>
      </w:r>
      <w:proofErr w:type="gramStart"/>
      <w:r w:rsidRPr="00FA4DC7">
        <w:rPr>
          <w:rFonts w:ascii="Arial" w:hAnsi="Arial" w:cs="Arial"/>
          <w:bCs/>
        </w:rPr>
        <w:t>to  2.4m</w:t>
      </w:r>
      <w:proofErr w:type="gramEnd"/>
      <w:r w:rsidRPr="00FA4DC7">
        <w:rPr>
          <w:rFonts w:ascii="Arial" w:hAnsi="Arial" w:cs="Arial"/>
          <w:bCs/>
        </w:rPr>
        <w:t xml:space="preserve"> households.</w:t>
      </w:r>
    </w:p>
    <w:p w14:paraId="6F0B78CA" w14:textId="77777777" w:rsidR="00CE1BDB" w:rsidRPr="00FA4DC7" w:rsidRDefault="00CE1BDB" w:rsidP="00CE1BDB">
      <w:pPr>
        <w:pStyle w:val="Maintext"/>
        <w:numPr>
          <w:ilvl w:val="1"/>
          <w:numId w:val="35"/>
        </w:numPr>
        <w:spacing w:before="0"/>
        <w:rPr>
          <w:rFonts w:ascii="Arial" w:hAnsi="Arial" w:cs="Arial"/>
          <w:bCs/>
        </w:rPr>
      </w:pPr>
      <w:r w:rsidRPr="00FA4DC7">
        <w:rPr>
          <w:rFonts w:ascii="Arial" w:hAnsi="Arial" w:cs="Arial"/>
          <w:bCs/>
        </w:rPr>
        <w:t xml:space="preserve">Summaries of data have been presented within this LHNA report.  </w:t>
      </w:r>
    </w:p>
    <w:p w14:paraId="2625E0F5" w14:textId="77777777" w:rsidR="00CE1BDB" w:rsidRPr="00FA4DC7" w:rsidRDefault="00CE1BDB" w:rsidP="00CE1BDB">
      <w:pPr>
        <w:rPr>
          <w:rFonts w:cs="Arial"/>
          <w:bCs/>
          <w:highlight w:val="yellow"/>
        </w:rPr>
      </w:pPr>
    </w:p>
    <w:p w14:paraId="1633EF59" w14:textId="77777777" w:rsidR="00CE1BDB" w:rsidRPr="00FA4DC7" w:rsidRDefault="00CE1BDB" w:rsidP="00CE1BDB">
      <w:pPr>
        <w:pStyle w:val="Heading1"/>
        <w:numPr>
          <w:ilvl w:val="0"/>
          <w:numId w:val="0"/>
        </w:numPr>
        <w:ind w:left="709" w:hanging="709"/>
        <w:rPr>
          <w:rFonts w:cs="Arial"/>
          <w:highlight w:val="yellow"/>
        </w:rPr>
        <w:sectPr w:rsidR="00CE1BDB" w:rsidRPr="00FA4DC7" w:rsidSect="00EF49A7">
          <w:pgSz w:w="11900" w:h="16840"/>
          <w:pgMar w:top="1440" w:right="1440" w:bottom="1440" w:left="1440" w:header="708" w:footer="708" w:gutter="0"/>
          <w:cols w:space="708"/>
          <w:docGrid w:linePitch="360"/>
        </w:sectPr>
      </w:pPr>
      <w:bookmarkStart w:id="481" w:name="_Toc55856207"/>
      <w:bookmarkStart w:id="482" w:name="_Toc56502856"/>
      <w:bookmarkStart w:id="483" w:name="_Toc273708385"/>
      <w:bookmarkStart w:id="484" w:name="_Toc280272455"/>
      <w:bookmarkStart w:id="485" w:name="_Toc318323461"/>
      <w:bookmarkStart w:id="486" w:name="_Toc333507791"/>
      <w:bookmarkStart w:id="487" w:name="_Toc399864453"/>
      <w:bookmarkStart w:id="488" w:name="_Toc428528520"/>
      <w:bookmarkStart w:id="489" w:name="_Toc430084613"/>
      <w:bookmarkStart w:id="490" w:name="_Toc430782053"/>
      <w:bookmarkStart w:id="491" w:name="_Toc529652023"/>
      <w:bookmarkStart w:id="492" w:name="_Toc7683331"/>
      <w:bookmarkStart w:id="493" w:name="_Toc13046176"/>
    </w:p>
    <w:p w14:paraId="6171E2BA" w14:textId="77777777" w:rsidR="00CE1BDB" w:rsidRPr="00FA4DC7" w:rsidRDefault="00CE1BDB" w:rsidP="00BA60CB">
      <w:pPr>
        <w:pStyle w:val="Heading1"/>
        <w:numPr>
          <w:ilvl w:val="0"/>
          <w:numId w:val="0"/>
        </w:numPr>
        <w:rPr>
          <w:rFonts w:cs="Arial"/>
        </w:rPr>
      </w:pPr>
      <w:bookmarkStart w:id="494" w:name="_Toc59204535"/>
      <w:bookmarkStart w:id="495" w:name="_Toc83035696"/>
      <w:r w:rsidRPr="00FA4DC7">
        <w:rPr>
          <w:rFonts w:cs="Arial"/>
        </w:rPr>
        <w:lastRenderedPageBreak/>
        <w:t>Technical Appendix B: Affordable housing definitions</w:t>
      </w:r>
      <w:bookmarkEnd w:id="481"/>
      <w:bookmarkEnd w:id="482"/>
      <w:bookmarkEnd w:id="494"/>
      <w:bookmarkEnd w:id="495"/>
    </w:p>
    <w:p w14:paraId="6913D8A7" w14:textId="77777777" w:rsidR="00CE1BDB" w:rsidRPr="00FA4DC7" w:rsidRDefault="00CE1BDB" w:rsidP="00CE1BDB">
      <w:pPr>
        <w:pStyle w:val="Heading2"/>
        <w:ind w:left="709"/>
        <w:rPr>
          <w:rFonts w:cs="Arial"/>
        </w:rPr>
      </w:pPr>
      <w:bookmarkStart w:id="496" w:name="_Toc55856208"/>
      <w:bookmarkStart w:id="497" w:name="_Toc56426631"/>
      <w:bookmarkStart w:id="498" w:name="_Toc56502857"/>
      <w:bookmarkStart w:id="499" w:name="_Toc59204536"/>
      <w:bookmarkStart w:id="500" w:name="_Toc70614007"/>
      <w:bookmarkStart w:id="501" w:name="_Toc83035697"/>
      <w:r w:rsidRPr="00FA4DC7">
        <w:rPr>
          <w:rFonts w:cs="Arial"/>
        </w:rPr>
        <w:t>Affordable housing definitions</w:t>
      </w:r>
      <w:bookmarkEnd w:id="496"/>
      <w:bookmarkEnd w:id="497"/>
      <w:bookmarkEnd w:id="498"/>
      <w:bookmarkEnd w:id="499"/>
      <w:bookmarkEnd w:id="500"/>
      <w:bookmarkEnd w:id="501"/>
    </w:p>
    <w:p w14:paraId="396B6BC4" w14:textId="77777777" w:rsidR="00CE1BDB" w:rsidRPr="00FA4DC7" w:rsidRDefault="00CE1BDB" w:rsidP="00CE1BDB">
      <w:pPr>
        <w:pStyle w:val="Reporttext"/>
        <w:numPr>
          <w:ilvl w:val="1"/>
          <w:numId w:val="0"/>
        </w:numPr>
        <w:ind w:left="709" w:hanging="709"/>
        <w:rPr>
          <w:rFonts w:cs="Arial"/>
        </w:rPr>
      </w:pPr>
      <w:r w:rsidRPr="00FA4DC7">
        <w:rPr>
          <w:rFonts w:cs="Arial"/>
        </w:rPr>
        <w:t>Definitions relating to affordable housing are presented in the NPPF 2021 (Annex 2):</w:t>
      </w:r>
    </w:p>
    <w:p w14:paraId="691203A9" w14:textId="77777777" w:rsidR="00CE1BDB" w:rsidRPr="00FA4DC7" w:rsidRDefault="00CE1BDB" w:rsidP="00CE1BDB">
      <w:pPr>
        <w:pStyle w:val="Reporttext"/>
        <w:numPr>
          <w:ilvl w:val="0"/>
          <w:numId w:val="0"/>
        </w:numPr>
        <w:rPr>
          <w:rFonts w:cs="Arial"/>
        </w:rPr>
      </w:pPr>
      <w:r w:rsidRPr="00FA4DC7">
        <w:rPr>
          <w:rFonts w:cs="Arial"/>
          <w:b/>
        </w:rPr>
        <w:t>Affordable housing</w:t>
      </w:r>
      <w:r w:rsidRPr="00FA4DC7">
        <w:rPr>
          <w:rFonts w:cs="Arial"/>
        </w:rPr>
        <w:t xml:space="preserve">: housing for sale or rent, for those whose needs are not met by the market (including housing that provides a subsidised route to home ownership and/or is for essential local workers); and which complies with one or more of the following definitions: </w:t>
      </w:r>
    </w:p>
    <w:p w14:paraId="732352D7" w14:textId="77777777" w:rsidR="00CE1BDB" w:rsidRPr="00FA4DC7" w:rsidRDefault="00CE1BDB" w:rsidP="00CE1BDB">
      <w:pPr>
        <w:pStyle w:val="Reporttext"/>
        <w:numPr>
          <w:ilvl w:val="0"/>
          <w:numId w:val="0"/>
        </w:numPr>
        <w:ind w:left="731" w:hanging="731"/>
        <w:rPr>
          <w:rFonts w:cs="Arial"/>
        </w:rPr>
      </w:pPr>
      <w:r w:rsidRPr="00FA4DC7">
        <w:rPr>
          <w:rFonts w:cs="Arial"/>
        </w:rPr>
        <w:t xml:space="preserve">a) </w:t>
      </w:r>
      <w:r w:rsidRPr="00FA4DC7">
        <w:rPr>
          <w:rFonts w:cs="Arial"/>
        </w:rPr>
        <w:tab/>
      </w:r>
      <w:r w:rsidRPr="00FA4DC7">
        <w:rPr>
          <w:rFonts w:cs="Arial"/>
          <w:b/>
        </w:rPr>
        <w:t>Affordable housing for rent</w:t>
      </w:r>
      <w:r w:rsidRPr="00FA4DC7">
        <w:rPr>
          <w:rFonts w:cs="Arial"/>
        </w:rPr>
        <w:t xml:space="preserve">: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2D2E0A40" w14:textId="77777777" w:rsidR="00CE1BDB" w:rsidRPr="00FA4DC7" w:rsidRDefault="00CE1BDB" w:rsidP="00CE1BDB">
      <w:pPr>
        <w:pStyle w:val="Reporttext"/>
        <w:numPr>
          <w:ilvl w:val="0"/>
          <w:numId w:val="0"/>
        </w:numPr>
        <w:ind w:left="731" w:hanging="731"/>
        <w:rPr>
          <w:rFonts w:cs="Arial"/>
        </w:rPr>
      </w:pPr>
      <w:r w:rsidRPr="00FA4DC7">
        <w:rPr>
          <w:rFonts w:cs="Arial"/>
        </w:rPr>
        <w:t xml:space="preserve">b) </w:t>
      </w:r>
      <w:r w:rsidRPr="00FA4DC7">
        <w:rPr>
          <w:rFonts w:cs="Arial"/>
        </w:rPr>
        <w:tab/>
      </w:r>
      <w:r w:rsidRPr="00FA4DC7">
        <w:rPr>
          <w:rFonts w:cs="Arial"/>
          <w:b/>
        </w:rPr>
        <w:t>Starter homes</w:t>
      </w:r>
      <w:r w:rsidRPr="00FA4DC7">
        <w:rPr>
          <w:rFonts w:cs="Arial"/>
        </w:rPr>
        <w:t>: is as specified in Sections 2 and 3 of the Housing and Planning Act 2016 and any secondary legislation made under these sections. The definition of a starter home should reflect the meaning set out in statute and any such secondary legislation at the time of plan-preparation or decision-making. Where secondary legislation has the effect of limiting a household’s eligibility to purchase a starter home to those with a particular maximum level of household income, those restrictions should be used.</w:t>
      </w:r>
    </w:p>
    <w:p w14:paraId="5A4C14BC" w14:textId="77777777" w:rsidR="00CE1BDB" w:rsidRPr="00FA4DC7" w:rsidRDefault="00CE1BDB" w:rsidP="00CE1BDB">
      <w:pPr>
        <w:pStyle w:val="Reporttext"/>
        <w:numPr>
          <w:ilvl w:val="0"/>
          <w:numId w:val="0"/>
        </w:numPr>
        <w:ind w:left="731" w:hanging="731"/>
        <w:rPr>
          <w:rFonts w:cs="Arial"/>
        </w:rPr>
      </w:pPr>
      <w:r w:rsidRPr="00FA4DC7">
        <w:rPr>
          <w:rFonts w:cs="Arial"/>
        </w:rPr>
        <w:t xml:space="preserve">c) </w:t>
      </w:r>
      <w:r w:rsidRPr="00FA4DC7">
        <w:rPr>
          <w:rFonts w:cs="Arial"/>
        </w:rPr>
        <w:tab/>
      </w:r>
      <w:r w:rsidRPr="00FA4DC7">
        <w:rPr>
          <w:rFonts w:cs="Arial"/>
          <w:b/>
        </w:rPr>
        <w:t xml:space="preserve">Discounted market </w:t>
      </w:r>
      <w:proofErr w:type="gramStart"/>
      <w:r w:rsidRPr="00FA4DC7">
        <w:rPr>
          <w:rFonts w:cs="Arial"/>
          <w:b/>
        </w:rPr>
        <w:t>sales housing:</w:t>
      </w:r>
      <w:proofErr w:type="gramEnd"/>
      <w:r w:rsidRPr="00FA4DC7">
        <w:rPr>
          <w:rFonts w:cs="Arial"/>
        </w:rPr>
        <w:t xml:space="preserve"> is that sold at a discount of at least 20% below local market value. Eligibility is determined with regard to local incomes and local house prices. Provisions should be in place to ensure housing remains at a discount for future eligible households. </w:t>
      </w:r>
    </w:p>
    <w:p w14:paraId="33C4682F" w14:textId="77777777" w:rsidR="00CE1BDB" w:rsidRPr="00FA4DC7" w:rsidRDefault="00CE1BDB" w:rsidP="00CE1BDB">
      <w:pPr>
        <w:pStyle w:val="Reporttext"/>
        <w:numPr>
          <w:ilvl w:val="0"/>
          <w:numId w:val="0"/>
        </w:numPr>
        <w:ind w:left="731" w:hanging="731"/>
        <w:rPr>
          <w:rFonts w:cs="Arial"/>
        </w:rPr>
      </w:pPr>
      <w:r w:rsidRPr="00FA4DC7">
        <w:rPr>
          <w:rFonts w:cs="Arial"/>
        </w:rPr>
        <w:t xml:space="preserve">d) </w:t>
      </w:r>
      <w:r w:rsidRPr="00FA4DC7">
        <w:rPr>
          <w:rFonts w:cs="Arial"/>
        </w:rPr>
        <w:tab/>
      </w:r>
      <w:r w:rsidRPr="00FA4DC7">
        <w:rPr>
          <w:rFonts w:cs="Arial"/>
          <w:b/>
        </w:rPr>
        <w:t xml:space="preserve">Other affordable routes to home </w:t>
      </w:r>
      <w:proofErr w:type="gramStart"/>
      <w:r w:rsidRPr="00FA4DC7">
        <w:rPr>
          <w:rFonts w:cs="Arial"/>
          <w:b/>
        </w:rPr>
        <w:t>ownership:</w:t>
      </w:r>
      <w:proofErr w:type="gramEnd"/>
      <w:r w:rsidRPr="00FA4DC7">
        <w:rPr>
          <w:rFonts w:cs="Arial"/>
        </w:rPr>
        <w:t xml:space="preserve"> is housing provided for sale that provides a route to ownership for those who could not achieve home ownership through the market. It includes shared ownership, relevant equity loans, other low-cost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provision or refunded to government or the relevant authority specified in the funding agreement. </w:t>
      </w:r>
    </w:p>
    <w:p w14:paraId="10DD9E88" w14:textId="77777777" w:rsidR="00CE1BDB" w:rsidRPr="00FA4DC7" w:rsidRDefault="00CE1BDB" w:rsidP="00CE1BDB">
      <w:pPr>
        <w:rPr>
          <w:rFonts w:cs="Arial"/>
        </w:rPr>
      </w:pPr>
    </w:p>
    <w:p w14:paraId="21177783" w14:textId="77777777" w:rsidR="00CE1BDB" w:rsidRPr="00FA4DC7" w:rsidRDefault="00CE1BDB" w:rsidP="00CE1BDB">
      <w:pPr>
        <w:rPr>
          <w:rFonts w:cs="Arial"/>
          <w:highlight w:val="yellow"/>
        </w:rPr>
      </w:pPr>
      <w:r w:rsidRPr="00FA4DC7">
        <w:rPr>
          <w:rFonts w:cs="Arial"/>
          <w:highlight w:val="yellow"/>
        </w:rPr>
        <w:br w:type="page"/>
      </w:r>
    </w:p>
    <w:p w14:paraId="1C50A798" w14:textId="77777777" w:rsidR="00CE1BDB" w:rsidRPr="00FA4DC7" w:rsidRDefault="00CE1BDB" w:rsidP="00CE1BDB">
      <w:pPr>
        <w:pStyle w:val="Heading1"/>
        <w:numPr>
          <w:ilvl w:val="0"/>
          <w:numId w:val="0"/>
        </w:numPr>
        <w:rPr>
          <w:rFonts w:cs="Arial"/>
        </w:rPr>
      </w:pPr>
      <w:bookmarkStart w:id="502" w:name="_Toc55856209"/>
      <w:bookmarkStart w:id="503" w:name="_Toc56502858"/>
      <w:bookmarkStart w:id="504" w:name="_Toc59204537"/>
      <w:bookmarkStart w:id="505" w:name="_Toc83035698"/>
      <w:r w:rsidRPr="00FA4DC7">
        <w:rPr>
          <w:rFonts w:cs="Arial"/>
        </w:rPr>
        <w:lastRenderedPageBreak/>
        <w:t>Technical Appendix C: Housing need calculations</w:t>
      </w:r>
      <w:bookmarkEnd w:id="483"/>
      <w:bookmarkEnd w:id="484"/>
      <w:bookmarkEnd w:id="485"/>
      <w:bookmarkEnd w:id="486"/>
      <w:bookmarkEnd w:id="487"/>
      <w:bookmarkEnd w:id="488"/>
      <w:bookmarkEnd w:id="489"/>
      <w:bookmarkEnd w:id="490"/>
      <w:bookmarkEnd w:id="491"/>
      <w:bookmarkEnd w:id="492"/>
      <w:bookmarkEnd w:id="493"/>
      <w:bookmarkEnd w:id="502"/>
      <w:bookmarkEnd w:id="503"/>
      <w:bookmarkEnd w:id="504"/>
      <w:bookmarkEnd w:id="505"/>
    </w:p>
    <w:p w14:paraId="1F7F18E4" w14:textId="77777777" w:rsidR="00CE1BDB" w:rsidRPr="00FA4DC7" w:rsidRDefault="00CE1BDB" w:rsidP="00CE1BDB">
      <w:pPr>
        <w:pStyle w:val="Heading2"/>
        <w:rPr>
          <w:rFonts w:cs="Arial"/>
        </w:rPr>
      </w:pPr>
      <w:bookmarkStart w:id="506" w:name="_Toc46434384"/>
      <w:bookmarkStart w:id="507" w:name="_Toc46497103"/>
      <w:bookmarkStart w:id="508" w:name="_Toc55856210"/>
      <w:bookmarkStart w:id="509" w:name="_Toc56426633"/>
      <w:bookmarkStart w:id="510" w:name="_Toc56502859"/>
      <w:bookmarkStart w:id="511" w:name="_Toc59204538"/>
      <w:bookmarkStart w:id="512" w:name="_Toc70614009"/>
      <w:bookmarkStart w:id="513" w:name="_Toc83035699"/>
      <w:bookmarkStart w:id="514" w:name="_Toc398751106"/>
      <w:bookmarkStart w:id="515" w:name="_Toc524947362"/>
      <w:bookmarkStart w:id="516" w:name="_Toc400208546"/>
      <w:bookmarkStart w:id="517" w:name="_Toc527709489"/>
      <w:bookmarkStart w:id="518" w:name="_Toc2456887"/>
      <w:bookmarkStart w:id="519" w:name="_Toc3373177"/>
      <w:bookmarkStart w:id="520" w:name="_Toc7683332"/>
      <w:bookmarkStart w:id="521" w:name="_Toc13046177"/>
      <w:r w:rsidRPr="00FA4DC7">
        <w:rPr>
          <w:rFonts w:cs="Arial"/>
        </w:rPr>
        <w:t>Introduction</w:t>
      </w:r>
      <w:bookmarkEnd w:id="506"/>
      <w:bookmarkEnd w:id="507"/>
      <w:bookmarkEnd w:id="508"/>
      <w:bookmarkEnd w:id="509"/>
      <w:bookmarkEnd w:id="510"/>
      <w:bookmarkEnd w:id="511"/>
      <w:bookmarkEnd w:id="512"/>
      <w:bookmarkEnd w:id="513"/>
    </w:p>
    <w:p w14:paraId="69EAB399"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Identifying the scale of affordable housing need is a key consideration of planning practice guidance. This is a separate calculation to the overall housing need figure derived using the standard model and set out in PPG paragraphs 18 (Reference ID: 2a-018-20190220) to 24 (Reference ID: 2a-024-20190220). The affordable housing need analysis helps to establish the overall scale of affordable housing need by location, type, </w:t>
      </w:r>
      <w:proofErr w:type="gramStart"/>
      <w:r w:rsidRPr="00FA4DC7">
        <w:rPr>
          <w:rFonts w:ascii="Arial" w:hAnsi="Arial" w:cs="Arial"/>
        </w:rPr>
        <w:t>size</w:t>
      </w:r>
      <w:proofErr w:type="gramEnd"/>
      <w:r w:rsidRPr="00FA4DC7">
        <w:rPr>
          <w:rFonts w:ascii="Arial" w:hAnsi="Arial" w:cs="Arial"/>
        </w:rPr>
        <w:t xml:space="preserve"> and tenure and whether the council should plan for more dwellings to help meet the need for affordable housing.  </w:t>
      </w:r>
    </w:p>
    <w:p w14:paraId="6BF8ED70"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PPG states that ‘all households whose needs are not met by the market can be considered in affordable housing need</w:t>
      </w:r>
      <w:r w:rsidRPr="00FA4DC7">
        <w:rPr>
          <w:rStyle w:val="FootnoteReference"/>
          <w:rFonts w:ascii="Arial" w:hAnsi="Arial" w:cs="Arial"/>
        </w:rPr>
        <w:footnoteReference w:id="2"/>
      </w:r>
      <w:r w:rsidRPr="00FA4DC7">
        <w:rPr>
          <w:rFonts w:ascii="Arial" w:hAnsi="Arial" w:cs="Arial"/>
        </w:rPr>
        <w:t xml:space="preserve">. </w:t>
      </w:r>
      <w:proofErr w:type="gramStart"/>
      <w:r w:rsidRPr="00FA4DC7">
        <w:rPr>
          <w:rFonts w:ascii="Arial" w:hAnsi="Arial" w:cs="Arial"/>
        </w:rPr>
        <w:t>PPG  then</w:t>
      </w:r>
      <w:proofErr w:type="gramEnd"/>
      <w:r w:rsidRPr="00FA4DC7">
        <w:rPr>
          <w:rFonts w:ascii="Arial" w:hAnsi="Arial" w:cs="Arial"/>
        </w:rPr>
        <w:t xml:space="preserve"> considers how affordable housing need should be calculated:</w:t>
      </w:r>
    </w:p>
    <w:p w14:paraId="47B9E15D" w14:textId="77777777" w:rsidR="00CE1BDB" w:rsidRPr="00FA4DC7" w:rsidRDefault="00CE1BDB" w:rsidP="00CE1BDB">
      <w:pPr>
        <w:pStyle w:val="Maintext"/>
        <w:numPr>
          <w:ilvl w:val="0"/>
          <w:numId w:val="0"/>
        </w:numPr>
        <w:tabs>
          <w:tab w:val="left" w:pos="0"/>
          <w:tab w:val="left" w:pos="709"/>
          <w:tab w:val="left" w:pos="1418"/>
        </w:tabs>
        <w:ind w:left="709"/>
        <w:rPr>
          <w:rFonts w:ascii="Arial" w:hAnsi="Arial" w:cs="Arial"/>
          <w:i/>
        </w:rPr>
      </w:pPr>
      <w:r w:rsidRPr="00FA4DC7">
        <w:rPr>
          <w:rFonts w:ascii="Arial" w:hAnsi="Arial" w:cs="Arial"/>
          <w:i/>
        </w:rPr>
        <w:t>‘Strategic policy-makers will need to estimate the current number of households and projected number of households who lack their own housing or who cannot afford to meet their housing needs in the market. This should involve working with colleagues in their relevant authority (</w:t>
      </w:r>
      <w:proofErr w:type="gramStart"/>
      <w:r w:rsidRPr="00FA4DC7">
        <w:rPr>
          <w:rFonts w:ascii="Arial" w:hAnsi="Arial" w:cs="Arial"/>
          <w:i/>
        </w:rPr>
        <w:t>e.g.</w:t>
      </w:r>
      <w:proofErr w:type="gramEnd"/>
      <w:r w:rsidRPr="00FA4DC7">
        <w:rPr>
          <w:rFonts w:ascii="Arial" w:hAnsi="Arial" w:cs="Arial"/>
          <w:i/>
        </w:rPr>
        <w:t xml:space="preserve"> housing, health and social care departments).’</w:t>
      </w:r>
      <w:r w:rsidRPr="00FA4DC7">
        <w:rPr>
          <w:rStyle w:val="FootnoteReference"/>
          <w:rFonts w:ascii="Arial" w:hAnsi="Arial" w:cs="Arial"/>
          <w:i/>
        </w:rPr>
        <w:footnoteReference w:id="3"/>
      </w:r>
    </w:p>
    <w:p w14:paraId="41079A68"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The PPG focuses on the use of existing (secondary data). </w:t>
      </w:r>
    </w:p>
    <w:p w14:paraId="5BBB57A7"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There are four broad components to the needs assessment method. These have remained relatively unchanged through the different guidance issued by government and focus on:</w:t>
      </w:r>
    </w:p>
    <w:p w14:paraId="3D1E93A2" w14:textId="77777777" w:rsidR="00CE1BDB" w:rsidRPr="00FA4DC7" w:rsidRDefault="00CE1BDB" w:rsidP="00CE1BDB">
      <w:pPr>
        <w:pStyle w:val="bullet"/>
        <w:jc w:val="both"/>
        <w:rPr>
          <w:rFonts w:cs="Arial"/>
        </w:rPr>
      </w:pPr>
      <w:r w:rsidRPr="00FA4DC7">
        <w:rPr>
          <w:rFonts w:cs="Arial"/>
        </w:rPr>
        <w:t>Step A. Existing household in need (current unmet gross need).</w:t>
      </w:r>
    </w:p>
    <w:p w14:paraId="59129241" w14:textId="77777777" w:rsidR="00CE1BDB" w:rsidRPr="00FA4DC7" w:rsidRDefault="00CE1BDB" w:rsidP="00CE1BDB">
      <w:pPr>
        <w:pStyle w:val="bullet"/>
        <w:jc w:val="both"/>
        <w:rPr>
          <w:rFonts w:cs="Arial"/>
        </w:rPr>
      </w:pPr>
      <w:r w:rsidRPr="00FA4DC7">
        <w:rPr>
          <w:rFonts w:cs="Arial"/>
        </w:rPr>
        <w:t>Step B. Future households in need.</w:t>
      </w:r>
    </w:p>
    <w:p w14:paraId="3881B0BD" w14:textId="77777777" w:rsidR="00CE1BDB" w:rsidRPr="00FA4DC7" w:rsidRDefault="00CE1BDB" w:rsidP="00CE1BDB">
      <w:pPr>
        <w:pStyle w:val="bullet"/>
        <w:jc w:val="both"/>
        <w:rPr>
          <w:rFonts w:cs="Arial"/>
        </w:rPr>
      </w:pPr>
      <w:r w:rsidRPr="00FA4DC7">
        <w:rPr>
          <w:rFonts w:cs="Arial"/>
        </w:rPr>
        <w:t>Step C. Affordable supply.</w:t>
      </w:r>
    </w:p>
    <w:p w14:paraId="6266166E" w14:textId="77777777" w:rsidR="00CE1BDB" w:rsidRPr="00FA4DC7" w:rsidRDefault="00CE1BDB" w:rsidP="00CE1BDB">
      <w:pPr>
        <w:pStyle w:val="bullet"/>
        <w:jc w:val="both"/>
        <w:rPr>
          <w:rFonts w:cs="Arial"/>
        </w:rPr>
      </w:pPr>
      <w:r w:rsidRPr="00FA4DC7">
        <w:rPr>
          <w:rFonts w:cs="Arial"/>
        </w:rPr>
        <w:t>Step D. Annual need for affordable housing.</w:t>
      </w:r>
    </w:p>
    <w:p w14:paraId="017756A7"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To be consistent with the standard method for calculating overall housing need, the affordable housing need is annualised over a ten-year period. </w:t>
      </w:r>
    </w:p>
    <w:p w14:paraId="5A43EC3B" w14:textId="77777777" w:rsidR="00CE1BDB" w:rsidRPr="00FA4DC7" w:rsidRDefault="00CE1BDB" w:rsidP="00CE1BDB">
      <w:pPr>
        <w:pStyle w:val="Maintext"/>
        <w:numPr>
          <w:ilvl w:val="0"/>
          <w:numId w:val="0"/>
        </w:numPr>
        <w:tabs>
          <w:tab w:val="left" w:pos="0"/>
          <w:tab w:val="left" w:pos="1418"/>
        </w:tabs>
        <w:ind w:left="709"/>
        <w:rPr>
          <w:rFonts w:ascii="Arial" w:hAnsi="Arial" w:cs="Arial"/>
          <w:highlight w:val="yellow"/>
        </w:rPr>
      </w:pPr>
    </w:p>
    <w:p w14:paraId="7ACA69AD" w14:textId="77777777" w:rsidR="00CE1BDB" w:rsidRPr="00FA4DC7" w:rsidRDefault="00CE1BDB" w:rsidP="00CE1BDB">
      <w:pPr>
        <w:pStyle w:val="Heading3"/>
        <w:tabs>
          <w:tab w:val="left" w:pos="0"/>
          <w:tab w:val="left" w:pos="709"/>
          <w:tab w:val="left" w:pos="1418"/>
        </w:tabs>
        <w:rPr>
          <w:rFonts w:cs="Arial"/>
        </w:rPr>
      </w:pPr>
      <w:r w:rsidRPr="00FA4DC7">
        <w:rPr>
          <w:rFonts w:cs="Arial"/>
        </w:rPr>
        <w:t>Affordability assumptions</w:t>
      </w:r>
    </w:p>
    <w:p w14:paraId="4244F9C6"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As part of the affordable needs assessment, the extent to which households in need cannot afford open market prices or rents is considered. PPG does not specify what household income should be spent for a property to be affordable although does state the ‘need to identify the minimum household income required to access lower quartile (entry level) market housing’</w:t>
      </w:r>
      <w:r w:rsidRPr="00FA4DC7">
        <w:rPr>
          <w:rStyle w:val="FootnoteReference"/>
          <w:rFonts w:ascii="Arial" w:hAnsi="Arial" w:cs="Arial"/>
        </w:rPr>
        <w:footnoteReference w:id="4"/>
      </w:r>
      <w:r w:rsidRPr="00FA4DC7">
        <w:rPr>
          <w:rFonts w:ascii="Arial" w:hAnsi="Arial" w:cs="Arial"/>
        </w:rPr>
        <w:t>. The last guidance to consider affordable prices/rents was published in the 2007</w:t>
      </w:r>
      <w:r w:rsidRPr="00FA4DC7">
        <w:rPr>
          <w:rStyle w:val="FootnoteReference"/>
          <w:rFonts w:ascii="Arial" w:hAnsi="Arial" w:cs="Arial"/>
        </w:rPr>
        <w:footnoteReference w:id="5"/>
      </w:r>
      <w:r w:rsidRPr="00FA4DC7">
        <w:rPr>
          <w:rFonts w:ascii="Arial" w:hAnsi="Arial" w:cs="Arial"/>
        </w:rPr>
        <w:t>, which stated that gross household incomes should be used to assess affordability and:</w:t>
      </w:r>
    </w:p>
    <w:p w14:paraId="6B2EF85E" w14:textId="77777777" w:rsidR="00CE1BDB" w:rsidRPr="00FA4DC7" w:rsidRDefault="00CE1BDB" w:rsidP="00CE1BDB">
      <w:pPr>
        <w:pStyle w:val="bullet"/>
        <w:jc w:val="both"/>
        <w:rPr>
          <w:rFonts w:cs="Arial"/>
        </w:rPr>
      </w:pPr>
      <w:r w:rsidRPr="00FA4DC7">
        <w:rPr>
          <w:rFonts w:cs="Arial"/>
        </w:rPr>
        <w:lastRenderedPageBreak/>
        <w:t>a household can be considered able to afford to buy a home if it costs 3.5x the gross income of a single earner or 2.9x the gross income for dual-income households; and</w:t>
      </w:r>
    </w:p>
    <w:p w14:paraId="03FB2D61" w14:textId="77777777" w:rsidR="00CE1BDB" w:rsidRPr="00FA4DC7" w:rsidRDefault="00CE1BDB" w:rsidP="00CE1BDB">
      <w:pPr>
        <w:pStyle w:val="bullet"/>
        <w:jc w:val="both"/>
        <w:rPr>
          <w:rFonts w:cs="Arial"/>
        </w:rPr>
      </w:pPr>
      <w:r w:rsidRPr="00FA4DC7">
        <w:rPr>
          <w:rFonts w:cs="Arial"/>
        </w:rPr>
        <w:t xml:space="preserve">a household can be considered able to afford market renting where the rent payable was up to 25% of gross household income. </w:t>
      </w:r>
    </w:p>
    <w:p w14:paraId="5608A632"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The former guidance did note that local circumstances could justify higher figures being used for affordable renting and that allowances should be made for access to capital that could be used towards the cost of home ownership. </w:t>
      </w:r>
    </w:p>
    <w:p w14:paraId="24DCC2B4"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Mortgage lending practices would suggest that 4.75x a single </w:t>
      </w:r>
      <w:r w:rsidRPr="00FA4DC7">
        <w:rPr>
          <w:rFonts w:ascii="Arial" w:hAnsi="Arial" w:cs="Arial"/>
          <w:u w:val="single"/>
        </w:rPr>
        <w:t>or</w:t>
      </w:r>
      <w:r w:rsidRPr="00FA4DC7">
        <w:rPr>
          <w:rFonts w:ascii="Arial" w:hAnsi="Arial" w:cs="Arial"/>
        </w:rPr>
        <w:t xml:space="preserve"> joint income could be considered</w:t>
      </w:r>
      <w:r w:rsidRPr="00FA4DC7">
        <w:rPr>
          <w:rStyle w:val="FootnoteReference"/>
          <w:rFonts w:ascii="Arial" w:hAnsi="Arial" w:cs="Arial"/>
        </w:rPr>
        <w:footnoteReference w:id="6"/>
      </w:r>
      <w:r w:rsidRPr="00FA4DC7">
        <w:rPr>
          <w:rFonts w:ascii="Arial" w:hAnsi="Arial" w:cs="Arial"/>
        </w:rPr>
        <w:t>.</w:t>
      </w:r>
    </w:p>
    <w:p w14:paraId="44263481"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Based on this data, the </w:t>
      </w:r>
      <w:proofErr w:type="gramStart"/>
      <w:r w:rsidRPr="00FA4DC7">
        <w:rPr>
          <w:rFonts w:ascii="Arial" w:hAnsi="Arial" w:cs="Arial"/>
        </w:rPr>
        <w:t>principle</w:t>
      </w:r>
      <w:proofErr w:type="gramEnd"/>
      <w:r w:rsidRPr="00FA4DC7">
        <w:rPr>
          <w:rFonts w:ascii="Arial" w:hAnsi="Arial" w:cs="Arial"/>
        </w:rPr>
        <w:t xml:space="preserve"> assumption considered by arc</w:t>
      </w:r>
      <w:r w:rsidRPr="00FA4DC7">
        <w:rPr>
          <w:rFonts w:ascii="Arial" w:hAnsi="Arial" w:cs="Arial"/>
          <w:vertAlign w:val="superscript"/>
        </w:rPr>
        <w:t>4</w:t>
      </w:r>
      <w:r w:rsidRPr="00FA4DC7">
        <w:rPr>
          <w:rFonts w:ascii="Arial" w:hAnsi="Arial" w:cs="Arial"/>
        </w:rPr>
        <w:t xml:space="preserve"> with reference to affordability is:</w:t>
      </w:r>
    </w:p>
    <w:p w14:paraId="08B90CC9" w14:textId="77777777" w:rsidR="00CE1BDB" w:rsidRPr="00FA4DC7" w:rsidRDefault="00CE1BDB" w:rsidP="003A3017">
      <w:pPr>
        <w:pStyle w:val="bullet"/>
      </w:pPr>
      <w:r w:rsidRPr="00FA4DC7">
        <w:t xml:space="preserve">for buying up to 3.5x gross household </w:t>
      </w:r>
      <w:proofErr w:type="gramStart"/>
      <w:r w:rsidRPr="00FA4DC7">
        <w:t>income ;</w:t>
      </w:r>
      <w:proofErr w:type="gramEnd"/>
      <w:r w:rsidRPr="00FA4DC7">
        <w:t xml:space="preserve"> and</w:t>
      </w:r>
    </w:p>
    <w:p w14:paraId="3E2C3F48" w14:textId="77777777" w:rsidR="00CE1BDB" w:rsidRPr="00FA4DC7" w:rsidRDefault="00CE1BDB" w:rsidP="003A3017">
      <w:pPr>
        <w:pStyle w:val="bullet"/>
      </w:pPr>
      <w:r w:rsidRPr="00FA4DC7">
        <w:t>for renting up to 25% gross household income.</w:t>
      </w:r>
    </w:p>
    <w:p w14:paraId="428472D7" w14:textId="77777777" w:rsidR="00CE1BDB" w:rsidRPr="00FA4DC7" w:rsidRDefault="00CE1BDB" w:rsidP="00CE1BDB">
      <w:pPr>
        <w:rPr>
          <w:rFonts w:cs="Arial"/>
        </w:rPr>
      </w:pPr>
    </w:p>
    <w:p w14:paraId="6E367918" w14:textId="77777777" w:rsidR="00CE1BDB" w:rsidRPr="00FA4DC7" w:rsidRDefault="00CE1BDB" w:rsidP="00CE1BDB">
      <w:pPr>
        <w:pStyle w:val="Heading2"/>
        <w:rPr>
          <w:rFonts w:cs="Arial"/>
        </w:rPr>
      </w:pPr>
      <w:bookmarkStart w:id="522" w:name="_Toc46434385"/>
      <w:bookmarkStart w:id="523" w:name="_Toc46497104"/>
      <w:bookmarkStart w:id="524" w:name="_Toc55856211"/>
      <w:bookmarkStart w:id="525" w:name="_Toc56426634"/>
      <w:bookmarkStart w:id="526" w:name="_Toc56502860"/>
      <w:bookmarkStart w:id="527" w:name="_Toc59204539"/>
      <w:bookmarkStart w:id="528" w:name="_Toc70614010"/>
      <w:bookmarkStart w:id="529" w:name="_Toc83035700"/>
      <w:r w:rsidRPr="00FA4DC7">
        <w:rPr>
          <w:rFonts w:cs="Arial"/>
        </w:rPr>
        <w:t>Step A:  Current unmet gross need</w:t>
      </w:r>
      <w:bookmarkEnd w:id="522"/>
      <w:bookmarkEnd w:id="523"/>
      <w:bookmarkEnd w:id="524"/>
      <w:bookmarkEnd w:id="525"/>
      <w:bookmarkEnd w:id="526"/>
      <w:bookmarkEnd w:id="527"/>
      <w:bookmarkEnd w:id="528"/>
      <w:bookmarkEnd w:id="529"/>
    </w:p>
    <w:p w14:paraId="3AD08980" w14:textId="77777777" w:rsidR="00CE1BDB" w:rsidRPr="00FA4DC7" w:rsidRDefault="00CE1BDB" w:rsidP="00CE1BDB">
      <w:pPr>
        <w:pStyle w:val="Maintext"/>
        <w:numPr>
          <w:ilvl w:val="1"/>
          <w:numId w:val="34"/>
        </w:numPr>
        <w:tabs>
          <w:tab w:val="left" w:pos="0"/>
          <w:tab w:val="left" w:pos="709"/>
          <w:tab w:val="left" w:pos="1418"/>
        </w:tabs>
        <w:rPr>
          <w:rFonts w:ascii="Arial" w:hAnsi="Arial" w:cs="Arial"/>
          <w:iCs/>
        </w:rPr>
      </w:pPr>
      <w:r w:rsidRPr="00FA4DC7">
        <w:rPr>
          <w:rFonts w:ascii="Arial" w:hAnsi="Arial" w:cs="Arial"/>
          <w:color w:val="0B0B0B"/>
          <w:lang w:val="en-US"/>
        </w:rPr>
        <w:t>PPG 2019</w:t>
      </w:r>
      <w:r w:rsidRPr="00FA4DC7">
        <w:rPr>
          <w:rStyle w:val="FootnoteReference"/>
          <w:rFonts w:ascii="Arial" w:hAnsi="Arial" w:cs="Arial"/>
          <w:color w:val="0B0B0B"/>
          <w:lang w:val="en-US"/>
        </w:rPr>
        <w:footnoteReference w:id="7"/>
      </w:r>
      <w:r w:rsidRPr="00FA4DC7">
        <w:rPr>
          <w:rFonts w:ascii="Arial" w:hAnsi="Arial" w:cs="Arial"/>
          <w:color w:val="0B0B0B"/>
          <w:lang w:val="en-US"/>
        </w:rPr>
        <w:t xml:space="preserve"> states that ‘strategic policy-making authorities can establish the unmet (gross) need for affordable housing by assessing past trends and current estimates of:</w:t>
      </w:r>
      <w:r w:rsidRPr="00FA4DC7">
        <w:rPr>
          <w:rFonts w:ascii="Arial" w:hAnsi="Arial" w:cs="Arial"/>
          <w:iCs/>
        </w:rPr>
        <w:t xml:space="preserve"> </w:t>
      </w:r>
    </w:p>
    <w:p w14:paraId="6D37D009" w14:textId="77777777" w:rsidR="00CE1BDB" w:rsidRPr="00FA4DC7" w:rsidRDefault="00CE1BDB" w:rsidP="00CE1BDB">
      <w:pPr>
        <w:pStyle w:val="bullet"/>
        <w:jc w:val="both"/>
        <w:rPr>
          <w:rFonts w:cs="Arial"/>
          <w:iCs/>
        </w:rPr>
      </w:pPr>
      <w:r w:rsidRPr="00FA4DC7">
        <w:rPr>
          <w:rFonts w:cs="Arial"/>
          <w:lang w:val="en-US"/>
        </w:rPr>
        <w:t xml:space="preserve">the number of homeless </w:t>
      </w:r>
      <w:proofErr w:type="gramStart"/>
      <w:r w:rsidRPr="00FA4DC7">
        <w:rPr>
          <w:rFonts w:cs="Arial"/>
          <w:lang w:val="en-US"/>
        </w:rPr>
        <w:t>households;</w:t>
      </w:r>
      <w:proofErr w:type="gramEnd"/>
    </w:p>
    <w:p w14:paraId="1134CFA0" w14:textId="77777777" w:rsidR="00CE1BDB" w:rsidRPr="00FA4DC7" w:rsidRDefault="00CE1BDB" w:rsidP="00CE1BDB">
      <w:pPr>
        <w:pStyle w:val="bullet"/>
        <w:jc w:val="both"/>
        <w:rPr>
          <w:rFonts w:cs="Arial"/>
          <w:iCs/>
        </w:rPr>
      </w:pPr>
      <w:r w:rsidRPr="00FA4DC7">
        <w:rPr>
          <w:rFonts w:cs="Arial"/>
          <w:lang w:val="en-US"/>
        </w:rPr>
        <w:t xml:space="preserve">the number of those in priority need who are currently housed in temporary </w:t>
      </w:r>
      <w:proofErr w:type="gramStart"/>
      <w:r w:rsidRPr="00FA4DC7">
        <w:rPr>
          <w:rFonts w:cs="Arial"/>
          <w:lang w:val="en-US"/>
        </w:rPr>
        <w:t>accommodation;</w:t>
      </w:r>
      <w:proofErr w:type="gramEnd"/>
    </w:p>
    <w:p w14:paraId="320DE566" w14:textId="77777777" w:rsidR="00CE1BDB" w:rsidRPr="00FA4DC7" w:rsidRDefault="00CE1BDB" w:rsidP="00CE1BDB">
      <w:pPr>
        <w:pStyle w:val="bullet"/>
        <w:jc w:val="both"/>
        <w:rPr>
          <w:rFonts w:cs="Arial"/>
          <w:iCs/>
        </w:rPr>
      </w:pPr>
      <w:r w:rsidRPr="00FA4DC7">
        <w:rPr>
          <w:rFonts w:cs="Arial"/>
          <w:lang w:val="en-US"/>
        </w:rPr>
        <w:t xml:space="preserve">the number of households in over-crowded </w:t>
      </w:r>
      <w:proofErr w:type="gramStart"/>
      <w:r w:rsidRPr="00FA4DC7">
        <w:rPr>
          <w:rFonts w:cs="Arial"/>
          <w:lang w:val="en-US"/>
        </w:rPr>
        <w:t>housing;</w:t>
      </w:r>
      <w:proofErr w:type="gramEnd"/>
      <w:r w:rsidRPr="00FA4DC7">
        <w:rPr>
          <w:rFonts w:cs="Arial"/>
          <w:lang w:val="en-US"/>
        </w:rPr>
        <w:t xml:space="preserve"> </w:t>
      </w:r>
    </w:p>
    <w:p w14:paraId="5A263D57" w14:textId="77777777" w:rsidR="00CE1BDB" w:rsidRPr="00FA4DC7" w:rsidRDefault="00CE1BDB" w:rsidP="00CE1BDB">
      <w:pPr>
        <w:pStyle w:val="bullet"/>
        <w:jc w:val="both"/>
        <w:rPr>
          <w:rFonts w:cs="Arial"/>
          <w:iCs/>
        </w:rPr>
      </w:pPr>
      <w:r w:rsidRPr="00FA4DC7">
        <w:rPr>
          <w:rFonts w:cs="Arial"/>
          <w:lang w:val="en-US"/>
        </w:rPr>
        <w:t xml:space="preserve">the number of concealed </w:t>
      </w:r>
      <w:proofErr w:type="gramStart"/>
      <w:r w:rsidRPr="00FA4DC7">
        <w:rPr>
          <w:rFonts w:cs="Arial"/>
          <w:lang w:val="en-US"/>
        </w:rPr>
        <w:t>households;</w:t>
      </w:r>
      <w:proofErr w:type="gramEnd"/>
    </w:p>
    <w:p w14:paraId="080C10CB" w14:textId="77777777" w:rsidR="00CE1BDB" w:rsidRPr="00FA4DC7" w:rsidRDefault="00CE1BDB" w:rsidP="00CE1BDB">
      <w:pPr>
        <w:pStyle w:val="bullet"/>
        <w:jc w:val="both"/>
        <w:rPr>
          <w:rFonts w:cs="Arial"/>
          <w:iCs/>
        </w:rPr>
      </w:pPr>
      <w:r w:rsidRPr="00FA4DC7">
        <w:rPr>
          <w:rFonts w:cs="Arial"/>
          <w:lang w:val="en-US"/>
        </w:rPr>
        <w:t>the number of existing affordable housing tenants in need (</w:t>
      </w:r>
      <w:proofErr w:type="gramStart"/>
      <w:r w:rsidRPr="00FA4DC7">
        <w:rPr>
          <w:rFonts w:cs="Arial"/>
          <w:lang w:val="en-US"/>
        </w:rPr>
        <w:t>i.e.</w:t>
      </w:r>
      <w:proofErr w:type="gramEnd"/>
      <w:r w:rsidRPr="00FA4DC7">
        <w:rPr>
          <w:rFonts w:cs="Arial"/>
          <w:lang w:val="en-US"/>
        </w:rPr>
        <w:t xml:space="preserve"> householders currently housed in unsuitable dwellings); and</w:t>
      </w:r>
    </w:p>
    <w:p w14:paraId="51ECFB96" w14:textId="77777777" w:rsidR="00CE1BDB" w:rsidRPr="00FA4DC7" w:rsidRDefault="00CE1BDB" w:rsidP="00CE1BDB">
      <w:pPr>
        <w:pStyle w:val="bullet"/>
        <w:jc w:val="both"/>
        <w:rPr>
          <w:rFonts w:cs="Arial"/>
          <w:iCs/>
        </w:rPr>
      </w:pPr>
      <w:r w:rsidRPr="00FA4DC7">
        <w:rPr>
          <w:rFonts w:cs="Arial"/>
          <w:lang w:val="en-US"/>
        </w:rPr>
        <w:t>the number of households from other tenures in need and those that cannot afford their own homes, either to rent or to own if that is their aspiration.’</w:t>
      </w:r>
    </w:p>
    <w:p w14:paraId="0B7C7A0B" w14:textId="77777777" w:rsidR="00CE1BDB" w:rsidRPr="00FA4DC7" w:rsidRDefault="00CE1BDB" w:rsidP="00CE1BDB">
      <w:pPr>
        <w:pStyle w:val="Maintext"/>
        <w:numPr>
          <w:ilvl w:val="1"/>
          <w:numId w:val="34"/>
        </w:numPr>
        <w:tabs>
          <w:tab w:val="left" w:pos="0"/>
          <w:tab w:val="left" w:pos="709"/>
          <w:tab w:val="left" w:pos="1418"/>
        </w:tabs>
        <w:rPr>
          <w:rFonts w:ascii="Arial" w:hAnsi="Arial" w:cs="Arial"/>
          <w:iCs/>
        </w:rPr>
      </w:pPr>
      <w:r w:rsidRPr="00FA4DC7">
        <w:rPr>
          <w:rFonts w:ascii="Arial" w:hAnsi="Arial" w:cs="Arial"/>
          <w:iCs/>
        </w:rPr>
        <w:t>PPG 2019 notes that care should be taken to avoid double-counting and to only include those households who cannot afford to access suitable housing in the market. Table C1. Sets out the overall scale of current need before affordability of market housing is considered.</w:t>
      </w:r>
    </w:p>
    <w:p w14:paraId="4162B596" w14:textId="25B2F718" w:rsidR="003A3017" w:rsidRDefault="003A3017">
      <w:pPr>
        <w:rPr>
          <w:rFonts w:cs="Arial"/>
          <w:iCs/>
          <w:highlight w:val="yellow"/>
          <w:lang w:eastAsia="en-US"/>
        </w:rPr>
      </w:pPr>
      <w:r>
        <w:rPr>
          <w:rFonts w:cs="Arial"/>
          <w:iCs/>
          <w:highlight w:val="yellow"/>
        </w:rPr>
        <w:br w:type="page"/>
      </w:r>
    </w:p>
    <w:tbl>
      <w:tblPr>
        <w:tblStyle w:val="TableGrid"/>
        <w:tblW w:w="5000" w:type="pct"/>
        <w:tblLook w:val="04A0" w:firstRow="1" w:lastRow="0" w:firstColumn="1" w:lastColumn="0" w:noHBand="0" w:noVBand="1"/>
      </w:tblPr>
      <w:tblGrid>
        <w:gridCol w:w="2883"/>
        <w:gridCol w:w="1013"/>
        <w:gridCol w:w="2888"/>
        <w:gridCol w:w="2396"/>
      </w:tblGrid>
      <w:tr w:rsidR="00CE1BDB" w:rsidRPr="00FA4DC7" w14:paraId="710A6856" w14:textId="77777777" w:rsidTr="003A3017">
        <w:tc>
          <w:tcPr>
            <w:tcW w:w="5000" w:type="pct"/>
            <w:gridSpan w:val="4"/>
            <w:shd w:val="clear" w:color="auto" w:fill="006666"/>
            <w:vAlign w:val="center"/>
          </w:tcPr>
          <w:p w14:paraId="784E5B1D" w14:textId="77777777" w:rsidR="00CE1BDB" w:rsidRPr="00FA4DC7" w:rsidRDefault="00CE1BDB" w:rsidP="00EF49A7">
            <w:pPr>
              <w:pStyle w:val="Tableheading1"/>
              <w:rPr>
                <w:rFonts w:cs="Arial"/>
                <w:szCs w:val="22"/>
              </w:rPr>
            </w:pPr>
            <w:bookmarkStart w:id="530" w:name="_Toc46778468"/>
            <w:bookmarkStart w:id="531" w:name="_Toc56502889"/>
            <w:bookmarkStart w:id="532" w:name="_Toc59205102"/>
            <w:bookmarkStart w:id="533" w:name="_Toc83036122"/>
            <w:r w:rsidRPr="00FA4DC7">
              <w:rPr>
                <w:rFonts w:cs="Arial"/>
                <w:szCs w:val="22"/>
              </w:rPr>
              <w:lastRenderedPageBreak/>
              <w:t>Table C1</w:t>
            </w:r>
            <w:r w:rsidRPr="00FA4DC7">
              <w:rPr>
                <w:rFonts w:cs="Arial"/>
                <w:szCs w:val="22"/>
              </w:rPr>
              <w:tab/>
              <w:t>Current gross unmet need (before affordability testing)</w:t>
            </w:r>
            <w:bookmarkEnd w:id="530"/>
            <w:bookmarkEnd w:id="531"/>
            <w:bookmarkEnd w:id="532"/>
            <w:bookmarkEnd w:id="533"/>
          </w:p>
        </w:tc>
      </w:tr>
      <w:tr w:rsidR="00CE1BDB" w:rsidRPr="00FA4DC7" w14:paraId="610378B6" w14:textId="77777777" w:rsidTr="003A3017">
        <w:tc>
          <w:tcPr>
            <w:tcW w:w="1570" w:type="pct"/>
            <w:shd w:val="clear" w:color="auto" w:fill="006666"/>
            <w:vAlign w:val="bottom"/>
          </w:tcPr>
          <w:p w14:paraId="3751A54D"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b/>
                <w:color w:val="FFFFFF" w:themeColor="background1"/>
                <w:sz w:val="22"/>
                <w:szCs w:val="22"/>
              </w:rPr>
            </w:pPr>
            <w:r w:rsidRPr="00FA4DC7">
              <w:rPr>
                <w:rFonts w:ascii="Arial" w:hAnsi="Arial" w:cs="Arial"/>
                <w:b/>
                <w:color w:val="FFFFFF" w:themeColor="background1"/>
                <w:sz w:val="22"/>
                <w:szCs w:val="22"/>
              </w:rPr>
              <w:t>Reason for need</w:t>
            </w:r>
          </w:p>
        </w:tc>
        <w:tc>
          <w:tcPr>
            <w:tcW w:w="552" w:type="pct"/>
            <w:shd w:val="clear" w:color="auto" w:fill="006666"/>
            <w:vAlign w:val="bottom"/>
          </w:tcPr>
          <w:p w14:paraId="523F50C4" w14:textId="77777777" w:rsidR="00CE1BDB" w:rsidRPr="00FA4DC7" w:rsidRDefault="00CE1BDB" w:rsidP="003A301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r w:rsidRPr="00FA4DC7">
              <w:rPr>
                <w:rFonts w:ascii="Arial" w:hAnsi="Arial" w:cs="Arial"/>
                <w:b/>
                <w:color w:val="FFFFFF" w:themeColor="background1"/>
                <w:sz w:val="22"/>
                <w:szCs w:val="22"/>
              </w:rPr>
              <w:t>Total in need</w:t>
            </w:r>
          </w:p>
        </w:tc>
        <w:tc>
          <w:tcPr>
            <w:tcW w:w="1573" w:type="pct"/>
            <w:shd w:val="clear" w:color="auto" w:fill="006666"/>
            <w:vAlign w:val="bottom"/>
          </w:tcPr>
          <w:p w14:paraId="620A4837" w14:textId="77777777" w:rsidR="00CE1BDB" w:rsidRPr="00FA4DC7" w:rsidRDefault="00CE1BDB" w:rsidP="003A301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r w:rsidRPr="00FA4DC7">
              <w:rPr>
                <w:rFonts w:ascii="Arial" w:hAnsi="Arial" w:cs="Arial"/>
                <w:b/>
                <w:color w:val="FFFFFF" w:themeColor="background1"/>
                <w:sz w:val="22"/>
                <w:szCs w:val="22"/>
              </w:rPr>
              <w:t>Comment</w:t>
            </w:r>
          </w:p>
        </w:tc>
        <w:tc>
          <w:tcPr>
            <w:tcW w:w="1305" w:type="pct"/>
            <w:shd w:val="clear" w:color="auto" w:fill="006666"/>
            <w:vAlign w:val="bottom"/>
          </w:tcPr>
          <w:p w14:paraId="3F815E17" w14:textId="77777777" w:rsidR="00CE1BDB" w:rsidRPr="00FA4DC7" w:rsidRDefault="00CE1BDB" w:rsidP="003A301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r w:rsidRPr="00FA4DC7">
              <w:rPr>
                <w:rFonts w:ascii="Arial" w:hAnsi="Arial" w:cs="Arial"/>
                <w:b/>
                <w:color w:val="FFFFFF" w:themeColor="background1"/>
                <w:sz w:val="22"/>
                <w:szCs w:val="22"/>
              </w:rPr>
              <w:t>Source</w:t>
            </w:r>
          </w:p>
        </w:tc>
      </w:tr>
      <w:tr w:rsidR="00CE1BDB" w:rsidRPr="00FA4DC7" w14:paraId="20262229" w14:textId="77777777" w:rsidTr="003A3017">
        <w:tc>
          <w:tcPr>
            <w:tcW w:w="1570" w:type="pct"/>
            <w:vAlign w:val="center"/>
          </w:tcPr>
          <w:p w14:paraId="5D3ACE95"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A1 Homeless households </w:t>
            </w:r>
          </w:p>
        </w:tc>
        <w:tc>
          <w:tcPr>
            <w:tcW w:w="552" w:type="pct"/>
            <w:vAlign w:val="center"/>
          </w:tcPr>
          <w:p w14:paraId="34141C9F"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659</w:t>
            </w:r>
          </w:p>
        </w:tc>
        <w:tc>
          <w:tcPr>
            <w:tcW w:w="1573" w:type="pct"/>
          </w:tcPr>
          <w:p w14:paraId="029AC839"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Number of households identified as homeless 2019/20</w:t>
            </w:r>
          </w:p>
        </w:tc>
        <w:tc>
          <w:tcPr>
            <w:tcW w:w="1305" w:type="pct"/>
          </w:tcPr>
          <w:p w14:paraId="06FFD8A0"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MHCLG Live tables </w:t>
            </w:r>
          </w:p>
        </w:tc>
      </w:tr>
      <w:tr w:rsidR="00CE1BDB" w:rsidRPr="00FA4DC7" w14:paraId="52773978" w14:textId="77777777" w:rsidTr="003A3017">
        <w:trPr>
          <w:trHeight w:val="231"/>
        </w:trPr>
        <w:tc>
          <w:tcPr>
            <w:tcW w:w="1570" w:type="pct"/>
            <w:vAlign w:val="center"/>
          </w:tcPr>
          <w:p w14:paraId="71F9338F"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A2 Priority need / temporary accommodation</w:t>
            </w:r>
          </w:p>
        </w:tc>
        <w:tc>
          <w:tcPr>
            <w:tcW w:w="552" w:type="pct"/>
            <w:vAlign w:val="center"/>
          </w:tcPr>
          <w:p w14:paraId="003BDA25"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1,187</w:t>
            </w:r>
          </w:p>
        </w:tc>
        <w:tc>
          <w:tcPr>
            <w:tcW w:w="1573" w:type="pct"/>
          </w:tcPr>
          <w:p w14:paraId="132C6994"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Households identified as threatened with homelessness in 2019/20 plus households living in temporary accommodation (based on quarterly average) in 2019/20</w:t>
            </w:r>
          </w:p>
        </w:tc>
        <w:tc>
          <w:tcPr>
            <w:tcW w:w="1305" w:type="pct"/>
          </w:tcPr>
          <w:p w14:paraId="29DB05B8"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MHCLG Live tables </w:t>
            </w:r>
          </w:p>
        </w:tc>
      </w:tr>
      <w:tr w:rsidR="00CE1BDB" w:rsidRPr="00FA4DC7" w14:paraId="3C2E965F" w14:textId="77777777" w:rsidTr="003A3017">
        <w:tc>
          <w:tcPr>
            <w:tcW w:w="1570" w:type="pct"/>
            <w:vAlign w:val="center"/>
          </w:tcPr>
          <w:p w14:paraId="42E4838A"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A3 Overcrowded</w:t>
            </w:r>
          </w:p>
        </w:tc>
        <w:tc>
          <w:tcPr>
            <w:tcW w:w="552" w:type="pct"/>
            <w:vAlign w:val="center"/>
          </w:tcPr>
          <w:p w14:paraId="539721E5"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sz w:val="22"/>
                <w:szCs w:val="22"/>
              </w:rPr>
            </w:pPr>
            <w:r w:rsidRPr="00FA4DC7">
              <w:rPr>
                <w:rFonts w:ascii="Arial" w:hAnsi="Arial" w:cs="Arial"/>
                <w:sz w:val="22"/>
                <w:szCs w:val="22"/>
              </w:rPr>
              <w:t>4,176</w:t>
            </w:r>
          </w:p>
        </w:tc>
        <w:tc>
          <w:tcPr>
            <w:tcW w:w="1573" w:type="pct"/>
          </w:tcPr>
          <w:p w14:paraId="67FC2315"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2011 Census </w:t>
            </w:r>
            <w:proofErr w:type="gramStart"/>
            <w:r w:rsidRPr="00FA4DC7">
              <w:rPr>
                <w:rFonts w:ascii="Arial" w:hAnsi="Arial" w:cs="Arial"/>
                <w:sz w:val="22"/>
                <w:szCs w:val="22"/>
              </w:rPr>
              <w:t>data  households</w:t>
            </w:r>
            <w:proofErr w:type="gramEnd"/>
            <w:r w:rsidRPr="00FA4DC7">
              <w:rPr>
                <w:rFonts w:ascii="Arial" w:hAnsi="Arial" w:cs="Arial"/>
                <w:sz w:val="22"/>
                <w:szCs w:val="22"/>
              </w:rPr>
              <w:t xml:space="preserve"> </w:t>
            </w:r>
          </w:p>
        </w:tc>
        <w:tc>
          <w:tcPr>
            <w:tcW w:w="1305" w:type="pct"/>
          </w:tcPr>
          <w:p w14:paraId="4EDAD51D"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2011 Census LC4108EW</w:t>
            </w:r>
          </w:p>
        </w:tc>
      </w:tr>
      <w:tr w:rsidR="00CE1BDB" w:rsidRPr="00FA4DC7" w14:paraId="23EF5924" w14:textId="77777777" w:rsidTr="003A3017">
        <w:tc>
          <w:tcPr>
            <w:tcW w:w="1570" w:type="pct"/>
            <w:vAlign w:val="center"/>
          </w:tcPr>
          <w:p w14:paraId="624B965F"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A4 Concealed household</w:t>
            </w:r>
          </w:p>
        </w:tc>
        <w:tc>
          <w:tcPr>
            <w:tcW w:w="552" w:type="pct"/>
            <w:vAlign w:val="center"/>
          </w:tcPr>
          <w:p w14:paraId="08D4AEE1"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sz w:val="22"/>
                <w:szCs w:val="22"/>
              </w:rPr>
            </w:pPr>
            <w:r w:rsidRPr="00FA4DC7">
              <w:rPr>
                <w:rFonts w:ascii="Arial" w:hAnsi="Arial" w:cs="Arial"/>
                <w:sz w:val="22"/>
                <w:szCs w:val="22"/>
              </w:rPr>
              <w:t>1,312</w:t>
            </w:r>
          </w:p>
        </w:tc>
        <w:tc>
          <w:tcPr>
            <w:tcW w:w="1573" w:type="pct"/>
          </w:tcPr>
          <w:p w14:paraId="6245A496"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Census definition refers to couples and lone parents living within another family unit. </w:t>
            </w:r>
          </w:p>
        </w:tc>
        <w:tc>
          <w:tcPr>
            <w:tcW w:w="1305" w:type="pct"/>
          </w:tcPr>
          <w:p w14:paraId="24C7E6D6"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2011 Census LC1110EW</w:t>
            </w:r>
          </w:p>
        </w:tc>
      </w:tr>
      <w:tr w:rsidR="00CE1BDB" w:rsidRPr="00FA4DC7" w14:paraId="02AAA555" w14:textId="77777777" w:rsidTr="003A3017">
        <w:tc>
          <w:tcPr>
            <w:tcW w:w="1570" w:type="pct"/>
            <w:vAlign w:val="center"/>
          </w:tcPr>
          <w:p w14:paraId="303B72CD"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A5 Existing affordable tenants in need</w:t>
            </w:r>
          </w:p>
        </w:tc>
        <w:tc>
          <w:tcPr>
            <w:tcW w:w="552" w:type="pct"/>
            <w:vAlign w:val="center"/>
          </w:tcPr>
          <w:p w14:paraId="73AFE934"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1,189</w:t>
            </w:r>
          </w:p>
        </w:tc>
        <w:tc>
          <w:tcPr>
            <w:tcW w:w="1573" w:type="pct"/>
          </w:tcPr>
          <w:p w14:paraId="3E925BB6"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p>
        </w:tc>
        <w:tc>
          <w:tcPr>
            <w:tcW w:w="1305" w:type="pct"/>
          </w:tcPr>
          <w:p w14:paraId="0FD53DA5"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Housing register</w:t>
            </w:r>
          </w:p>
        </w:tc>
      </w:tr>
      <w:tr w:rsidR="00CE1BDB" w:rsidRPr="00FA4DC7" w14:paraId="0968C8E2" w14:textId="77777777" w:rsidTr="003A3017">
        <w:tc>
          <w:tcPr>
            <w:tcW w:w="1570" w:type="pct"/>
            <w:shd w:val="clear" w:color="auto" w:fill="FFFFFF" w:themeFill="background1"/>
            <w:vAlign w:val="center"/>
          </w:tcPr>
          <w:p w14:paraId="67955ECE"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A6 Other tenures in need</w:t>
            </w:r>
          </w:p>
        </w:tc>
        <w:tc>
          <w:tcPr>
            <w:tcW w:w="552" w:type="pct"/>
            <w:shd w:val="clear" w:color="auto" w:fill="FFFFFF" w:themeFill="background1"/>
            <w:vAlign w:val="center"/>
          </w:tcPr>
          <w:p w14:paraId="6862F621"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1,356</w:t>
            </w:r>
          </w:p>
        </w:tc>
        <w:tc>
          <w:tcPr>
            <w:tcW w:w="1573" w:type="pct"/>
            <w:shd w:val="clear" w:color="auto" w:fill="FFFFFF" w:themeFill="background1"/>
          </w:tcPr>
          <w:p w14:paraId="3789330B"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p>
        </w:tc>
        <w:tc>
          <w:tcPr>
            <w:tcW w:w="1305" w:type="pct"/>
            <w:shd w:val="clear" w:color="auto" w:fill="FFFFFF" w:themeFill="background1"/>
          </w:tcPr>
          <w:p w14:paraId="25780BC8"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Housing register</w:t>
            </w:r>
          </w:p>
        </w:tc>
      </w:tr>
      <w:tr w:rsidR="00CE1BDB" w:rsidRPr="00FA4DC7" w14:paraId="2AA11D57" w14:textId="77777777" w:rsidTr="003A3017">
        <w:tc>
          <w:tcPr>
            <w:tcW w:w="1570" w:type="pct"/>
            <w:vAlign w:val="center"/>
          </w:tcPr>
          <w:p w14:paraId="13EF35AF"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A7 Sum of households in A3 to A6 with one or more needs</w:t>
            </w:r>
          </w:p>
        </w:tc>
        <w:tc>
          <w:tcPr>
            <w:tcW w:w="552" w:type="pct"/>
            <w:vAlign w:val="center"/>
          </w:tcPr>
          <w:p w14:paraId="5AEB3B29"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8,033</w:t>
            </w:r>
          </w:p>
        </w:tc>
        <w:tc>
          <w:tcPr>
            <w:tcW w:w="1573" w:type="pct"/>
          </w:tcPr>
          <w:p w14:paraId="0D4983C4"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Sum of A3 to A6 </w:t>
            </w:r>
            <w:r w:rsidRPr="00FA4DC7">
              <w:rPr>
                <w:rFonts w:ascii="Arial" w:hAnsi="Arial" w:cs="Arial"/>
                <w:b/>
                <w:bCs/>
                <w:sz w:val="22"/>
                <w:szCs w:val="22"/>
              </w:rPr>
              <w:t>BOLD figures</w:t>
            </w:r>
          </w:p>
        </w:tc>
        <w:tc>
          <w:tcPr>
            <w:tcW w:w="1305" w:type="pct"/>
          </w:tcPr>
          <w:p w14:paraId="5850B0F2"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p>
        </w:tc>
      </w:tr>
      <w:tr w:rsidR="00CE1BDB" w:rsidRPr="00FA4DC7" w14:paraId="4B464184" w14:textId="77777777" w:rsidTr="003A3017">
        <w:tc>
          <w:tcPr>
            <w:tcW w:w="1570" w:type="pct"/>
            <w:vAlign w:val="center"/>
          </w:tcPr>
          <w:p w14:paraId="01EF5BE4"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A8 Total in A7 adjusted to remove any double counting</w:t>
            </w:r>
          </w:p>
        </w:tc>
        <w:tc>
          <w:tcPr>
            <w:tcW w:w="552" w:type="pct"/>
            <w:vAlign w:val="center"/>
          </w:tcPr>
          <w:p w14:paraId="56A4DFAA"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8,033</w:t>
            </w:r>
          </w:p>
        </w:tc>
        <w:tc>
          <w:tcPr>
            <w:tcW w:w="1573" w:type="pct"/>
          </w:tcPr>
          <w:p w14:paraId="0E25728D"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This is the total number of households with one or more needs </w:t>
            </w:r>
          </w:p>
        </w:tc>
        <w:tc>
          <w:tcPr>
            <w:tcW w:w="1305" w:type="pct"/>
          </w:tcPr>
          <w:p w14:paraId="4DA84405"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p>
        </w:tc>
      </w:tr>
      <w:tr w:rsidR="00CE1BDB" w:rsidRPr="00FA4DC7" w14:paraId="4DF2E2B1" w14:textId="77777777" w:rsidTr="003A3017">
        <w:tc>
          <w:tcPr>
            <w:tcW w:w="1570" w:type="pct"/>
            <w:vAlign w:val="center"/>
          </w:tcPr>
          <w:p w14:paraId="614C4CA7"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A9. All households in need (A1+A2+A8)</w:t>
            </w:r>
          </w:p>
        </w:tc>
        <w:tc>
          <w:tcPr>
            <w:tcW w:w="552" w:type="pct"/>
            <w:vAlign w:val="center"/>
          </w:tcPr>
          <w:p w14:paraId="47258B7E" w14:textId="77777777" w:rsidR="00CE1BDB" w:rsidRPr="00FA4DC7" w:rsidRDefault="00CE1BDB" w:rsidP="00EF49A7">
            <w:pPr>
              <w:pStyle w:val="Maintext"/>
              <w:numPr>
                <w:ilvl w:val="0"/>
                <w:numId w:val="0"/>
              </w:numPr>
              <w:tabs>
                <w:tab w:val="left" w:pos="0"/>
                <w:tab w:val="left" w:pos="709"/>
                <w:tab w:val="left" w:pos="1418"/>
              </w:tabs>
              <w:spacing w:before="0" w:after="0"/>
              <w:jc w:val="center"/>
              <w:rPr>
                <w:rFonts w:ascii="Arial" w:hAnsi="Arial" w:cs="Arial"/>
                <w:b/>
                <w:bCs/>
                <w:sz w:val="22"/>
                <w:szCs w:val="22"/>
              </w:rPr>
            </w:pPr>
            <w:r w:rsidRPr="00FA4DC7">
              <w:rPr>
                <w:rFonts w:ascii="Arial" w:hAnsi="Arial" w:cs="Arial"/>
                <w:b/>
                <w:bCs/>
                <w:sz w:val="22"/>
                <w:szCs w:val="22"/>
              </w:rPr>
              <w:t>9,879</w:t>
            </w:r>
          </w:p>
        </w:tc>
        <w:tc>
          <w:tcPr>
            <w:tcW w:w="1573" w:type="pct"/>
          </w:tcPr>
          <w:p w14:paraId="06653F09"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r w:rsidRPr="00FA4DC7">
              <w:rPr>
                <w:rFonts w:ascii="Arial" w:hAnsi="Arial" w:cs="Arial"/>
                <w:sz w:val="22"/>
                <w:szCs w:val="22"/>
              </w:rPr>
              <w:t xml:space="preserve">Represents 8.8% of all households. </w:t>
            </w:r>
          </w:p>
        </w:tc>
        <w:tc>
          <w:tcPr>
            <w:tcW w:w="1305" w:type="pct"/>
          </w:tcPr>
          <w:p w14:paraId="75300313"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sz w:val="22"/>
                <w:szCs w:val="22"/>
              </w:rPr>
            </w:pPr>
          </w:p>
        </w:tc>
      </w:tr>
    </w:tbl>
    <w:p w14:paraId="79EF84A0" w14:textId="77777777"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 xml:space="preserve">Note table subject to rounding </w:t>
      </w:r>
    </w:p>
    <w:p w14:paraId="74BFF6A4" w14:textId="77777777"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Further Notes to Table C1:</w:t>
      </w:r>
    </w:p>
    <w:p w14:paraId="0365EFFC" w14:textId="77777777" w:rsidR="00CE1BDB" w:rsidRPr="00FA4DC7" w:rsidRDefault="00CE1BDB" w:rsidP="00CE1BDB">
      <w:pPr>
        <w:pStyle w:val="Maintext"/>
        <w:numPr>
          <w:ilvl w:val="0"/>
          <w:numId w:val="0"/>
        </w:numPr>
        <w:tabs>
          <w:tab w:val="left" w:pos="0"/>
          <w:tab w:val="left" w:pos="1418"/>
        </w:tabs>
        <w:rPr>
          <w:rFonts w:ascii="Arial" w:hAnsi="Arial" w:cs="Arial"/>
          <w:b/>
          <w:bCs/>
          <w:highlight w:val="yellow"/>
        </w:rPr>
      </w:pPr>
    </w:p>
    <w:p w14:paraId="78B45A81" w14:textId="77777777" w:rsidR="00CE1BDB" w:rsidRPr="00FA4DC7" w:rsidRDefault="00CE1BDB" w:rsidP="00CE1BDB">
      <w:pPr>
        <w:pStyle w:val="Maintext"/>
        <w:numPr>
          <w:ilvl w:val="0"/>
          <w:numId w:val="0"/>
        </w:numPr>
        <w:tabs>
          <w:tab w:val="left" w:pos="0"/>
          <w:tab w:val="left" w:pos="1418"/>
        </w:tabs>
        <w:rPr>
          <w:rFonts w:ascii="Arial" w:hAnsi="Arial" w:cs="Arial"/>
          <w:b/>
          <w:bCs/>
        </w:rPr>
      </w:pPr>
      <w:r w:rsidRPr="00FA4DC7">
        <w:rPr>
          <w:rFonts w:ascii="Arial" w:hAnsi="Arial" w:cs="Arial"/>
          <w:b/>
          <w:bCs/>
        </w:rPr>
        <w:t>A3. Overcrowding</w:t>
      </w:r>
    </w:p>
    <w:p w14:paraId="3A00FD67" w14:textId="77777777"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 xml:space="preserve">The extent to which </w:t>
      </w:r>
      <w:r w:rsidRPr="00FA4DC7">
        <w:rPr>
          <w:rFonts w:ascii="Arial" w:hAnsi="Arial" w:cs="Arial"/>
          <w:iCs/>
        </w:rPr>
        <w:t>households</w:t>
      </w:r>
      <w:r w:rsidRPr="00FA4DC7">
        <w:rPr>
          <w:rFonts w:ascii="Arial" w:hAnsi="Arial" w:cs="Arial"/>
        </w:rPr>
        <w:t xml:space="preserve"> are overcrowded is measured using the ‘bedroom standard’. This allocates a standard number of bedrooms to each household in accordance with its age/sex/marital status composition. A separate bedroom is allocated to each married couple, any other person aged 21 or over, each pair of adolescents aged 10-20 of the same sex and each pair of children under 10. Any unpaired person aged 10-20 is </w:t>
      </w:r>
      <w:proofErr w:type="gramStart"/>
      <w:r w:rsidRPr="00FA4DC7">
        <w:rPr>
          <w:rFonts w:ascii="Arial" w:hAnsi="Arial" w:cs="Arial"/>
        </w:rPr>
        <w:t>paired</w:t>
      </w:r>
      <w:proofErr w:type="gramEnd"/>
      <w:r w:rsidRPr="00FA4DC7">
        <w:rPr>
          <w:rFonts w:ascii="Arial" w:hAnsi="Arial" w:cs="Arial"/>
        </w:rPr>
        <w:t xml:space="preserve"> if possible, with a child under 10 of the same sex, or, if that is not possible, is given a separate bedroom, as is any unpaired child under 10. This standard is then compared with the actual number of bedrooms (including bedsits) available for the sole use of the household. </w:t>
      </w:r>
    </w:p>
    <w:p w14:paraId="530619AE" w14:textId="15E2149E" w:rsidR="00CE1BDB"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 xml:space="preserve">Note: the model has used overcrowding and concealed </w:t>
      </w:r>
      <w:proofErr w:type="gramStart"/>
      <w:r w:rsidRPr="00FA4DC7">
        <w:rPr>
          <w:rFonts w:ascii="Arial" w:hAnsi="Arial" w:cs="Arial"/>
        </w:rPr>
        <w:t>households</w:t>
      </w:r>
      <w:proofErr w:type="gramEnd"/>
      <w:r w:rsidRPr="00FA4DC7">
        <w:rPr>
          <w:rFonts w:ascii="Arial" w:hAnsi="Arial" w:cs="Arial"/>
        </w:rPr>
        <w:t xml:space="preserve"> data from the 2011 Census.</w:t>
      </w:r>
    </w:p>
    <w:p w14:paraId="1D3DBCC7" w14:textId="77777777" w:rsidR="003A3017" w:rsidRPr="00FA4DC7" w:rsidRDefault="003A3017" w:rsidP="00CE1BDB">
      <w:pPr>
        <w:pStyle w:val="Maintext"/>
        <w:numPr>
          <w:ilvl w:val="0"/>
          <w:numId w:val="0"/>
        </w:numPr>
        <w:tabs>
          <w:tab w:val="left" w:pos="0"/>
          <w:tab w:val="left" w:pos="1418"/>
        </w:tabs>
        <w:rPr>
          <w:rFonts w:ascii="Arial" w:hAnsi="Arial" w:cs="Arial"/>
        </w:rPr>
      </w:pPr>
    </w:p>
    <w:p w14:paraId="1AD253DF" w14:textId="77777777" w:rsidR="003A3017" w:rsidRDefault="003A3017">
      <w:pPr>
        <w:rPr>
          <w:rFonts w:cs="Arial"/>
          <w:b/>
          <w:bCs/>
          <w:lang w:eastAsia="en-US"/>
        </w:rPr>
      </w:pPr>
      <w:r>
        <w:rPr>
          <w:rFonts w:cs="Arial"/>
          <w:b/>
          <w:bCs/>
        </w:rPr>
        <w:br w:type="page"/>
      </w:r>
    </w:p>
    <w:p w14:paraId="2C140A12" w14:textId="647FEDCA"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b/>
          <w:bCs/>
        </w:rPr>
        <w:lastRenderedPageBreak/>
        <w:t>A4. Concealed households</w:t>
      </w:r>
    </w:p>
    <w:p w14:paraId="17D3108F" w14:textId="77777777"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The number of couples and lone parents living within a household.</w:t>
      </w:r>
    </w:p>
    <w:p w14:paraId="172F0462" w14:textId="77777777" w:rsidR="00CE1BDB" w:rsidRPr="00FA4DC7" w:rsidRDefault="00CE1BDB" w:rsidP="00CE1BDB">
      <w:pPr>
        <w:pStyle w:val="Maintext"/>
        <w:numPr>
          <w:ilvl w:val="0"/>
          <w:numId w:val="0"/>
        </w:numPr>
        <w:tabs>
          <w:tab w:val="left" w:pos="0"/>
          <w:tab w:val="left" w:pos="1418"/>
        </w:tabs>
        <w:rPr>
          <w:rFonts w:ascii="Arial" w:hAnsi="Arial" w:cs="Arial"/>
          <w:b/>
          <w:bCs/>
        </w:rPr>
      </w:pPr>
    </w:p>
    <w:p w14:paraId="01C7F38E" w14:textId="77777777" w:rsidR="00CE1BDB" w:rsidRPr="00FA4DC7" w:rsidRDefault="00CE1BDB" w:rsidP="00CE1BDB">
      <w:pPr>
        <w:pStyle w:val="Maintext"/>
        <w:numPr>
          <w:ilvl w:val="0"/>
          <w:numId w:val="0"/>
        </w:numPr>
        <w:tabs>
          <w:tab w:val="left" w:pos="0"/>
          <w:tab w:val="left" w:pos="1418"/>
        </w:tabs>
        <w:rPr>
          <w:rFonts w:ascii="Arial" w:hAnsi="Arial" w:cs="Arial"/>
          <w:b/>
          <w:bCs/>
        </w:rPr>
      </w:pPr>
      <w:r w:rsidRPr="00FA4DC7">
        <w:rPr>
          <w:rFonts w:ascii="Arial" w:hAnsi="Arial" w:cs="Arial"/>
          <w:b/>
          <w:bCs/>
        </w:rPr>
        <w:t>A5. Existing affordable tenants in need and A6. Other tenures in need</w:t>
      </w:r>
    </w:p>
    <w:p w14:paraId="6ED73ACB" w14:textId="77777777"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Households in need based on the numbers who have one or more of the following needs: under notice, real threat of notice or lease coming to an end; too expensive; too difficult to maintain; sharing facilities; unsuitable due to age/mobility impairment; lacking facilities; major disrepair; harassment/threat of harassment from neighbours.</w:t>
      </w:r>
    </w:p>
    <w:p w14:paraId="51F75E08" w14:textId="77777777" w:rsidR="00CE1BDB" w:rsidRPr="00FA4DC7" w:rsidRDefault="00CE1BDB" w:rsidP="00CE1BDB">
      <w:pPr>
        <w:pStyle w:val="Maintext"/>
        <w:numPr>
          <w:ilvl w:val="0"/>
          <w:numId w:val="0"/>
        </w:numPr>
        <w:tabs>
          <w:tab w:val="left" w:pos="0"/>
          <w:tab w:val="left" w:pos="1418"/>
        </w:tabs>
        <w:rPr>
          <w:rFonts w:ascii="Arial" w:hAnsi="Arial" w:cs="Arial"/>
          <w:b/>
          <w:bCs/>
          <w:highlight w:val="yellow"/>
        </w:rPr>
      </w:pPr>
    </w:p>
    <w:p w14:paraId="19DF330C" w14:textId="77777777" w:rsidR="00CE1BDB" w:rsidRPr="00FA4DC7" w:rsidRDefault="00CE1BDB" w:rsidP="00CE1BDB">
      <w:pPr>
        <w:pStyle w:val="Maintext"/>
        <w:numPr>
          <w:ilvl w:val="0"/>
          <w:numId w:val="0"/>
        </w:numPr>
        <w:tabs>
          <w:tab w:val="left" w:pos="0"/>
          <w:tab w:val="left" w:pos="1418"/>
        </w:tabs>
        <w:rPr>
          <w:rFonts w:ascii="Arial" w:hAnsi="Arial" w:cs="Arial"/>
          <w:b/>
          <w:bCs/>
        </w:rPr>
      </w:pPr>
      <w:r w:rsidRPr="00FA4DC7">
        <w:rPr>
          <w:rFonts w:ascii="Arial" w:hAnsi="Arial" w:cs="Arial"/>
          <w:b/>
          <w:bCs/>
        </w:rPr>
        <w:t>A7 and A8. Sum of households</w:t>
      </w:r>
    </w:p>
    <w:p w14:paraId="22B61A8B" w14:textId="77777777" w:rsidR="00CE1BDB" w:rsidRPr="00FA4DC7" w:rsidRDefault="00CE1BDB" w:rsidP="00CE1BDB">
      <w:pPr>
        <w:pStyle w:val="Maintext"/>
        <w:numPr>
          <w:ilvl w:val="0"/>
          <w:numId w:val="0"/>
        </w:numPr>
        <w:tabs>
          <w:tab w:val="left" w:pos="0"/>
          <w:tab w:val="left" w:pos="1418"/>
        </w:tabs>
        <w:rPr>
          <w:rFonts w:ascii="Arial" w:hAnsi="Arial" w:cs="Arial"/>
        </w:rPr>
      </w:pPr>
      <w:r w:rsidRPr="00FA4DC7">
        <w:rPr>
          <w:rFonts w:ascii="Arial" w:hAnsi="Arial" w:cs="Arial"/>
        </w:rPr>
        <w:t>A7 is the sum of households who are overcrowded, concealed, are existing tenants in need or other tenures in need. A8 adjusts this total to remove double counting to give a figure for the total number of households with one or more housing need. This final figure takes account of any duplicates (so if the household is overcrowded and has another need, it is only counted once as a household in need).</w:t>
      </w:r>
    </w:p>
    <w:p w14:paraId="3F250F67" w14:textId="77777777" w:rsidR="00CE1BDB" w:rsidRPr="00FA4DC7" w:rsidRDefault="00CE1BDB" w:rsidP="00CE1BDB">
      <w:pPr>
        <w:rPr>
          <w:rFonts w:cs="Arial"/>
        </w:rPr>
      </w:pPr>
    </w:p>
    <w:p w14:paraId="0BCCB225" w14:textId="77777777" w:rsidR="00CE1BDB" w:rsidRPr="00FA4DC7" w:rsidRDefault="00CE1BDB" w:rsidP="003A3017">
      <w:pPr>
        <w:pStyle w:val="Heading3"/>
      </w:pPr>
      <w:r w:rsidRPr="00FA4DC7">
        <w:t>Affordability of open market options</w:t>
      </w:r>
    </w:p>
    <w:p w14:paraId="46DAF31B"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Table C2 sets out ward-level lower quartile prices and rents. </w:t>
      </w:r>
      <w:proofErr w:type="gramStart"/>
      <w:r w:rsidRPr="00FA4DC7">
        <w:rPr>
          <w:rFonts w:ascii="Arial" w:hAnsi="Arial" w:cs="Arial"/>
        </w:rPr>
        <w:t>Unfortunately</w:t>
      </w:r>
      <w:proofErr w:type="gramEnd"/>
      <w:r w:rsidRPr="00FA4DC7">
        <w:rPr>
          <w:rFonts w:ascii="Arial" w:hAnsi="Arial" w:cs="Arial"/>
        </w:rPr>
        <w:t xml:space="preserve"> the housing register did not include any consistent data on income and savings. Therefore, information from the arc4 national database has been used which indicates that 57% of existing households in need could not afford open market prices or rents. </w:t>
      </w:r>
    </w:p>
    <w:p w14:paraId="58AD3F74" w14:textId="11E864A9" w:rsidR="003A3017" w:rsidRDefault="003A3017">
      <w:pPr>
        <w:rPr>
          <w:rFonts w:cs="Arial"/>
          <w:highlight w:val="yellow"/>
          <w:lang w:eastAsia="en-US"/>
        </w:rPr>
      </w:pPr>
      <w:r>
        <w:rPr>
          <w:rFonts w:cs="Arial"/>
          <w:highlight w:val="yell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2023"/>
        <w:gridCol w:w="2466"/>
      </w:tblGrid>
      <w:tr w:rsidR="00CE1BDB" w:rsidRPr="003A3017" w14:paraId="7CA6FBC3" w14:textId="77777777" w:rsidTr="003A3017">
        <w:tc>
          <w:tcPr>
            <w:tcW w:w="5000" w:type="pct"/>
            <w:gridSpan w:val="3"/>
            <w:shd w:val="clear" w:color="auto" w:fill="006666"/>
            <w:noWrap/>
            <w:vAlign w:val="center"/>
            <w:hideMark/>
          </w:tcPr>
          <w:p w14:paraId="09682D85" w14:textId="77777777" w:rsidR="00CE1BDB" w:rsidRPr="003A3017" w:rsidRDefault="00CE1BDB" w:rsidP="003A3017">
            <w:pPr>
              <w:pStyle w:val="Tableheading1"/>
              <w:rPr>
                <w:color w:val="FFFFFF"/>
              </w:rPr>
            </w:pPr>
            <w:bookmarkStart w:id="534" w:name="_Toc83036123"/>
            <w:r w:rsidRPr="003A3017">
              <w:lastRenderedPageBreak/>
              <w:t>Table C2</w:t>
            </w:r>
            <w:r w:rsidRPr="003A3017">
              <w:tab/>
              <w:t>Lower quartile house prices and rents by ward, Priority Growth Areas and Neighbourhood Planning Areas and</w:t>
            </w:r>
            <w:bookmarkEnd w:id="534"/>
            <w:r w:rsidRPr="003A3017">
              <w:t xml:space="preserve"> </w:t>
            </w:r>
          </w:p>
        </w:tc>
      </w:tr>
      <w:tr w:rsidR="00CE1BDB" w:rsidRPr="003A3017" w14:paraId="1EE0151E" w14:textId="77777777" w:rsidTr="003A3017">
        <w:tc>
          <w:tcPr>
            <w:tcW w:w="1624" w:type="pct"/>
            <w:shd w:val="clear" w:color="auto" w:fill="006666"/>
            <w:noWrap/>
            <w:vAlign w:val="bottom"/>
            <w:hideMark/>
          </w:tcPr>
          <w:p w14:paraId="2D156DBD" w14:textId="77777777" w:rsidR="00CE1BDB" w:rsidRPr="003A3017" w:rsidRDefault="00CE1BDB" w:rsidP="003A3017">
            <w:pPr>
              <w:spacing w:before="20" w:after="20"/>
              <w:rPr>
                <w:rFonts w:cs="Arial"/>
                <w:b/>
                <w:bCs/>
                <w:color w:val="FFFFFF"/>
                <w:sz w:val="22"/>
                <w:szCs w:val="22"/>
              </w:rPr>
            </w:pPr>
            <w:r w:rsidRPr="003A3017">
              <w:rPr>
                <w:rFonts w:cs="Arial"/>
                <w:b/>
                <w:bCs/>
                <w:color w:val="FFFFFF"/>
                <w:sz w:val="22"/>
                <w:szCs w:val="22"/>
              </w:rPr>
              <w:t>Ward</w:t>
            </w:r>
          </w:p>
        </w:tc>
        <w:tc>
          <w:tcPr>
            <w:tcW w:w="1471" w:type="pct"/>
            <w:shd w:val="clear" w:color="auto" w:fill="006666"/>
            <w:noWrap/>
            <w:vAlign w:val="bottom"/>
            <w:hideMark/>
          </w:tcPr>
          <w:p w14:paraId="2A1FB5EA" w14:textId="77777777" w:rsidR="00CE1BDB" w:rsidRPr="003A3017" w:rsidRDefault="00CE1BDB" w:rsidP="003A3017">
            <w:pPr>
              <w:spacing w:before="20" w:after="20"/>
              <w:jc w:val="center"/>
              <w:rPr>
                <w:rFonts w:cs="Arial"/>
                <w:b/>
                <w:bCs/>
                <w:color w:val="FFFFFF"/>
                <w:sz w:val="22"/>
                <w:szCs w:val="22"/>
              </w:rPr>
            </w:pPr>
            <w:r w:rsidRPr="003A3017">
              <w:rPr>
                <w:rFonts w:cs="Arial"/>
                <w:b/>
                <w:bCs/>
                <w:color w:val="FFFFFF"/>
                <w:sz w:val="22"/>
                <w:szCs w:val="22"/>
              </w:rPr>
              <w:t>Lower Quartile Price 2020</w:t>
            </w:r>
          </w:p>
        </w:tc>
        <w:tc>
          <w:tcPr>
            <w:tcW w:w="1902" w:type="pct"/>
            <w:shd w:val="clear" w:color="auto" w:fill="006666"/>
            <w:vAlign w:val="bottom"/>
            <w:hideMark/>
          </w:tcPr>
          <w:p w14:paraId="1D92AC13" w14:textId="77777777" w:rsidR="00CE1BDB" w:rsidRPr="003A3017" w:rsidRDefault="00CE1BDB" w:rsidP="003A3017">
            <w:pPr>
              <w:spacing w:before="20" w:after="20"/>
              <w:jc w:val="center"/>
              <w:rPr>
                <w:rFonts w:cs="Arial"/>
                <w:b/>
                <w:bCs/>
                <w:color w:val="FFFFFF"/>
                <w:sz w:val="22"/>
                <w:szCs w:val="22"/>
              </w:rPr>
            </w:pPr>
            <w:r w:rsidRPr="003A3017">
              <w:rPr>
                <w:rFonts w:cs="Arial"/>
                <w:b/>
                <w:bCs/>
                <w:color w:val="FFFFFF"/>
                <w:sz w:val="22"/>
                <w:szCs w:val="22"/>
              </w:rPr>
              <w:t>Lower Quartile private rent 2020</w:t>
            </w:r>
          </w:p>
        </w:tc>
      </w:tr>
      <w:tr w:rsidR="00CE1BDB" w:rsidRPr="003A3017" w14:paraId="3409319F" w14:textId="77777777" w:rsidTr="003A3017">
        <w:tc>
          <w:tcPr>
            <w:tcW w:w="1624" w:type="pct"/>
            <w:shd w:val="clear" w:color="auto" w:fill="auto"/>
            <w:noWrap/>
            <w:vAlign w:val="center"/>
            <w:hideMark/>
          </w:tcPr>
          <w:p w14:paraId="1596ECED"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Chatham Central</w:t>
            </w:r>
          </w:p>
        </w:tc>
        <w:tc>
          <w:tcPr>
            <w:tcW w:w="1471" w:type="pct"/>
            <w:shd w:val="clear" w:color="auto" w:fill="auto"/>
            <w:noWrap/>
            <w:vAlign w:val="center"/>
          </w:tcPr>
          <w:p w14:paraId="5A0C0F72"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£170,000</w:t>
            </w:r>
          </w:p>
        </w:tc>
        <w:tc>
          <w:tcPr>
            <w:tcW w:w="1902" w:type="pct"/>
            <w:shd w:val="clear" w:color="000000" w:fill="auto"/>
            <w:noWrap/>
            <w:vAlign w:val="bottom"/>
          </w:tcPr>
          <w:p w14:paraId="1BB96FF8"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£650</w:t>
            </w:r>
          </w:p>
        </w:tc>
      </w:tr>
      <w:tr w:rsidR="00CE1BDB" w:rsidRPr="003A3017" w14:paraId="366B7B0F" w14:textId="77777777" w:rsidTr="003A3017">
        <w:tc>
          <w:tcPr>
            <w:tcW w:w="1624" w:type="pct"/>
            <w:shd w:val="clear" w:color="auto" w:fill="auto"/>
            <w:noWrap/>
            <w:vAlign w:val="center"/>
            <w:hideMark/>
          </w:tcPr>
          <w:p w14:paraId="5FC160E6" w14:textId="77777777" w:rsidR="00CE1BDB" w:rsidRPr="003A3017" w:rsidRDefault="00CE1BDB" w:rsidP="003A3017">
            <w:pPr>
              <w:spacing w:before="20" w:after="20"/>
              <w:jc w:val="both"/>
              <w:rPr>
                <w:rFonts w:cs="Arial"/>
                <w:color w:val="000000"/>
                <w:sz w:val="22"/>
                <w:szCs w:val="22"/>
              </w:rPr>
            </w:pPr>
            <w:proofErr w:type="spellStart"/>
            <w:r w:rsidRPr="003A3017">
              <w:rPr>
                <w:rFonts w:cs="Arial"/>
                <w:color w:val="000000"/>
                <w:sz w:val="22"/>
                <w:szCs w:val="22"/>
              </w:rPr>
              <w:t>Cuxton</w:t>
            </w:r>
            <w:proofErr w:type="spellEnd"/>
            <w:r w:rsidRPr="003A3017">
              <w:rPr>
                <w:rFonts w:cs="Arial"/>
                <w:color w:val="000000"/>
                <w:sz w:val="22"/>
                <w:szCs w:val="22"/>
              </w:rPr>
              <w:t xml:space="preserve"> and </w:t>
            </w:r>
            <w:proofErr w:type="spellStart"/>
            <w:r w:rsidRPr="003A3017">
              <w:rPr>
                <w:rFonts w:cs="Arial"/>
                <w:color w:val="000000"/>
                <w:sz w:val="22"/>
                <w:szCs w:val="22"/>
              </w:rPr>
              <w:t>Halling</w:t>
            </w:r>
            <w:proofErr w:type="spellEnd"/>
          </w:p>
        </w:tc>
        <w:tc>
          <w:tcPr>
            <w:tcW w:w="1471" w:type="pct"/>
            <w:shd w:val="clear" w:color="auto" w:fill="auto"/>
            <w:noWrap/>
            <w:vAlign w:val="center"/>
          </w:tcPr>
          <w:p w14:paraId="18AF43FB"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£233,750</w:t>
            </w:r>
          </w:p>
        </w:tc>
        <w:tc>
          <w:tcPr>
            <w:tcW w:w="1902" w:type="pct"/>
            <w:shd w:val="clear" w:color="000000" w:fill="auto"/>
            <w:noWrap/>
            <w:vAlign w:val="bottom"/>
          </w:tcPr>
          <w:p w14:paraId="16CFA14B"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£937</w:t>
            </w:r>
          </w:p>
        </w:tc>
      </w:tr>
      <w:tr w:rsidR="00CE1BDB" w:rsidRPr="003A3017" w14:paraId="4EA4116A" w14:textId="77777777" w:rsidTr="003A3017">
        <w:tc>
          <w:tcPr>
            <w:tcW w:w="1624" w:type="pct"/>
            <w:shd w:val="clear" w:color="auto" w:fill="auto"/>
            <w:noWrap/>
            <w:vAlign w:val="center"/>
            <w:hideMark/>
          </w:tcPr>
          <w:p w14:paraId="545CCCDC"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Gillingham North</w:t>
            </w:r>
          </w:p>
        </w:tc>
        <w:tc>
          <w:tcPr>
            <w:tcW w:w="1471" w:type="pct"/>
            <w:shd w:val="clear" w:color="auto" w:fill="auto"/>
            <w:noWrap/>
            <w:vAlign w:val="center"/>
          </w:tcPr>
          <w:p w14:paraId="072BE8AB"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£168,000</w:t>
            </w:r>
          </w:p>
        </w:tc>
        <w:tc>
          <w:tcPr>
            <w:tcW w:w="1902" w:type="pct"/>
            <w:shd w:val="clear" w:color="000000" w:fill="auto"/>
            <w:noWrap/>
            <w:vAlign w:val="bottom"/>
          </w:tcPr>
          <w:p w14:paraId="3A89AC4E"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£702</w:t>
            </w:r>
          </w:p>
        </w:tc>
      </w:tr>
      <w:tr w:rsidR="00CE1BDB" w:rsidRPr="003A3017" w14:paraId="4917A5C9" w14:textId="77777777" w:rsidTr="003A3017">
        <w:tc>
          <w:tcPr>
            <w:tcW w:w="1624" w:type="pct"/>
            <w:shd w:val="clear" w:color="auto" w:fill="auto"/>
            <w:noWrap/>
            <w:vAlign w:val="center"/>
            <w:hideMark/>
          </w:tcPr>
          <w:p w14:paraId="073CEAA0"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Gillingham South</w:t>
            </w:r>
          </w:p>
        </w:tc>
        <w:tc>
          <w:tcPr>
            <w:tcW w:w="1471" w:type="pct"/>
            <w:shd w:val="clear" w:color="auto" w:fill="auto"/>
            <w:noWrap/>
            <w:vAlign w:val="center"/>
          </w:tcPr>
          <w:p w14:paraId="4701AACE"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£180,000</w:t>
            </w:r>
          </w:p>
        </w:tc>
        <w:tc>
          <w:tcPr>
            <w:tcW w:w="1902" w:type="pct"/>
            <w:shd w:val="clear" w:color="000000" w:fill="auto"/>
            <w:noWrap/>
            <w:vAlign w:val="bottom"/>
          </w:tcPr>
          <w:p w14:paraId="260280E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£624</w:t>
            </w:r>
          </w:p>
        </w:tc>
      </w:tr>
      <w:tr w:rsidR="00CE1BDB" w:rsidRPr="003A3017" w14:paraId="277C4467" w14:textId="77777777" w:rsidTr="003A3017">
        <w:tc>
          <w:tcPr>
            <w:tcW w:w="1624" w:type="pct"/>
            <w:shd w:val="clear" w:color="auto" w:fill="auto"/>
            <w:noWrap/>
            <w:vAlign w:val="center"/>
            <w:hideMark/>
          </w:tcPr>
          <w:p w14:paraId="2B3FECA2"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 xml:space="preserve">Hempstead and </w:t>
            </w:r>
            <w:proofErr w:type="spellStart"/>
            <w:r w:rsidRPr="003A3017">
              <w:rPr>
                <w:rFonts w:cs="Arial"/>
                <w:color w:val="000000"/>
                <w:sz w:val="22"/>
                <w:szCs w:val="22"/>
              </w:rPr>
              <w:t>Wigmore</w:t>
            </w:r>
            <w:proofErr w:type="spellEnd"/>
          </w:p>
        </w:tc>
        <w:tc>
          <w:tcPr>
            <w:tcW w:w="1471" w:type="pct"/>
            <w:shd w:val="clear" w:color="auto" w:fill="auto"/>
            <w:noWrap/>
            <w:vAlign w:val="center"/>
          </w:tcPr>
          <w:p w14:paraId="4E65C9C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£318,500</w:t>
            </w:r>
          </w:p>
        </w:tc>
        <w:tc>
          <w:tcPr>
            <w:tcW w:w="1902" w:type="pct"/>
            <w:shd w:val="clear" w:color="000000" w:fill="auto"/>
            <w:noWrap/>
            <w:vAlign w:val="bottom"/>
          </w:tcPr>
          <w:p w14:paraId="31FBE490"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£814</w:t>
            </w:r>
          </w:p>
        </w:tc>
      </w:tr>
      <w:tr w:rsidR="00CE1BDB" w:rsidRPr="003A3017" w14:paraId="229D3E9C" w14:textId="77777777" w:rsidTr="003A3017">
        <w:tc>
          <w:tcPr>
            <w:tcW w:w="1624" w:type="pct"/>
            <w:shd w:val="clear" w:color="auto" w:fill="auto"/>
            <w:noWrap/>
            <w:vAlign w:val="center"/>
            <w:hideMark/>
          </w:tcPr>
          <w:p w14:paraId="6558DFF5" w14:textId="77777777" w:rsidR="00CE1BDB" w:rsidRPr="003A3017" w:rsidRDefault="00CE1BDB" w:rsidP="003A3017">
            <w:pPr>
              <w:spacing w:before="20" w:after="20"/>
              <w:jc w:val="both"/>
              <w:rPr>
                <w:rFonts w:cs="Arial"/>
                <w:color w:val="000000"/>
                <w:sz w:val="22"/>
                <w:szCs w:val="22"/>
              </w:rPr>
            </w:pPr>
            <w:proofErr w:type="spellStart"/>
            <w:r w:rsidRPr="003A3017">
              <w:rPr>
                <w:rFonts w:cs="Arial"/>
                <w:color w:val="000000"/>
                <w:sz w:val="22"/>
                <w:szCs w:val="22"/>
              </w:rPr>
              <w:t>Lordswood</w:t>
            </w:r>
            <w:proofErr w:type="spellEnd"/>
            <w:r w:rsidRPr="003A3017">
              <w:rPr>
                <w:rFonts w:cs="Arial"/>
                <w:color w:val="000000"/>
                <w:sz w:val="22"/>
                <w:szCs w:val="22"/>
              </w:rPr>
              <w:t xml:space="preserve"> and Capstone</w:t>
            </w:r>
          </w:p>
        </w:tc>
        <w:tc>
          <w:tcPr>
            <w:tcW w:w="1471" w:type="pct"/>
            <w:shd w:val="clear" w:color="auto" w:fill="auto"/>
            <w:noWrap/>
            <w:vAlign w:val="center"/>
          </w:tcPr>
          <w:p w14:paraId="1D94B138"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£220,000</w:t>
            </w:r>
          </w:p>
        </w:tc>
        <w:tc>
          <w:tcPr>
            <w:tcW w:w="1902" w:type="pct"/>
            <w:shd w:val="clear" w:color="000000" w:fill="auto"/>
            <w:noWrap/>
            <w:vAlign w:val="bottom"/>
          </w:tcPr>
          <w:p w14:paraId="6C5F6471"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£750</w:t>
            </w:r>
          </w:p>
        </w:tc>
      </w:tr>
      <w:tr w:rsidR="00CE1BDB" w:rsidRPr="003A3017" w14:paraId="31BF8517" w14:textId="77777777" w:rsidTr="003A3017">
        <w:tc>
          <w:tcPr>
            <w:tcW w:w="1624" w:type="pct"/>
            <w:shd w:val="clear" w:color="auto" w:fill="auto"/>
            <w:noWrap/>
            <w:vAlign w:val="center"/>
            <w:hideMark/>
          </w:tcPr>
          <w:p w14:paraId="0577AE62"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 xml:space="preserve">Luton and </w:t>
            </w:r>
            <w:proofErr w:type="spellStart"/>
            <w:r w:rsidRPr="003A3017">
              <w:rPr>
                <w:rFonts w:cs="Arial"/>
                <w:color w:val="000000"/>
                <w:sz w:val="22"/>
                <w:szCs w:val="22"/>
              </w:rPr>
              <w:t>Wayfield</w:t>
            </w:r>
            <w:proofErr w:type="spellEnd"/>
          </w:p>
        </w:tc>
        <w:tc>
          <w:tcPr>
            <w:tcW w:w="1471" w:type="pct"/>
            <w:shd w:val="clear" w:color="auto" w:fill="auto"/>
            <w:noWrap/>
            <w:vAlign w:val="center"/>
          </w:tcPr>
          <w:p w14:paraId="5B69928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£160,000</w:t>
            </w:r>
          </w:p>
        </w:tc>
        <w:tc>
          <w:tcPr>
            <w:tcW w:w="1902" w:type="pct"/>
            <w:shd w:val="clear" w:color="000000" w:fill="auto"/>
            <w:noWrap/>
            <w:vAlign w:val="bottom"/>
          </w:tcPr>
          <w:p w14:paraId="7C28512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£650</w:t>
            </w:r>
          </w:p>
        </w:tc>
      </w:tr>
      <w:tr w:rsidR="00CE1BDB" w:rsidRPr="003A3017" w14:paraId="0F728E2B" w14:textId="77777777" w:rsidTr="003A3017">
        <w:tc>
          <w:tcPr>
            <w:tcW w:w="1624" w:type="pct"/>
            <w:shd w:val="clear" w:color="auto" w:fill="auto"/>
            <w:noWrap/>
            <w:vAlign w:val="center"/>
            <w:hideMark/>
          </w:tcPr>
          <w:p w14:paraId="1B619781"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Peninsula</w:t>
            </w:r>
          </w:p>
        </w:tc>
        <w:tc>
          <w:tcPr>
            <w:tcW w:w="1471" w:type="pct"/>
            <w:shd w:val="clear" w:color="auto" w:fill="auto"/>
            <w:noWrap/>
            <w:vAlign w:val="center"/>
          </w:tcPr>
          <w:p w14:paraId="09FDE2AB"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£247,750</w:t>
            </w:r>
          </w:p>
        </w:tc>
        <w:tc>
          <w:tcPr>
            <w:tcW w:w="1902" w:type="pct"/>
            <w:shd w:val="clear" w:color="000000" w:fill="auto"/>
            <w:noWrap/>
            <w:vAlign w:val="bottom"/>
          </w:tcPr>
          <w:p w14:paraId="6BED7370"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£900</w:t>
            </w:r>
          </w:p>
        </w:tc>
      </w:tr>
      <w:tr w:rsidR="00CE1BDB" w:rsidRPr="003A3017" w14:paraId="0ACD2A6E" w14:textId="77777777" w:rsidTr="003A3017">
        <w:tc>
          <w:tcPr>
            <w:tcW w:w="1624" w:type="pct"/>
            <w:shd w:val="clear" w:color="auto" w:fill="auto"/>
            <w:noWrap/>
            <w:vAlign w:val="center"/>
            <w:hideMark/>
          </w:tcPr>
          <w:p w14:paraId="38C4D27A"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Princes Park</w:t>
            </w:r>
          </w:p>
        </w:tc>
        <w:tc>
          <w:tcPr>
            <w:tcW w:w="1471" w:type="pct"/>
            <w:shd w:val="clear" w:color="auto" w:fill="auto"/>
            <w:noWrap/>
            <w:vAlign w:val="center"/>
          </w:tcPr>
          <w:p w14:paraId="71CB5767"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£210,000</w:t>
            </w:r>
          </w:p>
        </w:tc>
        <w:tc>
          <w:tcPr>
            <w:tcW w:w="1902" w:type="pct"/>
            <w:shd w:val="clear" w:color="000000" w:fill="auto"/>
            <w:noWrap/>
            <w:vAlign w:val="bottom"/>
          </w:tcPr>
          <w:p w14:paraId="20E4F664"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£795</w:t>
            </w:r>
          </w:p>
        </w:tc>
      </w:tr>
      <w:tr w:rsidR="00CE1BDB" w:rsidRPr="003A3017" w14:paraId="470EB4B4" w14:textId="77777777" w:rsidTr="003A3017">
        <w:tc>
          <w:tcPr>
            <w:tcW w:w="1624" w:type="pct"/>
            <w:shd w:val="clear" w:color="auto" w:fill="auto"/>
            <w:noWrap/>
            <w:vAlign w:val="center"/>
            <w:hideMark/>
          </w:tcPr>
          <w:p w14:paraId="7BE1781A"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Rainham Central</w:t>
            </w:r>
          </w:p>
        </w:tc>
        <w:tc>
          <w:tcPr>
            <w:tcW w:w="1471" w:type="pct"/>
            <w:shd w:val="clear" w:color="auto" w:fill="auto"/>
            <w:noWrap/>
            <w:vAlign w:val="center"/>
          </w:tcPr>
          <w:p w14:paraId="13C97BDA"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£285,000</w:t>
            </w:r>
          </w:p>
        </w:tc>
        <w:tc>
          <w:tcPr>
            <w:tcW w:w="1902" w:type="pct"/>
            <w:shd w:val="clear" w:color="000000" w:fill="auto"/>
            <w:noWrap/>
            <w:vAlign w:val="bottom"/>
          </w:tcPr>
          <w:p w14:paraId="33A11E28"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£848</w:t>
            </w:r>
          </w:p>
        </w:tc>
      </w:tr>
      <w:tr w:rsidR="00CE1BDB" w:rsidRPr="003A3017" w14:paraId="1E496CA9" w14:textId="77777777" w:rsidTr="003A3017">
        <w:tc>
          <w:tcPr>
            <w:tcW w:w="1624" w:type="pct"/>
            <w:shd w:val="clear" w:color="auto" w:fill="auto"/>
            <w:noWrap/>
            <w:vAlign w:val="center"/>
            <w:hideMark/>
          </w:tcPr>
          <w:p w14:paraId="1A3744DF"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Rainham North</w:t>
            </w:r>
          </w:p>
        </w:tc>
        <w:tc>
          <w:tcPr>
            <w:tcW w:w="1471" w:type="pct"/>
            <w:shd w:val="clear" w:color="auto" w:fill="auto"/>
            <w:noWrap/>
            <w:vAlign w:val="center"/>
          </w:tcPr>
          <w:p w14:paraId="5559CC91"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£219,625</w:t>
            </w:r>
          </w:p>
        </w:tc>
        <w:tc>
          <w:tcPr>
            <w:tcW w:w="1902" w:type="pct"/>
            <w:shd w:val="clear" w:color="000000" w:fill="auto"/>
            <w:noWrap/>
            <w:vAlign w:val="bottom"/>
          </w:tcPr>
          <w:p w14:paraId="7109C14C"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£724</w:t>
            </w:r>
          </w:p>
        </w:tc>
      </w:tr>
      <w:tr w:rsidR="00CE1BDB" w:rsidRPr="003A3017" w14:paraId="7EC091A8" w14:textId="77777777" w:rsidTr="003A3017">
        <w:tc>
          <w:tcPr>
            <w:tcW w:w="1624" w:type="pct"/>
            <w:shd w:val="clear" w:color="auto" w:fill="auto"/>
            <w:noWrap/>
            <w:vAlign w:val="center"/>
            <w:hideMark/>
          </w:tcPr>
          <w:p w14:paraId="01DA402D"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Rainham South</w:t>
            </w:r>
          </w:p>
        </w:tc>
        <w:tc>
          <w:tcPr>
            <w:tcW w:w="1471" w:type="pct"/>
            <w:shd w:val="clear" w:color="auto" w:fill="auto"/>
            <w:noWrap/>
            <w:vAlign w:val="center"/>
          </w:tcPr>
          <w:p w14:paraId="2CDCBB57"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£222,500</w:t>
            </w:r>
          </w:p>
        </w:tc>
        <w:tc>
          <w:tcPr>
            <w:tcW w:w="1902" w:type="pct"/>
            <w:shd w:val="clear" w:color="000000" w:fill="auto"/>
            <w:noWrap/>
            <w:vAlign w:val="bottom"/>
          </w:tcPr>
          <w:p w14:paraId="2B0BCCE7"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£793</w:t>
            </w:r>
          </w:p>
        </w:tc>
      </w:tr>
      <w:tr w:rsidR="00CE1BDB" w:rsidRPr="003A3017" w14:paraId="43354388" w14:textId="77777777" w:rsidTr="003A3017">
        <w:tc>
          <w:tcPr>
            <w:tcW w:w="1624" w:type="pct"/>
            <w:shd w:val="clear" w:color="auto" w:fill="auto"/>
            <w:noWrap/>
            <w:vAlign w:val="center"/>
            <w:hideMark/>
          </w:tcPr>
          <w:p w14:paraId="3CA0CEC5"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River</w:t>
            </w:r>
          </w:p>
        </w:tc>
        <w:tc>
          <w:tcPr>
            <w:tcW w:w="1471" w:type="pct"/>
            <w:shd w:val="clear" w:color="auto" w:fill="auto"/>
            <w:noWrap/>
            <w:vAlign w:val="center"/>
          </w:tcPr>
          <w:p w14:paraId="00293569"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£183,000</w:t>
            </w:r>
          </w:p>
        </w:tc>
        <w:tc>
          <w:tcPr>
            <w:tcW w:w="1902" w:type="pct"/>
            <w:shd w:val="clear" w:color="000000" w:fill="auto"/>
            <w:noWrap/>
            <w:vAlign w:val="bottom"/>
          </w:tcPr>
          <w:p w14:paraId="47F2A874"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£750</w:t>
            </w:r>
          </w:p>
        </w:tc>
      </w:tr>
      <w:tr w:rsidR="00CE1BDB" w:rsidRPr="003A3017" w14:paraId="4384C647" w14:textId="77777777" w:rsidTr="003A3017">
        <w:tc>
          <w:tcPr>
            <w:tcW w:w="1624" w:type="pct"/>
            <w:shd w:val="clear" w:color="auto" w:fill="auto"/>
            <w:noWrap/>
            <w:vAlign w:val="center"/>
            <w:hideMark/>
          </w:tcPr>
          <w:p w14:paraId="6D6C9504"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Rochester East</w:t>
            </w:r>
          </w:p>
        </w:tc>
        <w:tc>
          <w:tcPr>
            <w:tcW w:w="1471" w:type="pct"/>
            <w:shd w:val="clear" w:color="auto" w:fill="auto"/>
            <w:noWrap/>
            <w:vAlign w:val="center"/>
          </w:tcPr>
          <w:p w14:paraId="799DA7C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£205,000</w:t>
            </w:r>
          </w:p>
        </w:tc>
        <w:tc>
          <w:tcPr>
            <w:tcW w:w="1902" w:type="pct"/>
            <w:shd w:val="clear" w:color="000000" w:fill="auto"/>
            <w:noWrap/>
            <w:vAlign w:val="bottom"/>
          </w:tcPr>
          <w:p w14:paraId="303A315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£724</w:t>
            </w:r>
          </w:p>
        </w:tc>
      </w:tr>
      <w:tr w:rsidR="00CE1BDB" w:rsidRPr="003A3017" w14:paraId="33C4B601" w14:textId="77777777" w:rsidTr="003A3017">
        <w:tc>
          <w:tcPr>
            <w:tcW w:w="1624" w:type="pct"/>
            <w:shd w:val="clear" w:color="auto" w:fill="auto"/>
            <w:noWrap/>
            <w:vAlign w:val="center"/>
            <w:hideMark/>
          </w:tcPr>
          <w:p w14:paraId="57B7778B"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 xml:space="preserve">Rochester South and </w:t>
            </w:r>
            <w:proofErr w:type="spellStart"/>
            <w:r w:rsidRPr="003A3017">
              <w:rPr>
                <w:rFonts w:cs="Arial"/>
                <w:color w:val="000000"/>
                <w:sz w:val="22"/>
                <w:szCs w:val="22"/>
              </w:rPr>
              <w:t>Horsted</w:t>
            </w:r>
            <w:proofErr w:type="spellEnd"/>
          </w:p>
        </w:tc>
        <w:tc>
          <w:tcPr>
            <w:tcW w:w="1471" w:type="pct"/>
            <w:shd w:val="clear" w:color="auto" w:fill="auto"/>
            <w:noWrap/>
            <w:vAlign w:val="center"/>
          </w:tcPr>
          <w:p w14:paraId="347202F6"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£225,000</w:t>
            </w:r>
          </w:p>
        </w:tc>
        <w:tc>
          <w:tcPr>
            <w:tcW w:w="1902" w:type="pct"/>
            <w:shd w:val="clear" w:color="000000" w:fill="auto"/>
            <w:noWrap/>
            <w:vAlign w:val="bottom"/>
          </w:tcPr>
          <w:p w14:paraId="14E86DB0"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£793</w:t>
            </w:r>
          </w:p>
        </w:tc>
      </w:tr>
      <w:tr w:rsidR="00CE1BDB" w:rsidRPr="003A3017" w14:paraId="07EF6679" w14:textId="77777777" w:rsidTr="003A3017">
        <w:tc>
          <w:tcPr>
            <w:tcW w:w="1624" w:type="pct"/>
            <w:shd w:val="clear" w:color="auto" w:fill="auto"/>
            <w:noWrap/>
            <w:vAlign w:val="center"/>
            <w:hideMark/>
          </w:tcPr>
          <w:p w14:paraId="1C871FA1"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Rochester West</w:t>
            </w:r>
          </w:p>
        </w:tc>
        <w:tc>
          <w:tcPr>
            <w:tcW w:w="1471" w:type="pct"/>
            <w:shd w:val="clear" w:color="auto" w:fill="auto"/>
            <w:noWrap/>
            <w:vAlign w:val="center"/>
          </w:tcPr>
          <w:p w14:paraId="06D5201C"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£207,000</w:t>
            </w:r>
          </w:p>
        </w:tc>
        <w:tc>
          <w:tcPr>
            <w:tcW w:w="1902" w:type="pct"/>
            <w:shd w:val="clear" w:color="000000" w:fill="auto"/>
            <w:noWrap/>
            <w:vAlign w:val="bottom"/>
          </w:tcPr>
          <w:p w14:paraId="393D83A0"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£750</w:t>
            </w:r>
          </w:p>
        </w:tc>
      </w:tr>
      <w:tr w:rsidR="00CE1BDB" w:rsidRPr="003A3017" w14:paraId="63818935" w14:textId="77777777" w:rsidTr="003A3017">
        <w:tc>
          <w:tcPr>
            <w:tcW w:w="1624" w:type="pct"/>
            <w:shd w:val="clear" w:color="auto" w:fill="auto"/>
            <w:noWrap/>
            <w:vAlign w:val="center"/>
            <w:hideMark/>
          </w:tcPr>
          <w:p w14:paraId="063ADF2A"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Strood North</w:t>
            </w:r>
          </w:p>
        </w:tc>
        <w:tc>
          <w:tcPr>
            <w:tcW w:w="1471" w:type="pct"/>
            <w:shd w:val="clear" w:color="auto" w:fill="auto"/>
            <w:noWrap/>
            <w:vAlign w:val="center"/>
          </w:tcPr>
          <w:p w14:paraId="1B90125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£211,500</w:t>
            </w:r>
          </w:p>
        </w:tc>
        <w:tc>
          <w:tcPr>
            <w:tcW w:w="1902" w:type="pct"/>
            <w:shd w:val="clear" w:color="000000" w:fill="auto"/>
            <w:noWrap/>
            <w:vAlign w:val="bottom"/>
          </w:tcPr>
          <w:p w14:paraId="011D7E43"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£737</w:t>
            </w:r>
          </w:p>
        </w:tc>
      </w:tr>
      <w:tr w:rsidR="00CE1BDB" w:rsidRPr="003A3017" w14:paraId="39119EE8" w14:textId="77777777" w:rsidTr="003A3017">
        <w:tc>
          <w:tcPr>
            <w:tcW w:w="1624" w:type="pct"/>
            <w:shd w:val="clear" w:color="auto" w:fill="auto"/>
            <w:noWrap/>
            <w:vAlign w:val="center"/>
            <w:hideMark/>
          </w:tcPr>
          <w:p w14:paraId="7B79B149"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Strood Rural</w:t>
            </w:r>
          </w:p>
        </w:tc>
        <w:tc>
          <w:tcPr>
            <w:tcW w:w="1471" w:type="pct"/>
            <w:shd w:val="clear" w:color="auto" w:fill="auto"/>
            <w:noWrap/>
            <w:vAlign w:val="center"/>
          </w:tcPr>
          <w:p w14:paraId="06932C91"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£237,500</w:t>
            </w:r>
          </w:p>
        </w:tc>
        <w:tc>
          <w:tcPr>
            <w:tcW w:w="1902" w:type="pct"/>
            <w:shd w:val="clear" w:color="000000" w:fill="auto"/>
            <w:noWrap/>
            <w:vAlign w:val="bottom"/>
          </w:tcPr>
          <w:p w14:paraId="572171A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£849</w:t>
            </w:r>
          </w:p>
        </w:tc>
      </w:tr>
      <w:tr w:rsidR="00CE1BDB" w:rsidRPr="003A3017" w14:paraId="66B401C1" w14:textId="77777777" w:rsidTr="003A3017">
        <w:tc>
          <w:tcPr>
            <w:tcW w:w="1624" w:type="pct"/>
            <w:shd w:val="clear" w:color="auto" w:fill="auto"/>
            <w:noWrap/>
            <w:vAlign w:val="center"/>
            <w:hideMark/>
          </w:tcPr>
          <w:p w14:paraId="740A0D8F"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Strood South</w:t>
            </w:r>
          </w:p>
        </w:tc>
        <w:tc>
          <w:tcPr>
            <w:tcW w:w="1471" w:type="pct"/>
            <w:shd w:val="clear" w:color="auto" w:fill="auto"/>
            <w:noWrap/>
            <w:vAlign w:val="center"/>
          </w:tcPr>
          <w:p w14:paraId="40B71AA4"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£215,000</w:t>
            </w:r>
          </w:p>
        </w:tc>
        <w:tc>
          <w:tcPr>
            <w:tcW w:w="1902" w:type="pct"/>
            <w:shd w:val="clear" w:color="000000" w:fill="auto"/>
            <w:noWrap/>
            <w:vAlign w:val="bottom"/>
          </w:tcPr>
          <w:p w14:paraId="4B85CA70"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£731</w:t>
            </w:r>
          </w:p>
        </w:tc>
      </w:tr>
      <w:tr w:rsidR="00CE1BDB" w:rsidRPr="003A3017" w14:paraId="6E3F3155" w14:textId="77777777" w:rsidTr="003A3017">
        <w:tc>
          <w:tcPr>
            <w:tcW w:w="1624" w:type="pct"/>
            <w:shd w:val="clear" w:color="auto" w:fill="auto"/>
            <w:noWrap/>
            <w:vAlign w:val="center"/>
            <w:hideMark/>
          </w:tcPr>
          <w:p w14:paraId="22B42581" w14:textId="77777777" w:rsidR="00CE1BDB" w:rsidRPr="003A3017" w:rsidRDefault="00CE1BDB" w:rsidP="003A3017">
            <w:pPr>
              <w:spacing w:before="20" w:after="20"/>
              <w:jc w:val="both"/>
              <w:rPr>
                <w:rFonts w:cs="Arial"/>
                <w:color w:val="000000"/>
                <w:sz w:val="22"/>
                <w:szCs w:val="22"/>
              </w:rPr>
            </w:pPr>
            <w:proofErr w:type="spellStart"/>
            <w:r w:rsidRPr="003A3017">
              <w:rPr>
                <w:rFonts w:cs="Arial"/>
                <w:color w:val="000000"/>
                <w:sz w:val="22"/>
                <w:szCs w:val="22"/>
              </w:rPr>
              <w:t>Twydall</w:t>
            </w:r>
            <w:proofErr w:type="spellEnd"/>
          </w:p>
        </w:tc>
        <w:tc>
          <w:tcPr>
            <w:tcW w:w="1471" w:type="pct"/>
            <w:shd w:val="clear" w:color="auto" w:fill="auto"/>
            <w:noWrap/>
            <w:vAlign w:val="center"/>
          </w:tcPr>
          <w:p w14:paraId="740F77EA"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£220,000</w:t>
            </w:r>
          </w:p>
        </w:tc>
        <w:tc>
          <w:tcPr>
            <w:tcW w:w="1902" w:type="pct"/>
            <w:shd w:val="clear" w:color="000000" w:fill="auto"/>
            <w:noWrap/>
            <w:vAlign w:val="bottom"/>
          </w:tcPr>
          <w:p w14:paraId="107832BD"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£849</w:t>
            </w:r>
          </w:p>
        </w:tc>
      </w:tr>
      <w:tr w:rsidR="00CE1BDB" w:rsidRPr="003A3017" w14:paraId="32C2F9F5" w14:textId="77777777" w:rsidTr="003A3017">
        <w:tc>
          <w:tcPr>
            <w:tcW w:w="1624" w:type="pct"/>
            <w:shd w:val="clear" w:color="auto" w:fill="auto"/>
            <w:noWrap/>
            <w:vAlign w:val="center"/>
            <w:hideMark/>
          </w:tcPr>
          <w:p w14:paraId="09547E52"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Walderslade</w:t>
            </w:r>
          </w:p>
        </w:tc>
        <w:tc>
          <w:tcPr>
            <w:tcW w:w="1471" w:type="pct"/>
            <w:shd w:val="clear" w:color="auto" w:fill="auto"/>
            <w:noWrap/>
            <w:vAlign w:val="center"/>
          </w:tcPr>
          <w:p w14:paraId="097ECDC2"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£209,000</w:t>
            </w:r>
          </w:p>
        </w:tc>
        <w:tc>
          <w:tcPr>
            <w:tcW w:w="1902" w:type="pct"/>
            <w:shd w:val="clear" w:color="000000" w:fill="auto"/>
            <w:noWrap/>
            <w:vAlign w:val="bottom"/>
          </w:tcPr>
          <w:p w14:paraId="60A8474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£823</w:t>
            </w:r>
          </w:p>
        </w:tc>
      </w:tr>
      <w:tr w:rsidR="00CE1BDB" w:rsidRPr="003A3017" w14:paraId="098B4F76" w14:textId="77777777" w:rsidTr="003A3017">
        <w:tc>
          <w:tcPr>
            <w:tcW w:w="1624" w:type="pct"/>
            <w:shd w:val="clear" w:color="auto" w:fill="auto"/>
            <w:noWrap/>
            <w:vAlign w:val="center"/>
            <w:hideMark/>
          </w:tcPr>
          <w:p w14:paraId="7CFC0850"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Watling</w:t>
            </w:r>
          </w:p>
        </w:tc>
        <w:tc>
          <w:tcPr>
            <w:tcW w:w="1471" w:type="pct"/>
            <w:shd w:val="clear" w:color="auto" w:fill="auto"/>
            <w:noWrap/>
            <w:vAlign w:val="center"/>
          </w:tcPr>
          <w:p w14:paraId="6BD7DCD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£210,750</w:t>
            </w:r>
          </w:p>
        </w:tc>
        <w:tc>
          <w:tcPr>
            <w:tcW w:w="1902" w:type="pct"/>
            <w:shd w:val="clear" w:color="000000" w:fill="auto"/>
            <w:noWrap/>
            <w:vAlign w:val="bottom"/>
          </w:tcPr>
          <w:p w14:paraId="534141EF"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£750</w:t>
            </w:r>
          </w:p>
        </w:tc>
      </w:tr>
      <w:tr w:rsidR="00CE1BDB" w:rsidRPr="003A3017" w14:paraId="6076B4DC" w14:textId="77777777" w:rsidTr="003A3017">
        <w:tc>
          <w:tcPr>
            <w:tcW w:w="1624" w:type="pct"/>
            <w:shd w:val="clear" w:color="auto" w:fill="auto"/>
            <w:noWrap/>
            <w:vAlign w:val="center"/>
            <w:hideMark/>
          </w:tcPr>
          <w:p w14:paraId="407408FB" w14:textId="77777777" w:rsidR="00CE1BDB" w:rsidRPr="003A3017" w:rsidRDefault="00CE1BDB" w:rsidP="003A3017">
            <w:pPr>
              <w:spacing w:before="20" w:after="20"/>
              <w:jc w:val="both"/>
              <w:rPr>
                <w:rFonts w:cs="Arial"/>
                <w:b/>
                <w:bCs/>
                <w:color w:val="000000"/>
                <w:sz w:val="22"/>
                <w:szCs w:val="22"/>
              </w:rPr>
            </w:pPr>
            <w:r w:rsidRPr="003A3017">
              <w:rPr>
                <w:rFonts w:cs="Arial"/>
                <w:b/>
                <w:bCs/>
                <w:color w:val="000000"/>
                <w:sz w:val="22"/>
                <w:szCs w:val="22"/>
              </w:rPr>
              <w:t>Medway</w:t>
            </w:r>
          </w:p>
        </w:tc>
        <w:tc>
          <w:tcPr>
            <w:tcW w:w="1471" w:type="pct"/>
            <w:shd w:val="clear" w:color="auto" w:fill="auto"/>
            <w:noWrap/>
            <w:vAlign w:val="center"/>
          </w:tcPr>
          <w:p w14:paraId="3E8957FB" w14:textId="77777777" w:rsidR="00CE1BDB" w:rsidRPr="003A3017" w:rsidRDefault="00CE1BDB" w:rsidP="003A3017">
            <w:pPr>
              <w:spacing w:before="20" w:after="20"/>
              <w:jc w:val="right"/>
              <w:rPr>
                <w:rFonts w:cs="Arial"/>
                <w:b/>
                <w:bCs/>
                <w:color w:val="000000"/>
                <w:sz w:val="22"/>
                <w:szCs w:val="22"/>
              </w:rPr>
            </w:pPr>
            <w:r w:rsidRPr="003A3017">
              <w:rPr>
                <w:rFonts w:cs="Arial"/>
                <w:b/>
                <w:bCs/>
                <w:color w:val="000000"/>
                <w:sz w:val="22"/>
                <w:szCs w:val="22"/>
              </w:rPr>
              <w:t>£200,000</w:t>
            </w:r>
          </w:p>
        </w:tc>
        <w:tc>
          <w:tcPr>
            <w:tcW w:w="1902" w:type="pct"/>
            <w:shd w:val="clear" w:color="000000" w:fill="auto"/>
            <w:noWrap/>
            <w:vAlign w:val="bottom"/>
          </w:tcPr>
          <w:p w14:paraId="36010702" w14:textId="77777777" w:rsidR="00CE1BDB" w:rsidRPr="003A3017" w:rsidRDefault="00CE1BDB" w:rsidP="003A3017">
            <w:pPr>
              <w:spacing w:before="20" w:after="20"/>
              <w:jc w:val="right"/>
              <w:rPr>
                <w:rFonts w:cs="Arial"/>
                <w:b/>
                <w:bCs/>
                <w:color w:val="000000"/>
                <w:sz w:val="22"/>
                <w:szCs w:val="22"/>
              </w:rPr>
            </w:pPr>
            <w:r w:rsidRPr="003A3017">
              <w:rPr>
                <w:rFonts w:cs="Arial"/>
                <w:b/>
                <w:bCs/>
                <w:color w:val="000000"/>
                <w:sz w:val="22"/>
                <w:szCs w:val="22"/>
              </w:rPr>
              <w:t>£724</w:t>
            </w:r>
          </w:p>
        </w:tc>
      </w:tr>
      <w:tr w:rsidR="00CE1BDB" w:rsidRPr="003A3017" w14:paraId="58F1A150" w14:textId="77777777" w:rsidTr="003A3017">
        <w:tc>
          <w:tcPr>
            <w:tcW w:w="1624" w:type="pct"/>
            <w:shd w:val="clear" w:color="auto" w:fill="006666"/>
            <w:noWrap/>
            <w:vAlign w:val="bottom"/>
            <w:hideMark/>
          </w:tcPr>
          <w:p w14:paraId="450553A8" w14:textId="77777777" w:rsidR="00CE1BDB" w:rsidRPr="003A3017" w:rsidRDefault="00CE1BDB" w:rsidP="003A3017">
            <w:pPr>
              <w:spacing w:before="20" w:after="20"/>
              <w:rPr>
                <w:rFonts w:cs="Arial"/>
                <w:b/>
                <w:bCs/>
                <w:color w:val="FFFFFF" w:themeColor="background1"/>
                <w:sz w:val="22"/>
                <w:szCs w:val="22"/>
              </w:rPr>
            </w:pPr>
            <w:r w:rsidRPr="003A3017">
              <w:rPr>
                <w:rFonts w:cs="Arial"/>
                <w:b/>
                <w:bCs/>
                <w:color w:val="FFFFFF" w:themeColor="background1"/>
                <w:sz w:val="22"/>
                <w:szCs w:val="22"/>
              </w:rPr>
              <w:t>Key Development Location</w:t>
            </w:r>
          </w:p>
        </w:tc>
        <w:tc>
          <w:tcPr>
            <w:tcW w:w="1471" w:type="pct"/>
            <w:shd w:val="clear" w:color="auto" w:fill="006666"/>
            <w:noWrap/>
            <w:vAlign w:val="bottom"/>
            <w:hideMark/>
          </w:tcPr>
          <w:p w14:paraId="786737E8" w14:textId="77777777" w:rsidR="00CE1BDB" w:rsidRPr="003A3017" w:rsidRDefault="00CE1BDB" w:rsidP="003A3017">
            <w:pPr>
              <w:spacing w:before="20" w:after="20"/>
              <w:jc w:val="center"/>
              <w:rPr>
                <w:rFonts w:cs="Arial"/>
                <w:b/>
                <w:bCs/>
                <w:color w:val="FFFFFF" w:themeColor="background1"/>
                <w:sz w:val="22"/>
                <w:szCs w:val="22"/>
              </w:rPr>
            </w:pPr>
            <w:r w:rsidRPr="003A3017">
              <w:rPr>
                <w:rFonts w:cs="Arial"/>
                <w:b/>
                <w:bCs/>
                <w:color w:val="FFFFFF"/>
                <w:sz w:val="22"/>
                <w:szCs w:val="22"/>
              </w:rPr>
              <w:t>Lower Quartile Price 2020</w:t>
            </w:r>
          </w:p>
        </w:tc>
        <w:tc>
          <w:tcPr>
            <w:tcW w:w="1902" w:type="pct"/>
            <w:shd w:val="clear" w:color="auto" w:fill="006666"/>
            <w:noWrap/>
            <w:vAlign w:val="bottom"/>
            <w:hideMark/>
          </w:tcPr>
          <w:p w14:paraId="2AD8C45B" w14:textId="77777777" w:rsidR="00CE1BDB" w:rsidRPr="003A3017" w:rsidRDefault="00CE1BDB" w:rsidP="003A3017">
            <w:pPr>
              <w:spacing w:before="20" w:after="20"/>
              <w:jc w:val="center"/>
              <w:rPr>
                <w:rFonts w:cs="Arial"/>
                <w:b/>
                <w:bCs/>
                <w:color w:val="FFFFFF" w:themeColor="background1"/>
                <w:sz w:val="22"/>
                <w:szCs w:val="22"/>
              </w:rPr>
            </w:pPr>
            <w:r w:rsidRPr="003A3017">
              <w:rPr>
                <w:rFonts w:cs="Arial"/>
                <w:b/>
                <w:bCs/>
                <w:color w:val="FFFFFF"/>
                <w:sz w:val="22"/>
                <w:szCs w:val="22"/>
              </w:rPr>
              <w:t>Lower Quartile private rent 2020</w:t>
            </w:r>
          </w:p>
        </w:tc>
      </w:tr>
      <w:tr w:rsidR="00CE1BDB" w:rsidRPr="003A3017" w14:paraId="38E347B9" w14:textId="77777777" w:rsidTr="003A3017">
        <w:tc>
          <w:tcPr>
            <w:tcW w:w="1624" w:type="pct"/>
            <w:shd w:val="clear" w:color="auto" w:fill="auto"/>
            <w:noWrap/>
            <w:vAlign w:val="center"/>
            <w:hideMark/>
          </w:tcPr>
          <w:p w14:paraId="48C65420"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Chatham</w:t>
            </w:r>
          </w:p>
        </w:tc>
        <w:tc>
          <w:tcPr>
            <w:tcW w:w="1471" w:type="pct"/>
            <w:shd w:val="clear" w:color="auto" w:fill="auto"/>
            <w:noWrap/>
            <w:vAlign w:val="center"/>
          </w:tcPr>
          <w:p w14:paraId="7B963633"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£170,000</w:t>
            </w:r>
          </w:p>
        </w:tc>
        <w:tc>
          <w:tcPr>
            <w:tcW w:w="1902" w:type="pct"/>
            <w:shd w:val="clear" w:color="000000" w:fill="auto"/>
            <w:noWrap/>
            <w:vAlign w:val="bottom"/>
          </w:tcPr>
          <w:p w14:paraId="4CAA35EB"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£650</w:t>
            </w:r>
          </w:p>
        </w:tc>
      </w:tr>
      <w:tr w:rsidR="00CE1BDB" w:rsidRPr="003A3017" w14:paraId="59C87620" w14:textId="77777777" w:rsidTr="003A3017">
        <w:tc>
          <w:tcPr>
            <w:tcW w:w="1624" w:type="pct"/>
            <w:shd w:val="clear" w:color="auto" w:fill="auto"/>
            <w:noWrap/>
            <w:vAlign w:val="center"/>
            <w:hideMark/>
          </w:tcPr>
          <w:p w14:paraId="02434566"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Chatham Maritime and Gillingham (</w:t>
            </w:r>
            <w:proofErr w:type="spellStart"/>
            <w:r w:rsidRPr="003A3017">
              <w:rPr>
                <w:rFonts w:cs="Arial"/>
                <w:color w:val="000000"/>
                <w:sz w:val="22"/>
                <w:szCs w:val="22"/>
              </w:rPr>
              <w:t>inc</w:t>
            </w:r>
            <w:proofErr w:type="spellEnd"/>
            <w:r w:rsidRPr="003A3017">
              <w:rPr>
                <w:rFonts w:cs="Arial"/>
                <w:color w:val="000000"/>
                <w:sz w:val="22"/>
                <w:szCs w:val="22"/>
              </w:rPr>
              <w:t xml:space="preserve"> St Mary’s Island &amp; Brompton) </w:t>
            </w:r>
          </w:p>
        </w:tc>
        <w:tc>
          <w:tcPr>
            <w:tcW w:w="1471" w:type="pct"/>
            <w:shd w:val="clear" w:color="auto" w:fill="auto"/>
            <w:noWrap/>
            <w:vAlign w:val="center"/>
          </w:tcPr>
          <w:p w14:paraId="69CA0E94"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£177,525</w:t>
            </w:r>
          </w:p>
        </w:tc>
        <w:tc>
          <w:tcPr>
            <w:tcW w:w="1902" w:type="pct"/>
            <w:shd w:val="clear" w:color="000000" w:fill="auto"/>
            <w:noWrap/>
            <w:vAlign w:val="bottom"/>
          </w:tcPr>
          <w:p w14:paraId="079E2A46"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£702</w:t>
            </w:r>
          </w:p>
        </w:tc>
      </w:tr>
      <w:tr w:rsidR="00CE1BDB" w:rsidRPr="003A3017" w14:paraId="4139A2F9" w14:textId="77777777" w:rsidTr="003A3017">
        <w:tc>
          <w:tcPr>
            <w:tcW w:w="1624" w:type="pct"/>
            <w:shd w:val="clear" w:color="auto" w:fill="auto"/>
            <w:noWrap/>
            <w:vAlign w:val="center"/>
            <w:hideMark/>
          </w:tcPr>
          <w:p w14:paraId="7A689A64"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Rainham</w:t>
            </w:r>
          </w:p>
        </w:tc>
        <w:tc>
          <w:tcPr>
            <w:tcW w:w="1471" w:type="pct"/>
            <w:shd w:val="clear" w:color="auto" w:fill="auto"/>
            <w:noWrap/>
            <w:vAlign w:val="center"/>
          </w:tcPr>
          <w:p w14:paraId="19F7D65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£230,000</w:t>
            </w:r>
          </w:p>
        </w:tc>
        <w:tc>
          <w:tcPr>
            <w:tcW w:w="1902" w:type="pct"/>
            <w:shd w:val="clear" w:color="000000" w:fill="auto"/>
            <w:noWrap/>
            <w:vAlign w:val="bottom"/>
          </w:tcPr>
          <w:p w14:paraId="53E632D9"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£793</w:t>
            </w:r>
          </w:p>
        </w:tc>
      </w:tr>
      <w:tr w:rsidR="00CE1BDB" w:rsidRPr="003A3017" w14:paraId="285161A4" w14:textId="77777777" w:rsidTr="003A3017">
        <w:tc>
          <w:tcPr>
            <w:tcW w:w="1624" w:type="pct"/>
            <w:shd w:val="clear" w:color="auto" w:fill="auto"/>
            <w:noWrap/>
            <w:vAlign w:val="center"/>
            <w:hideMark/>
          </w:tcPr>
          <w:p w14:paraId="5B2DF2C3"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Rochester</w:t>
            </w:r>
          </w:p>
        </w:tc>
        <w:tc>
          <w:tcPr>
            <w:tcW w:w="1471" w:type="pct"/>
            <w:shd w:val="clear" w:color="auto" w:fill="auto"/>
            <w:noWrap/>
            <w:vAlign w:val="center"/>
          </w:tcPr>
          <w:p w14:paraId="0CC7078C"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£215,000</w:t>
            </w:r>
          </w:p>
        </w:tc>
        <w:tc>
          <w:tcPr>
            <w:tcW w:w="1902" w:type="pct"/>
            <w:shd w:val="clear" w:color="000000" w:fill="auto"/>
            <w:noWrap/>
            <w:vAlign w:val="bottom"/>
          </w:tcPr>
          <w:p w14:paraId="4A793E21"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£750</w:t>
            </w:r>
          </w:p>
        </w:tc>
      </w:tr>
      <w:tr w:rsidR="00CE1BDB" w:rsidRPr="003A3017" w14:paraId="3DB5EBA2" w14:textId="77777777" w:rsidTr="003A3017">
        <w:tc>
          <w:tcPr>
            <w:tcW w:w="1624" w:type="pct"/>
            <w:shd w:val="clear" w:color="auto" w:fill="auto"/>
            <w:noWrap/>
            <w:vAlign w:val="center"/>
            <w:hideMark/>
          </w:tcPr>
          <w:p w14:paraId="551B8866"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Strood</w:t>
            </w:r>
          </w:p>
        </w:tc>
        <w:tc>
          <w:tcPr>
            <w:tcW w:w="1471" w:type="pct"/>
            <w:shd w:val="clear" w:color="auto" w:fill="auto"/>
            <w:noWrap/>
            <w:vAlign w:val="center"/>
          </w:tcPr>
          <w:p w14:paraId="1C4C9742"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£214,250</w:t>
            </w:r>
          </w:p>
        </w:tc>
        <w:tc>
          <w:tcPr>
            <w:tcW w:w="1902" w:type="pct"/>
            <w:shd w:val="clear" w:color="000000" w:fill="auto"/>
            <w:noWrap/>
            <w:vAlign w:val="bottom"/>
          </w:tcPr>
          <w:p w14:paraId="41538F86"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£737</w:t>
            </w:r>
          </w:p>
        </w:tc>
      </w:tr>
      <w:tr w:rsidR="00CE1BDB" w:rsidRPr="003A3017" w14:paraId="197F8219" w14:textId="77777777" w:rsidTr="003A3017">
        <w:tc>
          <w:tcPr>
            <w:tcW w:w="1624" w:type="pct"/>
            <w:shd w:val="clear" w:color="auto" w:fill="006666"/>
            <w:noWrap/>
            <w:vAlign w:val="bottom"/>
            <w:hideMark/>
          </w:tcPr>
          <w:p w14:paraId="071D8B88" w14:textId="77777777" w:rsidR="00CE1BDB" w:rsidRPr="003A3017" w:rsidRDefault="00CE1BDB" w:rsidP="003A3017">
            <w:pPr>
              <w:spacing w:before="20" w:after="20"/>
              <w:rPr>
                <w:rFonts w:cs="Arial"/>
                <w:b/>
                <w:bCs/>
                <w:color w:val="FFFFFF" w:themeColor="background1"/>
                <w:sz w:val="22"/>
                <w:szCs w:val="22"/>
              </w:rPr>
            </w:pPr>
            <w:r w:rsidRPr="003A3017">
              <w:rPr>
                <w:rFonts w:cs="Arial"/>
                <w:b/>
                <w:bCs/>
                <w:color w:val="FFFFFF" w:themeColor="background1"/>
                <w:sz w:val="22"/>
                <w:szCs w:val="22"/>
              </w:rPr>
              <w:t>Neighbourhood Planning Area</w:t>
            </w:r>
          </w:p>
        </w:tc>
        <w:tc>
          <w:tcPr>
            <w:tcW w:w="1471" w:type="pct"/>
            <w:shd w:val="clear" w:color="auto" w:fill="006666"/>
            <w:noWrap/>
            <w:vAlign w:val="bottom"/>
            <w:hideMark/>
          </w:tcPr>
          <w:p w14:paraId="137EA68B" w14:textId="77777777" w:rsidR="00CE1BDB" w:rsidRPr="003A3017" w:rsidRDefault="00CE1BDB" w:rsidP="003A3017">
            <w:pPr>
              <w:spacing w:before="20" w:after="20"/>
              <w:jc w:val="center"/>
              <w:rPr>
                <w:rFonts w:cs="Arial"/>
                <w:b/>
                <w:bCs/>
                <w:color w:val="FFFFFF" w:themeColor="background1"/>
                <w:sz w:val="22"/>
                <w:szCs w:val="22"/>
              </w:rPr>
            </w:pPr>
            <w:r w:rsidRPr="003A3017">
              <w:rPr>
                <w:rFonts w:cs="Arial"/>
                <w:b/>
                <w:bCs/>
                <w:color w:val="FFFFFF"/>
                <w:sz w:val="22"/>
                <w:szCs w:val="22"/>
              </w:rPr>
              <w:t>Lower Quartile Price 2020</w:t>
            </w:r>
          </w:p>
        </w:tc>
        <w:tc>
          <w:tcPr>
            <w:tcW w:w="1902" w:type="pct"/>
            <w:shd w:val="clear" w:color="auto" w:fill="006666"/>
            <w:noWrap/>
            <w:vAlign w:val="bottom"/>
            <w:hideMark/>
          </w:tcPr>
          <w:p w14:paraId="7CC7D691" w14:textId="77777777" w:rsidR="00CE1BDB" w:rsidRPr="003A3017" w:rsidRDefault="00CE1BDB" w:rsidP="003A3017">
            <w:pPr>
              <w:spacing w:before="20" w:after="20"/>
              <w:jc w:val="center"/>
              <w:rPr>
                <w:rFonts w:cs="Arial"/>
                <w:b/>
                <w:bCs/>
                <w:color w:val="FFFFFF" w:themeColor="background1"/>
                <w:sz w:val="22"/>
                <w:szCs w:val="22"/>
              </w:rPr>
            </w:pPr>
            <w:r w:rsidRPr="003A3017">
              <w:rPr>
                <w:rFonts w:cs="Arial"/>
                <w:b/>
                <w:bCs/>
                <w:color w:val="FFFFFF"/>
                <w:sz w:val="22"/>
                <w:szCs w:val="22"/>
              </w:rPr>
              <w:t>Lower Quartile private rent 2020</w:t>
            </w:r>
          </w:p>
        </w:tc>
      </w:tr>
      <w:tr w:rsidR="00CE1BDB" w:rsidRPr="003A3017" w14:paraId="1588A02F" w14:textId="77777777" w:rsidTr="003A3017">
        <w:tc>
          <w:tcPr>
            <w:tcW w:w="1624" w:type="pct"/>
            <w:shd w:val="clear" w:color="auto" w:fill="auto"/>
            <w:noWrap/>
            <w:vAlign w:val="center"/>
            <w:hideMark/>
          </w:tcPr>
          <w:p w14:paraId="4BAEB1A7"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Cliffe and Cliffe Wood</w:t>
            </w:r>
          </w:p>
        </w:tc>
        <w:tc>
          <w:tcPr>
            <w:tcW w:w="1471" w:type="pct"/>
            <w:shd w:val="clear" w:color="000000" w:fill="auto"/>
            <w:noWrap/>
            <w:vAlign w:val="center"/>
          </w:tcPr>
          <w:p w14:paraId="07E232D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£262,000</w:t>
            </w:r>
          </w:p>
        </w:tc>
        <w:tc>
          <w:tcPr>
            <w:tcW w:w="1902" w:type="pct"/>
            <w:shd w:val="clear" w:color="000000" w:fill="auto"/>
            <w:noWrap/>
            <w:vAlign w:val="bottom"/>
            <w:hideMark/>
          </w:tcPr>
          <w:p w14:paraId="0BC4BCB8"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£856</w:t>
            </w:r>
          </w:p>
        </w:tc>
      </w:tr>
      <w:tr w:rsidR="00CE1BDB" w:rsidRPr="003A3017" w14:paraId="152E64E9" w14:textId="77777777" w:rsidTr="003A3017">
        <w:tc>
          <w:tcPr>
            <w:tcW w:w="1624" w:type="pct"/>
            <w:shd w:val="clear" w:color="auto" w:fill="auto"/>
            <w:noWrap/>
            <w:vAlign w:val="center"/>
            <w:hideMark/>
          </w:tcPr>
          <w:p w14:paraId="3575ED89" w14:textId="77777777" w:rsidR="00CE1BDB" w:rsidRPr="003A3017" w:rsidRDefault="00CE1BDB" w:rsidP="003A3017">
            <w:pPr>
              <w:spacing w:before="20" w:after="20"/>
              <w:jc w:val="both"/>
              <w:rPr>
                <w:rFonts w:cs="Arial"/>
                <w:color w:val="000000"/>
                <w:sz w:val="22"/>
                <w:szCs w:val="22"/>
              </w:rPr>
            </w:pPr>
            <w:proofErr w:type="spellStart"/>
            <w:r w:rsidRPr="003A3017">
              <w:rPr>
                <w:rFonts w:cs="Arial"/>
                <w:color w:val="000000"/>
                <w:sz w:val="22"/>
                <w:szCs w:val="22"/>
              </w:rPr>
              <w:t>Frindsbury</w:t>
            </w:r>
            <w:proofErr w:type="spellEnd"/>
            <w:r w:rsidRPr="003A3017">
              <w:rPr>
                <w:rFonts w:cs="Arial"/>
                <w:color w:val="000000"/>
                <w:sz w:val="22"/>
                <w:szCs w:val="22"/>
              </w:rPr>
              <w:t xml:space="preserve"> Extra</w:t>
            </w:r>
          </w:p>
        </w:tc>
        <w:tc>
          <w:tcPr>
            <w:tcW w:w="1471" w:type="pct"/>
            <w:shd w:val="clear" w:color="000000" w:fill="auto"/>
            <w:noWrap/>
            <w:vAlign w:val="center"/>
          </w:tcPr>
          <w:p w14:paraId="08267F08"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£235,500</w:t>
            </w:r>
          </w:p>
        </w:tc>
        <w:tc>
          <w:tcPr>
            <w:tcW w:w="1902" w:type="pct"/>
            <w:shd w:val="clear" w:color="000000" w:fill="auto"/>
            <w:noWrap/>
            <w:vAlign w:val="bottom"/>
            <w:hideMark/>
          </w:tcPr>
          <w:p w14:paraId="47E41CB7"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£813</w:t>
            </w:r>
          </w:p>
        </w:tc>
      </w:tr>
      <w:tr w:rsidR="00CE1BDB" w:rsidRPr="003A3017" w14:paraId="1C080A98" w14:textId="77777777" w:rsidTr="003A3017">
        <w:tc>
          <w:tcPr>
            <w:tcW w:w="1624" w:type="pct"/>
            <w:shd w:val="clear" w:color="auto" w:fill="auto"/>
            <w:noWrap/>
            <w:vAlign w:val="center"/>
            <w:hideMark/>
          </w:tcPr>
          <w:p w14:paraId="2FE1FC9D"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 xml:space="preserve">High </w:t>
            </w:r>
            <w:proofErr w:type="spellStart"/>
            <w:r w:rsidRPr="003A3017">
              <w:rPr>
                <w:rFonts w:cs="Arial"/>
                <w:color w:val="000000"/>
                <w:sz w:val="22"/>
                <w:szCs w:val="22"/>
              </w:rPr>
              <w:t>Halstow</w:t>
            </w:r>
            <w:proofErr w:type="spellEnd"/>
          </w:p>
        </w:tc>
        <w:tc>
          <w:tcPr>
            <w:tcW w:w="1471" w:type="pct"/>
            <w:shd w:val="clear" w:color="000000" w:fill="auto"/>
            <w:noWrap/>
            <w:vAlign w:val="center"/>
          </w:tcPr>
          <w:p w14:paraId="0BA4CED5"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£300,000</w:t>
            </w:r>
          </w:p>
        </w:tc>
        <w:tc>
          <w:tcPr>
            <w:tcW w:w="1902" w:type="pct"/>
            <w:shd w:val="clear" w:color="000000" w:fill="auto"/>
            <w:noWrap/>
            <w:vAlign w:val="bottom"/>
            <w:hideMark/>
          </w:tcPr>
          <w:p w14:paraId="4C9F72E8"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£791</w:t>
            </w:r>
          </w:p>
        </w:tc>
      </w:tr>
      <w:tr w:rsidR="00CE1BDB" w:rsidRPr="003A3017" w14:paraId="1448EBED" w14:textId="77777777" w:rsidTr="003A3017">
        <w:tc>
          <w:tcPr>
            <w:tcW w:w="1624" w:type="pct"/>
            <w:shd w:val="clear" w:color="auto" w:fill="auto"/>
            <w:noWrap/>
            <w:vAlign w:val="center"/>
            <w:hideMark/>
          </w:tcPr>
          <w:p w14:paraId="7B8B3AAA" w14:textId="77777777" w:rsidR="00CE1BDB" w:rsidRPr="003A3017" w:rsidRDefault="00CE1BDB" w:rsidP="003A3017">
            <w:pPr>
              <w:spacing w:before="20" w:after="20"/>
              <w:jc w:val="both"/>
              <w:rPr>
                <w:rFonts w:cs="Arial"/>
                <w:color w:val="000000"/>
                <w:sz w:val="22"/>
                <w:szCs w:val="22"/>
              </w:rPr>
            </w:pPr>
            <w:proofErr w:type="spellStart"/>
            <w:r w:rsidRPr="003A3017">
              <w:rPr>
                <w:rFonts w:cs="Arial"/>
                <w:color w:val="000000"/>
                <w:sz w:val="22"/>
                <w:szCs w:val="22"/>
              </w:rPr>
              <w:t>Hoo</w:t>
            </w:r>
            <w:proofErr w:type="spellEnd"/>
            <w:r w:rsidRPr="003A3017">
              <w:rPr>
                <w:rFonts w:cs="Arial"/>
                <w:color w:val="000000"/>
                <w:sz w:val="22"/>
                <w:szCs w:val="22"/>
              </w:rPr>
              <w:t xml:space="preserve"> St </w:t>
            </w:r>
            <w:proofErr w:type="spellStart"/>
            <w:r w:rsidRPr="003A3017">
              <w:rPr>
                <w:rFonts w:cs="Arial"/>
                <w:color w:val="000000"/>
                <w:sz w:val="22"/>
                <w:szCs w:val="22"/>
              </w:rPr>
              <w:t>Werburgh</w:t>
            </w:r>
            <w:proofErr w:type="spellEnd"/>
            <w:r w:rsidRPr="003A3017">
              <w:rPr>
                <w:rFonts w:cs="Arial"/>
                <w:color w:val="000000"/>
                <w:sz w:val="22"/>
                <w:szCs w:val="22"/>
              </w:rPr>
              <w:t>/Rural Town</w:t>
            </w:r>
          </w:p>
        </w:tc>
        <w:tc>
          <w:tcPr>
            <w:tcW w:w="1471" w:type="pct"/>
            <w:shd w:val="clear" w:color="000000" w:fill="auto"/>
            <w:noWrap/>
            <w:vAlign w:val="center"/>
          </w:tcPr>
          <w:p w14:paraId="2756769B"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£253,000</w:t>
            </w:r>
          </w:p>
        </w:tc>
        <w:tc>
          <w:tcPr>
            <w:tcW w:w="1902" w:type="pct"/>
            <w:shd w:val="clear" w:color="000000" w:fill="auto"/>
            <w:noWrap/>
            <w:vAlign w:val="bottom"/>
            <w:hideMark/>
          </w:tcPr>
          <w:p w14:paraId="3B10F30C"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£898</w:t>
            </w:r>
          </w:p>
        </w:tc>
      </w:tr>
      <w:tr w:rsidR="00CE1BDB" w:rsidRPr="003A3017" w14:paraId="1E7F2D10" w14:textId="77777777" w:rsidTr="003A3017">
        <w:tc>
          <w:tcPr>
            <w:tcW w:w="1624" w:type="pct"/>
            <w:shd w:val="clear" w:color="auto" w:fill="auto"/>
            <w:noWrap/>
            <w:vAlign w:val="center"/>
            <w:hideMark/>
          </w:tcPr>
          <w:p w14:paraId="4C8FB166" w14:textId="77777777" w:rsidR="00CE1BDB" w:rsidRPr="003A3017" w:rsidRDefault="00CE1BDB" w:rsidP="003A3017">
            <w:pPr>
              <w:spacing w:before="20" w:after="20"/>
              <w:jc w:val="both"/>
              <w:rPr>
                <w:rFonts w:cs="Arial"/>
                <w:color w:val="000000"/>
                <w:sz w:val="22"/>
                <w:szCs w:val="22"/>
              </w:rPr>
            </w:pPr>
            <w:r w:rsidRPr="003A3017">
              <w:rPr>
                <w:rFonts w:cs="Arial"/>
                <w:color w:val="000000"/>
                <w:sz w:val="22"/>
                <w:szCs w:val="22"/>
              </w:rPr>
              <w:t>Arches (Chatham)</w:t>
            </w:r>
          </w:p>
        </w:tc>
        <w:tc>
          <w:tcPr>
            <w:tcW w:w="1471" w:type="pct"/>
            <w:shd w:val="clear" w:color="auto" w:fill="auto"/>
            <w:noWrap/>
            <w:vAlign w:val="center"/>
          </w:tcPr>
          <w:p w14:paraId="3F9568C7" w14:textId="77777777" w:rsidR="00CE1BDB" w:rsidRPr="003A3017" w:rsidRDefault="00CE1BDB" w:rsidP="003A3017">
            <w:pPr>
              <w:spacing w:before="20" w:after="20"/>
              <w:jc w:val="right"/>
              <w:rPr>
                <w:rFonts w:cs="Arial"/>
                <w:color w:val="000000"/>
                <w:sz w:val="22"/>
                <w:szCs w:val="22"/>
              </w:rPr>
            </w:pPr>
            <w:r w:rsidRPr="003A3017">
              <w:rPr>
                <w:rFonts w:cs="Arial"/>
                <w:color w:val="000000"/>
                <w:sz w:val="22"/>
                <w:szCs w:val="22"/>
              </w:rPr>
              <w:t>£147,500</w:t>
            </w:r>
          </w:p>
        </w:tc>
        <w:tc>
          <w:tcPr>
            <w:tcW w:w="1902" w:type="pct"/>
            <w:shd w:val="clear" w:color="auto" w:fill="auto"/>
            <w:noWrap/>
            <w:vAlign w:val="bottom"/>
            <w:hideMark/>
          </w:tcPr>
          <w:p w14:paraId="61E16226" w14:textId="77777777" w:rsidR="00CE1BDB" w:rsidRPr="003A3017" w:rsidRDefault="00CE1BDB" w:rsidP="003A3017">
            <w:pPr>
              <w:spacing w:before="20" w:after="20"/>
              <w:jc w:val="right"/>
              <w:rPr>
                <w:rFonts w:cs="Arial"/>
                <w:b/>
                <w:bCs/>
                <w:color w:val="000000"/>
                <w:sz w:val="22"/>
                <w:szCs w:val="22"/>
              </w:rPr>
            </w:pPr>
            <w:r w:rsidRPr="003A3017">
              <w:rPr>
                <w:rFonts w:cs="Arial"/>
                <w:color w:val="000000"/>
                <w:sz w:val="22"/>
                <w:szCs w:val="22"/>
              </w:rPr>
              <w:t>£650</w:t>
            </w:r>
          </w:p>
        </w:tc>
      </w:tr>
    </w:tbl>
    <w:p w14:paraId="0FF08FD0" w14:textId="77777777" w:rsidR="00CE1BDB" w:rsidRPr="00FA4DC7" w:rsidRDefault="00CE1BDB" w:rsidP="00CE1BDB">
      <w:pPr>
        <w:pStyle w:val="Maintext"/>
        <w:numPr>
          <w:ilvl w:val="0"/>
          <w:numId w:val="0"/>
        </w:numPr>
        <w:rPr>
          <w:rFonts w:ascii="Arial" w:hAnsi="Arial" w:cs="Arial"/>
          <w:sz w:val="20"/>
          <w:szCs w:val="20"/>
        </w:rPr>
      </w:pPr>
      <w:r w:rsidRPr="00FA4DC7">
        <w:rPr>
          <w:rFonts w:ascii="Arial" w:hAnsi="Arial" w:cs="Arial"/>
          <w:sz w:val="20"/>
          <w:szCs w:val="20"/>
        </w:rPr>
        <w:t xml:space="preserve">Source: </w:t>
      </w:r>
      <w:r w:rsidRPr="00FA4DC7">
        <w:rPr>
          <w:rFonts w:ascii="Arial" w:eastAsiaTheme="minorEastAsia" w:hAnsi="Arial" w:cs="Arial"/>
          <w:color w:val="0B0B0B"/>
          <w:sz w:val="20"/>
          <w:szCs w:val="20"/>
          <w:lang w:val="en-US"/>
        </w:rPr>
        <w:t>Data produced by Land Registry © Crown copyright 2020</w:t>
      </w:r>
      <w:r w:rsidRPr="00FA4DC7">
        <w:rPr>
          <w:rFonts w:ascii="Arial" w:hAnsi="Arial" w:cs="Arial"/>
          <w:sz w:val="20"/>
          <w:szCs w:val="20"/>
        </w:rPr>
        <w:t>, Zoopla 2020</w:t>
      </w:r>
    </w:p>
    <w:p w14:paraId="1AC9DF9A" w14:textId="77777777" w:rsidR="00CE1BDB" w:rsidRPr="00FA4DC7" w:rsidRDefault="00CE1BDB" w:rsidP="00CE1BDB">
      <w:pPr>
        <w:pStyle w:val="Maintext"/>
        <w:numPr>
          <w:ilvl w:val="0"/>
          <w:numId w:val="0"/>
        </w:numPr>
        <w:tabs>
          <w:tab w:val="left" w:pos="0"/>
          <w:tab w:val="left" w:pos="1418"/>
        </w:tabs>
        <w:ind w:left="709"/>
        <w:rPr>
          <w:rFonts w:ascii="Arial" w:hAnsi="Arial" w:cs="Arial"/>
          <w:highlight w:val="yellow"/>
        </w:rPr>
      </w:pPr>
    </w:p>
    <w:p w14:paraId="4D93E3E5"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Table C3 sets out the proportion of households in need who could not afford open market prices or rents. The principal affordability analysis uses data on ward-</w:t>
      </w:r>
      <w:r w:rsidRPr="00FA4DC7">
        <w:rPr>
          <w:rFonts w:ascii="Arial" w:hAnsi="Arial" w:cs="Arial"/>
        </w:rPr>
        <w:lastRenderedPageBreak/>
        <w:t xml:space="preserve">level lower quartile prices and rents and assumes that a property is affordable if up to 25% of household income is spent on rent and buying costs up to 3.5x household income. </w:t>
      </w:r>
    </w:p>
    <w:p w14:paraId="3D9AB6F0"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It is reasonably assumed that all households in A1 (homeless) and A2 (priority need/in temporary accommodation) cannot afford open market prices or rents given their housing circumstances (and income information is not available from secondary data source).</w:t>
      </w:r>
    </w:p>
    <w:p w14:paraId="7368DA7E"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The affordability of open market options is tested on the remaining households in need (rows A3 to A6 in Table C1) based on 2020 household survey data. </w:t>
      </w:r>
    </w:p>
    <w:p w14:paraId="189314A7"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Analysis concludes that </w:t>
      </w:r>
      <w:r w:rsidRPr="00FA4DC7">
        <w:rPr>
          <w:rFonts w:ascii="Arial" w:hAnsi="Arial" w:cs="Arial"/>
          <w:b/>
          <w:bCs/>
        </w:rPr>
        <w:t xml:space="preserve">7,477 </w:t>
      </w:r>
      <w:r w:rsidRPr="00FA4DC7">
        <w:rPr>
          <w:rFonts w:ascii="Arial" w:hAnsi="Arial" w:cs="Arial"/>
        </w:rPr>
        <w:t xml:space="preserve">households across Medway are in housing need and cannot afford to buy or rent at lower quartile market prices. </w:t>
      </w:r>
    </w:p>
    <w:p w14:paraId="5D8C0E54" w14:textId="77777777" w:rsidR="00CE1BDB" w:rsidRPr="00FA4DC7" w:rsidRDefault="00CE1BDB" w:rsidP="00CE1BDB">
      <w:pPr>
        <w:pStyle w:val="Maintext"/>
        <w:numPr>
          <w:ilvl w:val="0"/>
          <w:numId w:val="0"/>
        </w:numPr>
        <w:tabs>
          <w:tab w:val="left" w:pos="0"/>
          <w:tab w:val="left" w:pos="1418"/>
        </w:tabs>
        <w:ind w:left="709"/>
        <w:rPr>
          <w:rFonts w:ascii="Arial" w:hAnsi="Arial" w:cs="Arial"/>
          <w:highlight w:val="yellow"/>
        </w:rPr>
      </w:pPr>
    </w:p>
    <w:tbl>
      <w:tblPr>
        <w:tblStyle w:val="TableGrid"/>
        <w:tblW w:w="5000" w:type="pct"/>
        <w:tblLook w:val="04A0" w:firstRow="1" w:lastRow="0" w:firstColumn="1" w:lastColumn="0" w:noHBand="0" w:noVBand="1"/>
      </w:tblPr>
      <w:tblGrid>
        <w:gridCol w:w="3672"/>
        <w:gridCol w:w="1842"/>
        <w:gridCol w:w="1847"/>
        <w:gridCol w:w="1819"/>
      </w:tblGrid>
      <w:tr w:rsidR="00CE1BDB" w:rsidRPr="00FA4DC7" w14:paraId="0564C150" w14:textId="77777777" w:rsidTr="003A3017">
        <w:trPr>
          <w:trHeight w:val="90"/>
        </w:trPr>
        <w:tc>
          <w:tcPr>
            <w:tcW w:w="5000" w:type="pct"/>
            <w:gridSpan w:val="4"/>
            <w:shd w:val="clear" w:color="auto" w:fill="006666"/>
            <w:vAlign w:val="center"/>
          </w:tcPr>
          <w:p w14:paraId="610E872D" w14:textId="77777777" w:rsidR="00CE1BDB" w:rsidRPr="00FA4DC7" w:rsidRDefault="00CE1BDB" w:rsidP="00EF49A7">
            <w:pPr>
              <w:pStyle w:val="Tableheading1"/>
              <w:rPr>
                <w:rFonts w:cs="Arial"/>
              </w:rPr>
            </w:pPr>
            <w:bookmarkStart w:id="535" w:name="_Toc46778470"/>
            <w:bookmarkStart w:id="536" w:name="_Toc56502891"/>
            <w:bookmarkStart w:id="537" w:name="_Toc59205104"/>
            <w:bookmarkStart w:id="538" w:name="_Toc83036124"/>
            <w:r w:rsidRPr="00FA4DC7">
              <w:rPr>
                <w:rFonts w:cs="Arial"/>
              </w:rPr>
              <w:t>Table C3</w:t>
            </w:r>
            <w:r w:rsidRPr="00FA4DC7">
              <w:rPr>
                <w:rFonts w:cs="Arial"/>
              </w:rPr>
              <w:tab/>
              <w:t>Affordability of open market housing for households in need</w:t>
            </w:r>
            <w:bookmarkEnd w:id="535"/>
            <w:bookmarkEnd w:id="536"/>
            <w:bookmarkEnd w:id="537"/>
            <w:bookmarkEnd w:id="538"/>
          </w:p>
        </w:tc>
      </w:tr>
      <w:tr w:rsidR="00CE1BDB" w:rsidRPr="00FA4DC7" w14:paraId="0E9358E9" w14:textId="77777777" w:rsidTr="003A3017">
        <w:tc>
          <w:tcPr>
            <w:tcW w:w="2000" w:type="pct"/>
            <w:shd w:val="clear" w:color="auto" w:fill="006666"/>
            <w:vAlign w:val="bottom"/>
          </w:tcPr>
          <w:p w14:paraId="0558C620" w14:textId="77777777" w:rsidR="00CE1BDB" w:rsidRPr="00FA4DC7" w:rsidRDefault="00CE1BDB" w:rsidP="003A3017">
            <w:pPr>
              <w:pStyle w:val="Maintext"/>
              <w:numPr>
                <w:ilvl w:val="0"/>
                <w:numId w:val="0"/>
              </w:numPr>
              <w:tabs>
                <w:tab w:val="left" w:pos="0"/>
                <w:tab w:val="left" w:pos="709"/>
                <w:tab w:val="left" w:pos="1418"/>
              </w:tabs>
              <w:spacing w:before="0" w:after="0"/>
              <w:jc w:val="left"/>
              <w:rPr>
                <w:rFonts w:ascii="Arial" w:hAnsi="Arial" w:cs="Arial"/>
                <w:b/>
                <w:bCs/>
                <w:color w:val="FFFFFF" w:themeColor="background1"/>
                <w:sz w:val="22"/>
              </w:rPr>
            </w:pPr>
            <w:r w:rsidRPr="00FA4DC7">
              <w:rPr>
                <w:rFonts w:ascii="Arial" w:hAnsi="Arial" w:cs="Arial"/>
                <w:b/>
                <w:bCs/>
                <w:color w:val="FFFFFF" w:themeColor="background1"/>
                <w:sz w:val="22"/>
              </w:rPr>
              <w:t>Needs groups</w:t>
            </w:r>
          </w:p>
        </w:tc>
        <w:tc>
          <w:tcPr>
            <w:tcW w:w="1003" w:type="pct"/>
            <w:shd w:val="clear" w:color="auto" w:fill="006666"/>
            <w:vAlign w:val="bottom"/>
          </w:tcPr>
          <w:p w14:paraId="39B5659C" w14:textId="77777777" w:rsidR="00CE1BDB" w:rsidRPr="00FA4DC7" w:rsidRDefault="00CE1BDB" w:rsidP="003A3017">
            <w:pPr>
              <w:pStyle w:val="Maintext"/>
              <w:numPr>
                <w:ilvl w:val="0"/>
                <w:numId w:val="0"/>
              </w:numPr>
              <w:tabs>
                <w:tab w:val="left" w:pos="0"/>
                <w:tab w:val="left" w:pos="709"/>
                <w:tab w:val="left" w:pos="1418"/>
              </w:tabs>
              <w:spacing w:before="0" w:after="0"/>
              <w:jc w:val="center"/>
              <w:rPr>
                <w:rFonts w:ascii="Arial" w:hAnsi="Arial" w:cs="Arial"/>
                <w:b/>
                <w:bCs/>
                <w:color w:val="FFFFFF" w:themeColor="background1"/>
                <w:sz w:val="22"/>
              </w:rPr>
            </w:pPr>
            <w:r w:rsidRPr="00FA4DC7">
              <w:rPr>
                <w:rFonts w:ascii="Arial" w:hAnsi="Arial" w:cs="Arial"/>
                <w:b/>
                <w:bCs/>
                <w:color w:val="FFFFFF" w:themeColor="background1"/>
                <w:sz w:val="22"/>
              </w:rPr>
              <w:t>Number of households</w:t>
            </w:r>
          </w:p>
        </w:tc>
        <w:tc>
          <w:tcPr>
            <w:tcW w:w="1006" w:type="pct"/>
            <w:shd w:val="clear" w:color="auto" w:fill="006666"/>
            <w:vAlign w:val="bottom"/>
          </w:tcPr>
          <w:p w14:paraId="7F07DD0C" w14:textId="77777777" w:rsidR="00CE1BDB" w:rsidRPr="00FA4DC7" w:rsidRDefault="00CE1BDB" w:rsidP="003A3017">
            <w:pPr>
              <w:pStyle w:val="Maintext"/>
              <w:numPr>
                <w:ilvl w:val="0"/>
                <w:numId w:val="0"/>
              </w:numPr>
              <w:tabs>
                <w:tab w:val="left" w:pos="0"/>
                <w:tab w:val="left" w:pos="709"/>
                <w:tab w:val="left" w:pos="1418"/>
              </w:tabs>
              <w:spacing w:before="0" w:after="0"/>
              <w:jc w:val="center"/>
              <w:rPr>
                <w:rFonts w:ascii="Arial" w:hAnsi="Arial" w:cs="Arial"/>
                <w:b/>
                <w:bCs/>
                <w:color w:val="FFFFFF" w:themeColor="background1"/>
                <w:sz w:val="22"/>
              </w:rPr>
            </w:pPr>
            <w:r w:rsidRPr="00FA4DC7">
              <w:rPr>
                <w:rFonts w:ascii="Arial" w:hAnsi="Arial" w:cs="Arial"/>
                <w:b/>
                <w:bCs/>
                <w:color w:val="FFFFFF" w:themeColor="background1"/>
                <w:sz w:val="22"/>
              </w:rPr>
              <w:t xml:space="preserve">% </w:t>
            </w:r>
            <w:proofErr w:type="gramStart"/>
            <w:r w:rsidRPr="00FA4DC7">
              <w:rPr>
                <w:rFonts w:ascii="Arial" w:hAnsi="Arial" w:cs="Arial"/>
                <w:b/>
                <w:bCs/>
                <w:color w:val="FFFFFF" w:themeColor="background1"/>
                <w:sz w:val="22"/>
              </w:rPr>
              <w:t>cannot</w:t>
            </w:r>
            <w:proofErr w:type="gramEnd"/>
            <w:r w:rsidRPr="00FA4DC7">
              <w:rPr>
                <w:rFonts w:ascii="Arial" w:hAnsi="Arial" w:cs="Arial"/>
                <w:b/>
                <w:bCs/>
                <w:color w:val="FFFFFF" w:themeColor="background1"/>
                <w:sz w:val="22"/>
              </w:rPr>
              <w:t xml:space="preserve"> afford to buy or rent</w:t>
            </w:r>
          </w:p>
        </w:tc>
        <w:tc>
          <w:tcPr>
            <w:tcW w:w="991" w:type="pct"/>
            <w:shd w:val="clear" w:color="auto" w:fill="006666"/>
            <w:vAlign w:val="bottom"/>
          </w:tcPr>
          <w:p w14:paraId="6BB80B38" w14:textId="77777777" w:rsidR="00CE1BDB" w:rsidRPr="00FA4DC7" w:rsidRDefault="00CE1BDB" w:rsidP="003A3017">
            <w:pPr>
              <w:pStyle w:val="Maintext"/>
              <w:numPr>
                <w:ilvl w:val="0"/>
                <w:numId w:val="0"/>
              </w:numPr>
              <w:tabs>
                <w:tab w:val="left" w:pos="0"/>
                <w:tab w:val="left" w:pos="709"/>
                <w:tab w:val="left" w:pos="1418"/>
              </w:tabs>
              <w:spacing w:before="0" w:after="0"/>
              <w:jc w:val="center"/>
              <w:rPr>
                <w:rFonts w:ascii="Arial" w:hAnsi="Arial" w:cs="Arial"/>
                <w:b/>
                <w:bCs/>
                <w:color w:val="FFFFFF" w:themeColor="background1"/>
                <w:sz w:val="22"/>
              </w:rPr>
            </w:pPr>
            <w:r w:rsidRPr="00FA4DC7">
              <w:rPr>
                <w:rFonts w:ascii="Arial" w:hAnsi="Arial" w:cs="Arial"/>
                <w:b/>
                <w:bCs/>
                <w:color w:val="FFFFFF" w:themeColor="background1"/>
                <w:sz w:val="22"/>
              </w:rPr>
              <w:t>Number cannot afford to buy or rent</w:t>
            </w:r>
          </w:p>
        </w:tc>
      </w:tr>
      <w:tr w:rsidR="00CE1BDB" w:rsidRPr="00FA4DC7" w14:paraId="2BFC8837" w14:textId="77777777" w:rsidTr="003A3017">
        <w:tc>
          <w:tcPr>
            <w:tcW w:w="2000" w:type="pct"/>
            <w:vAlign w:val="center"/>
          </w:tcPr>
          <w:p w14:paraId="45C695F8" w14:textId="77777777" w:rsidR="00CE1BDB" w:rsidRPr="00FA4DC7" w:rsidRDefault="00CE1BDB" w:rsidP="00EF49A7">
            <w:pPr>
              <w:pStyle w:val="Maintext"/>
              <w:numPr>
                <w:ilvl w:val="0"/>
                <w:numId w:val="0"/>
              </w:numPr>
              <w:tabs>
                <w:tab w:val="left" w:pos="0"/>
                <w:tab w:val="left" w:pos="709"/>
                <w:tab w:val="left" w:pos="1418"/>
              </w:tabs>
              <w:spacing w:before="0" w:after="0"/>
              <w:rPr>
                <w:rFonts w:ascii="Arial" w:hAnsi="Arial" w:cs="Arial"/>
                <w:sz w:val="22"/>
              </w:rPr>
            </w:pPr>
            <w:r w:rsidRPr="00FA4DC7">
              <w:rPr>
                <w:rFonts w:ascii="Arial" w:hAnsi="Arial" w:cs="Arial"/>
                <w:sz w:val="22"/>
              </w:rPr>
              <w:t>Sum of A1 and A2 households</w:t>
            </w:r>
          </w:p>
        </w:tc>
        <w:tc>
          <w:tcPr>
            <w:tcW w:w="1003" w:type="pct"/>
            <w:vAlign w:val="center"/>
          </w:tcPr>
          <w:p w14:paraId="6E743531"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sz w:val="22"/>
              </w:rPr>
            </w:pPr>
            <w:r w:rsidRPr="00FA4DC7">
              <w:rPr>
                <w:rFonts w:ascii="Arial" w:hAnsi="Arial" w:cs="Arial"/>
                <w:sz w:val="22"/>
              </w:rPr>
              <w:t>1,846</w:t>
            </w:r>
          </w:p>
        </w:tc>
        <w:tc>
          <w:tcPr>
            <w:tcW w:w="1006" w:type="pct"/>
            <w:vAlign w:val="center"/>
          </w:tcPr>
          <w:p w14:paraId="7B297A6E"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sz w:val="22"/>
              </w:rPr>
            </w:pPr>
            <w:r w:rsidRPr="00FA4DC7">
              <w:rPr>
                <w:rFonts w:ascii="Arial" w:hAnsi="Arial" w:cs="Arial"/>
                <w:sz w:val="22"/>
              </w:rPr>
              <w:t>100%</w:t>
            </w:r>
          </w:p>
        </w:tc>
        <w:tc>
          <w:tcPr>
            <w:tcW w:w="991" w:type="pct"/>
            <w:vAlign w:val="center"/>
          </w:tcPr>
          <w:p w14:paraId="014AC1E1"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sz w:val="22"/>
              </w:rPr>
            </w:pPr>
            <w:r w:rsidRPr="00FA4DC7">
              <w:rPr>
                <w:rFonts w:ascii="Arial" w:hAnsi="Arial" w:cs="Arial"/>
                <w:sz w:val="22"/>
              </w:rPr>
              <w:t>1,846</w:t>
            </w:r>
          </w:p>
        </w:tc>
      </w:tr>
      <w:tr w:rsidR="00CE1BDB" w:rsidRPr="00FA4DC7" w14:paraId="50D28B16" w14:textId="77777777" w:rsidTr="003A3017">
        <w:tc>
          <w:tcPr>
            <w:tcW w:w="2000" w:type="pct"/>
            <w:vAlign w:val="center"/>
          </w:tcPr>
          <w:p w14:paraId="120277A8" w14:textId="77777777" w:rsidR="00CE1BDB" w:rsidRPr="00FA4DC7" w:rsidRDefault="00CE1BDB" w:rsidP="00EF49A7">
            <w:pPr>
              <w:pStyle w:val="Maintext"/>
              <w:numPr>
                <w:ilvl w:val="0"/>
                <w:numId w:val="0"/>
              </w:numPr>
              <w:tabs>
                <w:tab w:val="left" w:pos="0"/>
                <w:tab w:val="left" w:pos="709"/>
                <w:tab w:val="left" w:pos="1418"/>
              </w:tabs>
              <w:spacing w:before="0" w:after="0"/>
              <w:rPr>
                <w:rFonts w:ascii="Arial" w:hAnsi="Arial" w:cs="Arial"/>
                <w:sz w:val="22"/>
              </w:rPr>
            </w:pPr>
            <w:r w:rsidRPr="00FA4DC7">
              <w:rPr>
                <w:rFonts w:ascii="Arial" w:hAnsi="Arial" w:cs="Arial"/>
                <w:sz w:val="22"/>
              </w:rPr>
              <w:t>Sum of households in A3 to A6 with one or more needs</w:t>
            </w:r>
          </w:p>
        </w:tc>
        <w:tc>
          <w:tcPr>
            <w:tcW w:w="1003" w:type="pct"/>
            <w:vAlign w:val="center"/>
          </w:tcPr>
          <w:p w14:paraId="03B52690"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sz w:val="22"/>
              </w:rPr>
            </w:pPr>
            <w:r w:rsidRPr="00FA4DC7">
              <w:rPr>
                <w:rFonts w:ascii="Arial" w:hAnsi="Arial" w:cs="Arial"/>
                <w:sz w:val="22"/>
              </w:rPr>
              <w:t>9,879</w:t>
            </w:r>
          </w:p>
        </w:tc>
        <w:tc>
          <w:tcPr>
            <w:tcW w:w="1006" w:type="pct"/>
            <w:vAlign w:val="center"/>
          </w:tcPr>
          <w:p w14:paraId="579518D2"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sz w:val="22"/>
              </w:rPr>
            </w:pPr>
            <w:r w:rsidRPr="00FA4DC7">
              <w:rPr>
                <w:rFonts w:ascii="Arial" w:hAnsi="Arial" w:cs="Arial"/>
                <w:sz w:val="22"/>
              </w:rPr>
              <w:t>57%</w:t>
            </w:r>
          </w:p>
        </w:tc>
        <w:tc>
          <w:tcPr>
            <w:tcW w:w="991" w:type="pct"/>
            <w:vAlign w:val="center"/>
          </w:tcPr>
          <w:p w14:paraId="0DE622D2"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sz w:val="22"/>
              </w:rPr>
            </w:pPr>
            <w:r w:rsidRPr="00FA4DC7">
              <w:rPr>
                <w:rFonts w:ascii="Arial" w:hAnsi="Arial" w:cs="Arial"/>
                <w:sz w:val="22"/>
              </w:rPr>
              <w:t>5,631</w:t>
            </w:r>
          </w:p>
        </w:tc>
      </w:tr>
      <w:tr w:rsidR="00CE1BDB" w:rsidRPr="00FA4DC7" w14:paraId="0E1529B0" w14:textId="77777777" w:rsidTr="003A3017">
        <w:tc>
          <w:tcPr>
            <w:tcW w:w="2000" w:type="pct"/>
            <w:vAlign w:val="center"/>
          </w:tcPr>
          <w:p w14:paraId="382E98B2" w14:textId="77777777" w:rsidR="00CE1BDB" w:rsidRPr="00FA4DC7" w:rsidRDefault="00CE1BDB" w:rsidP="00EF49A7">
            <w:pPr>
              <w:pStyle w:val="Maintext"/>
              <w:numPr>
                <w:ilvl w:val="0"/>
                <w:numId w:val="0"/>
              </w:numPr>
              <w:tabs>
                <w:tab w:val="left" w:pos="0"/>
                <w:tab w:val="left" w:pos="709"/>
                <w:tab w:val="left" w:pos="1418"/>
              </w:tabs>
              <w:spacing w:before="0" w:after="0"/>
              <w:rPr>
                <w:rFonts w:ascii="Arial" w:hAnsi="Arial" w:cs="Arial"/>
                <w:sz w:val="22"/>
              </w:rPr>
            </w:pPr>
            <w:r w:rsidRPr="00FA4DC7">
              <w:rPr>
                <w:rFonts w:ascii="Arial" w:hAnsi="Arial" w:cs="Arial"/>
                <w:sz w:val="22"/>
              </w:rPr>
              <w:t>Total cannot afford to buy or rent</w:t>
            </w:r>
          </w:p>
        </w:tc>
        <w:tc>
          <w:tcPr>
            <w:tcW w:w="1003" w:type="pct"/>
            <w:vAlign w:val="center"/>
          </w:tcPr>
          <w:p w14:paraId="6EA4A600"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b/>
                <w:bCs/>
                <w:sz w:val="22"/>
              </w:rPr>
            </w:pPr>
          </w:p>
        </w:tc>
        <w:tc>
          <w:tcPr>
            <w:tcW w:w="1006" w:type="pct"/>
            <w:vAlign w:val="center"/>
          </w:tcPr>
          <w:p w14:paraId="3D8136D3"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b/>
                <w:bCs/>
                <w:sz w:val="22"/>
              </w:rPr>
            </w:pPr>
          </w:p>
        </w:tc>
        <w:tc>
          <w:tcPr>
            <w:tcW w:w="991" w:type="pct"/>
            <w:vAlign w:val="center"/>
          </w:tcPr>
          <w:p w14:paraId="21211AFD" w14:textId="77777777" w:rsidR="00CE1BDB" w:rsidRPr="00FA4DC7" w:rsidRDefault="00CE1BDB" w:rsidP="003A3017">
            <w:pPr>
              <w:pStyle w:val="Maintext"/>
              <w:numPr>
                <w:ilvl w:val="0"/>
                <w:numId w:val="0"/>
              </w:numPr>
              <w:tabs>
                <w:tab w:val="left" w:pos="0"/>
                <w:tab w:val="left" w:pos="709"/>
                <w:tab w:val="left" w:pos="1418"/>
              </w:tabs>
              <w:spacing w:before="0" w:after="0"/>
              <w:jc w:val="right"/>
              <w:rPr>
                <w:rFonts w:ascii="Arial" w:hAnsi="Arial" w:cs="Arial"/>
                <w:b/>
                <w:bCs/>
                <w:sz w:val="22"/>
              </w:rPr>
            </w:pPr>
            <w:r w:rsidRPr="00FA4DC7">
              <w:rPr>
                <w:rFonts w:ascii="Arial" w:hAnsi="Arial" w:cs="Arial"/>
                <w:b/>
                <w:bCs/>
                <w:sz w:val="22"/>
              </w:rPr>
              <w:t>7,477</w:t>
            </w:r>
          </w:p>
        </w:tc>
      </w:tr>
    </w:tbl>
    <w:p w14:paraId="5CED0D3E" w14:textId="77777777" w:rsidR="00CE1BDB" w:rsidRPr="00FA4DC7" w:rsidRDefault="00CE1BDB" w:rsidP="00CE1BDB">
      <w:pPr>
        <w:pStyle w:val="Maintext"/>
        <w:numPr>
          <w:ilvl w:val="0"/>
          <w:numId w:val="0"/>
        </w:numPr>
        <w:tabs>
          <w:tab w:val="left" w:pos="0"/>
          <w:tab w:val="left" w:pos="709"/>
          <w:tab w:val="left" w:pos="1418"/>
        </w:tabs>
        <w:ind w:left="709"/>
        <w:rPr>
          <w:rFonts w:ascii="Arial" w:hAnsi="Arial" w:cs="Arial"/>
          <w:highlight w:val="yellow"/>
        </w:rPr>
      </w:pPr>
    </w:p>
    <w:p w14:paraId="0D21E83B" w14:textId="77777777" w:rsidR="00CE1BDB" w:rsidRPr="00FA4DC7" w:rsidRDefault="00CE1BDB" w:rsidP="00CE1BDB">
      <w:pPr>
        <w:pStyle w:val="Heading2"/>
        <w:rPr>
          <w:rFonts w:cs="Arial"/>
        </w:rPr>
      </w:pPr>
      <w:bookmarkStart w:id="539" w:name="_Toc46434386"/>
      <w:bookmarkStart w:id="540" w:name="_Toc46497105"/>
      <w:bookmarkStart w:id="541" w:name="_Toc55856212"/>
      <w:bookmarkStart w:id="542" w:name="_Toc56426635"/>
      <w:bookmarkStart w:id="543" w:name="_Toc56502861"/>
      <w:bookmarkStart w:id="544" w:name="_Toc59204540"/>
      <w:bookmarkStart w:id="545" w:name="_Toc70614011"/>
      <w:bookmarkStart w:id="546" w:name="_Toc83035701"/>
      <w:r w:rsidRPr="00FA4DC7">
        <w:rPr>
          <w:rFonts w:cs="Arial"/>
        </w:rPr>
        <w:t>Step B:  Future households in need</w:t>
      </w:r>
      <w:bookmarkEnd w:id="539"/>
      <w:bookmarkEnd w:id="540"/>
      <w:bookmarkEnd w:id="541"/>
      <w:bookmarkEnd w:id="542"/>
      <w:bookmarkEnd w:id="543"/>
      <w:bookmarkEnd w:id="544"/>
      <w:bookmarkEnd w:id="545"/>
      <w:bookmarkEnd w:id="546"/>
    </w:p>
    <w:p w14:paraId="68D6D7B4" w14:textId="77777777" w:rsidR="00CE1BDB" w:rsidRPr="00FA4DC7" w:rsidRDefault="00CE1BDB" w:rsidP="00CE1BDB">
      <w:pPr>
        <w:pStyle w:val="Maintext"/>
        <w:numPr>
          <w:ilvl w:val="1"/>
          <w:numId w:val="34"/>
        </w:numPr>
        <w:tabs>
          <w:tab w:val="left" w:pos="0"/>
          <w:tab w:val="left" w:pos="709"/>
          <w:tab w:val="left" w:pos="1418"/>
        </w:tabs>
        <w:rPr>
          <w:rFonts w:ascii="Arial" w:hAnsi="Arial" w:cs="Arial"/>
          <w:iCs/>
        </w:rPr>
      </w:pPr>
      <w:r w:rsidRPr="00FA4DC7">
        <w:rPr>
          <w:rFonts w:ascii="Arial" w:hAnsi="Arial" w:cs="Arial"/>
          <w:b/>
          <w:bCs/>
          <w:color w:val="0B0B0B"/>
          <w:lang w:val="en-US"/>
        </w:rPr>
        <w:t xml:space="preserve">PPG </w:t>
      </w:r>
      <w:r w:rsidRPr="00FA4DC7">
        <w:rPr>
          <w:rFonts w:ascii="Arial" w:hAnsi="Arial" w:cs="Arial"/>
          <w:b/>
          <w:bCs/>
          <w:lang w:val="en-US"/>
        </w:rPr>
        <w:t>Paragraph 021 Reference ID: 2a-021029190220</w:t>
      </w:r>
      <w:r w:rsidRPr="00FA4DC7">
        <w:rPr>
          <w:rFonts w:ascii="Arial" w:hAnsi="Arial" w:cs="Arial"/>
          <w:color w:val="0B0B0B"/>
          <w:lang w:val="en-US"/>
        </w:rPr>
        <w:t xml:space="preserve"> states that ‘projections of affordable housing need will have to reflect new household formation, the proportion of newly-forming households unable to buy or rent in the market area, and an estimate of the number of existing households falling into need. The process will need to identify the minimum household income required to access lower quartile (entry level) market housing. It can then assess what proportion of newly-forming households will be unable to access market housing.’</w:t>
      </w:r>
    </w:p>
    <w:p w14:paraId="151DFE0B" w14:textId="77777777" w:rsidR="00CE1BDB" w:rsidRPr="00FA4DC7" w:rsidRDefault="00CE1BDB" w:rsidP="00CE1BDB">
      <w:pPr>
        <w:pStyle w:val="Maintext"/>
        <w:numPr>
          <w:ilvl w:val="0"/>
          <w:numId w:val="0"/>
        </w:numPr>
        <w:tabs>
          <w:tab w:val="left" w:pos="0"/>
          <w:tab w:val="left" w:pos="1418"/>
        </w:tabs>
        <w:ind w:left="709"/>
        <w:rPr>
          <w:rFonts w:ascii="Arial" w:hAnsi="Arial" w:cs="Arial"/>
          <w:color w:val="0B0B0B"/>
          <w:highlight w:val="yellow"/>
          <w:lang w:val="en-US"/>
        </w:rPr>
      </w:pPr>
    </w:p>
    <w:p w14:paraId="3AA7A3D1" w14:textId="77777777" w:rsidR="00CE1BDB" w:rsidRPr="00FA4DC7" w:rsidRDefault="00CE1BDB" w:rsidP="00CE1BDB">
      <w:pPr>
        <w:pStyle w:val="Heading3"/>
        <w:tabs>
          <w:tab w:val="left" w:pos="0"/>
          <w:tab w:val="left" w:pos="709"/>
          <w:tab w:val="left" w:pos="1418"/>
        </w:tabs>
        <w:rPr>
          <w:rFonts w:cs="Arial"/>
          <w:iCs/>
          <w:color w:val="009193"/>
        </w:rPr>
      </w:pPr>
      <w:r w:rsidRPr="00FA4DC7">
        <w:rPr>
          <w:rFonts w:cs="Arial"/>
          <w:color w:val="009193"/>
        </w:rPr>
        <w:t>New</w:t>
      </w:r>
      <w:r w:rsidRPr="00FA4DC7">
        <w:rPr>
          <w:rFonts w:cs="Arial"/>
          <w:color w:val="009193"/>
          <w:lang w:val="en-US"/>
        </w:rPr>
        <w:t xml:space="preserve"> household formation</w:t>
      </w:r>
    </w:p>
    <w:p w14:paraId="4C446F21"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The most useful data sources for assessing the level of new household formation are: </w:t>
      </w:r>
    </w:p>
    <w:p w14:paraId="78681588" w14:textId="77777777" w:rsidR="00CE1BDB" w:rsidRPr="00FA4DC7" w:rsidRDefault="00CE1BDB" w:rsidP="00CE1BDB">
      <w:pPr>
        <w:pStyle w:val="bullet"/>
        <w:jc w:val="both"/>
        <w:rPr>
          <w:rFonts w:cs="Arial"/>
        </w:rPr>
      </w:pPr>
      <w:r w:rsidRPr="00FA4DC7">
        <w:rPr>
          <w:rFonts w:cs="Arial"/>
        </w:rPr>
        <w:t>MHCLG/ONS household projections, from which an annual net increase in households can be derived; and</w:t>
      </w:r>
    </w:p>
    <w:p w14:paraId="4C0F0CB9" w14:textId="77777777" w:rsidR="00CE1BDB" w:rsidRPr="00FA4DC7" w:rsidRDefault="00CE1BDB" w:rsidP="00CE1BDB">
      <w:pPr>
        <w:pStyle w:val="bullet"/>
        <w:jc w:val="both"/>
        <w:rPr>
          <w:rFonts w:cs="Arial"/>
        </w:rPr>
      </w:pPr>
      <w:r w:rsidRPr="00FA4DC7">
        <w:rPr>
          <w:rFonts w:cs="Arial"/>
          <w:lang w:val="en-US"/>
        </w:rPr>
        <w:t>the</w:t>
      </w:r>
      <w:r w:rsidRPr="00FA4DC7">
        <w:rPr>
          <w:rFonts w:cs="Arial"/>
        </w:rPr>
        <w:t xml:space="preserve"> English Housing Survey, from which a national gross household formation rate can be derived and referenced as a data source in the PPG.</w:t>
      </w:r>
    </w:p>
    <w:p w14:paraId="7867FB08" w14:textId="77777777" w:rsidR="00CE1BDB" w:rsidRPr="00FA4DC7" w:rsidRDefault="00CE1BDB" w:rsidP="00CE1BDB">
      <w:pPr>
        <w:pStyle w:val="Maintext"/>
        <w:numPr>
          <w:ilvl w:val="1"/>
          <w:numId w:val="34"/>
        </w:numPr>
        <w:tabs>
          <w:tab w:val="left" w:pos="0"/>
          <w:tab w:val="left" w:pos="709"/>
          <w:tab w:val="left" w:pos="1418"/>
        </w:tabs>
        <w:rPr>
          <w:rFonts w:ascii="Arial" w:hAnsi="Arial" w:cs="Arial"/>
        </w:rPr>
      </w:pPr>
      <w:r w:rsidRPr="00FA4DC7">
        <w:rPr>
          <w:rFonts w:ascii="Arial" w:hAnsi="Arial" w:cs="Arial"/>
        </w:rPr>
        <w:t xml:space="preserve">Based on the requirements of PPG, the gross annual formation rate used in analysis is 1,734. This is the household formation rate derived from a range of projections set out in Table C4. </w:t>
      </w:r>
      <w:r w:rsidRPr="00FA4DC7">
        <w:rPr>
          <w:rFonts w:ascii="Arial" w:hAnsi="Arial" w:cs="Arial"/>
          <w:b/>
          <w:bCs/>
        </w:rPr>
        <w:t xml:space="preserve"> </w:t>
      </w:r>
      <w:r w:rsidRPr="00FA4DC7">
        <w:rPr>
          <w:rFonts w:ascii="Arial" w:hAnsi="Arial" w:cs="Arial"/>
        </w:rPr>
        <w:t xml:space="preserve">Through the standard method of calculating need, allowance is made for increasing the level of housing delivery to support household formation through the affordability adjustment. </w:t>
      </w:r>
    </w:p>
    <w:p w14:paraId="48165C57" w14:textId="77777777" w:rsidR="00CE1BDB" w:rsidRPr="00FA4DC7" w:rsidRDefault="00CE1BDB" w:rsidP="00CE1BDB">
      <w:pPr>
        <w:rPr>
          <w:rFonts w:cs="Arial"/>
          <w:highlight w:val="yellow"/>
        </w:rPr>
      </w:pPr>
    </w:p>
    <w:tbl>
      <w:tblPr>
        <w:tblStyle w:val="TableGrid"/>
        <w:tblW w:w="5000" w:type="pct"/>
        <w:tblLook w:val="04A0" w:firstRow="1" w:lastRow="0" w:firstColumn="1" w:lastColumn="0" w:noHBand="0" w:noVBand="1"/>
      </w:tblPr>
      <w:tblGrid>
        <w:gridCol w:w="3117"/>
        <w:gridCol w:w="1355"/>
        <w:gridCol w:w="2413"/>
        <w:gridCol w:w="2295"/>
      </w:tblGrid>
      <w:tr w:rsidR="00CE1BDB" w:rsidRPr="003A3017" w14:paraId="09922706" w14:textId="77777777" w:rsidTr="003A3017">
        <w:tc>
          <w:tcPr>
            <w:tcW w:w="5000" w:type="pct"/>
            <w:gridSpan w:val="4"/>
            <w:shd w:val="clear" w:color="auto" w:fill="006666"/>
            <w:vAlign w:val="center"/>
          </w:tcPr>
          <w:p w14:paraId="1CE147F4" w14:textId="77777777" w:rsidR="00CE1BDB" w:rsidRPr="003A3017" w:rsidRDefault="00CE1BDB" w:rsidP="00EF49A7">
            <w:pPr>
              <w:pStyle w:val="Tableheading1"/>
              <w:rPr>
                <w:rFonts w:cs="Arial"/>
                <w:szCs w:val="22"/>
              </w:rPr>
            </w:pPr>
            <w:bookmarkStart w:id="547" w:name="_Toc46778471"/>
            <w:bookmarkStart w:id="548" w:name="_Toc56502892"/>
            <w:bookmarkStart w:id="549" w:name="_Toc59205105"/>
            <w:bookmarkStart w:id="550" w:name="_Toc83036125"/>
            <w:r w:rsidRPr="003A3017">
              <w:rPr>
                <w:rFonts w:cs="Arial"/>
                <w:szCs w:val="22"/>
              </w:rPr>
              <w:lastRenderedPageBreak/>
              <w:t>Table</w:t>
            </w:r>
            <w:r w:rsidRPr="003A3017">
              <w:rPr>
                <w:rFonts w:cs="Arial"/>
                <w:b w:val="0"/>
                <w:bCs w:val="0"/>
                <w:szCs w:val="22"/>
              </w:rPr>
              <w:t xml:space="preserve"> </w:t>
            </w:r>
            <w:r w:rsidRPr="003A3017">
              <w:rPr>
                <w:rFonts w:cs="Arial"/>
                <w:szCs w:val="22"/>
              </w:rPr>
              <w:t>C4</w:t>
            </w:r>
            <w:r w:rsidRPr="003A3017">
              <w:rPr>
                <w:rFonts w:cs="Arial"/>
                <w:szCs w:val="22"/>
              </w:rPr>
              <w:tab/>
              <w:t>Net and gross household formation 2021-203</w:t>
            </w:r>
            <w:bookmarkEnd w:id="547"/>
            <w:bookmarkEnd w:id="548"/>
            <w:bookmarkEnd w:id="549"/>
            <w:r w:rsidRPr="003A3017">
              <w:rPr>
                <w:rFonts w:cs="Arial"/>
                <w:szCs w:val="22"/>
              </w:rPr>
              <w:t>1</w:t>
            </w:r>
            <w:bookmarkEnd w:id="550"/>
          </w:p>
        </w:tc>
      </w:tr>
      <w:tr w:rsidR="00CE1BDB" w:rsidRPr="003A3017" w14:paraId="18823ACE" w14:textId="77777777" w:rsidTr="003A3017">
        <w:tc>
          <w:tcPr>
            <w:tcW w:w="1698" w:type="pct"/>
            <w:shd w:val="clear" w:color="auto" w:fill="006666"/>
            <w:vAlign w:val="bottom"/>
          </w:tcPr>
          <w:p w14:paraId="46EFBA51" w14:textId="77777777" w:rsidR="00CE1BDB" w:rsidRPr="003A3017" w:rsidRDefault="00CE1BDB" w:rsidP="00EF49A7">
            <w:pPr>
              <w:spacing w:before="0" w:after="0"/>
              <w:jc w:val="center"/>
              <w:rPr>
                <w:rFonts w:cs="Arial"/>
                <w:b/>
                <w:bCs/>
                <w:sz w:val="22"/>
                <w:szCs w:val="22"/>
                <w:highlight w:val="yellow"/>
              </w:rPr>
            </w:pPr>
          </w:p>
        </w:tc>
        <w:tc>
          <w:tcPr>
            <w:tcW w:w="738" w:type="pct"/>
            <w:shd w:val="clear" w:color="auto" w:fill="006666"/>
            <w:vAlign w:val="bottom"/>
          </w:tcPr>
          <w:p w14:paraId="75CB848C" w14:textId="77777777" w:rsidR="00CE1BDB" w:rsidRPr="003A3017" w:rsidRDefault="00CE1BDB" w:rsidP="00EF49A7">
            <w:pPr>
              <w:spacing w:before="0" w:after="0"/>
              <w:jc w:val="center"/>
              <w:rPr>
                <w:rFonts w:cs="Arial"/>
                <w:b/>
                <w:bCs/>
                <w:color w:val="FFFFFF" w:themeColor="background1"/>
                <w:sz w:val="22"/>
                <w:szCs w:val="22"/>
              </w:rPr>
            </w:pPr>
            <w:r w:rsidRPr="003A3017">
              <w:rPr>
                <w:rFonts w:cs="Arial"/>
                <w:b/>
                <w:bCs/>
                <w:color w:val="FFFFFF" w:themeColor="background1"/>
                <w:sz w:val="22"/>
                <w:szCs w:val="22"/>
              </w:rPr>
              <w:t>Annual household formation</w:t>
            </w:r>
          </w:p>
        </w:tc>
        <w:tc>
          <w:tcPr>
            <w:tcW w:w="1314" w:type="pct"/>
            <w:shd w:val="clear" w:color="auto" w:fill="006666"/>
            <w:vAlign w:val="bottom"/>
          </w:tcPr>
          <w:p w14:paraId="1BA8E7DF" w14:textId="77777777" w:rsidR="00CE1BDB" w:rsidRPr="003A3017" w:rsidRDefault="00CE1BDB" w:rsidP="00EF49A7">
            <w:pPr>
              <w:spacing w:before="0" w:after="0"/>
              <w:jc w:val="center"/>
              <w:rPr>
                <w:rFonts w:cs="Arial"/>
                <w:b/>
                <w:bCs/>
                <w:color w:val="FFFFFF" w:themeColor="background1"/>
                <w:sz w:val="22"/>
                <w:szCs w:val="22"/>
              </w:rPr>
            </w:pPr>
            <w:r w:rsidRPr="003A3017">
              <w:rPr>
                <w:rFonts w:cs="Arial"/>
                <w:b/>
                <w:bCs/>
                <w:color w:val="FFFFFF" w:themeColor="background1"/>
                <w:sz w:val="22"/>
                <w:szCs w:val="22"/>
              </w:rPr>
              <w:t>Notes</w:t>
            </w:r>
          </w:p>
        </w:tc>
        <w:tc>
          <w:tcPr>
            <w:tcW w:w="1250" w:type="pct"/>
            <w:shd w:val="clear" w:color="auto" w:fill="006666"/>
            <w:vAlign w:val="bottom"/>
          </w:tcPr>
          <w:p w14:paraId="39D416FA" w14:textId="77777777" w:rsidR="00CE1BDB" w:rsidRPr="003A3017" w:rsidRDefault="00CE1BDB" w:rsidP="00EF49A7">
            <w:pPr>
              <w:spacing w:before="0" w:after="0"/>
              <w:jc w:val="center"/>
              <w:rPr>
                <w:rFonts w:cs="Arial"/>
                <w:b/>
                <w:bCs/>
                <w:color w:val="FFFFFF" w:themeColor="background1"/>
                <w:sz w:val="22"/>
                <w:szCs w:val="22"/>
              </w:rPr>
            </w:pPr>
            <w:r w:rsidRPr="003A3017">
              <w:rPr>
                <w:rFonts w:cs="Arial"/>
                <w:b/>
                <w:bCs/>
                <w:color w:val="FFFFFF" w:themeColor="background1"/>
                <w:sz w:val="22"/>
                <w:szCs w:val="22"/>
              </w:rPr>
              <w:t>Source</w:t>
            </w:r>
          </w:p>
        </w:tc>
      </w:tr>
      <w:tr w:rsidR="00CE1BDB" w:rsidRPr="003A3017" w14:paraId="2DC5A168" w14:textId="77777777" w:rsidTr="003A3017">
        <w:tc>
          <w:tcPr>
            <w:tcW w:w="1698" w:type="pct"/>
            <w:vAlign w:val="center"/>
          </w:tcPr>
          <w:p w14:paraId="5716BD56" w14:textId="77777777" w:rsidR="00CE1BDB" w:rsidRPr="003A3017" w:rsidRDefault="00CE1BDB" w:rsidP="00EF49A7">
            <w:pPr>
              <w:spacing w:before="0" w:after="0"/>
              <w:rPr>
                <w:rFonts w:cs="Arial"/>
                <w:sz w:val="22"/>
                <w:szCs w:val="22"/>
              </w:rPr>
            </w:pPr>
            <w:r w:rsidRPr="003A3017">
              <w:rPr>
                <w:rFonts w:cs="Arial"/>
                <w:color w:val="000000"/>
                <w:sz w:val="22"/>
                <w:szCs w:val="22"/>
              </w:rPr>
              <w:t>A. MHCLG 2014-based household projections</w:t>
            </w:r>
          </w:p>
        </w:tc>
        <w:tc>
          <w:tcPr>
            <w:tcW w:w="738" w:type="pct"/>
            <w:vAlign w:val="center"/>
          </w:tcPr>
          <w:p w14:paraId="1E6A778B" w14:textId="77777777" w:rsidR="00CE1BDB" w:rsidRPr="003A3017" w:rsidRDefault="00CE1BDB" w:rsidP="003A3017">
            <w:pPr>
              <w:spacing w:before="0" w:after="0"/>
              <w:jc w:val="right"/>
              <w:rPr>
                <w:rFonts w:cs="Arial"/>
                <w:sz w:val="22"/>
                <w:szCs w:val="22"/>
              </w:rPr>
            </w:pPr>
            <w:r w:rsidRPr="003A3017">
              <w:rPr>
                <w:rFonts w:cs="Arial"/>
                <w:sz w:val="22"/>
                <w:szCs w:val="22"/>
              </w:rPr>
              <w:t>1,297</w:t>
            </w:r>
          </w:p>
        </w:tc>
        <w:tc>
          <w:tcPr>
            <w:tcW w:w="1314" w:type="pct"/>
            <w:vAlign w:val="center"/>
          </w:tcPr>
          <w:p w14:paraId="7578C72A" w14:textId="77777777" w:rsidR="00CE1BDB" w:rsidRPr="003A3017" w:rsidRDefault="00CE1BDB" w:rsidP="00EF49A7">
            <w:pPr>
              <w:spacing w:before="0" w:after="0"/>
              <w:rPr>
                <w:rFonts w:cs="Arial"/>
                <w:sz w:val="22"/>
                <w:szCs w:val="22"/>
              </w:rPr>
            </w:pPr>
            <w:proofErr w:type="gramStart"/>
            <w:r w:rsidRPr="003A3017">
              <w:rPr>
                <w:rFonts w:cs="Arial"/>
                <w:color w:val="000000"/>
                <w:sz w:val="22"/>
                <w:szCs w:val="22"/>
              </w:rPr>
              <w:t>12,967  NET</w:t>
            </w:r>
            <w:proofErr w:type="gramEnd"/>
            <w:r w:rsidRPr="003A3017">
              <w:rPr>
                <w:rFonts w:cs="Arial"/>
                <w:color w:val="000000"/>
                <w:sz w:val="22"/>
                <w:szCs w:val="22"/>
              </w:rPr>
              <w:t xml:space="preserve">  increase between 2021 and 2031</w:t>
            </w:r>
          </w:p>
        </w:tc>
        <w:tc>
          <w:tcPr>
            <w:tcW w:w="1250" w:type="pct"/>
            <w:vAlign w:val="center"/>
          </w:tcPr>
          <w:p w14:paraId="357D94E3" w14:textId="77777777" w:rsidR="00CE1BDB" w:rsidRPr="003A3017" w:rsidRDefault="00CE1BDB" w:rsidP="00EF49A7">
            <w:pPr>
              <w:spacing w:before="0" w:after="0"/>
              <w:rPr>
                <w:rFonts w:cs="Arial"/>
                <w:sz w:val="22"/>
                <w:szCs w:val="22"/>
              </w:rPr>
            </w:pPr>
            <w:r w:rsidRPr="003A3017">
              <w:rPr>
                <w:rFonts w:cs="Arial"/>
                <w:color w:val="000000"/>
                <w:sz w:val="22"/>
                <w:szCs w:val="22"/>
              </w:rPr>
              <w:t>MHCLG 2014-based household projections</w:t>
            </w:r>
          </w:p>
        </w:tc>
      </w:tr>
      <w:tr w:rsidR="00CE1BDB" w:rsidRPr="003A3017" w14:paraId="1ABD5C57" w14:textId="77777777" w:rsidTr="003A3017">
        <w:tc>
          <w:tcPr>
            <w:tcW w:w="1698" w:type="pct"/>
            <w:vAlign w:val="center"/>
          </w:tcPr>
          <w:p w14:paraId="11CDDD90" w14:textId="77777777" w:rsidR="00CE1BDB" w:rsidRPr="003A3017" w:rsidRDefault="00CE1BDB" w:rsidP="00EF49A7">
            <w:pPr>
              <w:spacing w:before="0" w:after="0"/>
              <w:rPr>
                <w:rFonts w:cs="Arial"/>
                <w:sz w:val="22"/>
                <w:szCs w:val="22"/>
              </w:rPr>
            </w:pPr>
            <w:r w:rsidRPr="003A3017">
              <w:rPr>
                <w:rFonts w:cs="Arial"/>
                <w:color w:val="000000"/>
                <w:sz w:val="22"/>
                <w:szCs w:val="22"/>
              </w:rPr>
              <w:t>B. ONS 2018-based household projections</w:t>
            </w:r>
          </w:p>
        </w:tc>
        <w:tc>
          <w:tcPr>
            <w:tcW w:w="738" w:type="pct"/>
            <w:vAlign w:val="center"/>
          </w:tcPr>
          <w:p w14:paraId="21B99B6E" w14:textId="77777777" w:rsidR="00CE1BDB" w:rsidRPr="003A3017" w:rsidRDefault="00CE1BDB" w:rsidP="003A3017">
            <w:pPr>
              <w:spacing w:before="0" w:after="0"/>
              <w:jc w:val="right"/>
              <w:rPr>
                <w:rFonts w:cs="Arial"/>
                <w:sz w:val="22"/>
                <w:szCs w:val="22"/>
              </w:rPr>
            </w:pPr>
            <w:r w:rsidRPr="003A3017">
              <w:rPr>
                <w:rFonts w:cs="Arial"/>
                <w:sz w:val="22"/>
                <w:szCs w:val="22"/>
              </w:rPr>
              <w:t>429</w:t>
            </w:r>
          </w:p>
        </w:tc>
        <w:tc>
          <w:tcPr>
            <w:tcW w:w="1314" w:type="pct"/>
            <w:vAlign w:val="center"/>
          </w:tcPr>
          <w:p w14:paraId="688C94B0" w14:textId="77777777" w:rsidR="00CE1BDB" w:rsidRPr="003A3017" w:rsidRDefault="00CE1BDB" w:rsidP="00EF49A7">
            <w:pPr>
              <w:spacing w:before="0" w:after="0"/>
              <w:rPr>
                <w:rFonts w:cs="Arial"/>
                <w:sz w:val="22"/>
                <w:szCs w:val="22"/>
              </w:rPr>
            </w:pPr>
            <w:proofErr w:type="gramStart"/>
            <w:r w:rsidRPr="003A3017">
              <w:rPr>
                <w:rFonts w:cs="Arial"/>
                <w:color w:val="000000"/>
                <w:sz w:val="22"/>
                <w:szCs w:val="22"/>
              </w:rPr>
              <w:t>4,288  NET</w:t>
            </w:r>
            <w:proofErr w:type="gramEnd"/>
            <w:r w:rsidRPr="003A3017">
              <w:rPr>
                <w:rFonts w:cs="Arial"/>
                <w:color w:val="000000"/>
                <w:sz w:val="22"/>
                <w:szCs w:val="22"/>
              </w:rPr>
              <w:t xml:space="preserve"> increase between 2021 and 2031</w:t>
            </w:r>
          </w:p>
        </w:tc>
        <w:tc>
          <w:tcPr>
            <w:tcW w:w="1250" w:type="pct"/>
            <w:vAlign w:val="center"/>
          </w:tcPr>
          <w:p w14:paraId="743119F2" w14:textId="77777777" w:rsidR="00CE1BDB" w:rsidRPr="003A3017" w:rsidRDefault="00CE1BDB" w:rsidP="00EF49A7">
            <w:pPr>
              <w:spacing w:before="0" w:after="0"/>
              <w:rPr>
                <w:rFonts w:cs="Arial"/>
                <w:sz w:val="22"/>
                <w:szCs w:val="22"/>
              </w:rPr>
            </w:pPr>
            <w:r w:rsidRPr="003A3017">
              <w:rPr>
                <w:rFonts w:cs="Arial"/>
                <w:color w:val="000000"/>
                <w:sz w:val="22"/>
                <w:szCs w:val="22"/>
              </w:rPr>
              <w:t>ONS 2018-based household projections</w:t>
            </w:r>
          </w:p>
        </w:tc>
      </w:tr>
      <w:tr w:rsidR="00CE1BDB" w:rsidRPr="003A3017" w14:paraId="6F793D46" w14:textId="77777777" w:rsidTr="003A3017">
        <w:tc>
          <w:tcPr>
            <w:tcW w:w="1698" w:type="pct"/>
            <w:vAlign w:val="center"/>
          </w:tcPr>
          <w:p w14:paraId="6D8C4028" w14:textId="77777777" w:rsidR="00CE1BDB" w:rsidRPr="003A3017" w:rsidRDefault="00CE1BDB" w:rsidP="00EF49A7">
            <w:pPr>
              <w:spacing w:before="0" w:after="0"/>
              <w:rPr>
                <w:rFonts w:cs="Arial"/>
                <w:sz w:val="22"/>
                <w:szCs w:val="22"/>
              </w:rPr>
            </w:pPr>
            <w:r w:rsidRPr="003A3017">
              <w:rPr>
                <w:rFonts w:cs="Arial"/>
                <w:color w:val="000000"/>
                <w:sz w:val="22"/>
                <w:szCs w:val="22"/>
              </w:rPr>
              <w:t>C. Average gross household formation rate based on applying national rate to total households over the period 2021-2031 (2014-based projections)</w:t>
            </w:r>
          </w:p>
        </w:tc>
        <w:tc>
          <w:tcPr>
            <w:tcW w:w="738" w:type="pct"/>
            <w:vAlign w:val="center"/>
          </w:tcPr>
          <w:p w14:paraId="38863478" w14:textId="77777777" w:rsidR="00CE1BDB" w:rsidRPr="003A3017" w:rsidRDefault="00CE1BDB" w:rsidP="003A3017">
            <w:pPr>
              <w:spacing w:before="0" w:after="0"/>
              <w:jc w:val="right"/>
              <w:rPr>
                <w:rFonts w:cs="Arial"/>
                <w:sz w:val="22"/>
                <w:szCs w:val="22"/>
              </w:rPr>
            </w:pPr>
            <w:r w:rsidRPr="003A3017">
              <w:rPr>
                <w:rFonts w:cs="Arial"/>
                <w:color w:val="000000"/>
                <w:sz w:val="22"/>
                <w:szCs w:val="22"/>
              </w:rPr>
              <w:t>1,822</w:t>
            </w:r>
          </w:p>
        </w:tc>
        <w:tc>
          <w:tcPr>
            <w:tcW w:w="1314" w:type="pct"/>
            <w:vAlign w:val="center"/>
          </w:tcPr>
          <w:p w14:paraId="0F97B5D7" w14:textId="77777777" w:rsidR="00CE1BDB" w:rsidRPr="003A3017" w:rsidRDefault="00CE1BDB" w:rsidP="00EF49A7">
            <w:pPr>
              <w:spacing w:before="0" w:after="0"/>
              <w:rPr>
                <w:rFonts w:cs="Arial"/>
                <w:sz w:val="22"/>
                <w:szCs w:val="22"/>
              </w:rPr>
            </w:pPr>
            <w:r w:rsidRPr="003A3017">
              <w:rPr>
                <w:rFonts w:cs="Arial"/>
                <w:color w:val="000000"/>
                <w:sz w:val="22"/>
                <w:szCs w:val="22"/>
              </w:rPr>
              <w:t>Gross household formation rate of 1.435%</w:t>
            </w:r>
          </w:p>
        </w:tc>
        <w:tc>
          <w:tcPr>
            <w:tcW w:w="1250" w:type="pct"/>
            <w:vAlign w:val="center"/>
          </w:tcPr>
          <w:p w14:paraId="4A27AF34" w14:textId="77777777" w:rsidR="00CE1BDB" w:rsidRPr="003A3017" w:rsidRDefault="00CE1BDB" w:rsidP="00EF49A7">
            <w:pPr>
              <w:spacing w:before="0" w:after="0"/>
              <w:rPr>
                <w:rFonts w:cs="Arial"/>
                <w:sz w:val="22"/>
                <w:szCs w:val="22"/>
              </w:rPr>
            </w:pPr>
            <w:r w:rsidRPr="003A3017">
              <w:rPr>
                <w:rFonts w:cs="Arial"/>
                <w:color w:val="000000"/>
                <w:sz w:val="22"/>
                <w:szCs w:val="22"/>
              </w:rPr>
              <w:t>English Housing Survey 3- year average 2017/18 to 2019/20</w:t>
            </w:r>
          </w:p>
        </w:tc>
      </w:tr>
      <w:tr w:rsidR="00CE1BDB" w:rsidRPr="003A3017" w14:paraId="5F30F7F1" w14:textId="77777777" w:rsidTr="003A3017">
        <w:tc>
          <w:tcPr>
            <w:tcW w:w="1698" w:type="pct"/>
            <w:vAlign w:val="center"/>
          </w:tcPr>
          <w:p w14:paraId="1930890A" w14:textId="77777777" w:rsidR="00CE1BDB" w:rsidRPr="003A3017" w:rsidRDefault="00CE1BDB" w:rsidP="00EF49A7">
            <w:pPr>
              <w:spacing w:before="0" w:after="0"/>
              <w:rPr>
                <w:rFonts w:cs="Arial"/>
                <w:sz w:val="22"/>
                <w:szCs w:val="22"/>
              </w:rPr>
            </w:pPr>
            <w:r w:rsidRPr="003A3017">
              <w:rPr>
                <w:rFonts w:cs="Arial"/>
                <w:color w:val="000000"/>
                <w:sz w:val="22"/>
                <w:szCs w:val="22"/>
              </w:rPr>
              <w:t>D. Average gross household formation rate based on applying national rate to total households over the period 2021-2031 (2018-based projections)</w:t>
            </w:r>
          </w:p>
        </w:tc>
        <w:tc>
          <w:tcPr>
            <w:tcW w:w="738" w:type="pct"/>
            <w:vAlign w:val="center"/>
          </w:tcPr>
          <w:p w14:paraId="7605F99B" w14:textId="77777777" w:rsidR="00CE1BDB" w:rsidRPr="003A3017" w:rsidRDefault="00CE1BDB" w:rsidP="003A3017">
            <w:pPr>
              <w:spacing w:before="0" w:after="0"/>
              <w:jc w:val="right"/>
              <w:rPr>
                <w:rFonts w:cs="Arial"/>
                <w:sz w:val="22"/>
                <w:szCs w:val="22"/>
              </w:rPr>
            </w:pPr>
            <w:r w:rsidRPr="003A3017">
              <w:rPr>
                <w:rFonts w:cs="Arial"/>
                <w:color w:val="000000"/>
                <w:sz w:val="22"/>
                <w:szCs w:val="22"/>
              </w:rPr>
              <w:t>1,646</w:t>
            </w:r>
          </w:p>
        </w:tc>
        <w:tc>
          <w:tcPr>
            <w:tcW w:w="1314" w:type="pct"/>
            <w:vAlign w:val="center"/>
          </w:tcPr>
          <w:p w14:paraId="5E459941" w14:textId="77777777" w:rsidR="00CE1BDB" w:rsidRPr="003A3017" w:rsidRDefault="00CE1BDB" w:rsidP="00EF49A7">
            <w:pPr>
              <w:spacing w:before="0" w:after="0"/>
              <w:rPr>
                <w:rFonts w:cs="Arial"/>
                <w:sz w:val="22"/>
                <w:szCs w:val="22"/>
              </w:rPr>
            </w:pPr>
            <w:r w:rsidRPr="003A3017">
              <w:rPr>
                <w:rFonts w:cs="Arial"/>
                <w:color w:val="000000"/>
                <w:sz w:val="22"/>
                <w:szCs w:val="22"/>
              </w:rPr>
              <w:t>Gross household formation rate of 1.439%</w:t>
            </w:r>
          </w:p>
        </w:tc>
        <w:tc>
          <w:tcPr>
            <w:tcW w:w="1250" w:type="pct"/>
            <w:vAlign w:val="center"/>
          </w:tcPr>
          <w:p w14:paraId="2F154CD3" w14:textId="77777777" w:rsidR="00CE1BDB" w:rsidRPr="003A3017" w:rsidRDefault="00CE1BDB" w:rsidP="00EF49A7">
            <w:pPr>
              <w:spacing w:before="0" w:after="0"/>
              <w:rPr>
                <w:rFonts w:cs="Arial"/>
                <w:sz w:val="22"/>
                <w:szCs w:val="22"/>
              </w:rPr>
            </w:pPr>
            <w:r w:rsidRPr="003A3017">
              <w:rPr>
                <w:rFonts w:cs="Arial"/>
                <w:color w:val="000000"/>
                <w:sz w:val="22"/>
                <w:szCs w:val="22"/>
              </w:rPr>
              <w:t xml:space="preserve">English Housing Survey </w:t>
            </w:r>
            <w:proofErr w:type="gramStart"/>
            <w:r w:rsidRPr="003A3017">
              <w:rPr>
                <w:rFonts w:cs="Arial"/>
                <w:color w:val="000000"/>
                <w:sz w:val="22"/>
                <w:szCs w:val="22"/>
              </w:rPr>
              <w:t>3 year</w:t>
            </w:r>
            <w:proofErr w:type="gramEnd"/>
            <w:r w:rsidRPr="003A3017">
              <w:rPr>
                <w:rFonts w:cs="Arial"/>
                <w:color w:val="000000"/>
                <w:sz w:val="22"/>
                <w:szCs w:val="22"/>
              </w:rPr>
              <w:t xml:space="preserve"> average 2017/18 to 2019/120</w:t>
            </w:r>
          </w:p>
        </w:tc>
      </w:tr>
      <w:tr w:rsidR="00CE1BDB" w:rsidRPr="003A3017" w14:paraId="344DC23F" w14:textId="77777777" w:rsidTr="003A3017">
        <w:tc>
          <w:tcPr>
            <w:tcW w:w="1698" w:type="pct"/>
            <w:vAlign w:val="center"/>
          </w:tcPr>
          <w:p w14:paraId="74A4C8B7" w14:textId="77777777" w:rsidR="00CE1BDB" w:rsidRPr="003A3017" w:rsidRDefault="00CE1BDB" w:rsidP="00EF49A7">
            <w:pPr>
              <w:spacing w:before="0" w:after="0"/>
              <w:rPr>
                <w:rFonts w:cs="Arial"/>
                <w:sz w:val="22"/>
                <w:szCs w:val="22"/>
              </w:rPr>
            </w:pPr>
            <w:r w:rsidRPr="003A3017">
              <w:rPr>
                <w:rFonts w:cs="Arial"/>
                <w:color w:val="000000"/>
                <w:sz w:val="22"/>
                <w:szCs w:val="22"/>
              </w:rPr>
              <w:t xml:space="preserve">G. Blended rate of gross household formation (C, </w:t>
            </w:r>
            <w:proofErr w:type="gramStart"/>
            <w:r w:rsidRPr="003A3017">
              <w:rPr>
                <w:rFonts w:cs="Arial"/>
                <w:color w:val="000000"/>
                <w:sz w:val="22"/>
                <w:szCs w:val="22"/>
              </w:rPr>
              <w:t>D,E</w:t>
            </w:r>
            <w:proofErr w:type="gramEnd"/>
            <w:r w:rsidRPr="003A3017">
              <w:rPr>
                <w:rFonts w:cs="Arial"/>
                <w:color w:val="000000"/>
                <w:sz w:val="22"/>
                <w:szCs w:val="22"/>
              </w:rPr>
              <w:t>, F)</w:t>
            </w:r>
          </w:p>
        </w:tc>
        <w:tc>
          <w:tcPr>
            <w:tcW w:w="738" w:type="pct"/>
            <w:vAlign w:val="center"/>
          </w:tcPr>
          <w:p w14:paraId="70B51175" w14:textId="77777777" w:rsidR="00CE1BDB" w:rsidRPr="003A3017" w:rsidRDefault="00CE1BDB" w:rsidP="003A3017">
            <w:pPr>
              <w:spacing w:before="0" w:after="0"/>
              <w:jc w:val="right"/>
              <w:rPr>
                <w:rFonts w:cs="Arial"/>
                <w:sz w:val="22"/>
                <w:szCs w:val="22"/>
              </w:rPr>
            </w:pPr>
            <w:r w:rsidRPr="003A3017">
              <w:rPr>
                <w:rFonts w:cs="Arial"/>
                <w:b/>
                <w:bCs/>
                <w:color w:val="000000"/>
                <w:sz w:val="22"/>
                <w:szCs w:val="22"/>
              </w:rPr>
              <w:t>1,734</w:t>
            </w:r>
          </w:p>
        </w:tc>
        <w:tc>
          <w:tcPr>
            <w:tcW w:w="1314" w:type="pct"/>
            <w:vAlign w:val="center"/>
          </w:tcPr>
          <w:p w14:paraId="6D6BB4CE" w14:textId="77777777" w:rsidR="00CE1BDB" w:rsidRPr="003A3017" w:rsidRDefault="00CE1BDB" w:rsidP="00EF49A7">
            <w:pPr>
              <w:spacing w:before="0" w:after="0"/>
              <w:rPr>
                <w:rFonts w:cs="Arial"/>
                <w:sz w:val="22"/>
                <w:szCs w:val="22"/>
              </w:rPr>
            </w:pPr>
            <w:r w:rsidRPr="003A3017">
              <w:rPr>
                <w:rFonts w:cs="Arial"/>
                <w:color w:val="000000"/>
                <w:sz w:val="22"/>
                <w:szCs w:val="22"/>
              </w:rPr>
              <w:t> </w:t>
            </w:r>
          </w:p>
        </w:tc>
        <w:tc>
          <w:tcPr>
            <w:tcW w:w="1250" w:type="pct"/>
            <w:vAlign w:val="center"/>
          </w:tcPr>
          <w:p w14:paraId="5804340D" w14:textId="77777777" w:rsidR="00CE1BDB" w:rsidRPr="003A3017" w:rsidRDefault="00CE1BDB" w:rsidP="00EF49A7">
            <w:pPr>
              <w:spacing w:before="0" w:after="0"/>
              <w:rPr>
                <w:rFonts w:cs="Arial"/>
                <w:sz w:val="22"/>
                <w:szCs w:val="22"/>
              </w:rPr>
            </w:pPr>
            <w:r w:rsidRPr="003A3017">
              <w:rPr>
                <w:rFonts w:cs="Arial"/>
                <w:color w:val="000000"/>
                <w:sz w:val="22"/>
                <w:szCs w:val="22"/>
              </w:rPr>
              <w:t> </w:t>
            </w:r>
          </w:p>
        </w:tc>
      </w:tr>
    </w:tbl>
    <w:p w14:paraId="2621B777" w14:textId="77777777" w:rsidR="00CE1BDB" w:rsidRPr="00FA4DC7" w:rsidRDefault="00CE1BDB" w:rsidP="00CE1BDB">
      <w:pPr>
        <w:rPr>
          <w:rFonts w:cs="Arial"/>
        </w:rPr>
      </w:pPr>
    </w:p>
    <w:p w14:paraId="76881C21" w14:textId="77777777" w:rsidR="00CE1BDB" w:rsidRPr="00FA4DC7" w:rsidRDefault="00CE1BDB" w:rsidP="00CE1BDB">
      <w:pPr>
        <w:pStyle w:val="Heading3"/>
        <w:rPr>
          <w:rFonts w:cs="Arial"/>
        </w:rPr>
      </w:pPr>
      <w:r w:rsidRPr="00FA4DC7">
        <w:rPr>
          <w:rFonts w:cs="Arial"/>
        </w:rPr>
        <w:t>New households likely to be in affordable housing need</w:t>
      </w:r>
    </w:p>
    <w:p w14:paraId="5EAC1E44"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Analysis of the incomes of households who have formed in the past 5 years using the arc4 national </w:t>
      </w:r>
      <w:proofErr w:type="gramStart"/>
      <w:r w:rsidRPr="00FA4DC7">
        <w:rPr>
          <w:rFonts w:ascii="Arial" w:hAnsi="Arial" w:cs="Arial"/>
        </w:rPr>
        <w:t>database  concludes</w:t>
      </w:r>
      <w:proofErr w:type="gramEnd"/>
      <w:r w:rsidRPr="00FA4DC7">
        <w:rPr>
          <w:rFonts w:ascii="Arial" w:hAnsi="Arial" w:cs="Arial"/>
        </w:rPr>
        <w:t xml:space="preserve"> that 56.9% could not afford buying or renting lower quartile (entry level) properties. Based on a gross formation rate of </w:t>
      </w:r>
      <w:r w:rsidRPr="00FA4DC7">
        <w:rPr>
          <w:rFonts w:ascii="Arial" w:hAnsi="Arial" w:cs="Arial"/>
          <w:b/>
          <w:bCs/>
        </w:rPr>
        <w:t>1,734</w:t>
      </w:r>
      <w:r w:rsidRPr="00FA4DC7">
        <w:rPr>
          <w:rFonts w:ascii="Arial" w:hAnsi="Arial" w:cs="Arial"/>
        </w:rPr>
        <w:t xml:space="preserve">, 987 households are estimated to be in affordable housing need. </w:t>
      </w:r>
    </w:p>
    <w:p w14:paraId="0C11EF59" w14:textId="77777777" w:rsidR="00CE1BDB" w:rsidRPr="00FA4DC7" w:rsidRDefault="00CE1BDB" w:rsidP="00CE1BDB">
      <w:pPr>
        <w:rPr>
          <w:rFonts w:cs="Arial"/>
        </w:rPr>
      </w:pPr>
    </w:p>
    <w:p w14:paraId="2717D83D" w14:textId="77777777" w:rsidR="00CE1BDB" w:rsidRPr="00FA4DC7" w:rsidRDefault="00CE1BDB" w:rsidP="00CE1BDB">
      <w:pPr>
        <w:pStyle w:val="Heading3"/>
        <w:rPr>
          <w:rFonts w:cs="Arial"/>
        </w:rPr>
      </w:pPr>
      <w:r w:rsidRPr="00FA4DC7">
        <w:rPr>
          <w:rFonts w:cs="Arial"/>
        </w:rPr>
        <w:t>Existing households expected to fall into need</w:t>
      </w:r>
    </w:p>
    <w:p w14:paraId="58CF6AC2"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The housing register includes households who have fallen into need. These cannot be specifically </w:t>
      </w:r>
      <w:proofErr w:type="gramStart"/>
      <w:r w:rsidRPr="00FA4DC7">
        <w:rPr>
          <w:rFonts w:ascii="Arial" w:hAnsi="Arial" w:cs="Arial"/>
        </w:rPr>
        <w:t>identified</w:t>
      </w:r>
      <w:proofErr w:type="gramEnd"/>
      <w:r w:rsidRPr="00FA4DC7">
        <w:rPr>
          <w:rFonts w:ascii="Arial" w:hAnsi="Arial" w:cs="Arial"/>
        </w:rPr>
        <w:t xml:space="preserve"> and it is assumed in the modelling that these are included in the overall number of households on the housing register.</w:t>
      </w:r>
    </w:p>
    <w:p w14:paraId="283F8313" w14:textId="77777777" w:rsidR="00CE1BDB" w:rsidRPr="00FA4DC7" w:rsidRDefault="00CE1BDB" w:rsidP="00CE1BDB">
      <w:pPr>
        <w:rPr>
          <w:rFonts w:cs="Arial"/>
          <w:highlight w:val="yellow"/>
        </w:rPr>
      </w:pPr>
    </w:p>
    <w:p w14:paraId="27942747" w14:textId="5732EC26" w:rsidR="00CE1BDB" w:rsidRPr="00FA4DC7" w:rsidRDefault="00CE1BDB" w:rsidP="00CE1BDB">
      <w:pPr>
        <w:pStyle w:val="Heading3"/>
        <w:rPr>
          <w:rFonts w:cs="Arial"/>
        </w:rPr>
      </w:pPr>
      <w:r w:rsidRPr="00FA4DC7">
        <w:rPr>
          <w:rFonts w:cs="Arial"/>
        </w:rPr>
        <w:t>Total newly arising affordable housing need (gross per year)</w:t>
      </w:r>
    </w:p>
    <w:p w14:paraId="79B38B2F" w14:textId="666F6585" w:rsidR="00CE1BDB" w:rsidRPr="00FA4DC7" w:rsidRDefault="00CE1BDB" w:rsidP="00CE1BDB">
      <w:pPr>
        <w:pStyle w:val="Maintext"/>
        <w:numPr>
          <w:ilvl w:val="1"/>
          <w:numId w:val="36"/>
        </w:numPr>
        <w:rPr>
          <w:rFonts w:ascii="Arial" w:hAnsi="Arial" w:cs="Arial"/>
          <w:sz w:val="20"/>
          <w:szCs w:val="20"/>
        </w:rPr>
      </w:pPr>
      <w:r w:rsidRPr="00FA4DC7">
        <w:rPr>
          <w:rFonts w:ascii="Arial" w:hAnsi="Arial" w:cs="Arial"/>
        </w:rPr>
        <w:t xml:space="preserve">Total newly arising need is therefore </w:t>
      </w:r>
      <w:r w:rsidR="0082072D">
        <w:rPr>
          <w:rFonts w:ascii="Arial" w:hAnsi="Arial" w:cs="Arial"/>
        </w:rPr>
        <w:t>987</w:t>
      </w:r>
      <w:r w:rsidRPr="00FA4DC7">
        <w:rPr>
          <w:rFonts w:ascii="Arial" w:hAnsi="Arial" w:cs="Arial"/>
        </w:rPr>
        <w:t xml:space="preserve"> each year as summarised in Table C5.</w:t>
      </w:r>
    </w:p>
    <w:p w14:paraId="77EF7358" w14:textId="77777777" w:rsidR="00CE1BDB" w:rsidRPr="00FA4DC7" w:rsidRDefault="00CE1BDB" w:rsidP="00CE1BDB">
      <w:pPr>
        <w:pStyle w:val="Maintext"/>
        <w:numPr>
          <w:ilvl w:val="0"/>
          <w:numId w:val="0"/>
        </w:numPr>
        <w:rPr>
          <w:rFonts w:ascii="Arial" w:hAnsi="Arial" w:cs="Arial"/>
        </w:rPr>
      </w:pPr>
    </w:p>
    <w:tbl>
      <w:tblPr>
        <w:tblStyle w:val="TableGrid"/>
        <w:tblW w:w="0" w:type="auto"/>
        <w:tblInd w:w="607" w:type="dxa"/>
        <w:tblLook w:val="04A0" w:firstRow="1" w:lastRow="0" w:firstColumn="1" w:lastColumn="0" w:noHBand="0" w:noVBand="1"/>
      </w:tblPr>
      <w:tblGrid>
        <w:gridCol w:w="5104"/>
        <w:gridCol w:w="875"/>
        <w:gridCol w:w="2056"/>
      </w:tblGrid>
      <w:tr w:rsidR="00CE1BDB" w:rsidRPr="00FA4DC7" w14:paraId="17CFD706" w14:textId="77777777" w:rsidTr="003A3017">
        <w:tc>
          <w:tcPr>
            <w:tcW w:w="8035" w:type="dxa"/>
            <w:gridSpan w:val="3"/>
            <w:shd w:val="clear" w:color="auto" w:fill="006666"/>
          </w:tcPr>
          <w:p w14:paraId="3828FF1D" w14:textId="77777777" w:rsidR="00CE1BDB" w:rsidRPr="00FA4DC7" w:rsidRDefault="00CE1BDB" w:rsidP="00EF49A7">
            <w:pPr>
              <w:pStyle w:val="Tableheading1"/>
              <w:rPr>
                <w:rFonts w:cs="Arial"/>
              </w:rPr>
            </w:pPr>
            <w:bookmarkStart w:id="551" w:name="_Toc46778472"/>
            <w:bookmarkStart w:id="552" w:name="_Toc56502893"/>
            <w:bookmarkStart w:id="553" w:name="_Toc59205106"/>
            <w:bookmarkStart w:id="554" w:name="_Toc83036126"/>
            <w:r w:rsidRPr="00FA4DC7">
              <w:rPr>
                <w:rFonts w:cs="Arial"/>
              </w:rPr>
              <w:t>Table</w:t>
            </w:r>
            <w:r w:rsidRPr="00FA4DC7">
              <w:rPr>
                <w:rFonts w:cs="Arial"/>
                <w:b w:val="0"/>
                <w:bCs w:val="0"/>
              </w:rPr>
              <w:t xml:space="preserve"> </w:t>
            </w:r>
            <w:r w:rsidRPr="00FA4DC7">
              <w:rPr>
                <w:rFonts w:cs="Arial"/>
              </w:rPr>
              <w:t>C5</w:t>
            </w:r>
            <w:r w:rsidRPr="00FA4DC7">
              <w:rPr>
                <w:rFonts w:cs="Arial"/>
              </w:rPr>
              <w:tab/>
              <w:t xml:space="preserve">Total </w:t>
            </w:r>
            <w:proofErr w:type="gramStart"/>
            <w:r w:rsidRPr="00FA4DC7">
              <w:rPr>
                <w:rFonts w:cs="Arial"/>
              </w:rPr>
              <w:t>newly-arising</w:t>
            </w:r>
            <w:proofErr w:type="gramEnd"/>
            <w:r w:rsidRPr="00FA4DC7">
              <w:rPr>
                <w:rFonts w:cs="Arial"/>
              </w:rPr>
              <w:t xml:space="preserve"> affordable housing need</w:t>
            </w:r>
            <w:bookmarkEnd w:id="551"/>
            <w:bookmarkEnd w:id="552"/>
            <w:bookmarkEnd w:id="553"/>
            <w:bookmarkEnd w:id="554"/>
          </w:p>
        </w:tc>
      </w:tr>
      <w:tr w:rsidR="00CE1BDB" w:rsidRPr="00FA4DC7" w14:paraId="1DADA431" w14:textId="77777777" w:rsidTr="003A3017">
        <w:tc>
          <w:tcPr>
            <w:tcW w:w="5104" w:type="dxa"/>
          </w:tcPr>
          <w:p w14:paraId="1B78D2B4" w14:textId="77777777" w:rsidR="00CE1BDB" w:rsidRPr="00FA4DC7" w:rsidRDefault="00CE1BDB" w:rsidP="00EF49A7">
            <w:pPr>
              <w:pStyle w:val="Maintext"/>
              <w:numPr>
                <w:ilvl w:val="0"/>
                <w:numId w:val="39"/>
              </w:numPr>
              <w:spacing w:before="0" w:after="0"/>
              <w:rPr>
                <w:rFonts w:ascii="Arial" w:hAnsi="Arial" w:cs="Arial"/>
                <w:sz w:val="22"/>
                <w:szCs w:val="22"/>
              </w:rPr>
            </w:pPr>
            <w:r w:rsidRPr="00FA4DC7">
              <w:rPr>
                <w:rFonts w:ascii="Arial" w:hAnsi="Arial" w:cs="Arial"/>
                <w:sz w:val="22"/>
                <w:szCs w:val="22"/>
              </w:rPr>
              <w:t xml:space="preserve">Number of </w:t>
            </w:r>
            <w:proofErr w:type="gramStart"/>
            <w:r w:rsidRPr="00FA4DC7">
              <w:rPr>
                <w:rFonts w:ascii="Arial" w:hAnsi="Arial" w:cs="Arial"/>
                <w:sz w:val="22"/>
                <w:szCs w:val="22"/>
              </w:rPr>
              <w:t>newly-forming</w:t>
            </w:r>
            <w:proofErr w:type="gramEnd"/>
            <w:r w:rsidRPr="00FA4DC7">
              <w:rPr>
                <w:rFonts w:ascii="Arial" w:hAnsi="Arial" w:cs="Arial"/>
                <w:sz w:val="22"/>
                <w:szCs w:val="22"/>
              </w:rPr>
              <w:t xml:space="preserve"> households</w:t>
            </w:r>
          </w:p>
        </w:tc>
        <w:tc>
          <w:tcPr>
            <w:tcW w:w="875" w:type="dxa"/>
            <w:vAlign w:val="center"/>
          </w:tcPr>
          <w:p w14:paraId="05380ED9" w14:textId="77777777" w:rsidR="00CE1BDB" w:rsidRPr="00FA4DC7" w:rsidRDefault="00CE1BDB" w:rsidP="00EF49A7">
            <w:pPr>
              <w:pStyle w:val="Maintext"/>
              <w:numPr>
                <w:ilvl w:val="0"/>
                <w:numId w:val="0"/>
              </w:numPr>
              <w:spacing w:before="0" w:after="0"/>
              <w:rPr>
                <w:rFonts w:ascii="Arial" w:hAnsi="Arial" w:cs="Arial"/>
                <w:sz w:val="22"/>
                <w:szCs w:val="22"/>
              </w:rPr>
            </w:pPr>
          </w:p>
        </w:tc>
        <w:tc>
          <w:tcPr>
            <w:tcW w:w="2056" w:type="dxa"/>
            <w:vAlign w:val="center"/>
          </w:tcPr>
          <w:p w14:paraId="529E4AEF"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1,734</w:t>
            </w:r>
          </w:p>
        </w:tc>
      </w:tr>
      <w:tr w:rsidR="00CE1BDB" w:rsidRPr="00FA4DC7" w14:paraId="2A24B55A" w14:textId="77777777" w:rsidTr="003A3017">
        <w:tc>
          <w:tcPr>
            <w:tcW w:w="5104" w:type="dxa"/>
          </w:tcPr>
          <w:p w14:paraId="2980BED3" w14:textId="77777777" w:rsidR="00CE1BDB" w:rsidRPr="00FA4DC7" w:rsidRDefault="00CE1BDB" w:rsidP="00EF49A7">
            <w:pPr>
              <w:pStyle w:val="Maintext"/>
              <w:numPr>
                <w:ilvl w:val="0"/>
                <w:numId w:val="0"/>
              </w:numPr>
              <w:spacing w:before="0" w:after="0"/>
              <w:ind w:left="173"/>
              <w:rPr>
                <w:rFonts w:ascii="Arial" w:hAnsi="Arial" w:cs="Arial"/>
                <w:sz w:val="22"/>
                <w:szCs w:val="22"/>
              </w:rPr>
            </w:pPr>
            <w:r w:rsidRPr="00FA4DC7">
              <w:rPr>
                <w:rFonts w:ascii="Arial" w:hAnsi="Arial" w:cs="Arial"/>
                <w:sz w:val="22"/>
                <w:szCs w:val="22"/>
              </w:rPr>
              <w:t>B. Proportion unable to afford market housing</w:t>
            </w:r>
          </w:p>
        </w:tc>
        <w:tc>
          <w:tcPr>
            <w:tcW w:w="875" w:type="dxa"/>
            <w:vAlign w:val="center"/>
          </w:tcPr>
          <w:p w14:paraId="4B256205"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56.9%</w:t>
            </w:r>
          </w:p>
        </w:tc>
        <w:tc>
          <w:tcPr>
            <w:tcW w:w="2056" w:type="dxa"/>
            <w:vAlign w:val="center"/>
          </w:tcPr>
          <w:p w14:paraId="742E2A96"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987</w:t>
            </w:r>
          </w:p>
        </w:tc>
      </w:tr>
      <w:tr w:rsidR="00CE1BDB" w:rsidRPr="00FA4DC7" w14:paraId="6937D80F" w14:textId="77777777" w:rsidTr="003A3017">
        <w:tc>
          <w:tcPr>
            <w:tcW w:w="5104" w:type="dxa"/>
          </w:tcPr>
          <w:p w14:paraId="5D4E1715" w14:textId="77777777" w:rsidR="00CE1BDB" w:rsidRPr="00FA4DC7" w:rsidRDefault="00CE1BDB" w:rsidP="00EF49A7">
            <w:pPr>
              <w:pStyle w:val="Maintext"/>
              <w:numPr>
                <w:ilvl w:val="0"/>
                <w:numId w:val="38"/>
              </w:numPr>
              <w:spacing w:before="0" w:after="0"/>
              <w:ind w:left="456" w:hanging="283"/>
              <w:rPr>
                <w:rFonts w:ascii="Arial" w:hAnsi="Arial" w:cs="Arial"/>
                <w:sz w:val="22"/>
                <w:szCs w:val="22"/>
              </w:rPr>
            </w:pPr>
            <w:r w:rsidRPr="00FA4DC7">
              <w:rPr>
                <w:rFonts w:ascii="Arial" w:hAnsi="Arial" w:cs="Arial"/>
                <w:sz w:val="22"/>
                <w:szCs w:val="22"/>
              </w:rPr>
              <w:t>Existing households falling into need</w:t>
            </w:r>
          </w:p>
        </w:tc>
        <w:tc>
          <w:tcPr>
            <w:tcW w:w="875" w:type="dxa"/>
            <w:vAlign w:val="center"/>
          </w:tcPr>
          <w:p w14:paraId="17D87538" w14:textId="77777777" w:rsidR="00CE1BDB" w:rsidRPr="00FA4DC7" w:rsidRDefault="00CE1BDB" w:rsidP="00EF49A7">
            <w:pPr>
              <w:pStyle w:val="Maintext"/>
              <w:numPr>
                <w:ilvl w:val="0"/>
                <w:numId w:val="0"/>
              </w:numPr>
              <w:spacing w:before="0" w:after="0"/>
              <w:rPr>
                <w:rFonts w:ascii="Arial" w:hAnsi="Arial" w:cs="Arial"/>
                <w:sz w:val="22"/>
                <w:szCs w:val="22"/>
              </w:rPr>
            </w:pPr>
          </w:p>
        </w:tc>
        <w:tc>
          <w:tcPr>
            <w:tcW w:w="2056" w:type="dxa"/>
            <w:vAlign w:val="center"/>
          </w:tcPr>
          <w:p w14:paraId="6615B118"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Included in Step A</w:t>
            </w:r>
          </w:p>
        </w:tc>
      </w:tr>
      <w:tr w:rsidR="00CE1BDB" w:rsidRPr="00FA4DC7" w14:paraId="0DBD551C" w14:textId="77777777" w:rsidTr="003A3017">
        <w:tc>
          <w:tcPr>
            <w:tcW w:w="5104" w:type="dxa"/>
          </w:tcPr>
          <w:p w14:paraId="1E689855" w14:textId="77777777" w:rsidR="00CE1BDB" w:rsidRPr="00FA4DC7" w:rsidRDefault="00CE1BDB" w:rsidP="00EF49A7">
            <w:pPr>
              <w:pStyle w:val="Maintext"/>
              <w:numPr>
                <w:ilvl w:val="0"/>
                <w:numId w:val="0"/>
              </w:numPr>
              <w:spacing w:before="0" w:after="0"/>
              <w:ind w:left="173"/>
              <w:rPr>
                <w:rFonts w:ascii="Arial" w:hAnsi="Arial" w:cs="Arial"/>
                <w:sz w:val="22"/>
                <w:szCs w:val="22"/>
              </w:rPr>
            </w:pPr>
            <w:r w:rsidRPr="00FA4DC7">
              <w:rPr>
                <w:rFonts w:ascii="Arial" w:hAnsi="Arial" w:cs="Arial"/>
                <w:sz w:val="22"/>
                <w:szCs w:val="22"/>
              </w:rPr>
              <w:t>Total newly arising affordable need (B+C)</w:t>
            </w:r>
          </w:p>
        </w:tc>
        <w:tc>
          <w:tcPr>
            <w:tcW w:w="875" w:type="dxa"/>
            <w:vAlign w:val="center"/>
          </w:tcPr>
          <w:p w14:paraId="2DA8C966" w14:textId="77777777" w:rsidR="00CE1BDB" w:rsidRPr="00FA4DC7" w:rsidRDefault="00CE1BDB" w:rsidP="00EF49A7">
            <w:pPr>
              <w:pStyle w:val="Maintext"/>
              <w:numPr>
                <w:ilvl w:val="0"/>
                <w:numId w:val="0"/>
              </w:numPr>
              <w:spacing w:before="0" w:after="0"/>
              <w:rPr>
                <w:rFonts w:ascii="Arial" w:hAnsi="Arial" w:cs="Arial"/>
                <w:sz w:val="22"/>
                <w:szCs w:val="22"/>
              </w:rPr>
            </w:pPr>
          </w:p>
        </w:tc>
        <w:tc>
          <w:tcPr>
            <w:tcW w:w="2056" w:type="dxa"/>
            <w:vAlign w:val="center"/>
          </w:tcPr>
          <w:p w14:paraId="3F4323B3"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987</w:t>
            </w:r>
          </w:p>
        </w:tc>
      </w:tr>
    </w:tbl>
    <w:p w14:paraId="3376C6CC" w14:textId="77777777" w:rsidR="00CE1BDB" w:rsidRPr="00FA4DC7" w:rsidRDefault="00CE1BDB" w:rsidP="00CE1BDB">
      <w:pPr>
        <w:rPr>
          <w:rFonts w:cs="Arial"/>
        </w:rPr>
      </w:pPr>
    </w:p>
    <w:p w14:paraId="2C1B6D53" w14:textId="77777777" w:rsidR="00CE1BDB" w:rsidRPr="00FA4DC7" w:rsidRDefault="00CE1BDB" w:rsidP="00CE1BDB">
      <w:pPr>
        <w:pStyle w:val="Heading2"/>
        <w:tabs>
          <w:tab w:val="clear" w:pos="709"/>
        </w:tabs>
        <w:ind w:left="0" w:firstLine="709"/>
        <w:rPr>
          <w:rFonts w:cs="Arial"/>
        </w:rPr>
      </w:pPr>
      <w:bookmarkStart w:id="555" w:name="_Toc46434387"/>
      <w:bookmarkStart w:id="556" w:name="_Toc46497106"/>
      <w:bookmarkStart w:id="557" w:name="_Toc55856213"/>
      <w:bookmarkStart w:id="558" w:name="_Toc56426636"/>
      <w:bookmarkStart w:id="559" w:name="_Toc56502862"/>
      <w:bookmarkStart w:id="560" w:name="_Toc59204541"/>
      <w:bookmarkStart w:id="561" w:name="_Toc70614012"/>
      <w:bookmarkStart w:id="562" w:name="_Toc83035702"/>
      <w:r w:rsidRPr="00FA4DC7">
        <w:rPr>
          <w:rFonts w:cs="Arial"/>
        </w:rPr>
        <w:lastRenderedPageBreak/>
        <w:t>Step C:  Affordable housing supply</w:t>
      </w:r>
      <w:bookmarkEnd w:id="555"/>
      <w:bookmarkEnd w:id="556"/>
      <w:bookmarkEnd w:id="557"/>
      <w:bookmarkEnd w:id="558"/>
      <w:bookmarkEnd w:id="559"/>
      <w:bookmarkEnd w:id="560"/>
      <w:bookmarkEnd w:id="561"/>
      <w:bookmarkEnd w:id="562"/>
    </w:p>
    <w:p w14:paraId="333DD4D5"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PPG </w:t>
      </w:r>
      <w:r w:rsidRPr="00FA4DC7">
        <w:rPr>
          <w:rFonts w:ascii="Arial" w:hAnsi="Arial" w:cs="Arial"/>
          <w:lang w:val="en-US"/>
        </w:rPr>
        <w:t xml:space="preserve">Paragraph 022 Reference ID: 2a-022-20190220 </w:t>
      </w:r>
      <w:r w:rsidRPr="00FA4DC7">
        <w:rPr>
          <w:rFonts w:ascii="Arial" w:hAnsi="Arial" w:cs="Arial"/>
        </w:rPr>
        <w:t>notes that ‘there will be a current supply of housing stock that can be used to accommodate households in affordable housing need as well as future supply. There are five aspects to affordable supply to be considered as set out in Table C6.</w:t>
      </w:r>
    </w:p>
    <w:p w14:paraId="29871EF8" w14:textId="77777777" w:rsidR="00CE1BDB" w:rsidRPr="00FA4DC7" w:rsidRDefault="00CE1BDB" w:rsidP="00CE1BDB">
      <w:pPr>
        <w:rPr>
          <w:rFonts w:cs="Arial"/>
          <w:highlight w:val="yellow"/>
          <w:lang w:eastAsia="en-US"/>
        </w:rPr>
      </w:pPr>
    </w:p>
    <w:tbl>
      <w:tblPr>
        <w:tblStyle w:val="TableGrid"/>
        <w:tblW w:w="5000" w:type="pct"/>
        <w:tblLook w:val="04A0" w:firstRow="1" w:lastRow="0" w:firstColumn="1" w:lastColumn="0" w:noHBand="0" w:noVBand="1"/>
      </w:tblPr>
      <w:tblGrid>
        <w:gridCol w:w="3237"/>
        <w:gridCol w:w="2198"/>
        <w:gridCol w:w="3745"/>
      </w:tblGrid>
      <w:tr w:rsidR="00CE1BDB" w:rsidRPr="00FA4DC7" w14:paraId="262FD154" w14:textId="77777777" w:rsidTr="003A3017">
        <w:tc>
          <w:tcPr>
            <w:tcW w:w="5000" w:type="pct"/>
            <w:gridSpan w:val="3"/>
            <w:shd w:val="clear" w:color="auto" w:fill="006666"/>
          </w:tcPr>
          <w:p w14:paraId="3FBBE43D" w14:textId="77777777" w:rsidR="00CE1BDB" w:rsidRPr="00FA4DC7" w:rsidRDefault="00CE1BDB" w:rsidP="00EF49A7">
            <w:pPr>
              <w:pStyle w:val="Tableheading1"/>
              <w:rPr>
                <w:rFonts w:cs="Arial"/>
              </w:rPr>
            </w:pPr>
            <w:bookmarkStart w:id="563" w:name="_Toc46778473"/>
            <w:bookmarkStart w:id="564" w:name="_Toc56502894"/>
            <w:bookmarkStart w:id="565" w:name="_Toc59205107"/>
            <w:bookmarkStart w:id="566" w:name="_Toc83036127"/>
            <w:r w:rsidRPr="00FA4DC7">
              <w:rPr>
                <w:rFonts w:cs="Arial"/>
              </w:rPr>
              <w:t>Table C6</w:t>
            </w:r>
            <w:r w:rsidRPr="00FA4DC7">
              <w:rPr>
                <w:rFonts w:cs="Arial"/>
              </w:rPr>
              <w:tab/>
              <w:t xml:space="preserve"> Affordable housing supply</w:t>
            </w:r>
            <w:bookmarkEnd w:id="563"/>
            <w:bookmarkEnd w:id="564"/>
            <w:bookmarkEnd w:id="565"/>
            <w:bookmarkEnd w:id="566"/>
          </w:p>
        </w:tc>
      </w:tr>
      <w:tr w:rsidR="00CE1BDB" w:rsidRPr="00FA4DC7" w14:paraId="0F352E75" w14:textId="77777777" w:rsidTr="003A3017">
        <w:tc>
          <w:tcPr>
            <w:tcW w:w="1763" w:type="pct"/>
            <w:shd w:val="clear" w:color="auto" w:fill="006666"/>
          </w:tcPr>
          <w:p w14:paraId="137E3CD7" w14:textId="77777777" w:rsidR="00CE1BDB" w:rsidRPr="00FA4DC7" w:rsidRDefault="00CE1BDB" w:rsidP="00EF49A7">
            <w:pPr>
              <w:pStyle w:val="Maintext"/>
              <w:numPr>
                <w:ilvl w:val="0"/>
                <w:numId w:val="0"/>
              </w:numPr>
              <w:spacing w:before="60" w:after="60"/>
              <w:rPr>
                <w:rFonts w:ascii="Arial" w:hAnsi="Arial" w:cs="Arial"/>
                <w:b/>
                <w:bCs/>
                <w:color w:val="FFFFFF" w:themeColor="background1"/>
                <w:sz w:val="22"/>
                <w:szCs w:val="22"/>
              </w:rPr>
            </w:pPr>
            <w:r w:rsidRPr="00FA4DC7">
              <w:rPr>
                <w:rFonts w:ascii="Arial" w:hAnsi="Arial" w:cs="Arial"/>
                <w:b/>
                <w:bCs/>
                <w:color w:val="FFFFFF" w:themeColor="background1"/>
                <w:sz w:val="22"/>
                <w:szCs w:val="22"/>
              </w:rPr>
              <w:t>Source of supply/stock loss</w:t>
            </w:r>
          </w:p>
        </w:tc>
        <w:tc>
          <w:tcPr>
            <w:tcW w:w="1197" w:type="pct"/>
            <w:shd w:val="clear" w:color="auto" w:fill="006666"/>
          </w:tcPr>
          <w:p w14:paraId="6CF0B5DB" w14:textId="77777777" w:rsidR="00CE1BDB" w:rsidRPr="00FA4DC7" w:rsidRDefault="00CE1BDB" w:rsidP="00EF49A7">
            <w:pPr>
              <w:pStyle w:val="Maintext"/>
              <w:numPr>
                <w:ilvl w:val="0"/>
                <w:numId w:val="0"/>
              </w:numPr>
              <w:spacing w:before="60" w:after="60"/>
              <w:rPr>
                <w:rFonts w:ascii="Arial" w:hAnsi="Arial" w:cs="Arial"/>
                <w:b/>
                <w:bCs/>
                <w:color w:val="FFFFFF" w:themeColor="background1"/>
                <w:sz w:val="22"/>
                <w:szCs w:val="22"/>
              </w:rPr>
            </w:pPr>
            <w:r w:rsidRPr="00FA4DC7">
              <w:rPr>
                <w:rFonts w:ascii="Arial" w:hAnsi="Arial" w:cs="Arial"/>
                <w:b/>
                <w:bCs/>
                <w:color w:val="FFFFFF" w:themeColor="background1"/>
                <w:sz w:val="22"/>
                <w:szCs w:val="22"/>
              </w:rPr>
              <w:t>Data source</w:t>
            </w:r>
          </w:p>
        </w:tc>
        <w:tc>
          <w:tcPr>
            <w:tcW w:w="2040" w:type="pct"/>
            <w:shd w:val="clear" w:color="auto" w:fill="006666"/>
          </w:tcPr>
          <w:p w14:paraId="697D83C6" w14:textId="77777777" w:rsidR="00CE1BDB" w:rsidRPr="00FA4DC7" w:rsidRDefault="00CE1BDB" w:rsidP="00EF49A7">
            <w:pPr>
              <w:pStyle w:val="Maintext"/>
              <w:numPr>
                <w:ilvl w:val="0"/>
                <w:numId w:val="0"/>
              </w:numPr>
              <w:spacing w:before="60" w:after="60"/>
              <w:rPr>
                <w:rFonts w:ascii="Arial" w:hAnsi="Arial" w:cs="Arial"/>
                <w:b/>
                <w:bCs/>
                <w:color w:val="FFFFFF" w:themeColor="background1"/>
                <w:sz w:val="22"/>
                <w:szCs w:val="22"/>
              </w:rPr>
            </w:pPr>
            <w:r w:rsidRPr="00FA4DC7">
              <w:rPr>
                <w:rFonts w:ascii="Arial" w:hAnsi="Arial" w:cs="Arial"/>
                <w:b/>
                <w:bCs/>
                <w:color w:val="FFFFFF" w:themeColor="background1"/>
                <w:sz w:val="22"/>
                <w:szCs w:val="22"/>
              </w:rPr>
              <w:t>Data</w:t>
            </w:r>
          </w:p>
        </w:tc>
      </w:tr>
      <w:tr w:rsidR="00CE1BDB" w:rsidRPr="00FA4DC7" w14:paraId="78AA999C" w14:textId="77777777" w:rsidTr="003A3017">
        <w:tc>
          <w:tcPr>
            <w:tcW w:w="1763" w:type="pct"/>
          </w:tcPr>
          <w:p w14:paraId="0643E4B9"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The number of affordable dwellings that are going to be vacated by occupiers that are fit for use by other households in need</w:t>
            </w:r>
          </w:p>
        </w:tc>
        <w:tc>
          <w:tcPr>
            <w:tcW w:w="1197" w:type="pct"/>
          </w:tcPr>
          <w:p w14:paraId="75AA32BE"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RP lettings data over most recent 3-year period</w:t>
            </w:r>
          </w:p>
        </w:tc>
        <w:tc>
          <w:tcPr>
            <w:tcW w:w="2040" w:type="pct"/>
          </w:tcPr>
          <w:p w14:paraId="1D69A34E"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 xml:space="preserve">Annual average </w:t>
            </w:r>
            <w:proofErr w:type="gramStart"/>
            <w:r w:rsidRPr="00FA4DC7">
              <w:rPr>
                <w:rFonts w:ascii="Arial" w:hAnsi="Arial" w:cs="Arial"/>
                <w:sz w:val="22"/>
                <w:szCs w:val="22"/>
              </w:rPr>
              <w:t>of  570</w:t>
            </w:r>
            <w:proofErr w:type="gramEnd"/>
            <w:r w:rsidRPr="00FA4DC7">
              <w:rPr>
                <w:rFonts w:ascii="Arial" w:hAnsi="Arial" w:cs="Arial"/>
                <w:sz w:val="22"/>
                <w:szCs w:val="22"/>
              </w:rPr>
              <w:t xml:space="preserve"> general needs affordable dwellings have been let 2017/18 to 2019/20</w:t>
            </w:r>
          </w:p>
        </w:tc>
      </w:tr>
      <w:tr w:rsidR="00CE1BDB" w:rsidRPr="00FA4DC7" w14:paraId="7C65C062" w14:textId="77777777" w:rsidTr="003A3017">
        <w:tc>
          <w:tcPr>
            <w:tcW w:w="1763" w:type="pct"/>
          </w:tcPr>
          <w:p w14:paraId="43D3F14E"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Suitable surplus stock (vacant properties)</w:t>
            </w:r>
          </w:p>
        </w:tc>
        <w:tc>
          <w:tcPr>
            <w:tcW w:w="1197" w:type="pct"/>
          </w:tcPr>
          <w:p w14:paraId="34DD0C16"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MHCLG vacant dwelling statistics</w:t>
            </w:r>
          </w:p>
        </w:tc>
        <w:tc>
          <w:tcPr>
            <w:tcW w:w="2040" w:type="pct"/>
          </w:tcPr>
          <w:p w14:paraId="1F257E29"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99 vacant affordable (council and housing association excluding not available for letting) dwellings reported as vacant in 2019 or 1.5% of total affordable stock. This is below the transactional rate of around 2% to allow movement in stock so no suitable surplus stock available</w:t>
            </w:r>
          </w:p>
        </w:tc>
      </w:tr>
      <w:tr w:rsidR="00CE1BDB" w:rsidRPr="00FA4DC7" w14:paraId="36A0C4C8" w14:textId="77777777" w:rsidTr="003A3017">
        <w:tc>
          <w:tcPr>
            <w:tcW w:w="1763" w:type="pct"/>
          </w:tcPr>
          <w:p w14:paraId="66927978" w14:textId="77777777" w:rsidR="00CE1BDB" w:rsidRPr="00FA4DC7" w:rsidRDefault="00CE1BDB" w:rsidP="00EF49A7">
            <w:pPr>
              <w:pStyle w:val="Maintext"/>
              <w:numPr>
                <w:ilvl w:val="0"/>
                <w:numId w:val="0"/>
              </w:numPr>
              <w:spacing w:before="60" w:after="60"/>
              <w:ind w:firstLine="31"/>
              <w:rPr>
                <w:rFonts w:ascii="Arial" w:hAnsi="Arial" w:cs="Arial"/>
                <w:sz w:val="22"/>
                <w:szCs w:val="22"/>
              </w:rPr>
            </w:pPr>
            <w:r w:rsidRPr="00FA4DC7">
              <w:rPr>
                <w:rFonts w:ascii="Arial" w:hAnsi="Arial" w:cs="Arial"/>
                <w:sz w:val="22"/>
                <w:szCs w:val="22"/>
              </w:rPr>
              <w:t>The committed supply of new net affordable homes at the point of assessment (number and size)</w:t>
            </w:r>
          </w:p>
        </w:tc>
        <w:tc>
          <w:tcPr>
            <w:tcW w:w="1197" w:type="pct"/>
          </w:tcPr>
          <w:p w14:paraId="1C4AD2D4"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MHCLG Live Table 1011C Affordable Housing Supply statistics</w:t>
            </w:r>
          </w:p>
        </w:tc>
        <w:tc>
          <w:tcPr>
            <w:tcW w:w="2040" w:type="pct"/>
          </w:tcPr>
          <w:p w14:paraId="7D86C782"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Total of 646 completions 2017/18 to 2019/20). Annual average of 215 used in supply calculation as proxy for committed supply</w:t>
            </w:r>
          </w:p>
        </w:tc>
      </w:tr>
      <w:tr w:rsidR="00CE1BDB" w:rsidRPr="00FA4DC7" w14:paraId="2FA65E97" w14:textId="77777777" w:rsidTr="003A3017">
        <w:tc>
          <w:tcPr>
            <w:tcW w:w="1763" w:type="pct"/>
          </w:tcPr>
          <w:p w14:paraId="50A9FE8D"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 xml:space="preserve">Supply of affordable home ownership through </w:t>
            </w:r>
            <w:r w:rsidRPr="00FA4DC7">
              <w:rPr>
                <w:rFonts w:ascii="Arial" w:hAnsi="Arial" w:cs="Arial"/>
                <w:sz w:val="22"/>
                <w:szCs w:val="22"/>
                <w:u w:val="single"/>
              </w:rPr>
              <w:t>resale</w:t>
            </w:r>
          </w:p>
        </w:tc>
        <w:tc>
          <w:tcPr>
            <w:tcW w:w="1197" w:type="pct"/>
          </w:tcPr>
          <w:p w14:paraId="24975585"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English Housing Survey Table FA4131</w:t>
            </w:r>
          </w:p>
        </w:tc>
        <w:tc>
          <w:tcPr>
            <w:tcW w:w="2040" w:type="pct"/>
          </w:tcPr>
          <w:p w14:paraId="5CB8912D"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EHS indicates 5.9% of owner occupiers with a mortgage moved to their accommodation in the past year. This is used as a basis for estimating the number of resales of affordable home ownership products. Based on 1,344 dwellings there are an estimated 79 resales each year</w:t>
            </w:r>
          </w:p>
        </w:tc>
      </w:tr>
      <w:tr w:rsidR="00CE1BDB" w:rsidRPr="00FA4DC7" w14:paraId="71E64CF9" w14:textId="77777777" w:rsidTr="003A3017">
        <w:tc>
          <w:tcPr>
            <w:tcW w:w="1763" w:type="pct"/>
          </w:tcPr>
          <w:p w14:paraId="1C878845"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Units taken out of management</w:t>
            </w:r>
          </w:p>
        </w:tc>
        <w:tc>
          <w:tcPr>
            <w:tcW w:w="1197" w:type="pct"/>
          </w:tcPr>
          <w:p w14:paraId="16838880"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Local authority data</w:t>
            </w:r>
          </w:p>
        </w:tc>
        <w:tc>
          <w:tcPr>
            <w:tcW w:w="2040" w:type="pct"/>
          </w:tcPr>
          <w:p w14:paraId="4F184A46"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None identified</w:t>
            </w:r>
          </w:p>
        </w:tc>
      </w:tr>
      <w:tr w:rsidR="00CE1BDB" w:rsidRPr="00FA4DC7" w14:paraId="3EF77EF7" w14:textId="77777777" w:rsidTr="003A3017">
        <w:tc>
          <w:tcPr>
            <w:tcW w:w="1763" w:type="pct"/>
          </w:tcPr>
          <w:p w14:paraId="2B23DBBA"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Total annual supply</w:t>
            </w:r>
          </w:p>
        </w:tc>
        <w:tc>
          <w:tcPr>
            <w:tcW w:w="1197" w:type="pct"/>
          </w:tcPr>
          <w:p w14:paraId="19B13E5F"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Calculation</w:t>
            </w:r>
          </w:p>
        </w:tc>
        <w:tc>
          <w:tcPr>
            <w:tcW w:w="2040" w:type="pct"/>
          </w:tcPr>
          <w:p w14:paraId="3FB28725" w14:textId="77777777" w:rsidR="00CE1BDB" w:rsidRPr="00FA4DC7" w:rsidRDefault="00CE1BDB" w:rsidP="00EF49A7">
            <w:pPr>
              <w:pStyle w:val="Maintext"/>
              <w:numPr>
                <w:ilvl w:val="0"/>
                <w:numId w:val="0"/>
              </w:numPr>
              <w:spacing w:before="60" w:after="60"/>
              <w:rPr>
                <w:rFonts w:ascii="Arial" w:hAnsi="Arial" w:cs="Arial"/>
                <w:sz w:val="22"/>
                <w:szCs w:val="22"/>
              </w:rPr>
            </w:pPr>
            <w:r w:rsidRPr="00FA4DC7">
              <w:rPr>
                <w:rFonts w:ascii="Arial" w:hAnsi="Arial" w:cs="Arial"/>
                <w:sz w:val="22"/>
                <w:szCs w:val="22"/>
              </w:rPr>
              <w:t xml:space="preserve">570 lettings </w:t>
            </w:r>
            <w:proofErr w:type="gramStart"/>
            <w:r w:rsidRPr="00FA4DC7">
              <w:rPr>
                <w:rFonts w:ascii="Arial" w:hAnsi="Arial" w:cs="Arial"/>
                <w:sz w:val="22"/>
                <w:szCs w:val="22"/>
              </w:rPr>
              <w:t>+  0</w:t>
            </w:r>
            <w:proofErr w:type="gramEnd"/>
            <w:r w:rsidRPr="00FA4DC7">
              <w:rPr>
                <w:rFonts w:ascii="Arial" w:hAnsi="Arial" w:cs="Arial"/>
                <w:sz w:val="22"/>
                <w:szCs w:val="22"/>
              </w:rPr>
              <w:t xml:space="preserve"> vacant + 215 newbuild +79 AHO resales – 0 units taken out of management  = 864 each year</w:t>
            </w:r>
          </w:p>
        </w:tc>
      </w:tr>
    </w:tbl>
    <w:p w14:paraId="37CEB27B" w14:textId="6DFB66E7" w:rsidR="00CE1BDB" w:rsidRDefault="00CE1BDB" w:rsidP="00CE1BDB">
      <w:pPr>
        <w:pStyle w:val="Maintext"/>
        <w:numPr>
          <w:ilvl w:val="0"/>
          <w:numId w:val="0"/>
        </w:numPr>
        <w:rPr>
          <w:rFonts w:ascii="Arial" w:hAnsi="Arial" w:cs="Arial"/>
        </w:rPr>
      </w:pPr>
      <w:r w:rsidRPr="00FA4DC7">
        <w:rPr>
          <w:rFonts w:ascii="Arial" w:hAnsi="Arial" w:cs="Arial"/>
        </w:rPr>
        <w:t>Note: stock losses through right to buy are not referenced in PPG and not included in this table. Any losses through right to buy would increase the shortfall.</w:t>
      </w:r>
    </w:p>
    <w:p w14:paraId="60A79232" w14:textId="77777777" w:rsidR="003A3017" w:rsidRPr="00FA4DC7" w:rsidRDefault="003A3017" w:rsidP="00CE1BDB">
      <w:pPr>
        <w:pStyle w:val="Maintext"/>
        <w:numPr>
          <w:ilvl w:val="0"/>
          <w:numId w:val="0"/>
        </w:numPr>
        <w:rPr>
          <w:rFonts w:ascii="Arial" w:hAnsi="Arial" w:cs="Arial"/>
        </w:rPr>
      </w:pPr>
    </w:p>
    <w:p w14:paraId="0FA1EFFA"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Overall, the model assumes a total annual affordable housing stock supply of </w:t>
      </w:r>
      <w:r w:rsidRPr="00FA4DC7">
        <w:rPr>
          <w:rFonts w:ascii="Arial" w:hAnsi="Arial" w:cs="Arial"/>
          <w:b/>
          <w:bCs/>
        </w:rPr>
        <w:t>864</w:t>
      </w:r>
      <w:r w:rsidRPr="00FA4DC7">
        <w:rPr>
          <w:rFonts w:ascii="Arial" w:hAnsi="Arial" w:cs="Arial"/>
        </w:rPr>
        <w:t xml:space="preserve"> dwellings.</w:t>
      </w:r>
    </w:p>
    <w:p w14:paraId="16A8D5CE" w14:textId="17A05FC2" w:rsidR="003A3017" w:rsidRDefault="003A3017">
      <w:pPr>
        <w:rPr>
          <w:rFonts w:cs="Arial"/>
          <w:lang w:eastAsia="en-US"/>
        </w:rPr>
      </w:pPr>
      <w:r>
        <w:rPr>
          <w:rFonts w:cs="Arial"/>
        </w:rPr>
        <w:br w:type="page"/>
      </w:r>
    </w:p>
    <w:p w14:paraId="4E829D8D" w14:textId="77777777" w:rsidR="00CE1BDB" w:rsidRPr="00FA4DC7" w:rsidRDefault="00CE1BDB" w:rsidP="00CE1BDB">
      <w:pPr>
        <w:pStyle w:val="Heading2"/>
        <w:tabs>
          <w:tab w:val="clear" w:pos="709"/>
        </w:tabs>
        <w:ind w:left="720" w:hanging="11"/>
        <w:rPr>
          <w:rFonts w:cs="Arial"/>
        </w:rPr>
      </w:pPr>
      <w:bookmarkStart w:id="567" w:name="_Toc46434388"/>
      <w:bookmarkStart w:id="568" w:name="_Toc46497107"/>
      <w:bookmarkStart w:id="569" w:name="_Toc55856214"/>
      <w:bookmarkStart w:id="570" w:name="_Toc56426637"/>
      <w:bookmarkStart w:id="571" w:name="_Toc56502863"/>
      <w:bookmarkStart w:id="572" w:name="_Toc59204542"/>
      <w:bookmarkStart w:id="573" w:name="_Toc70614013"/>
      <w:bookmarkStart w:id="574" w:name="_Toc83035703"/>
      <w:r w:rsidRPr="00FA4DC7">
        <w:rPr>
          <w:rFonts w:cs="Arial"/>
        </w:rPr>
        <w:lastRenderedPageBreak/>
        <w:t xml:space="preserve">Step D: </w:t>
      </w:r>
      <w:r w:rsidRPr="00FA4DC7">
        <w:rPr>
          <w:rFonts w:cs="Arial"/>
        </w:rPr>
        <w:tab/>
        <w:t>Total annual need and breakdown by size and tenure</w:t>
      </w:r>
      <w:bookmarkEnd w:id="567"/>
      <w:bookmarkEnd w:id="568"/>
      <w:bookmarkEnd w:id="569"/>
      <w:bookmarkEnd w:id="570"/>
      <w:bookmarkEnd w:id="571"/>
      <w:bookmarkEnd w:id="572"/>
      <w:bookmarkEnd w:id="573"/>
      <w:bookmarkEnd w:id="574"/>
    </w:p>
    <w:p w14:paraId="03E3003F" w14:textId="77777777" w:rsidR="00CE1BDB" w:rsidRPr="003A3017" w:rsidRDefault="00CE1BDB" w:rsidP="00CE1BDB">
      <w:pPr>
        <w:pStyle w:val="Maintext"/>
        <w:numPr>
          <w:ilvl w:val="1"/>
          <w:numId w:val="36"/>
        </w:numPr>
        <w:rPr>
          <w:rFonts w:ascii="Arial" w:hAnsi="Arial" w:cs="Arial"/>
        </w:rPr>
      </w:pPr>
      <w:r w:rsidRPr="003A3017">
        <w:rPr>
          <w:rFonts w:ascii="Arial" w:hAnsi="Arial" w:cs="Arial"/>
        </w:rPr>
        <w:t xml:space="preserve">Table C7 summarises the total annual need for affordable housing across Medway which establishes a gross annual need of 1,735 and after </w:t>
      </w:r>
      <w:proofErr w:type="gramStart"/>
      <w:r w:rsidRPr="003A3017">
        <w:rPr>
          <w:rFonts w:ascii="Arial" w:hAnsi="Arial" w:cs="Arial"/>
        </w:rPr>
        <w:t>taking into account</w:t>
      </w:r>
      <w:proofErr w:type="gramEnd"/>
      <w:r w:rsidRPr="003A3017">
        <w:rPr>
          <w:rFonts w:ascii="Arial" w:hAnsi="Arial" w:cs="Arial"/>
        </w:rPr>
        <w:t xml:space="preserve"> supply, a net need of 870 affordable dwellings each year assuming a clearance of gross unmet need over 10 years. If the gross unmet need was cleared over 15 years, the annual net need would be 621. </w:t>
      </w:r>
    </w:p>
    <w:p w14:paraId="368D1215" w14:textId="77777777" w:rsidR="00CE1BDB" w:rsidRPr="00FA4DC7" w:rsidRDefault="00CE1BDB" w:rsidP="00CE1BDB">
      <w:pPr>
        <w:pStyle w:val="Maintext"/>
        <w:numPr>
          <w:ilvl w:val="0"/>
          <w:numId w:val="0"/>
        </w:numPr>
        <w:rPr>
          <w:rFonts w:ascii="Arial" w:hAnsi="Arial" w:cs="Arial"/>
        </w:rPr>
      </w:pPr>
    </w:p>
    <w:tbl>
      <w:tblPr>
        <w:tblStyle w:val="TableGrid"/>
        <w:tblW w:w="5000" w:type="pct"/>
        <w:tblLook w:val="04A0" w:firstRow="1" w:lastRow="0" w:firstColumn="1" w:lastColumn="0" w:noHBand="0" w:noVBand="1"/>
      </w:tblPr>
      <w:tblGrid>
        <w:gridCol w:w="705"/>
        <w:gridCol w:w="3799"/>
        <w:gridCol w:w="1048"/>
        <w:gridCol w:w="3628"/>
      </w:tblGrid>
      <w:tr w:rsidR="00CE1BDB" w:rsidRPr="00FA4DC7" w14:paraId="35C4D593" w14:textId="77777777" w:rsidTr="003A3017">
        <w:tc>
          <w:tcPr>
            <w:tcW w:w="5000" w:type="pct"/>
            <w:gridSpan w:val="4"/>
            <w:shd w:val="clear" w:color="auto" w:fill="006666"/>
          </w:tcPr>
          <w:p w14:paraId="5CFB7503" w14:textId="77777777" w:rsidR="00CE1BDB" w:rsidRPr="00FA4DC7" w:rsidRDefault="00CE1BDB" w:rsidP="00EF49A7">
            <w:pPr>
              <w:pStyle w:val="Tableheading1"/>
              <w:rPr>
                <w:rFonts w:cs="Arial"/>
                <w:b w:val="0"/>
                <w:bCs w:val="0"/>
              </w:rPr>
            </w:pPr>
            <w:bookmarkStart w:id="575" w:name="_Toc46778474"/>
            <w:bookmarkStart w:id="576" w:name="_Toc56502895"/>
            <w:bookmarkStart w:id="577" w:name="_Toc59205108"/>
            <w:bookmarkStart w:id="578" w:name="_Toc83036128"/>
            <w:r w:rsidRPr="00FA4DC7">
              <w:rPr>
                <w:rFonts w:cs="Arial"/>
              </w:rPr>
              <w:t xml:space="preserve">Table C7 </w:t>
            </w:r>
            <w:r w:rsidRPr="00FA4DC7">
              <w:rPr>
                <w:rFonts w:cs="Arial"/>
              </w:rPr>
              <w:tab/>
              <w:t>Gross and net annual affordable need</w:t>
            </w:r>
            <w:bookmarkEnd w:id="575"/>
            <w:bookmarkEnd w:id="576"/>
            <w:bookmarkEnd w:id="577"/>
            <w:bookmarkEnd w:id="578"/>
          </w:p>
        </w:tc>
      </w:tr>
      <w:tr w:rsidR="00CE1BDB" w:rsidRPr="00FA4DC7" w14:paraId="6A4C0ACC" w14:textId="77777777" w:rsidTr="003A3017">
        <w:tc>
          <w:tcPr>
            <w:tcW w:w="379" w:type="pct"/>
            <w:shd w:val="clear" w:color="auto" w:fill="006666"/>
          </w:tcPr>
          <w:p w14:paraId="5B4227F1" w14:textId="77777777" w:rsidR="00CE1BDB" w:rsidRPr="00FA4DC7" w:rsidRDefault="00CE1BDB" w:rsidP="00EF49A7">
            <w:pPr>
              <w:pStyle w:val="Maintext"/>
              <w:numPr>
                <w:ilvl w:val="0"/>
                <w:numId w:val="0"/>
              </w:numPr>
              <w:spacing w:before="0" w:after="0"/>
              <w:rPr>
                <w:rFonts w:ascii="Arial" w:hAnsi="Arial" w:cs="Arial"/>
                <w:sz w:val="22"/>
                <w:szCs w:val="22"/>
              </w:rPr>
            </w:pPr>
          </w:p>
        </w:tc>
        <w:tc>
          <w:tcPr>
            <w:tcW w:w="2094" w:type="pct"/>
            <w:shd w:val="clear" w:color="auto" w:fill="006666"/>
          </w:tcPr>
          <w:p w14:paraId="14032397" w14:textId="77777777" w:rsidR="00CE1BDB" w:rsidRPr="00FA4DC7" w:rsidRDefault="00CE1BDB" w:rsidP="00EF49A7">
            <w:pPr>
              <w:pStyle w:val="Maintext"/>
              <w:numPr>
                <w:ilvl w:val="0"/>
                <w:numId w:val="0"/>
              </w:numPr>
              <w:spacing w:before="0" w:after="0"/>
              <w:rPr>
                <w:rFonts w:ascii="Arial" w:hAnsi="Arial" w:cs="Arial"/>
                <w:b/>
                <w:bCs/>
                <w:color w:val="FFFFFF" w:themeColor="background1"/>
                <w:sz w:val="22"/>
                <w:szCs w:val="22"/>
              </w:rPr>
            </w:pPr>
            <w:r w:rsidRPr="00FA4DC7">
              <w:rPr>
                <w:rFonts w:ascii="Arial" w:hAnsi="Arial" w:cs="Arial"/>
                <w:b/>
                <w:bCs/>
                <w:color w:val="FFFFFF" w:themeColor="background1"/>
                <w:sz w:val="22"/>
                <w:szCs w:val="22"/>
              </w:rPr>
              <w:t>Factor</w:t>
            </w:r>
          </w:p>
        </w:tc>
        <w:tc>
          <w:tcPr>
            <w:tcW w:w="526" w:type="pct"/>
            <w:shd w:val="clear" w:color="auto" w:fill="006666"/>
          </w:tcPr>
          <w:p w14:paraId="577925EE" w14:textId="77777777" w:rsidR="00CE1BDB" w:rsidRPr="00FA4DC7" w:rsidRDefault="00CE1BDB" w:rsidP="00EF49A7">
            <w:pPr>
              <w:pStyle w:val="Maintext"/>
              <w:numPr>
                <w:ilvl w:val="0"/>
                <w:numId w:val="0"/>
              </w:numPr>
              <w:spacing w:before="0" w:after="0"/>
              <w:jc w:val="center"/>
              <w:rPr>
                <w:rFonts w:ascii="Arial" w:hAnsi="Arial" w:cs="Arial"/>
                <w:b/>
                <w:bCs/>
                <w:color w:val="FFFFFF" w:themeColor="background1"/>
                <w:sz w:val="22"/>
                <w:szCs w:val="22"/>
              </w:rPr>
            </w:pPr>
            <w:r w:rsidRPr="00FA4DC7">
              <w:rPr>
                <w:rFonts w:ascii="Arial" w:hAnsi="Arial" w:cs="Arial"/>
                <w:b/>
                <w:bCs/>
                <w:color w:val="FFFFFF" w:themeColor="background1"/>
                <w:sz w:val="22"/>
                <w:szCs w:val="22"/>
              </w:rPr>
              <w:t>Number</w:t>
            </w:r>
          </w:p>
        </w:tc>
        <w:tc>
          <w:tcPr>
            <w:tcW w:w="2001" w:type="pct"/>
            <w:shd w:val="clear" w:color="auto" w:fill="006666"/>
          </w:tcPr>
          <w:p w14:paraId="5DB0FFA3" w14:textId="77777777" w:rsidR="00CE1BDB" w:rsidRPr="00FA4DC7" w:rsidRDefault="00CE1BDB" w:rsidP="00EF49A7">
            <w:pPr>
              <w:pStyle w:val="Maintext"/>
              <w:numPr>
                <w:ilvl w:val="0"/>
                <w:numId w:val="0"/>
              </w:numPr>
              <w:spacing w:before="0" w:after="0"/>
              <w:rPr>
                <w:rFonts w:ascii="Arial" w:hAnsi="Arial" w:cs="Arial"/>
                <w:b/>
                <w:bCs/>
                <w:color w:val="FFFFFF" w:themeColor="background1"/>
                <w:sz w:val="22"/>
                <w:szCs w:val="22"/>
              </w:rPr>
            </w:pPr>
            <w:r w:rsidRPr="00FA4DC7">
              <w:rPr>
                <w:rFonts w:ascii="Arial" w:hAnsi="Arial" w:cs="Arial"/>
                <w:b/>
                <w:bCs/>
                <w:color w:val="FFFFFF" w:themeColor="background1"/>
                <w:sz w:val="22"/>
                <w:szCs w:val="22"/>
              </w:rPr>
              <w:t>Data source/assumption</w:t>
            </w:r>
          </w:p>
        </w:tc>
      </w:tr>
      <w:tr w:rsidR="00CE1BDB" w:rsidRPr="00FA4DC7" w14:paraId="430C9A74" w14:textId="77777777" w:rsidTr="003A3017">
        <w:tc>
          <w:tcPr>
            <w:tcW w:w="379" w:type="pct"/>
          </w:tcPr>
          <w:p w14:paraId="0247143F" w14:textId="77777777" w:rsidR="00CE1BDB" w:rsidRPr="00FA4DC7" w:rsidRDefault="00CE1BDB" w:rsidP="00EF49A7">
            <w:pPr>
              <w:pStyle w:val="Maintext"/>
              <w:numPr>
                <w:ilvl w:val="0"/>
                <w:numId w:val="0"/>
              </w:numPr>
              <w:spacing w:before="0" w:after="0"/>
              <w:ind w:left="24"/>
              <w:jc w:val="center"/>
              <w:rPr>
                <w:rFonts w:ascii="Arial" w:hAnsi="Arial" w:cs="Arial"/>
                <w:sz w:val="22"/>
                <w:szCs w:val="22"/>
              </w:rPr>
            </w:pPr>
            <w:r w:rsidRPr="00FA4DC7">
              <w:rPr>
                <w:rFonts w:ascii="Arial" w:hAnsi="Arial" w:cs="Arial"/>
                <w:sz w:val="22"/>
                <w:szCs w:val="22"/>
              </w:rPr>
              <w:t>A1</w:t>
            </w:r>
          </w:p>
        </w:tc>
        <w:tc>
          <w:tcPr>
            <w:tcW w:w="2094" w:type="pct"/>
          </w:tcPr>
          <w:p w14:paraId="7BE06A15"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Current gross unmet need (before affordability test)</w:t>
            </w:r>
          </w:p>
        </w:tc>
        <w:tc>
          <w:tcPr>
            <w:tcW w:w="526" w:type="pct"/>
          </w:tcPr>
          <w:p w14:paraId="6B52A67C" w14:textId="77777777" w:rsidR="00CE1BDB" w:rsidRPr="00FA4DC7" w:rsidRDefault="00CE1BDB" w:rsidP="003A3017">
            <w:pPr>
              <w:pStyle w:val="Maintext"/>
              <w:numPr>
                <w:ilvl w:val="0"/>
                <w:numId w:val="0"/>
              </w:numPr>
              <w:spacing w:before="0" w:after="0"/>
              <w:jc w:val="right"/>
              <w:rPr>
                <w:rFonts w:ascii="Arial" w:hAnsi="Arial" w:cs="Arial"/>
                <w:sz w:val="22"/>
                <w:szCs w:val="22"/>
              </w:rPr>
            </w:pPr>
            <w:r w:rsidRPr="00FA4DC7">
              <w:rPr>
                <w:rFonts w:ascii="Arial" w:hAnsi="Arial" w:cs="Arial"/>
                <w:sz w:val="22"/>
                <w:szCs w:val="22"/>
              </w:rPr>
              <w:t>9,879</w:t>
            </w:r>
          </w:p>
        </w:tc>
        <w:tc>
          <w:tcPr>
            <w:tcW w:w="2001" w:type="pct"/>
          </w:tcPr>
          <w:p w14:paraId="5CC9C161"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Table C1 row A9</w:t>
            </w:r>
          </w:p>
        </w:tc>
      </w:tr>
      <w:tr w:rsidR="00CE1BDB" w:rsidRPr="00FA4DC7" w14:paraId="4C3136A9" w14:textId="77777777" w:rsidTr="003A3017">
        <w:tc>
          <w:tcPr>
            <w:tcW w:w="379" w:type="pct"/>
          </w:tcPr>
          <w:p w14:paraId="558E236A" w14:textId="77777777" w:rsidR="00CE1BDB" w:rsidRPr="00FA4DC7" w:rsidRDefault="00CE1BDB" w:rsidP="00EF49A7">
            <w:pPr>
              <w:pStyle w:val="Maintext"/>
              <w:numPr>
                <w:ilvl w:val="0"/>
                <w:numId w:val="0"/>
              </w:numPr>
              <w:spacing w:before="0" w:after="0"/>
              <w:ind w:left="24"/>
              <w:jc w:val="center"/>
              <w:rPr>
                <w:rFonts w:ascii="Arial" w:hAnsi="Arial" w:cs="Arial"/>
                <w:sz w:val="22"/>
                <w:szCs w:val="22"/>
              </w:rPr>
            </w:pPr>
            <w:r w:rsidRPr="00FA4DC7">
              <w:rPr>
                <w:rFonts w:ascii="Arial" w:hAnsi="Arial" w:cs="Arial"/>
                <w:sz w:val="22"/>
                <w:szCs w:val="22"/>
              </w:rPr>
              <w:t>A2</w:t>
            </w:r>
          </w:p>
        </w:tc>
        <w:tc>
          <w:tcPr>
            <w:tcW w:w="2094" w:type="pct"/>
          </w:tcPr>
          <w:p w14:paraId="48F17A17"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Current gross unmet need (after affordability test)</w:t>
            </w:r>
          </w:p>
        </w:tc>
        <w:tc>
          <w:tcPr>
            <w:tcW w:w="526" w:type="pct"/>
          </w:tcPr>
          <w:p w14:paraId="72E5A35D" w14:textId="77777777" w:rsidR="00CE1BDB" w:rsidRPr="00FA4DC7" w:rsidRDefault="00CE1BDB" w:rsidP="003A3017">
            <w:pPr>
              <w:pStyle w:val="Maintext"/>
              <w:numPr>
                <w:ilvl w:val="0"/>
                <w:numId w:val="0"/>
              </w:numPr>
              <w:spacing w:before="0" w:after="0"/>
              <w:jc w:val="right"/>
              <w:rPr>
                <w:rFonts w:ascii="Arial" w:hAnsi="Arial" w:cs="Arial"/>
                <w:sz w:val="22"/>
                <w:szCs w:val="22"/>
              </w:rPr>
            </w:pPr>
            <w:r w:rsidRPr="00FA4DC7">
              <w:rPr>
                <w:rFonts w:ascii="Arial" w:hAnsi="Arial" w:cs="Arial"/>
                <w:sz w:val="22"/>
                <w:szCs w:val="22"/>
              </w:rPr>
              <w:t>7,477</w:t>
            </w:r>
          </w:p>
        </w:tc>
        <w:tc>
          <w:tcPr>
            <w:tcW w:w="2001" w:type="pct"/>
          </w:tcPr>
          <w:p w14:paraId="6EB90CE9"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Table C3</w:t>
            </w:r>
          </w:p>
        </w:tc>
      </w:tr>
      <w:tr w:rsidR="00CE1BDB" w:rsidRPr="00FA4DC7" w14:paraId="47D84B7A" w14:textId="77777777" w:rsidTr="003A3017">
        <w:tc>
          <w:tcPr>
            <w:tcW w:w="379" w:type="pct"/>
          </w:tcPr>
          <w:p w14:paraId="170AE084" w14:textId="77777777" w:rsidR="00CE1BDB" w:rsidRPr="00FA4DC7" w:rsidRDefault="00CE1BDB" w:rsidP="00EF49A7">
            <w:pPr>
              <w:pStyle w:val="Maintext"/>
              <w:numPr>
                <w:ilvl w:val="0"/>
                <w:numId w:val="0"/>
              </w:numPr>
              <w:spacing w:before="0" w:after="0"/>
              <w:ind w:left="24"/>
              <w:jc w:val="center"/>
              <w:rPr>
                <w:rFonts w:ascii="Arial" w:hAnsi="Arial" w:cs="Arial"/>
                <w:sz w:val="22"/>
                <w:szCs w:val="22"/>
              </w:rPr>
            </w:pPr>
            <w:r w:rsidRPr="00FA4DC7">
              <w:rPr>
                <w:rFonts w:ascii="Arial" w:hAnsi="Arial" w:cs="Arial"/>
                <w:sz w:val="22"/>
                <w:szCs w:val="22"/>
              </w:rPr>
              <w:t>A3</w:t>
            </w:r>
          </w:p>
        </w:tc>
        <w:tc>
          <w:tcPr>
            <w:tcW w:w="2094" w:type="pct"/>
          </w:tcPr>
          <w:p w14:paraId="1753E9BE"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Annualised need</w:t>
            </w:r>
          </w:p>
        </w:tc>
        <w:tc>
          <w:tcPr>
            <w:tcW w:w="526" w:type="pct"/>
          </w:tcPr>
          <w:p w14:paraId="093AE3EF" w14:textId="77777777" w:rsidR="00CE1BDB" w:rsidRPr="00FA4DC7" w:rsidRDefault="00CE1BDB" w:rsidP="003A3017">
            <w:pPr>
              <w:pStyle w:val="Maintext"/>
              <w:numPr>
                <w:ilvl w:val="0"/>
                <w:numId w:val="0"/>
              </w:numPr>
              <w:spacing w:before="0" w:after="0"/>
              <w:jc w:val="right"/>
              <w:rPr>
                <w:rFonts w:ascii="Arial" w:hAnsi="Arial" w:cs="Arial"/>
                <w:sz w:val="22"/>
                <w:szCs w:val="22"/>
              </w:rPr>
            </w:pPr>
            <w:r w:rsidRPr="00FA4DC7">
              <w:rPr>
                <w:rFonts w:ascii="Arial" w:hAnsi="Arial" w:cs="Arial"/>
                <w:sz w:val="22"/>
                <w:szCs w:val="22"/>
              </w:rPr>
              <w:t>748</w:t>
            </w:r>
          </w:p>
        </w:tc>
        <w:tc>
          <w:tcPr>
            <w:tcW w:w="2001" w:type="pct"/>
          </w:tcPr>
          <w:p w14:paraId="33470D5C" w14:textId="77777777" w:rsidR="00CE1BDB" w:rsidRPr="00FA4DC7" w:rsidRDefault="00CE1BDB" w:rsidP="003A3017">
            <w:pPr>
              <w:pStyle w:val="Maintext"/>
              <w:numPr>
                <w:ilvl w:val="0"/>
                <w:numId w:val="0"/>
              </w:numPr>
              <w:spacing w:before="0" w:after="0"/>
              <w:jc w:val="left"/>
              <w:rPr>
                <w:rFonts w:ascii="Arial" w:hAnsi="Arial" w:cs="Arial"/>
                <w:sz w:val="22"/>
                <w:szCs w:val="22"/>
              </w:rPr>
            </w:pPr>
            <w:r w:rsidRPr="00FA4DC7">
              <w:rPr>
                <w:rFonts w:ascii="Arial" w:hAnsi="Arial" w:cs="Arial"/>
                <w:sz w:val="22"/>
                <w:szCs w:val="22"/>
              </w:rPr>
              <w:t>Assume unmet need is cleared over a 10-year period for consistency with standard method calculation</w:t>
            </w:r>
          </w:p>
        </w:tc>
      </w:tr>
      <w:tr w:rsidR="00CE1BDB" w:rsidRPr="00FA4DC7" w14:paraId="237A07FE" w14:textId="77777777" w:rsidTr="003A3017">
        <w:tc>
          <w:tcPr>
            <w:tcW w:w="379" w:type="pct"/>
          </w:tcPr>
          <w:p w14:paraId="4FD464FB" w14:textId="77777777" w:rsidR="00CE1BDB" w:rsidRPr="00FA4DC7" w:rsidRDefault="00CE1BDB" w:rsidP="00EF49A7">
            <w:pPr>
              <w:pStyle w:val="Maintext"/>
              <w:numPr>
                <w:ilvl w:val="0"/>
                <w:numId w:val="0"/>
              </w:numPr>
              <w:spacing w:before="0" w:after="0"/>
              <w:ind w:left="24"/>
              <w:jc w:val="center"/>
              <w:rPr>
                <w:rFonts w:ascii="Arial" w:hAnsi="Arial" w:cs="Arial"/>
                <w:sz w:val="22"/>
                <w:szCs w:val="22"/>
              </w:rPr>
            </w:pPr>
            <w:r w:rsidRPr="00FA4DC7">
              <w:rPr>
                <w:rFonts w:ascii="Arial" w:hAnsi="Arial" w:cs="Arial"/>
                <w:sz w:val="22"/>
                <w:szCs w:val="22"/>
              </w:rPr>
              <w:t>B</w:t>
            </w:r>
          </w:p>
        </w:tc>
        <w:tc>
          <w:tcPr>
            <w:tcW w:w="2094" w:type="pct"/>
          </w:tcPr>
          <w:p w14:paraId="2232CCF9" w14:textId="77777777" w:rsidR="00CE1BDB" w:rsidRPr="00FA4DC7" w:rsidRDefault="00CE1BDB" w:rsidP="00EF49A7">
            <w:pPr>
              <w:pStyle w:val="Maintext"/>
              <w:numPr>
                <w:ilvl w:val="0"/>
                <w:numId w:val="0"/>
              </w:numPr>
              <w:spacing w:before="0" w:after="0"/>
              <w:rPr>
                <w:rFonts w:ascii="Arial" w:hAnsi="Arial" w:cs="Arial"/>
                <w:sz w:val="22"/>
                <w:szCs w:val="22"/>
              </w:rPr>
            </w:pPr>
            <w:proofErr w:type="gramStart"/>
            <w:r w:rsidRPr="00FA4DC7">
              <w:rPr>
                <w:rFonts w:ascii="Arial" w:hAnsi="Arial" w:cs="Arial"/>
                <w:sz w:val="22"/>
                <w:szCs w:val="22"/>
              </w:rPr>
              <w:t>Newly-arising</w:t>
            </w:r>
            <w:proofErr w:type="gramEnd"/>
            <w:r w:rsidRPr="00FA4DC7">
              <w:rPr>
                <w:rFonts w:ascii="Arial" w:hAnsi="Arial" w:cs="Arial"/>
                <w:sz w:val="22"/>
                <w:szCs w:val="22"/>
              </w:rPr>
              <w:t xml:space="preserve"> annual need</w:t>
            </w:r>
          </w:p>
        </w:tc>
        <w:tc>
          <w:tcPr>
            <w:tcW w:w="526" w:type="pct"/>
          </w:tcPr>
          <w:p w14:paraId="11EE337E" w14:textId="77777777" w:rsidR="00CE1BDB" w:rsidRPr="00FA4DC7" w:rsidRDefault="00CE1BDB" w:rsidP="003A3017">
            <w:pPr>
              <w:pStyle w:val="Maintext"/>
              <w:numPr>
                <w:ilvl w:val="0"/>
                <w:numId w:val="0"/>
              </w:numPr>
              <w:spacing w:before="0" w:after="0"/>
              <w:jc w:val="right"/>
              <w:rPr>
                <w:rFonts w:ascii="Arial" w:hAnsi="Arial" w:cs="Arial"/>
                <w:sz w:val="22"/>
                <w:szCs w:val="22"/>
              </w:rPr>
            </w:pPr>
            <w:r w:rsidRPr="00FA4DC7">
              <w:rPr>
                <w:rFonts w:ascii="Arial" w:hAnsi="Arial" w:cs="Arial"/>
                <w:sz w:val="22"/>
                <w:szCs w:val="22"/>
              </w:rPr>
              <w:t>987</w:t>
            </w:r>
          </w:p>
        </w:tc>
        <w:tc>
          <w:tcPr>
            <w:tcW w:w="2001" w:type="pct"/>
          </w:tcPr>
          <w:p w14:paraId="7A3A23BD"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Table C5</w:t>
            </w:r>
          </w:p>
        </w:tc>
      </w:tr>
      <w:tr w:rsidR="00CE1BDB" w:rsidRPr="00FA4DC7" w14:paraId="211088AE" w14:textId="77777777" w:rsidTr="003A3017">
        <w:tc>
          <w:tcPr>
            <w:tcW w:w="379" w:type="pct"/>
          </w:tcPr>
          <w:p w14:paraId="1B915858" w14:textId="77777777" w:rsidR="00CE1BDB" w:rsidRPr="00FA4DC7" w:rsidRDefault="00CE1BDB" w:rsidP="00EF49A7">
            <w:pPr>
              <w:pStyle w:val="Maintext"/>
              <w:numPr>
                <w:ilvl w:val="0"/>
                <w:numId w:val="0"/>
              </w:numPr>
              <w:spacing w:before="0" w:after="0"/>
              <w:ind w:left="24"/>
              <w:jc w:val="center"/>
              <w:rPr>
                <w:rFonts w:ascii="Arial" w:hAnsi="Arial" w:cs="Arial"/>
                <w:sz w:val="22"/>
                <w:szCs w:val="22"/>
              </w:rPr>
            </w:pPr>
            <w:r w:rsidRPr="00FA4DC7">
              <w:rPr>
                <w:rFonts w:ascii="Arial" w:hAnsi="Arial" w:cs="Arial"/>
                <w:sz w:val="22"/>
                <w:szCs w:val="22"/>
              </w:rPr>
              <w:t>TGN</w:t>
            </w:r>
          </w:p>
        </w:tc>
        <w:tc>
          <w:tcPr>
            <w:tcW w:w="2094" w:type="pct"/>
          </w:tcPr>
          <w:p w14:paraId="31F6DCDF"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Total gross need</w:t>
            </w:r>
          </w:p>
        </w:tc>
        <w:tc>
          <w:tcPr>
            <w:tcW w:w="526" w:type="pct"/>
          </w:tcPr>
          <w:p w14:paraId="668413A0" w14:textId="77777777" w:rsidR="00CE1BDB" w:rsidRPr="00FA4DC7" w:rsidRDefault="00CE1BDB" w:rsidP="003A3017">
            <w:pPr>
              <w:pStyle w:val="Maintext"/>
              <w:numPr>
                <w:ilvl w:val="0"/>
                <w:numId w:val="0"/>
              </w:numPr>
              <w:spacing w:before="0" w:after="0"/>
              <w:jc w:val="right"/>
              <w:rPr>
                <w:rFonts w:ascii="Arial" w:hAnsi="Arial" w:cs="Arial"/>
                <w:sz w:val="22"/>
                <w:szCs w:val="22"/>
              </w:rPr>
            </w:pPr>
            <w:r w:rsidRPr="00FA4DC7">
              <w:rPr>
                <w:rFonts w:ascii="Arial" w:hAnsi="Arial" w:cs="Arial"/>
                <w:sz w:val="22"/>
                <w:szCs w:val="22"/>
              </w:rPr>
              <w:t>1,735</w:t>
            </w:r>
          </w:p>
        </w:tc>
        <w:tc>
          <w:tcPr>
            <w:tcW w:w="2001" w:type="pct"/>
          </w:tcPr>
          <w:p w14:paraId="73F1DF4D"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A3+B</w:t>
            </w:r>
          </w:p>
        </w:tc>
      </w:tr>
      <w:tr w:rsidR="00CE1BDB" w:rsidRPr="00FA4DC7" w14:paraId="119ADCA7" w14:textId="77777777" w:rsidTr="003A3017">
        <w:trPr>
          <w:trHeight w:val="100"/>
        </w:trPr>
        <w:tc>
          <w:tcPr>
            <w:tcW w:w="379" w:type="pct"/>
          </w:tcPr>
          <w:p w14:paraId="125850DB" w14:textId="77777777" w:rsidR="00CE1BDB" w:rsidRPr="00FA4DC7" w:rsidRDefault="00CE1BDB" w:rsidP="00EF49A7">
            <w:pPr>
              <w:pStyle w:val="Maintext"/>
              <w:numPr>
                <w:ilvl w:val="0"/>
                <w:numId w:val="0"/>
              </w:numPr>
              <w:spacing w:before="0" w:after="0"/>
              <w:jc w:val="center"/>
              <w:rPr>
                <w:rFonts w:ascii="Arial" w:hAnsi="Arial" w:cs="Arial"/>
                <w:sz w:val="22"/>
                <w:szCs w:val="22"/>
              </w:rPr>
            </w:pPr>
            <w:r w:rsidRPr="00FA4DC7">
              <w:rPr>
                <w:rFonts w:ascii="Arial" w:hAnsi="Arial" w:cs="Arial"/>
                <w:sz w:val="22"/>
                <w:szCs w:val="22"/>
              </w:rPr>
              <w:t>C</w:t>
            </w:r>
          </w:p>
        </w:tc>
        <w:tc>
          <w:tcPr>
            <w:tcW w:w="2094" w:type="pct"/>
          </w:tcPr>
          <w:p w14:paraId="6122ACA3"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Affordable annual housing supply</w:t>
            </w:r>
          </w:p>
        </w:tc>
        <w:tc>
          <w:tcPr>
            <w:tcW w:w="526" w:type="pct"/>
          </w:tcPr>
          <w:p w14:paraId="0A45C335" w14:textId="77777777" w:rsidR="00CE1BDB" w:rsidRPr="00FA4DC7" w:rsidRDefault="00CE1BDB" w:rsidP="003A3017">
            <w:pPr>
              <w:pStyle w:val="Maintext"/>
              <w:numPr>
                <w:ilvl w:val="0"/>
                <w:numId w:val="0"/>
              </w:numPr>
              <w:spacing w:before="0" w:after="0"/>
              <w:jc w:val="right"/>
              <w:rPr>
                <w:rFonts w:ascii="Arial" w:hAnsi="Arial" w:cs="Arial"/>
                <w:sz w:val="22"/>
                <w:szCs w:val="22"/>
              </w:rPr>
            </w:pPr>
            <w:r w:rsidRPr="00FA4DC7">
              <w:rPr>
                <w:rFonts w:ascii="Arial" w:hAnsi="Arial" w:cs="Arial"/>
                <w:sz w:val="22"/>
                <w:szCs w:val="22"/>
              </w:rPr>
              <w:t>864</w:t>
            </w:r>
          </w:p>
        </w:tc>
        <w:tc>
          <w:tcPr>
            <w:tcW w:w="2001" w:type="pct"/>
          </w:tcPr>
          <w:p w14:paraId="315E8180" w14:textId="77777777" w:rsidR="00CE1BDB" w:rsidRPr="00FA4DC7" w:rsidRDefault="00CE1BDB" w:rsidP="00EF49A7">
            <w:pPr>
              <w:pStyle w:val="Maintext"/>
              <w:numPr>
                <w:ilvl w:val="0"/>
                <w:numId w:val="0"/>
              </w:numPr>
              <w:spacing w:before="0" w:after="0"/>
              <w:rPr>
                <w:rFonts w:ascii="Arial" w:hAnsi="Arial" w:cs="Arial"/>
                <w:sz w:val="22"/>
                <w:szCs w:val="22"/>
              </w:rPr>
            </w:pPr>
            <w:r w:rsidRPr="00FA4DC7">
              <w:rPr>
                <w:rFonts w:ascii="Arial" w:hAnsi="Arial" w:cs="Arial"/>
                <w:sz w:val="22"/>
                <w:szCs w:val="22"/>
              </w:rPr>
              <w:t>Table C6</w:t>
            </w:r>
          </w:p>
        </w:tc>
      </w:tr>
      <w:tr w:rsidR="00CE1BDB" w:rsidRPr="00FA4DC7" w14:paraId="0240434C" w14:textId="77777777" w:rsidTr="003A3017">
        <w:tc>
          <w:tcPr>
            <w:tcW w:w="379" w:type="pct"/>
          </w:tcPr>
          <w:p w14:paraId="7D0F9B47" w14:textId="77777777" w:rsidR="00CE1BDB" w:rsidRPr="00FA4DC7" w:rsidRDefault="00CE1BDB" w:rsidP="00EF49A7">
            <w:pPr>
              <w:pStyle w:val="Maintext"/>
              <w:numPr>
                <w:ilvl w:val="0"/>
                <w:numId w:val="0"/>
              </w:numPr>
              <w:spacing w:before="0" w:after="0"/>
              <w:jc w:val="center"/>
              <w:rPr>
                <w:rFonts w:ascii="Arial" w:hAnsi="Arial" w:cs="Arial"/>
                <w:sz w:val="22"/>
                <w:szCs w:val="22"/>
              </w:rPr>
            </w:pPr>
          </w:p>
        </w:tc>
        <w:tc>
          <w:tcPr>
            <w:tcW w:w="2094" w:type="pct"/>
          </w:tcPr>
          <w:p w14:paraId="5AC4DDDD" w14:textId="77777777" w:rsidR="00CE1BDB" w:rsidRPr="00FA4DC7" w:rsidRDefault="00CE1BDB" w:rsidP="00EF49A7">
            <w:pPr>
              <w:pStyle w:val="Maintext"/>
              <w:numPr>
                <w:ilvl w:val="0"/>
                <w:numId w:val="0"/>
              </w:numPr>
              <w:spacing w:before="0" w:after="0"/>
              <w:rPr>
                <w:rFonts w:ascii="Arial" w:hAnsi="Arial" w:cs="Arial"/>
                <w:b/>
                <w:bCs/>
                <w:sz w:val="22"/>
                <w:szCs w:val="22"/>
              </w:rPr>
            </w:pPr>
            <w:r w:rsidRPr="00FA4DC7">
              <w:rPr>
                <w:rFonts w:ascii="Arial" w:hAnsi="Arial" w:cs="Arial"/>
                <w:b/>
                <w:bCs/>
                <w:sz w:val="22"/>
                <w:szCs w:val="22"/>
              </w:rPr>
              <w:t>Total annual net need</w:t>
            </w:r>
          </w:p>
        </w:tc>
        <w:tc>
          <w:tcPr>
            <w:tcW w:w="526" w:type="pct"/>
          </w:tcPr>
          <w:p w14:paraId="4D8056DA" w14:textId="77777777" w:rsidR="00CE1BDB" w:rsidRPr="00FA4DC7" w:rsidRDefault="00CE1BDB" w:rsidP="003A3017">
            <w:pPr>
              <w:pStyle w:val="Maintext"/>
              <w:numPr>
                <w:ilvl w:val="0"/>
                <w:numId w:val="0"/>
              </w:numPr>
              <w:spacing w:before="0" w:after="0"/>
              <w:jc w:val="right"/>
              <w:rPr>
                <w:rFonts w:ascii="Arial" w:hAnsi="Arial" w:cs="Arial"/>
                <w:b/>
                <w:bCs/>
                <w:sz w:val="22"/>
                <w:szCs w:val="22"/>
              </w:rPr>
            </w:pPr>
            <w:r w:rsidRPr="00FA4DC7">
              <w:rPr>
                <w:rFonts w:ascii="Arial" w:hAnsi="Arial" w:cs="Arial"/>
                <w:b/>
                <w:bCs/>
                <w:sz w:val="22"/>
                <w:szCs w:val="22"/>
              </w:rPr>
              <w:t>870</w:t>
            </w:r>
          </w:p>
        </w:tc>
        <w:tc>
          <w:tcPr>
            <w:tcW w:w="2001" w:type="pct"/>
          </w:tcPr>
          <w:p w14:paraId="4F90D4CB" w14:textId="77777777" w:rsidR="00CE1BDB" w:rsidRPr="00FA4DC7" w:rsidRDefault="00CE1BDB" w:rsidP="00EF49A7">
            <w:pPr>
              <w:pStyle w:val="Maintext"/>
              <w:numPr>
                <w:ilvl w:val="0"/>
                <w:numId w:val="0"/>
              </w:numPr>
              <w:spacing w:before="0" w:after="0"/>
              <w:rPr>
                <w:rFonts w:ascii="Arial" w:hAnsi="Arial" w:cs="Arial"/>
                <w:b/>
                <w:bCs/>
                <w:sz w:val="22"/>
                <w:szCs w:val="22"/>
              </w:rPr>
            </w:pPr>
            <w:r w:rsidRPr="00FA4DC7">
              <w:rPr>
                <w:rFonts w:ascii="Arial" w:hAnsi="Arial" w:cs="Arial"/>
                <w:b/>
                <w:bCs/>
                <w:sz w:val="22"/>
                <w:szCs w:val="22"/>
              </w:rPr>
              <w:t>TGN – C</w:t>
            </w:r>
          </w:p>
        </w:tc>
      </w:tr>
    </w:tbl>
    <w:p w14:paraId="76625C06" w14:textId="77777777" w:rsidR="00CE1BDB" w:rsidRPr="00FA4DC7" w:rsidRDefault="00CE1BDB" w:rsidP="00CE1BDB">
      <w:pPr>
        <w:rPr>
          <w:rFonts w:cs="Arial"/>
        </w:rPr>
      </w:pPr>
      <w:r w:rsidRPr="00FA4DC7">
        <w:rPr>
          <w:rFonts w:cs="Arial"/>
        </w:rPr>
        <w:t xml:space="preserve">Notes: </w:t>
      </w:r>
    </w:p>
    <w:p w14:paraId="367152D6" w14:textId="77777777" w:rsidR="00CE1BDB" w:rsidRPr="00FA4DC7" w:rsidRDefault="00CE1BDB" w:rsidP="00CE1BDB">
      <w:pPr>
        <w:rPr>
          <w:rFonts w:cs="Arial"/>
        </w:rPr>
      </w:pPr>
      <w:r w:rsidRPr="00FA4DC7">
        <w:rPr>
          <w:rFonts w:cs="Arial"/>
        </w:rPr>
        <w:t>Table subject to rounding errors</w:t>
      </w:r>
    </w:p>
    <w:p w14:paraId="3483A180" w14:textId="77777777" w:rsidR="00CE1BDB" w:rsidRPr="00FA4DC7" w:rsidRDefault="00CE1BDB" w:rsidP="00CE1BDB">
      <w:pPr>
        <w:rPr>
          <w:rFonts w:cs="Arial"/>
        </w:rPr>
      </w:pPr>
      <w:r w:rsidRPr="00FA4DC7">
        <w:rPr>
          <w:rFonts w:cs="Arial"/>
        </w:rPr>
        <w:t xml:space="preserve">If the gross unmet need was cleared over a </w:t>
      </w:r>
      <w:proofErr w:type="gramStart"/>
      <w:r w:rsidRPr="00FA4DC7">
        <w:rPr>
          <w:rFonts w:cs="Arial"/>
        </w:rPr>
        <w:t>15 year</w:t>
      </w:r>
      <w:proofErr w:type="gramEnd"/>
      <w:r w:rsidRPr="00FA4DC7">
        <w:rPr>
          <w:rFonts w:cs="Arial"/>
        </w:rPr>
        <w:t xml:space="preserve"> period (row A3 would be 498 each year), the total net annual need would be 621 affordable dwellings</w:t>
      </w:r>
    </w:p>
    <w:p w14:paraId="38D78976" w14:textId="77777777" w:rsidR="00CE1BDB" w:rsidRPr="00FA4DC7" w:rsidRDefault="00CE1BDB" w:rsidP="00CE1BDB">
      <w:pPr>
        <w:pStyle w:val="Maintext"/>
        <w:numPr>
          <w:ilvl w:val="0"/>
          <w:numId w:val="0"/>
        </w:numPr>
        <w:ind w:left="284"/>
        <w:rPr>
          <w:rFonts w:ascii="Arial" w:hAnsi="Arial" w:cs="Arial"/>
        </w:rPr>
      </w:pPr>
    </w:p>
    <w:p w14:paraId="3FC1452A" w14:textId="77777777" w:rsidR="00CE1BDB" w:rsidRPr="003A3017" w:rsidRDefault="00CE1BDB" w:rsidP="00CE1BDB">
      <w:pPr>
        <w:pStyle w:val="Maintext"/>
        <w:numPr>
          <w:ilvl w:val="1"/>
          <w:numId w:val="36"/>
        </w:numPr>
        <w:rPr>
          <w:rFonts w:ascii="Arial" w:hAnsi="Arial" w:cs="Arial"/>
        </w:rPr>
      </w:pPr>
      <w:r w:rsidRPr="00FA4DC7">
        <w:rPr>
          <w:rFonts w:ascii="Arial" w:hAnsi="Arial" w:cs="Arial"/>
        </w:rPr>
        <w:t xml:space="preserve">There are around 3,700 households on the housing register. Table C8 </w:t>
      </w:r>
      <w:r w:rsidRPr="003A3017">
        <w:rPr>
          <w:rFonts w:ascii="Arial" w:hAnsi="Arial" w:cs="Arial"/>
        </w:rPr>
        <w:t xml:space="preserve">summarises affordable need by number of bedrooms for sub-areas within Medway. The base figure is higher because households can choose multiple location preferences. The locations in Table C8 are based on available data from the housing register and ds </w:t>
      </w:r>
      <w:proofErr w:type="gramStart"/>
      <w:r w:rsidRPr="003A3017">
        <w:rPr>
          <w:rFonts w:ascii="Arial" w:hAnsi="Arial" w:cs="Arial"/>
        </w:rPr>
        <w:t>not correspond</w:t>
      </w:r>
      <w:proofErr w:type="gramEnd"/>
      <w:r w:rsidRPr="003A3017">
        <w:rPr>
          <w:rFonts w:ascii="Arial" w:hAnsi="Arial" w:cs="Arial"/>
        </w:rPr>
        <w:t xml:space="preserve"> completely with the sub-areas used in the rest of the report. Some data have also been redacted.</w:t>
      </w:r>
    </w:p>
    <w:p w14:paraId="5D49495E" w14:textId="77777777" w:rsidR="00CE1BDB" w:rsidRDefault="00CE1BDB" w:rsidP="00CE1BDB">
      <w:pPr>
        <w:pStyle w:val="Maintext"/>
        <w:numPr>
          <w:ilvl w:val="0"/>
          <w:numId w:val="0"/>
        </w:numPr>
        <w:ind w:left="709"/>
        <w:rPr>
          <w:rFonts w:ascii="Arial" w:hAnsi="Arial" w:cs="Arial"/>
        </w:rPr>
      </w:pPr>
    </w:p>
    <w:p w14:paraId="7487392A" w14:textId="5F90943B" w:rsidR="003A3017" w:rsidRDefault="003A3017">
      <w:pPr>
        <w:rPr>
          <w:rFonts w:cs="Arial"/>
          <w:lang w:eastAsia="en-US"/>
        </w:rPr>
      </w:pPr>
      <w:r>
        <w:rPr>
          <w:rFonts w:cs="Arial"/>
        </w:rPr>
        <w:br w:type="page"/>
      </w:r>
    </w:p>
    <w:tbl>
      <w:tblPr>
        <w:tblW w:w="5000" w:type="pct"/>
        <w:tblLayout w:type="fixed"/>
        <w:tblLook w:val="04A0" w:firstRow="1" w:lastRow="0" w:firstColumn="1" w:lastColumn="0" w:noHBand="0" w:noVBand="1"/>
      </w:tblPr>
      <w:tblGrid>
        <w:gridCol w:w="2972"/>
        <w:gridCol w:w="991"/>
        <w:gridCol w:w="852"/>
        <w:gridCol w:w="709"/>
        <w:gridCol w:w="565"/>
        <w:gridCol w:w="709"/>
        <w:gridCol w:w="711"/>
        <w:gridCol w:w="854"/>
        <w:gridCol w:w="817"/>
      </w:tblGrid>
      <w:tr w:rsidR="00CE1BDB" w:rsidRPr="007F632C" w14:paraId="08EB8A47" w14:textId="77777777" w:rsidTr="007F632C">
        <w:trPr>
          <w:trHeight w:val="320"/>
        </w:trPr>
        <w:tc>
          <w:tcPr>
            <w:tcW w:w="5000" w:type="pct"/>
            <w:gridSpan w:val="9"/>
            <w:tcBorders>
              <w:top w:val="single" w:sz="4" w:space="0" w:color="auto"/>
              <w:left w:val="single" w:sz="4" w:space="0" w:color="auto"/>
              <w:bottom w:val="single" w:sz="4" w:space="0" w:color="auto"/>
              <w:right w:val="single" w:sz="4" w:space="0" w:color="auto"/>
            </w:tcBorders>
            <w:shd w:val="clear" w:color="auto" w:fill="006666"/>
            <w:noWrap/>
            <w:vAlign w:val="bottom"/>
          </w:tcPr>
          <w:p w14:paraId="29DC7119" w14:textId="77777777" w:rsidR="00CE1BDB" w:rsidRPr="007F632C" w:rsidRDefault="00CE1BDB" w:rsidP="00EF49A7">
            <w:pPr>
              <w:pStyle w:val="Tableheading1"/>
              <w:rPr>
                <w:rFonts w:cs="Arial"/>
                <w:color w:val="FFFFFF"/>
                <w:szCs w:val="22"/>
              </w:rPr>
            </w:pPr>
            <w:bookmarkStart w:id="579" w:name="_Toc83036129"/>
            <w:r w:rsidRPr="007F632C">
              <w:rPr>
                <w:rFonts w:cs="Arial"/>
                <w:szCs w:val="22"/>
              </w:rPr>
              <w:lastRenderedPageBreak/>
              <w:t xml:space="preserve">Table C8 </w:t>
            </w:r>
            <w:r w:rsidRPr="007F632C">
              <w:rPr>
                <w:rFonts w:cs="Arial"/>
                <w:szCs w:val="22"/>
              </w:rPr>
              <w:tab/>
              <w:t>Affordable dwelling need by number of bedrooms</w:t>
            </w:r>
            <w:bookmarkEnd w:id="579"/>
          </w:p>
        </w:tc>
      </w:tr>
      <w:tr w:rsidR="003A3017" w:rsidRPr="007F632C" w14:paraId="6B5D3AD2" w14:textId="77777777" w:rsidTr="007F632C">
        <w:trPr>
          <w:trHeight w:val="320"/>
        </w:trPr>
        <w:tc>
          <w:tcPr>
            <w:tcW w:w="1619" w:type="pct"/>
            <w:vMerge w:val="restart"/>
            <w:tcBorders>
              <w:top w:val="single" w:sz="4" w:space="0" w:color="auto"/>
              <w:left w:val="single" w:sz="4" w:space="0" w:color="auto"/>
              <w:right w:val="single" w:sz="4" w:space="0" w:color="auto"/>
            </w:tcBorders>
            <w:shd w:val="clear" w:color="auto" w:fill="006666"/>
            <w:noWrap/>
            <w:vAlign w:val="bottom"/>
            <w:hideMark/>
          </w:tcPr>
          <w:p w14:paraId="4F248721" w14:textId="763B829E" w:rsidR="003A3017" w:rsidRPr="007F632C" w:rsidRDefault="003A3017" w:rsidP="007F632C">
            <w:pPr>
              <w:rPr>
                <w:rFonts w:cs="Arial"/>
                <w:color w:val="FFFFFF"/>
                <w:sz w:val="22"/>
                <w:szCs w:val="22"/>
              </w:rPr>
            </w:pPr>
            <w:r w:rsidRPr="007F632C">
              <w:rPr>
                <w:rFonts w:cs="Arial"/>
                <w:b/>
                <w:bCs/>
                <w:color w:val="FFFFFF"/>
                <w:sz w:val="22"/>
                <w:szCs w:val="22"/>
              </w:rPr>
              <w:t>Location</w:t>
            </w:r>
            <w:r w:rsidRPr="007F632C">
              <w:rPr>
                <w:rFonts w:cs="Arial"/>
                <w:color w:val="FFFFFF"/>
                <w:sz w:val="22"/>
                <w:szCs w:val="22"/>
              </w:rPr>
              <w:t> </w:t>
            </w:r>
          </w:p>
        </w:tc>
        <w:tc>
          <w:tcPr>
            <w:tcW w:w="2471" w:type="pct"/>
            <w:gridSpan w:val="6"/>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7580515C" w14:textId="77777777" w:rsidR="003A3017" w:rsidRPr="007F632C" w:rsidRDefault="003A3017" w:rsidP="007F632C">
            <w:pPr>
              <w:jc w:val="center"/>
              <w:rPr>
                <w:rFonts w:cs="Arial"/>
                <w:b/>
                <w:bCs/>
                <w:color w:val="FFFFFF"/>
                <w:sz w:val="22"/>
                <w:szCs w:val="22"/>
              </w:rPr>
            </w:pPr>
            <w:r w:rsidRPr="007F632C">
              <w:rPr>
                <w:rFonts w:cs="Arial"/>
                <w:b/>
                <w:bCs/>
                <w:color w:val="FFFFFF"/>
                <w:sz w:val="22"/>
                <w:szCs w:val="22"/>
              </w:rPr>
              <w:t>Number of bedrooms needed</w:t>
            </w:r>
          </w:p>
        </w:tc>
        <w:tc>
          <w:tcPr>
            <w:tcW w:w="465" w:type="pct"/>
            <w:vMerge w:val="restart"/>
            <w:tcBorders>
              <w:top w:val="single" w:sz="4" w:space="0" w:color="auto"/>
              <w:left w:val="single" w:sz="4" w:space="0" w:color="auto"/>
              <w:right w:val="single" w:sz="4" w:space="0" w:color="auto"/>
            </w:tcBorders>
            <w:shd w:val="clear" w:color="auto" w:fill="006666"/>
            <w:vAlign w:val="bottom"/>
          </w:tcPr>
          <w:p w14:paraId="56BE3101" w14:textId="5CF9DD67" w:rsidR="003A3017" w:rsidRPr="007F632C" w:rsidRDefault="003A3017" w:rsidP="00EF49A7">
            <w:pPr>
              <w:rPr>
                <w:rFonts w:cs="Arial"/>
                <w:b/>
                <w:bCs/>
                <w:color w:val="FFFFFF"/>
                <w:sz w:val="22"/>
                <w:szCs w:val="22"/>
              </w:rPr>
            </w:pPr>
            <w:r w:rsidRPr="007F632C">
              <w:rPr>
                <w:rFonts w:cs="Arial"/>
                <w:b/>
                <w:bCs/>
                <w:color w:val="FFFFFF"/>
                <w:sz w:val="22"/>
                <w:szCs w:val="22"/>
              </w:rPr>
              <w:t>Total</w:t>
            </w:r>
          </w:p>
        </w:tc>
        <w:tc>
          <w:tcPr>
            <w:tcW w:w="445" w:type="pct"/>
            <w:vMerge w:val="restart"/>
            <w:tcBorders>
              <w:top w:val="single" w:sz="4" w:space="0" w:color="auto"/>
              <w:left w:val="single" w:sz="4" w:space="0" w:color="auto"/>
              <w:right w:val="single" w:sz="4" w:space="0" w:color="auto"/>
            </w:tcBorders>
            <w:shd w:val="clear" w:color="auto" w:fill="006666"/>
            <w:vAlign w:val="bottom"/>
          </w:tcPr>
          <w:p w14:paraId="4760E5D0" w14:textId="3DC69B46" w:rsidR="003A3017" w:rsidRPr="007F632C" w:rsidRDefault="003A3017" w:rsidP="00EF49A7">
            <w:pPr>
              <w:rPr>
                <w:rFonts w:cs="Arial"/>
                <w:b/>
                <w:bCs/>
                <w:color w:val="FFFFFF"/>
                <w:sz w:val="22"/>
                <w:szCs w:val="22"/>
              </w:rPr>
            </w:pPr>
            <w:r w:rsidRPr="007F632C">
              <w:rPr>
                <w:rFonts w:cs="Arial"/>
                <w:b/>
                <w:bCs/>
                <w:color w:val="FFFFFF"/>
                <w:sz w:val="22"/>
                <w:szCs w:val="22"/>
              </w:rPr>
              <w:t>Base</w:t>
            </w:r>
          </w:p>
        </w:tc>
      </w:tr>
      <w:tr w:rsidR="007F632C" w:rsidRPr="007F632C" w14:paraId="394D8686" w14:textId="77777777" w:rsidTr="007F632C">
        <w:trPr>
          <w:trHeight w:val="320"/>
        </w:trPr>
        <w:tc>
          <w:tcPr>
            <w:tcW w:w="1619" w:type="pct"/>
            <w:vMerge/>
            <w:tcBorders>
              <w:left w:val="single" w:sz="4" w:space="0" w:color="auto"/>
              <w:bottom w:val="single" w:sz="4" w:space="0" w:color="auto"/>
              <w:right w:val="single" w:sz="4" w:space="0" w:color="auto"/>
            </w:tcBorders>
            <w:shd w:val="clear" w:color="auto" w:fill="006666"/>
            <w:noWrap/>
            <w:vAlign w:val="bottom"/>
            <w:hideMark/>
          </w:tcPr>
          <w:p w14:paraId="72A67775" w14:textId="0CEC8619" w:rsidR="003A3017" w:rsidRPr="007F632C" w:rsidRDefault="003A3017" w:rsidP="00EF49A7">
            <w:pPr>
              <w:rPr>
                <w:rFonts w:cs="Arial"/>
                <w:color w:val="FFFFFF"/>
                <w:sz w:val="22"/>
                <w:szCs w:val="22"/>
              </w:rPr>
            </w:pPr>
          </w:p>
        </w:tc>
        <w:tc>
          <w:tcPr>
            <w:tcW w:w="540" w:type="pct"/>
            <w:tcBorders>
              <w:top w:val="nil"/>
              <w:left w:val="nil"/>
              <w:bottom w:val="single" w:sz="4" w:space="0" w:color="auto"/>
              <w:right w:val="single" w:sz="4" w:space="0" w:color="auto"/>
            </w:tcBorders>
            <w:shd w:val="clear" w:color="auto" w:fill="006666"/>
            <w:noWrap/>
            <w:vAlign w:val="bottom"/>
            <w:hideMark/>
          </w:tcPr>
          <w:p w14:paraId="7741B65E" w14:textId="77777777" w:rsidR="003A3017" w:rsidRPr="007F632C" w:rsidRDefault="003A3017" w:rsidP="007F632C">
            <w:pPr>
              <w:jc w:val="center"/>
              <w:rPr>
                <w:rFonts w:cs="Arial"/>
                <w:color w:val="FFFFFF"/>
                <w:sz w:val="22"/>
                <w:szCs w:val="22"/>
              </w:rPr>
            </w:pPr>
            <w:r w:rsidRPr="007F632C">
              <w:rPr>
                <w:rFonts w:cs="Arial"/>
                <w:color w:val="FFFFFF"/>
                <w:sz w:val="22"/>
                <w:szCs w:val="22"/>
              </w:rPr>
              <w:t>1</w:t>
            </w:r>
          </w:p>
        </w:tc>
        <w:tc>
          <w:tcPr>
            <w:tcW w:w="464" w:type="pct"/>
            <w:tcBorders>
              <w:top w:val="nil"/>
              <w:left w:val="nil"/>
              <w:bottom w:val="single" w:sz="4" w:space="0" w:color="auto"/>
              <w:right w:val="single" w:sz="4" w:space="0" w:color="auto"/>
            </w:tcBorders>
            <w:shd w:val="clear" w:color="auto" w:fill="006666"/>
            <w:noWrap/>
            <w:vAlign w:val="bottom"/>
            <w:hideMark/>
          </w:tcPr>
          <w:p w14:paraId="2EFE1F86" w14:textId="77777777" w:rsidR="003A3017" w:rsidRPr="007F632C" w:rsidRDefault="003A3017" w:rsidP="007F632C">
            <w:pPr>
              <w:jc w:val="center"/>
              <w:rPr>
                <w:rFonts w:cs="Arial"/>
                <w:color w:val="FFFFFF"/>
                <w:sz w:val="22"/>
                <w:szCs w:val="22"/>
              </w:rPr>
            </w:pPr>
            <w:r w:rsidRPr="007F632C">
              <w:rPr>
                <w:rFonts w:cs="Arial"/>
                <w:color w:val="FFFFFF"/>
                <w:sz w:val="22"/>
                <w:szCs w:val="22"/>
              </w:rPr>
              <w:t>2</w:t>
            </w:r>
          </w:p>
        </w:tc>
        <w:tc>
          <w:tcPr>
            <w:tcW w:w="386" w:type="pct"/>
            <w:tcBorders>
              <w:top w:val="nil"/>
              <w:left w:val="nil"/>
              <w:bottom w:val="single" w:sz="4" w:space="0" w:color="auto"/>
              <w:right w:val="single" w:sz="4" w:space="0" w:color="auto"/>
            </w:tcBorders>
            <w:shd w:val="clear" w:color="auto" w:fill="006666"/>
            <w:noWrap/>
            <w:vAlign w:val="bottom"/>
            <w:hideMark/>
          </w:tcPr>
          <w:p w14:paraId="660C1665" w14:textId="77777777" w:rsidR="003A3017" w:rsidRPr="007F632C" w:rsidRDefault="003A3017" w:rsidP="007F632C">
            <w:pPr>
              <w:jc w:val="center"/>
              <w:rPr>
                <w:rFonts w:cs="Arial"/>
                <w:color w:val="FFFFFF"/>
                <w:sz w:val="22"/>
                <w:szCs w:val="22"/>
              </w:rPr>
            </w:pPr>
            <w:r w:rsidRPr="007F632C">
              <w:rPr>
                <w:rFonts w:cs="Arial"/>
                <w:color w:val="FFFFFF"/>
                <w:sz w:val="22"/>
                <w:szCs w:val="22"/>
              </w:rPr>
              <w:t>3</w:t>
            </w:r>
          </w:p>
        </w:tc>
        <w:tc>
          <w:tcPr>
            <w:tcW w:w="308" w:type="pct"/>
            <w:tcBorders>
              <w:top w:val="nil"/>
              <w:left w:val="nil"/>
              <w:bottom w:val="single" w:sz="4" w:space="0" w:color="auto"/>
              <w:right w:val="single" w:sz="4" w:space="0" w:color="auto"/>
            </w:tcBorders>
            <w:shd w:val="clear" w:color="auto" w:fill="006666"/>
            <w:noWrap/>
            <w:vAlign w:val="bottom"/>
            <w:hideMark/>
          </w:tcPr>
          <w:p w14:paraId="78C3FBCD" w14:textId="77777777" w:rsidR="003A3017" w:rsidRPr="007F632C" w:rsidRDefault="003A3017" w:rsidP="007F632C">
            <w:pPr>
              <w:jc w:val="center"/>
              <w:rPr>
                <w:rFonts w:cs="Arial"/>
                <w:color w:val="FFFFFF"/>
                <w:sz w:val="22"/>
                <w:szCs w:val="22"/>
              </w:rPr>
            </w:pPr>
            <w:r w:rsidRPr="007F632C">
              <w:rPr>
                <w:rFonts w:cs="Arial"/>
                <w:color w:val="FFFFFF"/>
                <w:sz w:val="22"/>
                <w:szCs w:val="22"/>
              </w:rPr>
              <w:t>4</w:t>
            </w:r>
          </w:p>
        </w:tc>
        <w:tc>
          <w:tcPr>
            <w:tcW w:w="386" w:type="pct"/>
            <w:tcBorders>
              <w:top w:val="nil"/>
              <w:left w:val="nil"/>
              <w:bottom w:val="single" w:sz="4" w:space="0" w:color="auto"/>
              <w:right w:val="single" w:sz="4" w:space="0" w:color="auto"/>
            </w:tcBorders>
            <w:shd w:val="clear" w:color="auto" w:fill="006666"/>
            <w:noWrap/>
            <w:vAlign w:val="bottom"/>
            <w:hideMark/>
          </w:tcPr>
          <w:p w14:paraId="119FE2E2" w14:textId="77777777" w:rsidR="003A3017" w:rsidRPr="007F632C" w:rsidRDefault="003A3017" w:rsidP="007F632C">
            <w:pPr>
              <w:jc w:val="center"/>
              <w:rPr>
                <w:rFonts w:cs="Arial"/>
                <w:color w:val="FFFFFF"/>
                <w:sz w:val="22"/>
                <w:szCs w:val="22"/>
              </w:rPr>
            </w:pPr>
            <w:r w:rsidRPr="007F632C">
              <w:rPr>
                <w:rFonts w:cs="Arial"/>
                <w:color w:val="FFFFFF"/>
                <w:sz w:val="22"/>
                <w:szCs w:val="22"/>
              </w:rPr>
              <w:t>5</w:t>
            </w:r>
          </w:p>
        </w:tc>
        <w:tc>
          <w:tcPr>
            <w:tcW w:w="387" w:type="pct"/>
            <w:tcBorders>
              <w:top w:val="nil"/>
              <w:left w:val="nil"/>
              <w:bottom w:val="single" w:sz="4" w:space="0" w:color="auto"/>
              <w:right w:val="single" w:sz="4" w:space="0" w:color="auto"/>
            </w:tcBorders>
            <w:shd w:val="clear" w:color="auto" w:fill="006666"/>
            <w:noWrap/>
            <w:vAlign w:val="bottom"/>
            <w:hideMark/>
          </w:tcPr>
          <w:p w14:paraId="3DCFB1DF" w14:textId="77777777" w:rsidR="003A3017" w:rsidRPr="007F632C" w:rsidRDefault="003A3017" w:rsidP="007F632C">
            <w:pPr>
              <w:jc w:val="center"/>
              <w:rPr>
                <w:rFonts w:cs="Arial"/>
                <w:color w:val="FFFFFF"/>
                <w:sz w:val="22"/>
                <w:szCs w:val="22"/>
              </w:rPr>
            </w:pPr>
            <w:r w:rsidRPr="007F632C">
              <w:rPr>
                <w:rFonts w:cs="Arial"/>
                <w:color w:val="FFFFFF"/>
                <w:sz w:val="22"/>
                <w:szCs w:val="22"/>
              </w:rPr>
              <w:t>6</w:t>
            </w:r>
          </w:p>
        </w:tc>
        <w:tc>
          <w:tcPr>
            <w:tcW w:w="465" w:type="pct"/>
            <w:vMerge/>
            <w:tcBorders>
              <w:left w:val="single" w:sz="4" w:space="0" w:color="auto"/>
              <w:bottom w:val="single" w:sz="4" w:space="0" w:color="auto"/>
              <w:right w:val="single" w:sz="4" w:space="0" w:color="auto"/>
            </w:tcBorders>
            <w:shd w:val="clear" w:color="auto" w:fill="006666"/>
            <w:noWrap/>
            <w:vAlign w:val="bottom"/>
            <w:hideMark/>
          </w:tcPr>
          <w:p w14:paraId="63E79392" w14:textId="258E3E54" w:rsidR="003A3017" w:rsidRPr="007F632C" w:rsidRDefault="003A3017" w:rsidP="00EF49A7">
            <w:pPr>
              <w:rPr>
                <w:rFonts w:cs="Arial"/>
                <w:color w:val="FFFFFF"/>
                <w:sz w:val="22"/>
                <w:szCs w:val="22"/>
              </w:rPr>
            </w:pPr>
          </w:p>
        </w:tc>
        <w:tc>
          <w:tcPr>
            <w:tcW w:w="445" w:type="pct"/>
            <w:vMerge/>
            <w:tcBorders>
              <w:left w:val="single" w:sz="4" w:space="0" w:color="auto"/>
              <w:bottom w:val="single" w:sz="4" w:space="0" w:color="auto"/>
              <w:right w:val="single" w:sz="4" w:space="0" w:color="auto"/>
            </w:tcBorders>
            <w:shd w:val="clear" w:color="auto" w:fill="006666"/>
            <w:noWrap/>
            <w:vAlign w:val="bottom"/>
            <w:hideMark/>
          </w:tcPr>
          <w:p w14:paraId="461546E5" w14:textId="17233C22" w:rsidR="003A3017" w:rsidRPr="007F632C" w:rsidRDefault="003A3017" w:rsidP="00EF49A7">
            <w:pPr>
              <w:rPr>
                <w:rFonts w:cs="Arial"/>
                <w:color w:val="FFFFFF"/>
                <w:sz w:val="22"/>
                <w:szCs w:val="22"/>
              </w:rPr>
            </w:pPr>
          </w:p>
        </w:tc>
      </w:tr>
      <w:tr w:rsidR="007F632C" w:rsidRPr="007F632C" w14:paraId="4C576A35"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6E2E9985" w14:textId="77777777" w:rsidR="00CE1BDB" w:rsidRPr="007F632C" w:rsidRDefault="00CE1BDB" w:rsidP="00EF49A7">
            <w:pPr>
              <w:rPr>
                <w:rFonts w:cs="Arial"/>
                <w:color w:val="000000"/>
                <w:sz w:val="22"/>
                <w:szCs w:val="22"/>
              </w:rPr>
            </w:pPr>
            <w:r w:rsidRPr="007F632C">
              <w:rPr>
                <w:rFonts w:cs="Arial"/>
                <w:color w:val="000000"/>
                <w:sz w:val="22"/>
                <w:szCs w:val="22"/>
              </w:rPr>
              <w:t>Chatham</w:t>
            </w:r>
          </w:p>
        </w:tc>
        <w:tc>
          <w:tcPr>
            <w:tcW w:w="540" w:type="pct"/>
            <w:tcBorders>
              <w:top w:val="nil"/>
              <w:left w:val="nil"/>
              <w:bottom w:val="single" w:sz="4" w:space="0" w:color="auto"/>
              <w:right w:val="single" w:sz="4" w:space="0" w:color="auto"/>
            </w:tcBorders>
            <w:shd w:val="clear" w:color="auto" w:fill="auto"/>
            <w:noWrap/>
            <w:vAlign w:val="center"/>
            <w:hideMark/>
          </w:tcPr>
          <w:p w14:paraId="0CC4712A" w14:textId="77777777" w:rsidR="00CE1BDB" w:rsidRPr="007F632C" w:rsidRDefault="00CE1BDB" w:rsidP="007F632C">
            <w:pPr>
              <w:jc w:val="right"/>
              <w:rPr>
                <w:rFonts w:cs="Arial"/>
                <w:color w:val="000000"/>
                <w:sz w:val="22"/>
                <w:szCs w:val="22"/>
              </w:rPr>
            </w:pPr>
            <w:r w:rsidRPr="007F632C">
              <w:rPr>
                <w:rFonts w:cs="Arial"/>
                <w:color w:val="000000"/>
                <w:sz w:val="22"/>
                <w:szCs w:val="22"/>
              </w:rPr>
              <w:t>22.3</w:t>
            </w:r>
          </w:p>
        </w:tc>
        <w:tc>
          <w:tcPr>
            <w:tcW w:w="464" w:type="pct"/>
            <w:tcBorders>
              <w:top w:val="nil"/>
              <w:left w:val="nil"/>
              <w:bottom w:val="single" w:sz="4" w:space="0" w:color="auto"/>
              <w:right w:val="single" w:sz="4" w:space="0" w:color="auto"/>
            </w:tcBorders>
            <w:shd w:val="clear" w:color="auto" w:fill="auto"/>
            <w:noWrap/>
            <w:vAlign w:val="center"/>
            <w:hideMark/>
          </w:tcPr>
          <w:p w14:paraId="673616D2" w14:textId="77777777" w:rsidR="00CE1BDB" w:rsidRPr="007F632C" w:rsidRDefault="00CE1BDB" w:rsidP="007F632C">
            <w:pPr>
              <w:jc w:val="right"/>
              <w:rPr>
                <w:rFonts w:cs="Arial"/>
                <w:color w:val="000000"/>
                <w:sz w:val="22"/>
                <w:szCs w:val="22"/>
              </w:rPr>
            </w:pPr>
            <w:r w:rsidRPr="007F632C">
              <w:rPr>
                <w:rFonts w:cs="Arial"/>
                <w:color w:val="000000"/>
                <w:sz w:val="22"/>
                <w:szCs w:val="22"/>
              </w:rPr>
              <w:t>25.9</w:t>
            </w:r>
          </w:p>
        </w:tc>
        <w:tc>
          <w:tcPr>
            <w:tcW w:w="386" w:type="pct"/>
            <w:tcBorders>
              <w:top w:val="nil"/>
              <w:left w:val="nil"/>
              <w:bottom w:val="single" w:sz="4" w:space="0" w:color="auto"/>
              <w:right w:val="single" w:sz="4" w:space="0" w:color="auto"/>
            </w:tcBorders>
            <w:shd w:val="clear" w:color="auto" w:fill="auto"/>
            <w:noWrap/>
            <w:vAlign w:val="center"/>
            <w:hideMark/>
          </w:tcPr>
          <w:p w14:paraId="211669D5" w14:textId="77777777" w:rsidR="00CE1BDB" w:rsidRPr="007F632C" w:rsidRDefault="00CE1BDB" w:rsidP="007F632C">
            <w:pPr>
              <w:jc w:val="right"/>
              <w:rPr>
                <w:rFonts w:cs="Arial"/>
                <w:color w:val="000000"/>
                <w:sz w:val="22"/>
                <w:szCs w:val="22"/>
              </w:rPr>
            </w:pPr>
            <w:r w:rsidRPr="007F632C">
              <w:rPr>
                <w:rFonts w:cs="Arial"/>
                <w:color w:val="000000"/>
                <w:sz w:val="22"/>
                <w:szCs w:val="22"/>
              </w:rPr>
              <w:t>28.3</w:t>
            </w:r>
          </w:p>
        </w:tc>
        <w:tc>
          <w:tcPr>
            <w:tcW w:w="308" w:type="pct"/>
            <w:tcBorders>
              <w:top w:val="nil"/>
              <w:left w:val="nil"/>
              <w:bottom w:val="single" w:sz="4" w:space="0" w:color="auto"/>
              <w:right w:val="single" w:sz="4" w:space="0" w:color="auto"/>
            </w:tcBorders>
            <w:shd w:val="clear" w:color="auto" w:fill="auto"/>
            <w:noWrap/>
            <w:vAlign w:val="center"/>
            <w:hideMark/>
          </w:tcPr>
          <w:p w14:paraId="73E6C74C" w14:textId="77777777" w:rsidR="00CE1BDB" w:rsidRPr="007F632C" w:rsidRDefault="00CE1BDB" w:rsidP="007F632C">
            <w:pPr>
              <w:jc w:val="right"/>
              <w:rPr>
                <w:rFonts w:cs="Arial"/>
                <w:color w:val="000000"/>
                <w:sz w:val="22"/>
                <w:szCs w:val="22"/>
              </w:rPr>
            </w:pPr>
            <w:r w:rsidRPr="007F632C">
              <w:rPr>
                <w:rFonts w:cs="Arial"/>
                <w:color w:val="000000"/>
                <w:sz w:val="22"/>
                <w:szCs w:val="22"/>
              </w:rPr>
              <w:t>5.4</w:t>
            </w:r>
          </w:p>
        </w:tc>
        <w:tc>
          <w:tcPr>
            <w:tcW w:w="386" w:type="pct"/>
            <w:tcBorders>
              <w:top w:val="nil"/>
              <w:left w:val="nil"/>
              <w:bottom w:val="single" w:sz="4" w:space="0" w:color="auto"/>
              <w:right w:val="single" w:sz="4" w:space="0" w:color="auto"/>
            </w:tcBorders>
            <w:shd w:val="clear" w:color="auto" w:fill="auto"/>
            <w:noWrap/>
            <w:vAlign w:val="center"/>
            <w:hideMark/>
          </w:tcPr>
          <w:p w14:paraId="7778B447" w14:textId="77777777" w:rsidR="00CE1BDB" w:rsidRPr="007F632C" w:rsidRDefault="00CE1BDB" w:rsidP="007F632C">
            <w:pPr>
              <w:jc w:val="right"/>
              <w:rPr>
                <w:rFonts w:cs="Arial"/>
                <w:color w:val="000000"/>
                <w:sz w:val="22"/>
                <w:szCs w:val="22"/>
              </w:rPr>
            </w:pPr>
            <w:r w:rsidRPr="007F632C">
              <w:rPr>
                <w:rFonts w:cs="Arial"/>
                <w:color w:val="000000"/>
                <w:sz w:val="22"/>
                <w:szCs w:val="22"/>
              </w:rPr>
              <w:t>11.9</w:t>
            </w:r>
          </w:p>
        </w:tc>
        <w:tc>
          <w:tcPr>
            <w:tcW w:w="387" w:type="pct"/>
            <w:tcBorders>
              <w:top w:val="nil"/>
              <w:left w:val="nil"/>
              <w:bottom w:val="single" w:sz="4" w:space="0" w:color="auto"/>
              <w:right w:val="single" w:sz="4" w:space="0" w:color="auto"/>
            </w:tcBorders>
            <w:shd w:val="clear" w:color="auto" w:fill="auto"/>
            <w:noWrap/>
            <w:vAlign w:val="center"/>
            <w:hideMark/>
          </w:tcPr>
          <w:p w14:paraId="6CA909CB" w14:textId="77777777" w:rsidR="00CE1BDB" w:rsidRPr="007F632C" w:rsidRDefault="00CE1BDB" w:rsidP="007F632C">
            <w:pPr>
              <w:jc w:val="right"/>
              <w:rPr>
                <w:rFonts w:cs="Arial"/>
                <w:color w:val="000000"/>
                <w:sz w:val="22"/>
                <w:szCs w:val="22"/>
              </w:rPr>
            </w:pPr>
            <w:r w:rsidRPr="007F632C">
              <w:rPr>
                <w:rFonts w:cs="Arial"/>
                <w:color w:val="000000"/>
                <w:sz w:val="22"/>
                <w:szCs w:val="22"/>
              </w:rPr>
              <w:t>6.2</w:t>
            </w:r>
          </w:p>
        </w:tc>
        <w:tc>
          <w:tcPr>
            <w:tcW w:w="465" w:type="pct"/>
            <w:tcBorders>
              <w:top w:val="nil"/>
              <w:left w:val="nil"/>
              <w:bottom w:val="single" w:sz="4" w:space="0" w:color="auto"/>
              <w:right w:val="single" w:sz="4" w:space="0" w:color="auto"/>
            </w:tcBorders>
            <w:shd w:val="clear" w:color="auto" w:fill="auto"/>
            <w:noWrap/>
            <w:vAlign w:val="center"/>
            <w:hideMark/>
          </w:tcPr>
          <w:p w14:paraId="2BE99048"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3A50E469" w14:textId="77777777" w:rsidR="00CE1BDB" w:rsidRPr="007F632C" w:rsidRDefault="00CE1BDB" w:rsidP="007F632C">
            <w:pPr>
              <w:jc w:val="right"/>
              <w:rPr>
                <w:rFonts w:cs="Arial"/>
                <w:color w:val="000000"/>
                <w:sz w:val="22"/>
                <w:szCs w:val="22"/>
              </w:rPr>
            </w:pPr>
            <w:r w:rsidRPr="007F632C">
              <w:rPr>
                <w:rFonts w:cs="Arial"/>
                <w:color w:val="000000"/>
                <w:sz w:val="22"/>
                <w:szCs w:val="22"/>
              </w:rPr>
              <w:t>965</w:t>
            </w:r>
          </w:p>
        </w:tc>
      </w:tr>
      <w:tr w:rsidR="007F632C" w:rsidRPr="007F632C" w14:paraId="1B986C1C"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509259D4" w14:textId="77777777" w:rsidR="00CE1BDB" w:rsidRPr="007F632C" w:rsidRDefault="00CE1BDB" w:rsidP="00EF49A7">
            <w:pPr>
              <w:rPr>
                <w:rFonts w:cs="Arial"/>
                <w:color w:val="000000"/>
                <w:sz w:val="22"/>
                <w:szCs w:val="22"/>
              </w:rPr>
            </w:pPr>
            <w:r w:rsidRPr="007F632C">
              <w:rPr>
                <w:rFonts w:cs="Arial"/>
                <w:color w:val="000000"/>
                <w:sz w:val="22"/>
                <w:szCs w:val="22"/>
              </w:rPr>
              <w:t>Chatham Maritime and Gillingham (</w:t>
            </w:r>
            <w:proofErr w:type="spellStart"/>
            <w:r w:rsidRPr="007F632C">
              <w:rPr>
                <w:rFonts w:cs="Arial"/>
                <w:color w:val="000000"/>
                <w:sz w:val="22"/>
                <w:szCs w:val="22"/>
              </w:rPr>
              <w:t>inc</w:t>
            </w:r>
            <w:proofErr w:type="spellEnd"/>
            <w:r w:rsidRPr="007F632C">
              <w:rPr>
                <w:rFonts w:cs="Arial"/>
                <w:color w:val="000000"/>
                <w:sz w:val="22"/>
                <w:szCs w:val="22"/>
              </w:rPr>
              <w:t xml:space="preserve"> St Mary’s Island &amp; Brompton) </w:t>
            </w:r>
          </w:p>
        </w:tc>
        <w:tc>
          <w:tcPr>
            <w:tcW w:w="540" w:type="pct"/>
            <w:tcBorders>
              <w:top w:val="nil"/>
              <w:left w:val="nil"/>
              <w:bottom w:val="single" w:sz="4" w:space="0" w:color="auto"/>
              <w:right w:val="single" w:sz="4" w:space="0" w:color="auto"/>
            </w:tcBorders>
            <w:shd w:val="clear" w:color="auto" w:fill="auto"/>
            <w:noWrap/>
            <w:vAlign w:val="center"/>
            <w:hideMark/>
          </w:tcPr>
          <w:p w14:paraId="198D0D68" w14:textId="77777777" w:rsidR="00CE1BDB" w:rsidRPr="007F632C" w:rsidRDefault="00CE1BDB" w:rsidP="007F632C">
            <w:pPr>
              <w:jc w:val="right"/>
              <w:rPr>
                <w:rFonts w:cs="Arial"/>
                <w:color w:val="000000"/>
                <w:sz w:val="22"/>
                <w:szCs w:val="22"/>
              </w:rPr>
            </w:pPr>
            <w:r w:rsidRPr="007F632C">
              <w:rPr>
                <w:rFonts w:cs="Arial"/>
                <w:color w:val="000000"/>
                <w:sz w:val="22"/>
                <w:szCs w:val="22"/>
              </w:rPr>
              <w:t>19.4</w:t>
            </w:r>
          </w:p>
        </w:tc>
        <w:tc>
          <w:tcPr>
            <w:tcW w:w="464" w:type="pct"/>
            <w:tcBorders>
              <w:top w:val="nil"/>
              <w:left w:val="nil"/>
              <w:bottom w:val="single" w:sz="4" w:space="0" w:color="auto"/>
              <w:right w:val="single" w:sz="4" w:space="0" w:color="auto"/>
            </w:tcBorders>
            <w:shd w:val="clear" w:color="auto" w:fill="auto"/>
            <w:noWrap/>
            <w:vAlign w:val="center"/>
            <w:hideMark/>
          </w:tcPr>
          <w:p w14:paraId="53481E21" w14:textId="77777777" w:rsidR="00CE1BDB" w:rsidRPr="007F632C" w:rsidRDefault="00CE1BDB" w:rsidP="007F632C">
            <w:pPr>
              <w:jc w:val="right"/>
              <w:rPr>
                <w:rFonts w:cs="Arial"/>
                <w:color w:val="000000"/>
                <w:sz w:val="22"/>
                <w:szCs w:val="22"/>
              </w:rPr>
            </w:pPr>
            <w:r w:rsidRPr="007F632C">
              <w:rPr>
                <w:rFonts w:cs="Arial"/>
                <w:color w:val="000000"/>
                <w:sz w:val="22"/>
                <w:szCs w:val="22"/>
              </w:rPr>
              <w:t>31.3</w:t>
            </w:r>
          </w:p>
        </w:tc>
        <w:tc>
          <w:tcPr>
            <w:tcW w:w="386" w:type="pct"/>
            <w:tcBorders>
              <w:top w:val="nil"/>
              <w:left w:val="nil"/>
              <w:bottom w:val="single" w:sz="4" w:space="0" w:color="auto"/>
              <w:right w:val="single" w:sz="4" w:space="0" w:color="auto"/>
            </w:tcBorders>
            <w:shd w:val="clear" w:color="auto" w:fill="auto"/>
            <w:noWrap/>
            <w:vAlign w:val="center"/>
            <w:hideMark/>
          </w:tcPr>
          <w:p w14:paraId="10B8BF8B" w14:textId="77777777" w:rsidR="00CE1BDB" w:rsidRPr="007F632C" w:rsidRDefault="00CE1BDB" w:rsidP="007F632C">
            <w:pPr>
              <w:jc w:val="right"/>
              <w:rPr>
                <w:rFonts w:cs="Arial"/>
                <w:color w:val="000000"/>
                <w:sz w:val="22"/>
                <w:szCs w:val="22"/>
              </w:rPr>
            </w:pPr>
            <w:r w:rsidRPr="007F632C">
              <w:rPr>
                <w:rFonts w:cs="Arial"/>
                <w:color w:val="000000"/>
                <w:sz w:val="22"/>
                <w:szCs w:val="22"/>
              </w:rPr>
              <w:t>28.6</w:t>
            </w:r>
          </w:p>
        </w:tc>
        <w:tc>
          <w:tcPr>
            <w:tcW w:w="308" w:type="pct"/>
            <w:tcBorders>
              <w:top w:val="nil"/>
              <w:left w:val="nil"/>
              <w:bottom w:val="single" w:sz="4" w:space="0" w:color="auto"/>
              <w:right w:val="single" w:sz="4" w:space="0" w:color="auto"/>
            </w:tcBorders>
            <w:shd w:val="clear" w:color="auto" w:fill="auto"/>
            <w:noWrap/>
            <w:vAlign w:val="center"/>
            <w:hideMark/>
          </w:tcPr>
          <w:p w14:paraId="1A98EC06" w14:textId="77777777" w:rsidR="00CE1BDB" w:rsidRPr="007F632C" w:rsidRDefault="00CE1BDB" w:rsidP="007F632C">
            <w:pPr>
              <w:jc w:val="right"/>
              <w:rPr>
                <w:rFonts w:cs="Arial"/>
                <w:color w:val="000000"/>
                <w:sz w:val="22"/>
                <w:szCs w:val="22"/>
              </w:rPr>
            </w:pPr>
            <w:r w:rsidRPr="007F632C">
              <w:rPr>
                <w:rFonts w:cs="Arial"/>
                <w:color w:val="000000"/>
                <w:sz w:val="22"/>
                <w:szCs w:val="22"/>
              </w:rPr>
              <w:t>7.0</w:t>
            </w:r>
          </w:p>
        </w:tc>
        <w:tc>
          <w:tcPr>
            <w:tcW w:w="386" w:type="pct"/>
            <w:tcBorders>
              <w:top w:val="nil"/>
              <w:left w:val="nil"/>
              <w:bottom w:val="single" w:sz="4" w:space="0" w:color="auto"/>
              <w:right w:val="single" w:sz="4" w:space="0" w:color="auto"/>
            </w:tcBorders>
            <w:shd w:val="clear" w:color="auto" w:fill="auto"/>
            <w:noWrap/>
            <w:vAlign w:val="center"/>
            <w:hideMark/>
          </w:tcPr>
          <w:p w14:paraId="77A36251" w14:textId="77777777" w:rsidR="00CE1BDB" w:rsidRPr="007F632C" w:rsidRDefault="00CE1BDB" w:rsidP="007F632C">
            <w:pPr>
              <w:jc w:val="right"/>
              <w:rPr>
                <w:rFonts w:cs="Arial"/>
                <w:color w:val="000000"/>
                <w:sz w:val="22"/>
                <w:szCs w:val="22"/>
              </w:rPr>
            </w:pPr>
            <w:r w:rsidRPr="007F632C">
              <w:rPr>
                <w:rFonts w:cs="Arial"/>
                <w:color w:val="000000"/>
                <w:sz w:val="22"/>
                <w:szCs w:val="22"/>
              </w:rPr>
              <w:t>11.4</w:t>
            </w:r>
          </w:p>
        </w:tc>
        <w:tc>
          <w:tcPr>
            <w:tcW w:w="387" w:type="pct"/>
            <w:tcBorders>
              <w:top w:val="nil"/>
              <w:left w:val="nil"/>
              <w:bottom w:val="single" w:sz="4" w:space="0" w:color="auto"/>
              <w:right w:val="single" w:sz="4" w:space="0" w:color="auto"/>
            </w:tcBorders>
            <w:shd w:val="clear" w:color="auto" w:fill="auto"/>
            <w:noWrap/>
            <w:vAlign w:val="center"/>
            <w:hideMark/>
          </w:tcPr>
          <w:p w14:paraId="51FFA9D9" w14:textId="77777777" w:rsidR="00CE1BDB" w:rsidRPr="007F632C" w:rsidRDefault="00CE1BDB" w:rsidP="007F632C">
            <w:pPr>
              <w:jc w:val="right"/>
              <w:rPr>
                <w:rFonts w:cs="Arial"/>
                <w:color w:val="000000"/>
                <w:sz w:val="22"/>
                <w:szCs w:val="22"/>
              </w:rPr>
            </w:pPr>
            <w:r w:rsidRPr="007F632C">
              <w:rPr>
                <w:rFonts w:cs="Arial"/>
                <w:color w:val="000000"/>
                <w:sz w:val="22"/>
                <w:szCs w:val="22"/>
              </w:rPr>
              <w:t>2.3</w:t>
            </w:r>
          </w:p>
        </w:tc>
        <w:tc>
          <w:tcPr>
            <w:tcW w:w="465" w:type="pct"/>
            <w:tcBorders>
              <w:top w:val="nil"/>
              <w:left w:val="nil"/>
              <w:bottom w:val="single" w:sz="4" w:space="0" w:color="auto"/>
              <w:right w:val="single" w:sz="4" w:space="0" w:color="auto"/>
            </w:tcBorders>
            <w:shd w:val="clear" w:color="auto" w:fill="auto"/>
            <w:noWrap/>
            <w:vAlign w:val="center"/>
            <w:hideMark/>
          </w:tcPr>
          <w:p w14:paraId="5823BD60"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6E24FA04" w14:textId="77777777" w:rsidR="00CE1BDB" w:rsidRPr="007F632C" w:rsidRDefault="00CE1BDB" w:rsidP="007F632C">
            <w:pPr>
              <w:jc w:val="right"/>
              <w:rPr>
                <w:rFonts w:cs="Arial"/>
                <w:color w:val="000000"/>
                <w:sz w:val="22"/>
                <w:szCs w:val="22"/>
              </w:rPr>
            </w:pPr>
            <w:r w:rsidRPr="007F632C">
              <w:rPr>
                <w:rFonts w:cs="Arial"/>
                <w:color w:val="000000"/>
                <w:sz w:val="22"/>
                <w:szCs w:val="22"/>
              </w:rPr>
              <w:t>1,835</w:t>
            </w:r>
          </w:p>
        </w:tc>
      </w:tr>
      <w:tr w:rsidR="007F632C" w:rsidRPr="007F632C" w14:paraId="6F27CD41"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41781D01" w14:textId="77777777" w:rsidR="00CE1BDB" w:rsidRPr="007F632C" w:rsidRDefault="00CE1BDB" w:rsidP="00EF49A7">
            <w:pPr>
              <w:rPr>
                <w:rFonts w:cs="Arial"/>
                <w:color w:val="000000"/>
                <w:sz w:val="22"/>
                <w:szCs w:val="22"/>
              </w:rPr>
            </w:pPr>
            <w:r w:rsidRPr="007F632C">
              <w:rPr>
                <w:rFonts w:cs="Arial"/>
                <w:color w:val="000000"/>
                <w:sz w:val="22"/>
                <w:szCs w:val="22"/>
              </w:rPr>
              <w:t>Rainham</w:t>
            </w:r>
          </w:p>
        </w:tc>
        <w:tc>
          <w:tcPr>
            <w:tcW w:w="540" w:type="pct"/>
            <w:tcBorders>
              <w:top w:val="nil"/>
              <w:left w:val="nil"/>
              <w:bottom w:val="single" w:sz="4" w:space="0" w:color="auto"/>
              <w:right w:val="single" w:sz="4" w:space="0" w:color="auto"/>
            </w:tcBorders>
            <w:shd w:val="clear" w:color="auto" w:fill="auto"/>
            <w:noWrap/>
            <w:vAlign w:val="center"/>
            <w:hideMark/>
          </w:tcPr>
          <w:p w14:paraId="37FD76FF" w14:textId="77777777" w:rsidR="00CE1BDB" w:rsidRPr="007F632C" w:rsidRDefault="00CE1BDB" w:rsidP="007F632C">
            <w:pPr>
              <w:jc w:val="right"/>
              <w:rPr>
                <w:rFonts w:cs="Arial"/>
                <w:color w:val="000000"/>
                <w:sz w:val="22"/>
                <w:szCs w:val="22"/>
              </w:rPr>
            </w:pPr>
            <w:r w:rsidRPr="007F632C">
              <w:rPr>
                <w:rFonts w:cs="Arial"/>
                <w:color w:val="000000"/>
                <w:sz w:val="22"/>
                <w:szCs w:val="22"/>
              </w:rPr>
              <w:t>24.1</w:t>
            </w:r>
          </w:p>
        </w:tc>
        <w:tc>
          <w:tcPr>
            <w:tcW w:w="464" w:type="pct"/>
            <w:tcBorders>
              <w:top w:val="nil"/>
              <w:left w:val="nil"/>
              <w:bottom w:val="single" w:sz="4" w:space="0" w:color="auto"/>
              <w:right w:val="single" w:sz="4" w:space="0" w:color="auto"/>
            </w:tcBorders>
            <w:shd w:val="clear" w:color="auto" w:fill="auto"/>
            <w:noWrap/>
            <w:vAlign w:val="center"/>
            <w:hideMark/>
          </w:tcPr>
          <w:p w14:paraId="11CAE0FE" w14:textId="77777777" w:rsidR="00CE1BDB" w:rsidRPr="007F632C" w:rsidRDefault="00CE1BDB" w:rsidP="007F632C">
            <w:pPr>
              <w:jc w:val="right"/>
              <w:rPr>
                <w:rFonts w:cs="Arial"/>
                <w:color w:val="000000"/>
                <w:sz w:val="22"/>
                <w:szCs w:val="22"/>
              </w:rPr>
            </w:pPr>
            <w:r w:rsidRPr="007F632C">
              <w:rPr>
                <w:rFonts w:cs="Arial"/>
                <w:color w:val="000000"/>
                <w:sz w:val="22"/>
                <w:szCs w:val="22"/>
              </w:rPr>
              <w:t>27.4</w:t>
            </w:r>
          </w:p>
        </w:tc>
        <w:tc>
          <w:tcPr>
            <w:tcW w:w="386" w:type="pct"/>
            <w:tcBorders>
              <w:top w:val="nil"/>
              <w:left w:val="nil"/>
              <w:bottom w:val="single" w:sz="4" w:space="0" w:color="auto"/>
              <w:right w:val="single" w:sz="4" w:space="0" w:color="auto"/>
            </w:tcBorders>
            <w:shd w:val="clear" w:color="auto" w:fill="auto"/>
            <w:noWrap/>
            <w:vAlign w:val="center"/>
            <w:hideMark/>
          </w:tcPr>
          <w:p w14:paraId="2F262746" w14:textId="77777777" w:rsidR="00CE1BDB" w:rsidRPr="007F632C" w:rsidRDefault="00CE1BDB" w:rsidP="007F632C">
            <w:pPr>
              <w:jc w:val="right"/>
              <w:rPr>
                <w:rFonts w:cs="Arial"/>
                <w:color w:val="000000"/>
                <w:sz w:val="22"/>
                <w:szCs w:val="22"/>
              </w:rPr>
            </w:pPr>
            <w:r w:rsidRPr="007F632C">
              <w:rPr>
                <w:rFonts w:cs="Arial"/>
                <w:color w:val="000000"/>
                <w:sz w:val="22"/>
                <w:szCs w:val="22"/>
              </w:rPr>
              <w:t>26.4</w:t>
            </w:r>
          </w:p>
        </w:tc>
        <w:tc>
          <w:tcPr>
            <w:tcW w:w="308" w:type="pct"/>
            <w:tcBorders>
              <w:top w:val="nil"/>
              <w:left w:val="nil"/>
              <w:bottom w:val="single" w:sz="4" w:space="0" w:color="auto"/>
              <w:right w:val="single" w:sz="4" w:space="0" w:color="auto"/>
            </w:tcBorders>
            <w:shd w:val="clear" w:color="auto" w:fill="auto"/>
            <w:noWrap/>
            <w:vAlign w:val="center"/>
            <w:hideMark/>
          </w:tcPr>
          <w:p w14:paraId="65BD6857" w14:textId="77777777" w:rsidR="00CE1BDB" w:rsidRPr="007F632C" w:rsidRDefault="00CE1BDB" w:rsidP="007F632C">
            <w:pPr>
              <w:jc w:val="right"/>
              <w:rPr>
                <w:rFonts w:cs="Arial"/>
                <w:color w:val="000000"/>
                <w:sz w:val="22"/>
                <w:szCs w:val="22"/>
              </w:rPr>
            </w:pPr>
            <w:r w:rsidRPr="007F632C">
              <w:rPr>
                <w:rFonts w:cs="Arial"/>
                <w:color w:val="000000"/>
                <w:sz w:val="22"/>
                <w:szCs w:val="22"/>
              </w:rPr>
              <w:t>7.8</w:t>
            </w:r>
          </w:p>
        </w:tc>
        <w:tc>
          <w:tcPr>
            <w:tcW w:w="386" w:type="pct"/>
            <w:tcBorders>
              <w:top w:val="nil"/>
              <w:left w:val="nil"/>
              <w:bottom w:val="single" w:sz="4" w:space="0" w:color="auto"/>
              <w:right w:val="single" w:sz="4" w:space="0" w:color="auto"/>
            </w:tcBorders>
            <w:shd w:val="clear" w:color="auto" w:fill="auto"/>
            <w:noWrap/>
            <w:vAlign w:val="center"/>
            <w:hideMark/>
          </w:tcPr>
          <w:p w14:paraId="2E58CF7D" w14:textId="77777777" w:rsidR="00CE1BDB" w:rsidRPr="007F632C" w:rsidRDefault="00CE1BDB" w:rsidP="007F632C">
            <w:pPr>
              <w:jc w:val="right"/>
              <w:rPr>
                <w:rFonts w:cs="Arial"/>
                <w:color w:val="000000"/>
                <w:sz w:val="22"/>
                <w:szCs w:val="22"/>
              </w:rPr>
            </w:pPr>
            <w:r w:rsidRPr="007F632C">
              <w:rPr>
                <w:rFonts w:cs="Arial"/>
                <w:color w:val="000000"/>
                <w:sz w:val="22"/>
                <w:szCs w:val="22"/>
              </w:rPr>
              <w:t>12.2</w:t>
            </w:r>
          </w:p>
        </w:tc>
        <w:tc>
          <w:tcPr>
            <w:tcW w:w="387" w:type="pct"/>
            <w:tcBorders>
              <w:top w:val="nil"/>
              <w:left w:val="nil"/>
              <w:bottom w:val="single" w:sz="4" w:space="0" w:color="auto"/>
              <w:right w:val="single" w:sz="4" w:space="0" w:color="auto"/>
            </w:tcBorders>
            <w:shd w:val="clear" w:color="auto" w:fill="auto"/>
            <w:noWrap/>
            <w:vAlign w:val="center"/>
            <w:hideMark/>
          </w:tcPr>
          <w:p w14:paraId="201CA7E2" w14:textId="77777777" w:rsidR="00CE1BDB" w:rsidRPr="007F632C" w:rsidRDefault="00CE1BDB" w:rsidP="007F632C">
            <w:pPr>
              <w:jc w:val="right"/>
              <w:rPr>
                <w:rFonts w:cs="Arial"/>
                <w:color w:val="000000"/>
                <w:sz w:val="22"/>
                <w:szCs w:val="22"/>
              </w:rPr>
            </w:pPr>
            <w:r w:rsidRPr="007F632C">
              <w:rPr>
                <w:rFonts w:cs="Arial"/>
                <w:color w:val="000000"/>
                <w:sz w:val="22"/>
                <w:szCs w:val="22"/>
              </w:rPr>
              <w:t>2.0</w:t>
            </w:r>
          </w:p>
        </w:tc>
        <w:tc>
          <w:tcPr>
            <w:tcW w:w="465" w:type="pct"/>
            <w:tcBorders>
              <w:top w:val="nil"/>
              <w:left w:val="nil"/>
              <w:bottom w:val="single" w:sz="4" w:space="0" w:color="auto"/>
              <w:right w:val="single" w:sz="4" w:space="0" w:color="auto"/>
            </w:tcBorders>
            <w:shd w:val="clear" w:color="auto" w:fill="auto"/>
            <w:noWrap/>
            <w:vAlign w:val="center"/>
            <w:hideMark/>
          </w:tcPr>
          <w:p w14:paraId="066148CB"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5D32565B" w14:textId="77777777" w:rsidR="00CE1BDB" w:rsidRPr="007F632C" w:rsidRDefault="00CE1BDB" w:rsidP="007F632C">
            <w:pPr>
              <w:jc w:val="right"/>
              <w:rPr>
                <w:rFonts w:cs="Arial"/>
                <w:color w:val="000000"/>
                <w:sz w:val="22"/>
                <w:szCs w:val="22"/>
              </w:rPr>
            </w:pPr>
            <w:r w:rsidRPr="007F632C">
              <w:rPr>
                <w:rFonts w:cs="Arial"/>
                <w:color w:val="000000"/>
                <w:sz w:val="22"/>
                <w:szCs w:val="22"/>
              </w:rPr>
              <w:t>613</w:t>
            </w:r>
          </w:p>
        </w:tc>
      </w:tr>
      <w:tr w:rsidR="007F632C" w:rsidRPr="007F632C" w14:paraId="1FA5C3FD"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64FA1B8A" w14:textId="77777777" w:rsidR="00CE1BDB" w:rsidRPr="007F632C" w:rsidRDefault="00CE1BDB" w:rsidP="00EF49A7">
            <w:pPr>
              <w:rPr>
                <w:rFonts w:cs="Arial"/>
                <w:color w:val="000000"/>
                <w:sz w:val="22"/>
                <w:szCs w:val="22"/>
              </w:rPr>
            </w:pPr>
            <w:r w:rsidRPr="007F632C">
              <w:rPr>
                <w:rFonts w:cs="Arial"/>
                <w:color w:val="000000"/>
                <w:sz w:val="22"/>
                <w:szCs w:val="22"/>
              </w:rPr>
              <w:t>Rochester</w:t>
            </w:r>
          </w:p>
        </w:tc>
        <w:tc>
          <w:tcPr>
            <w:tcW w:w="540" w:type="pct"/>
            <w:tcBorders>
              <w:top w:val="nil"/>
              <w:left w:val="nil"/>
              <w:bottom w:val="single" w:sz="4" w:space="0" w:color="auto"/>
              <w:right w:val="single" w:sz="4" w:space="0" w:color="auto"/>
            </w:tcBorders>
            <w:shd w:val="clear" w:color="auto" w:fill="auto"/>
            <w:noWrap/>
            <w:vAlign w:val="center"/>
            <w:hideMark/>
          </w:tcPr>
          <w:p w14:paraId="69FF70BF" w14:textId="77777777" w:rsidR="00CE1BDB" w:rsidRPr="007F632C" w:rsidRDefault="00CE1BDB" w:rsidP="007F632C">
            <w:pPr>
              <w:jc w:val="right"/>
              <w:rPr>
                <w:rFonts w:cs="Arial"/>
                <w:color w:val="000000"/>
                <w:sz w:val="22"/>
                <w:szCs w:val="22"/>
              </w:rPr>
            </w:pPr>
            <w:r w:rsidRPr="007F632C">
              <w:rPr>
                <w:rFonts w:cs="Arial"/>
                <w:color w:val="000000"/>
                <w:sz w:val="22"/>
                <w:szCs w:val="22"/>
              </w:rPr>
              <w:t>19.8</w:t>
            </w:r>
          </w:p>
        </w:tc>
        <w:tc>
          <w:tcPr>
            <w:tcW w:w="464" w:type="pct"/>
            <w:tcBorders>
              <w:top w:val="nil"/>
              <w:left w:val="nil"/>
              <w:bottom w:val="single" w:sz="4" w:space="0" w:color="auto"/>
              <w:right w:val="single" w:sz="4" w:space="0" w:color="auto"/>
            </w:tcBorders>
            <w:shd w:val="clear" w:color="auto" w:fill="auto"/>
            <w:noWrap/>
            <w:vAlign w:val="center"/>
            <w:hideMark/>
          </w:tcPr>
          <w:p w14:paraId="079533A5" w14:textId="77777777" w:rsidR="00CE1BDB" w:rsidRPr="007F632C" w:rsidRDefault="00CE1BDB" w:rsidP="007F632C">
            <w:pPr>
              <w:jc w:val="right"/>
              <w:rPr>
                <w:rFonts w:cs="Arial"/>
                <w:color w:val="000000"/>
                <w:sz w:val="22"/>
                <w:szCs w:val="22"/>
              </w:rPr>
            </w:pPr>
            <w:r w:rsidRPr="007F632C">
              <w:rPr>
                <w:rFonts w:cs="Arial"/>
                <w:color w:val="000000"/>
                <w:sz w:val="22"/>
                <w:szCs w:val="22"/>
              </w:rPr>
              <w:t>32.0</w:t>
            </w:r>
          </w:p>
        </w:tc>
        <w:tc>
          <w:tcPr>
            <w:tcW w:w="386" w:type="pct"/>
            <w:tcBorders>
              <w:top w:val="nil"/>
              <w:left w:val="nil"/>
              <w:bottom w:val="single" w:sz="4" w:space="0" w:color="auto"/>
              <w:right w:val="single" w:sz="4" w:space="0" w:color="auto"/>
            </w:tcBorders>
            <w:shd w:val="clear" w:color="auto" w:fill="auto"/>
            <w:noWrap/>
            <w:vAlign w:val="center"/>
            <w:hideMark/>
          </w:tcPr>
          <w:p w14:paraId="01EAF5C5" w14:textId="77777777" w:rsidR="00CE1BDB" w:rsidRPr="007F632C" w:rsidRDefault="00CE1BDB" w:rsidP="007F632C">
            <w:pPr>
              <w:jc w:val="right"/>
              <w:rPr>
                <w:rFonts w:cs="Arial"/>
                <w:color w:val="000000"/>
                <w:sz w:val="22"/>
                <w:szCs w:val="22"/>
              </w:rPr>
            </w:pPr>
            <w:r w:rsidRPr="007F632C">
              <w:rPr>
                <w:rFonts w:cs="Arial"/>
                <w:color w:val="000000"/>
                <w:sz w:val="22"/>
                <w:szCs w:val="22"/>
              </w:rPr>
              <w:t>29.2</w:t>
            </w:r>
          </w:p>
        </w:tc>
        <w:tc>
          <w:tcPr>
            <w:tcW w:w="308" w:type="pct"/>
            <w:tcBorders>
              <w:top w:val="nil"/>
              <w:left w:val="nil"/>
              <w:bottom w:val="single" w:sz="4" w:space="0" w:color="auto"/>
              <w:right w:val="single" w:sz="4" w:space="0" w:color="auto"/>
            </w:tcBorders>
            <w:shd w:val="clear" w:color="auto" w:fill="auto"/>
            <w:noWrap/>
            <w:vAlign w:val="center"/>
            <w:hideMark/>
          </w:tcPr>
          <w:p w14:paraId="2DE33C37" w14:textId="77777777" w:rsidR="00CE1BDB" w:rsidRPr="007F632C" w:rsidRDefault="00CE1BDB" w:rsidP="007F632C">
            <w:pPr>
              <w:jc w:val="right"/>
              <w:rPr>
                <w:rFonts w:cs="Arial"/>
                <w:color w:val="000000"/>
                <w:sz w:val="22"/>
                <w:szCs w:val="22"/>
              </w:rPr>
            </w:pPr>
            <w:r w:rsidRPr="007F632C">
              <w:rPr>
                <w:rFonts w:cs="Arial"/>
                <w:color w:val="000000"/>
                <w:sz w:val="22"/>
                <w:szCs w:val="22"/>
              </w:rPr>
              <w:t>6.1</w:t>
            </w:r>
          </w:p>
        </w:tc>
        <w:tc>
          <w:tcPr>
            <w:tcW w:w="386" w:type="pct"/>
            <w:tcBorders>
              <w:top w:val="nil"/>
              <w:left w:val="nil"/>
              <w:bottom w:val="single" w:sz="4" w:space="0" w:color="auto"/>
              <w:right w:val="single" w:sz="4" w:space="0" w:color="auto"/>
            </w:tcBorders>
            <w:shd w:val="clear" w:color="auto" w:fill="auto"/>
            <w:noWrap/>
            <w:vAlign w:val="center"/>
            <w:hideMark/>
          </w:tcPr>
          <w:p w14:paraId="0189E5ED" w14:textId="77777777" w:rsidR="00CE1BDB" w:rsidRPr="007F632C" w:rsidRDefault="00CE1BDB" w:rsidP="007F632C">
            <w:pPr>
              <w:jc w:val="right"/>
              <w:rPr>
                <w:rFonts w:cs="Arial"/>
                <w:color w:val="000000"/>
                <w:sz w:val="22"/>
                <w:szCs w:val="22"/>
              </w:rPr>
            </w:pPr>
            <w:r w:rsidRPr="007F632C">
              <w:rPr>
                <w:rFonts w:cs="Arial"/>
                <w:color w:val="000000"/>
                <w:sz w:val="22"/>
                <w:szCs w:val="22"/>
              </w:rPr>
              <w:t>8.4</w:t>
            </w:r>
          </w:p>
        </w:tc>
        <w:tc>
          <w:tcPr>
            <w:tcW w:w="387" w:type="pct"/>
            <w:tcBorders>
              <w:top w:val="nil"/>
              <w:left w:val="nil"/>
              <w:bottom w:val="single" w:sz="4" w:space="0" w:color="auto"/>
              <w:right w:val="single" w:sz="4" w:space="0" w:color="auto"/>
            </w:tcBorders>
            <w:shd w:val="clear" w:color="auto" w:fill="auto"/>
            <w:noWrap/>
            <w:vAlign w:val="center"/>
            <w:hideMark/>
          </w:tcPr>
          <w:p w14:paraId="22465458" w14:textId="77777777" w:rsidR="00CE1BDB" w:rsidRPr="007F632C" w:rsidRDefault="00CE1BDB" w:rsidP="007F632C">
            <w:pPr>
              <w:jc w:val="right"/>
              <w:rPr>
                <w:rFonts w:cs="Arial"/>
                <w:color w:val="000000"/>
                <w:sz w:val="22"/>
                <w:szCs w:val="22"/>
              </w:rPr>
            </w:pPr>
            <w:r w:rsidRPr="007F632C">
              <w:rPr>
                <w:rFonts w:cs="Arial"/>
                <w:color w:val="000000"/>
                <w:sz w:val="22"/>
                <w:szCs w:val="22"/>
              </w:rPr>
              <w:t>4.6</w:t>
            </w:r>
          </w:p>
        </w:tc>
        <w:tc>
          <w:tcPr>
            <w:tcW w:w="465" w:type="pct"/>
            <w:tcBorders>
              <w:top w:val="nil"/>
              <w:left w:val="nil"/>
              <w:bottom w:val="single" w:sz="4" w:space="0" w:color="auto"/>
              <w:right w:val="single" w:sz="4" w:space="0" w:color="auto"/>
            </w:tcBorders>
            <w:shd w:val="clear" w:color="auto" w:fill="auto"/>
            <w:noWrap/>
            <w:vAlign w:val="center"/>
            <w:hideMark/>
          </w:tcPr>
          <w:p w14:paraId="7F1E83FD"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50BA8C50" w14:textId="77777777" w:rsidR="00CE1BDB" w:rsidRPr="007F632C" w:rsidRDefault="00CE1BDB" w:rsidP="007F632C">
            <w:pPr>
              <w:jc w:val="right"/>
              <w:rPr>
                <w:rFonts w:cs="Arial"/>
                <w:color w:val="000000"/>
                <w:sz w:val="22"/>
                <w:szCs w:val="22"/>
              </w:rPr>
            </w:pPr>
            <w:r w:rsidRPr="007F632C">
              <w:rPr>
                <w:rFonts w:cs="Arial"/>
                <w:color w:val="000000"/>
                <w:sz w:val="22"/>
                <w:szCs w:val="22"/>
              </w:rPr>
              <w:t>657</w:t>
            </w:r>
          </w:p>
        </w:tc>
      </w:tr>
      <w:tr w:rsidR="007F632C" w:rsidRPr="007F632C" w14:paraId="1E91BD0C"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355C7C1B" w14:textId="77777777" w:rsidR="00CE1BDB" w:rsidRPr="007F632C" w:rsidRDefault="00CE1BDB" w:rsidP="00EF49A7">
            <w:pPr>
              <w:rPr>
                <w:rFonts w:cs="Arial"/>
                <w:color w:val="000000"/>
                <w:sz w:val="22"/>
                <w:szCs w:val="22"/>
              </w:rPr>
            </w:pPr>
            <w:r w:rsidRPr="007F632C">
              <w:rPr>
                <w:rFonts w:cs="Arial"/>
                <w:color w:val="000000"/>
                <w:sz w:val="22"/>
                <w:szCs w:val="22"/>
              </w:rPr>
              <w:t>Strood</w:t>
            </w:r>
          </w:p>
        </w:tc>
        <w:tc>
          <w:tcPr>
            <w:tcW w:w="540" w:type="pct"/>
            <w:tcBorders>
              <w:top w:val="nil"/>
              <w:left w:val="nil"/>
              <w:bottom w:val="single" w:sz="4" w:space="0" w:color="auto"/>
              <w:right w:val="single" w:sz="4" w:space="0" w:color="auto"/>
            </w:tcBorders>
            <w:shd w:val="clear" w:color="auto" w:fill="auto"/>
            <w:noWrap/>
            <w:vAlign w:val="center"/>
            <w:hideMark/>
          </w:tcPr>
          <w:p w14:paraId="3811DE51" w14:textId="77777777" w:rsidR="00CE1BDB" w:rsidRPr="007F632C" w:rsidRDefault="00CE1BDB" w:rsidP="007F632C">
            <w:pPr>
              <w:jc w:val="right"/>
              <w:rPr>
                <w:rFonts w:cs="Arial"/>
                <w:color w:val="000000"/>
                <w:sz w:val="22"/>
                <w:szCs w:val="22"/>
              </w:rPr>
            </w:pPr>
            <w:r w:rsidRPr="007F632C">
              <w:rPr>
                <w:rFonts w:cs="Arial"/>
                <w:color w:val="000000"/>
                <w:sz w:val="22"/>
                <w:szCs w:val="22"/>
              </w:rPr>
              <w:t>19.8</w:t>
            </w:r>
          </w:p>
        </w:tc>
        <w:tc>
          <w:tcPr>
            <w:tcW w:w="464" w:type="pct"/>
            <w:tcBorders>
              <w:top w:val="nil"/>
              <w:left w:val="nil"/>
              <w:bottom w:val="single" w:sz="4" w:space="0" w:color="auto"/>
              <w:right w:val="single" w:sz="4" w:space="0" w:color="auto"/>
            </w:tcBorders>
            <w:shd w:val="clear" w:color="auto" w:fill="auto"/>
            <w:noWrap/>
            <w:vAlign w:val="center"/>
            <w:hideMark/>
          </w:tcPr>
          <w:p w14:paraId="208AA058" w14:textId="77777777" w:rsidR="00CE1BDB" w:rsidRPr="007F632C" w:rsidRDefault="00CE1BDB" w:rsidP="007F632C">
            <w:pPr>
              <w:jc w:val="right"/>
              <w:rPr>
                <w:rFonts w:cs="Arial"/>
                <w:color w:val="000000"/>
                <w:sz w:val="22"/>
                <w:szCs w:val="22"/>
              </w:rPr>
            </w:pPr>
            <w:r w:rsidRPr="007F632C">
              <w:rPr>
                <w:rFonts w:cs="Arial"/>
                <w:color w:val="000000"/>
                <w:sz w:val="22"/>
                <w:szCs w:val="22"/>
              </w:rPr>
              <w:t>32.8</w:t>
            </w:r>
          </w:p>
        </w:tc>
        <w:tc>
          <w:tcPr>
            <w:tcW w:w="386" w:type="pct"/>
            <w:tcBorders>
              <w:top w:val="nil"/>
              <w:left w:val="nil"/>
              <w:bottom w:val="single" w:sz="4" w:space="0" w:color="auto"/>
              <w:right w:val="single" w:sz="4" w:space="0" w:color="auto"/>
            </w:tcBorders>
            <w:shd w:val="clear" w:color="auto" w:fill="auto"/>
            <w:noWrap/>
            <w:vAlign w:val="center"/>
            <w:hideMark/>
          </w:tcPr>
          <w:p w14:paraId="01361E6C" w14:textId="77777777" w:rsidR="00CE1BDB" w:rsidRPr="007F632C" w:rsidRDefault="00CE1BDB" w:rsidP="007F632C">
            <w:pPr>
              <w:jc w:val="right"/>
              <w:rPr>
                <w:rFonts w:cs="Arial"/>
                <w:color w:val="000000"/>
                <w:sz w:val="22"/>
                <w:szCs w:val="22"/>
              </w:rPr>
            </w:pPr>
            <w:r w:rsidRPr="007F632C">
              <w:rPr>
                <w:rFonts w:cs="Arial"/>
                <w:color w:val="000000"/>
                <w:sz w:val="22"/>
                <w:szCs w:val="22"/>
              </w:rPr>
              <w:t>29.2</w:t>
            </w:r>
          </w:p>
        </w:tc>
        <w:tc>
          <w:tcPr>
            <w:tcW w:w="308" w:type="pct"/>
            <w:tcBorders>
              <w:top w:val="nil"/>
              <w:left w:val="nil"/>
              <w:bottom w:val="single" w:sz="4" w:space="0" w:color="auto"/>
              <w:right w:val="single" w:sz="4" w:space="0" w:color="auto"/>
            </w:tcBorders>
            <w:shd w:val="clear" w:color="auto" w:fill="auto"/>
            <w:noWrap/>
            <w:vAlign w:val="center"/>
            <w:hideMark/>
          </w:tcPr>
          <w:p w14:paraId="1439CF88" w14:textId="77777777" w:rsidR="00CE1BDB" w:rsidRPr="007F632C" w:rsidRDefault="00CE1BDB" w:rsidP="007F632C">
            <w:pPr>
              <w:jc w:val="right"/>
              <w:rPr>
                <w:rFonts w:cs="Arial"/>
                <w:color w:val="000000"/>
                <w:sz w:val="22"/>
                <w:szCs w:val="22"/>
              </w:rPr>
            </w:pPr>
            <w:r w:rsidRPr="007F632C">
              <w:rPr>
                <w:rFonts w:cs="Arial"/>
                <w:color w:val="000000"/>
                <w:sz w:val="22"/>
                <w:szCs w:val="22"/>
              </w:rPr>
              <w:t>7.6</w:t>
            </w:r>
          </w:p>
        </w:tc>
        <w:tc>
          <w:tcPr>
            <w:tcW w:w="386" w:type="pct"/>
            <w:tcBorders>
              <w:top w:val="nil"/>
              <w:left w:val="nil"/>
              <w:bottom w:val="single" w:sz="4" w:space="0" w:color="auto"/>
              <w:right w:val="single" w:sz="4" w:space="0" w:color="auto"/>
            </w:tcBorders>
            <w:shd w:val="clear" w:color="auto" w:fill="auto"/>
            <w:noWrap/>
            <w:vAlign w:val="center"/>
            <w:hideMark/>
          </w:tcPr>
          <w:p w14:paraId="08DB5406" w14:textId="77777777" w:rsidR="00CE1BDB" w:rsidRPr="007F632C" w:rsidRDefault="00CE1BDB" w:rsidP="007F632C">
            <w:pPr>
              <w:jc w:val="right"/>
              <w:rPr>
                <w:rFonts w:cs="Arial"/>
                <w:color w:val="000000"/>
                <w:sz w:val="22"/>
                <w:szCs w:val="22"/>
              </w:rPr>
            </w:pPr>
            <w:r w:rsidRPr="007F632C">
              <w:rPr>
                <w:rFonts w:cs="Arial"/>
                <w:color w:val="000000"/>
                <w:sz w:val="22"/>
                <w:szCs w:val="22"/>
              </w:rPr>
              <w:t>7.9</w:t>
            </w:r>
          </w:p>
        </w:tc>
        <w:tc>
          <w:tcPr>
            <w:tcW w:w="387" w:type="pct"/>
            <w:tcBorders>
              <w:top w:val="nil"/>
              <w:left w:val="nil"/>
              <w:bottom w:val="single" w:sz="4" w:space="0" w:color="auto"/>
              <w:right w:val="single" w:sz="4" w:space="0" w:color="auto"/>
            </w:tcBorders>
            <w:shd w:val="clear" w:color="auto" w:fill="auto"/>
            <w:noWrap/>
            <w:vAlign w:val="center"/>
            <w:hideMark/>
          </w:tcPr>
          <w:p w14:paraId="61333153" w14:textId="77777777" w:rsidR="00CE1BDB" w:rsidRPr="007F632C" w:rsidRDefault="00CE1BDB" w:rsidP="007F632C">
            <w:pPr>
              <w:jc w:val="right"/>
              <w:rPr>
                <w:rFonts w:cs="Arial"/>
                <w:color w:val="000000"/>
                <w:sz w:val="22"/>
                <w:szCs w:val="22"/>
              </w:rPr>
            </w:pPr>
            <w:r w:rsidRPr="007F632C">
              <w:rPr>
                <w:rFonts w:cs="Arial"/>
                <w:color w:val="000000"/>
                <w:sz w:val="22"/>
                <w:szCs w:val="22"/>
              </w:rPr>
              <w:t>2.5</w:t>
            </w:r>
          </w:p>
        </w:tc>
        <w:tc>
          <w:tcPr>
            <w:tcW w:w="465" w:type="pct"/>
            <w:tcBorders>
              <w:top w:val="nil"/>
              <w:left w:val="nil"/>
              <w:bottom w:val="single" w:sz="4" w:space="0" w:color="auto"/>
              <w:right w:val="single" w:sz="4" w:space="0" w:color="auto"/>
            </w:tcBorders>
            <w:shd w:val="clear" w:color="auto" w:fill="auto"/>
            <w:noWrap/>
            <w:vAlign w:val="center"/>
            <w:hideMark/>
          </w:tcPr>
          <w:p w14:paraId="03F815C2"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5F67721D" w14:textId="77777777" w:rsidR="00CE1BDB" w:rsidRPr="007F632C" w:rsidRDefault="00CE1BDB" w:rsidP="007F632C">
            <w:pPr>
              <w:jc w:val="right"/>
              <w:rPr>
                <w:rFonts w:cs="Arial"/>
                <w:color w:val="000000"/>
                <w:sz w:val="22"/>
                <w:szCs w:val="22"/>
              </w:rPr>
            </w:pPr>
            <w:r w:rsidRPr="007F632C">
              <w:rPr>
                <w:rFonts w:cs="Arial"/>
                <w:color w:val="000000"/>
                <w:sz w:val="22"/>
                <w:szCs w:val="22"/>
              </w:rPr>
              <w:t>944</w:t>
            </w:r>
          </w:p>
        </w:tc>
      </w:tr>
      <w:tr w:rsidR="007F632C" w:rsidRPr="007F632C" w14:paraId="5A3F250A"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580E2829" w14:textId="77777777" w:rsidR="00CE1BDB" w:rsidRPr="007F632C" w:rsidRDefault="00CE1BDB" w:rsidP="00EF49A7">
            <w:pPr>
              <w:rPr>
                <w:rFonts w:cs="Arial"/>
                <w:color w:val="000000"/>
                <w:sz w:val="22"/>
                <w:szCs w:val="22"/>
              </w:rPr>
            </w:pPr>
            <w:r w:rsidRPr="007F632C">
              <w:rPr>
                <w:rFonts w:cs="Arial"/>
                <w:color w:val="000000"/>
                <w:sz w:val="22"/>
                <w:szCs w:val="22"/>
              </w:rPr>
              <w:t>Medway Other</w:t>
            </w:r>
          </w:p>
        </w:tc>
        <w:tc>
          <w:tcPr>
            <w:tcW w:w="540" w:type="pct"/>
            <w:tcBorders>
              <w:top w:val="nil"/>
              <w:left w:val="nil"/>
              <w:bottom w:val="single" w:sz="4" w:space="0" w:color="auto"/>
              <w:right w:val="single" w:sz="4" w:space="0" w:color="auto"/>
            </w:tcBorders>
            <w:shd w:val="clear" w:color="auto" w:fill="auto"/>
            <w:noWrap/>
            <w:vAlign w:val="center"/>
            <w:hideMark/>
          </w:tcPr>
          <w:p w14:paraId="32278C94" w14:textId="77777777" w:rsidR="00CE1BDB" w:rsidRPr="007F632C" w:rsidRDefault="00CE1BDB" w:rsidP="007F632C">
            <w:pPr>
              <w:jc w:val="right"/>
              <w:rPr>
                <w:rFonts w:cs="Arial"/>
                <w:color w:val="000000"/>
                <w:sz w:val="22"/>
                <w:szCs w:val="22"/>
              </w:rPr>
            </w:pPr>
            <w:r w:rsidRPr="007F632C">
              <w:rPr>
                <w:rFonts w:cs="Arial"/>
                <w:color w:val="000000"/>
                <w:sz w:val="22"/>
                <w:szCs w:val="22"/>
              </w:rPr>
              <w:t>19.2</w:t>
            </w:r>
          </w:p>
        </w:tc>
        <w:tc>
          <w:tcPr>
            <w:tcW w:w="464" w:type="pct"/>
            <w:tcBorders>
              <w:top w:val="nil"/>
              <w:left w:val="nil"/>
              <w:bottom w:val="single" w:sz="4" w:space="0" w:color="auto"/>
              <w:right w:val="single" w:sz="4" w:space="0" w:color="auto"/>
            </w:tcBorders>
            <w:shd w:val="clear" w:color="auto" w:fill="auto"/>
            <w:noWrap/>
            <w:vAlign w:val="center"/>
            <w:hideMark/>
          </w:tcPr>
          <w:p w14:paraId="3248E1E2" w14:textId="77777777" w:rsidR="00CE1BDB" w:rsidRPr="007F632C" w:rsidRDefault="00CE1BDB" w:rsidP="007F632C">
            <w:pPr>
              <w:jc w:val="right"/>
              <w:rPr>
                <w:rFonts w:cs="Arial"/>
                <w:color w:val="000000"/>
                <w:sz w:val="22"/>
                <w:szCs w:val="22"/>
              </w:rPr>
            </w:pPr>
            <w:r w:rsidRPr="007F632C">
              <w:rPr>
                <w:rFonts w:cs="Arial"/>
                <w:color w:val="000000"/>
                <w:sz w:val="22"/>
                <w:szCs w:val="22"/>
              </w:rPr>
              <w:t>33.3</w:t>
            </w:r>
          </w:p>
        </w:tc>
        <w:tc>
          <w:tcPr>
            <w:tcW w:w="386" w:type="pct"/>
            <w:tcBorders>
              <w:top w:val="nil"/>
              <w:left w:val="nil"/>
              <w:bottom w:val="single" w:sz="4" w:space="0" w:color="auto"/>
              <w:right w:val="single" w:sz="4" w:space="0" w:color="auto"/>
            </w:tcBorders>
            <w:shd w:val="clear" w:color="auto" w:fill="auto"/>
            <w:noWrap/>
            <w:vAlign w:val="center"/>
            <w:hideMark/>
          </w:tcPr>
          <w:p w14:paraId="310E65F5" w14:textId="77777777" w:rsidR="00CE1BDB" w:rsidRPr="007F632C" w:rsidRDefault="00CE1BDB" w:rsidP="007F632C">
            <w:pPr>
              <w:jc w:val="right"/>
              <w:rPr>
                <w:rFonts w:cs="Arial"/>
                <w:color w:val="000000"/>
                <w:sz w:val="22"/>
                <w:szCs w:val="22"/>
              </w:rPr>
            </w:pPr>
            <w:r w:rsidRPr="007F632C">
              <w:rPr>
                <w:rFonts w:cs="Arial"/>
                <w:color w:val="000000"/>
                <w:sz w:val="22"/>
                <w:szCs w:val="22"/>
              </w:rPr>
              <w:t>28.0</w:t>
            </w:r>
          </w:p>
        </w:tc>
        <w:tc>
          <w:tcPr>
            <w:tcW w:w="308" w:type="pct"/>
            <w:tcBorders>
              <w:top w:val="nil"/>
              <w:left w:val="nil"/>
              <w:bottom w:val="single" w:sz="4" w:space="0" w:color="auto"/>
              <w:right w:val="single" w:sz="4" w:space="0" w:color="auto"/>
            </w:tcBorders>
            <w:shd w:val="clear" w:color="auto" w:fill="auto"/>
            <w:noWrap/>
            <w:vAlign w:val="center"/>
            <w:hideMark/>
          </w:tcPr>
          <w:p w14:paraId="106A2D17" w14:textId="77777777" w:rsidR="00CE1BDB" w:rsidRPr="007F632C" w:rsidRDefault="00CE1BDB" w:rsidP="007F632C">
            <w:pPr>
              <w:jc w:val="right"/>
              <w:rPr>
                <w:rFonts w:cs="Arial"/>
                <w:color w:val="000000"/>
                <w:sz w:val="22"/>
                <w:szCs w:val="22"/>
              </w:rPr>
            </w:pPr>
            <w:r w:rsidRPr="007F632C">
              <w:rPr>
                <w:rFonts w:cs="Arial"/>
                <w:color w:val="000000"/>
                <w:sz w:val="22"/>
                <w:szCs w:val="22"/>
              </w:rPr>
              <w:t>7.1</w:t>
            </w:r>
          </w:p>
        </w:tc>
        <w:tc>
          <w:tcPr>
            <w:tcW w:w="386" w:type="pct"/>
            <w:tcBorders>
              <w:top w:val="nil"/>
              <w:left w:val="nil"/>
              <w:bottom w:val="single" w:sz="4" w:space="0" w:color="auto"/>
              <w:right w:val="single" w:sz="4" w:space="0" w:color="auto"/>
            </w:tcBorders>
            <w:shd w:val="clear" w:color="auto" w:fill="auto"/>
            <w:noWrap/>
            <w:vAlign w:val="center"/>
            <w:hideMark/>
          </w:tcPr>
          <w:p w14:paraId="545090F7" w14:textId="77777777" w:rsidR="00CE1BDB" w:rsidRPr="007F632C" w:rsidRDefault="00CE1BDB" w:rsidP="007F632C">
            <w:pPr>
              <w:jc w:val="right"/>
              <w:rPr>
                <w:rFonts w:cs="Arial"/>
                <w:color w:val="000000"/>
                <w:sz w:val="22"/>
                <w:szCs w:val="22"/>
              </w:rPr>
            </w:pPr>
            <w:r w:rsidRPr="007F632C">
              <w:rPr>
                <w:rFonts w:cs="Arial"/>
                <w:color w:val="000000"/>
                <w:sz w:val="22"/>
                <w:szCs w:val="22"/>
              </w:rPr>
              <w:t>8.5</w:t>
            </w:r>
          </w:p>
        </w:tc>
        <w:tc>
          <w:tcPr>
            <w:tcW w:w="387" w:type="pct"/>
            <w:tcBorders>
              <w:top w:val="nil"/>
              <w:left w:val="nil"/>
              <w:bottom w:val="single" w:sz="4" w:space="0" w:color="auto"/>
              <w:right w:val="single" w:sz="4" w:space="0" w:color="auto"/>
            </w:tcBorders>
            <w:shd w:val="clear" w:color="auto" w:fill="auto"/>
            <w:noWrap/>
            <w:vAlign w:val="center"/>
            <w:hideMark/>
          </w:tcPr>
          <w:p w14:paraId="31D623C1" w14:textId="77777777" w:rsidR="00CE1BDB" w:rsidRPr="007F632C" w:rsidRDefault="00CE1BDB" w:rsidP="007F632C">
            <w:pPr>
              <w:jc w:val="right"/>
              <w:rPr>
                <w:rFonts w:cs="Arial"/>
                <w:color w:val="000000"/>
                <w:sz w:val="22"/>
                <w:szCs w:val="22"/>
              </w:rPr>
            </w:pPr>
            <w:r w:rsidRPr="007F632C">
              <w:rPr>
                <w:rFonts w:cs="Arial"/>
                <w:color w:val="000000"/>
                <w:sz w:val="22"/>
                <w:szCs w:val="22"/>
              </w:rPr>
              <w:t>4.0</w:t>
            </w:r>
          </w:p>
        </w:tc>
        <w:tc>
          <w:tcPr>
            <w:tcW w:w="465" w:type="pct"/>
            <w:tcBorders>
              <w:top w:val="nil"/>
              <w:left w:val="nil"/>
              <w:bottom w:val="single" w:sz="4" w:space="0" w:color="auto"/>
              <w:right w:val="single" w:sz="4" w:space="0" w:color="auto"/>
            </w:tcBorders>
            <w:shd w:val="clear" w:color="auto" w:fill="auto"/>
            <w:noWrap/>
            <w:vAlign w:val="center"/>
            <w:hideMark/>
          </w:tcPr>
          <w:p w14:paraId="7F267CA6"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0288EED5" w14:textId="77777777" w:rsidR="00CE1BDB" w:rsidRPr="007F632C" w:rsidRDefault="00CE1BDB" w:rsidP="007F632C">
            <w:pPr>
              <w:jc w:val="right"/>
              <w:rPr>
                <w:rFonts w:cs="Arial"/>
                <w:color w:val="000000"/>
                <w:sz w:val="22"/>
                <w:szCs w:val="22"/>
              </w:rPr>
            </w:pPr>
            <w:r w:rsidRPr="007F632C">
              <w:rPr>
                <w:rFonts w:cs="Arial"/>
                <w:color w:val="000000"/>
                <w:sz w:val="22"/>
                <w:szCs w:val="22"/>
              </w:rPr>
              <w:t>1,359</w:t>
            </w:r>
          </w:p>
        </w:tc>
      </w:tr>
      <w:tr w:rsidR="007F632C" w:rsidRPr="007F632C" w14:paraId="7B1166EB"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437CCB4C" w14:textId="6DB6667E" w:rsidR="00CE1BDB" w:rsidRPr="007F632C" w:rsidRDefault="00CE1BDB" w:rsidP="00EF49A7">
            <w:pPr>
              <w:rPr>
                <w:rFonts w:cs="Arial"/>
                <w:color w:val="000000"/>
                <w:sz w:val="22"/>
                <w:szCs w:val="22"/>
              </w:rPr>
            </w:pPr>
            <w:r w:rsidRPr="007F632C">
              <w:rPr>
                <w:rFonts w:cs="Arial"/>
                <w:color w:val="000000"/>
                <w:sz w:val="22"/>
                <w:szCs w:val="22"/>
              </w:rPr>
              <w:t xml:space="preserve">NPA1 - Cliffe </w:t>
            </w:r>
            <w:r w:rsidR="007D604B" w:rsidRPr="007F632C">
              <w:rPr>
                <w:rFonts w:cs="Arial"/>
                <w:color w:val="000000"/>
                <w:sz w:val="22"/>
                <w:szCs w:val="22"/>
              </w:rPr>
              <w:t>and</w:t>
            </w:r>
            <w:r w:rsidRPr="007F632C">
              <w:rPr>
                <w:rFonts w:cs="Arial"/>
                <w:color w:val="000000"/>
                <w:sz w:val="22"/>
                <w:szCs w:val="22"/>
              </w:rPr>
              <w:t xml:space="preserve"> Cliffe Woods</w:t>
            </w:r>
          </w:p>
        </w:tc>
        <w:tc>
          <w:tcPr>
            <w:tcW w:w="540" w:type="pct"/>
            <w:tcBorders>
              <w:top w:val="nil"/>
              <w:left w:val="nil"/>
              <w:bottom w:val="single" w:sz="4" w:space="0" w:color="auto"/>
              <w:right w:val="single" w:sz="4" w:space="0" w:color="auto"/>
            </w:tcBorders>
            <w:shd w:val="clear" w:color="auto" w:fill="auto"/>
            <w:noWrap/>
            <w:vAlign w:val="center"/>
            <w:hideMark/>
          </w:tcPr>
          <w:p w14:paraId="25900B36" w14:textId="77777777" w:rsidR="00CE1BDB" w:rsidRPr="007F632C" w:rsidRDefault="00CE1BDB" w:rsidP="007F632C">
            <w:pPr>
              <w:jc w:val="right"/>
              <w:rPr>
                <w:rFonts w:cs="Arial"/>
                <w:color w:val="000000"/>
                <w:sz w:val="22"/>
                <w:szCs w:val="22"/>
              </w:rPr>
            </w:pPr>
            <w:r w:rsidRPr="007F632C">
              <w:rPr>
                <w:rFonts w:cs="Arial"/>
                <w:color w:val="000000"/>
                <w:sz w:val="22"/>
                <w:szCs w:val="22"/>
              </w:rPr>
              <w:t>56.1</w:t>
            </w:r>
          </w:p>
        </w:tc>
        <w:tc>
          <w:tcPr>
            <w:tcW w:w="464" w:type="pct"/>
            <w:tcBorders>
              <w:top w:val="nil"/>
              <w:left w:val="nil"/>
              <w:bottom w:val="single" w:sz="4" w:space="0" w:color="auto"/>
              <w:right w:val="single" w:sz="4" w:space="0" w:color="auto"/>
            </w:tcBorders>
            <w:shd w:val="clear" w:color="auto" w:fill="auto"/>
            <w:noWrap/>
            <w:vAlign w:val="center"/>
            <w:hideMark/>
          </w:tcPr>
          <w:p w14:paraId="220ADFF9" w14:textId="77777777" w:rsidR="00CE1BDB" w:rsidRPr="007F632C" w:rsidRDefault="00CE1BDB" w:rsidP="007F632C">
            <w:pPr>
              <w:jc w:val="right"/>
              <w:rPr>
                <w:rFonts w:cs="Arial"/>
                <w:color w:val="000000"/>
                <w:sz w:val="22"/>
                <w:szCs w:val="22"/>
              </w:rPr>
            </w:pPr>
            <w:r w:rsidRPr="007F632C">
              <w:rPr>
                <w:rFonts w:cs="Arial"/>
                <w:color w:val="000000"/>
                <w:sz w:val="22"/>
                <w:szCs w:val="22"/>
              </w:rPr>
              <w:t>43.9</w:t>
            </w:r>
          </w:p>
        </w:tc>
        <w:tc>
          <w:tcPr>
            <w:tcW w:w="386" w:type="pct"/>
            <w:tcBorders>
              <w:top w:val="nil"/>
              <w:left w:val="nil"/>
              <w:bottom w:val="single" w:sz="4" w:space="0" w:color="auto"/>
              <w:right w:val="single" w:sz="4" w:space="0" w:color="auto"/>
            </w:tcBorders>
            <w:shd w:val="clear" w:color="000000" w:fill="FFF2CC"/>
            <w:noWrap/>
            <w:vAlign w:val="center"/>
            <w:hideMark/>
          </w:tcPr>
          <w:p w14:paraId="163F26A1"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308" w:type="pct"/>
            <w:tcBorders>
              <w:top w:val="nil"/>
              <w:left w:val="nil"/>
              <w:bottom w:val="single" w:sz="4" w:space="0" w:color="auto"/>
              <w:right w:val="single" w:sz="4" w:space="0" w:color="auto"/>
            </w:tcBorders>
            <w:shd w:val="clear" w:color="auto" w:fill="auto"/>
            <w:noWrap/>
            <w:vAlign w:val="center"/>
            <w:hideMark/>
          </w:tcPr>
          <w:p w14:paraId="0FB9B9CB" w14:textId="77777777" w:rsidR="00CE1BDB" w:rsidRPr="007F632C" w:rsidRDefault="00CE1BDB" w:rsidP="007F632C">
            <w:pPr>
              <w:jc w:val="right"/>
              <w:rPr>
                <w:rFonts w:cs="Arial"/>
                <w:color w:val="000000"/>
                <w:sz w:val="22"/>
                <w:szCs w:val="22"/>
              </w:rPr>
            </w:pPr>
            <w:r w:rsidRPr="007F632C">
              <w:rPr>
                <w:rFonts w:cs="Arial"/>
                <w:color w:val="000000"/>
                <w:sz w:val="22"/>
                <w:szCs w:val="22"/>
              </w:rPr>
              <w:t>0.0</w:t>
            </w:r>
          </w:p>
        </w:tc>
        <w:tc>
          <w:tcPr>
            <w:tcW w:w="386" w:type="pct"/>
            <w:tcBorders>
              <w:top w:val="nil"/>
              <w:left w:val="nil"/>
              <w:bottom w:val="single" w:sz="4" w:space="0" w:color="auto"/>
              <w:right w:val="single" w:sz="4" w:space="0" w:color="auto"/>
            </w:tcBorders>
            <w:shd w:val="clear" w:color="auto" w:fill="auto"/>
            <w:noWrap/>
            <w:vAlign w:val="center"/>
            <w:hideMark/>
          </w:tcPr>
          <w:p w14:paraId="63196946" w14:textId="77777777" w:rsidR="00CE1BDB" w:rsidRPr="007F632C" w:rsidRDefault="00CE1BDB" w:rsidP="007F632C">
            <w:pPr>
              <w:jc w:val="right"/>
              <w:rPr>
                <w:rFonts w:cs="Arial"/>
                <w:color w:val="000000"/>
                <w:sz w:val="22"/>
                <w:szCs w:val="22"/>
              </w:rPr>
            </w:pPr>
            <w:r w:rsidRPr="007F632C">
              <w:rPr>
                <w:rFonts w:cs="Arial"/>
                <w:color w:val="000000"/>
                <w:sz w:val="22"/>
                <w:szCs w:val="22"/>
              </w:rPr>
              <w:t>0.0</w:t>
            </w:r>
          </w:p>
        </w:tc>
        <w:tc>
          <w:tcPr>
            <w:tcW w:w="387" w:type="pct"/>
            <w:tcBorders>
              <w:top w:val="nil"/>
              <w:left w:val="nil"/>
              <w:bottom w:val="single" w:sz="4" w:space="0" w:color="auto"/>
              <w:right w:val="single" w:sz="4" w:space="0" w:color="auto"/>
            </w:tcBorders>
            <w:shd w:val="clear" w:color="000000" w:fill="FFF2CC"/>
            <w:noWrap/>
            <w:vAlign w:val="center"/>
            <w:hideMark/>
          </w:tcPr>
          <w:p w14:paraId="60E89C09"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465" w:type="pct"/>
            <w:tcBorders>
              <w:top w:val="nil"/>
              <w:left w:val="nil"/>
              <w:bottom w:val="single" w:sz="4" w:space="0" w:color="auto"/>
              <w:right w:val="single" w:sz="4" w:space="0" w:color="auto"/>
            </w:tcBorders>
            <w:shd w:val="clear" w:color="auto" w:fill="auto"/>
            <w:noWrap/>
            <w:vAlign w:val="center"/>
            <w:hideMark/>
          </w:tcPr>
          <w:p w14:paraId="56B6FDE7"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453771B1" w14:textId="77777777" w:rsidR="00CE1BDB" w:rsidRPr="007F632C" w:rsidRDefault="00CE1BDB" w:rsidP="007F632C">
            <w:pPr>
              <w:jc w:val="right"/>
              <w:rPr>
                <w:rFonts w:cs="Arial"/>
                <w:color w:val="000000"/>
                <w:sz w:val="22"/>
                <w:szCs w:val="22"/>
              </w:rPr>
            </w:pPr>
            <w:r w:rsidRPr="007F632C">
              <w:rPr>
                <w:rFonts w:cs="Arial"/>
                <w:color w:val="000000"/>
                <w:sz w:val="22"/>
                <w:szCs w:val="22"/>
              </w:rPr>
              <w:t>41</w:t>
            </w:r>
          </w:p>
        </w:tc>
      </w:tr>
      <w:tr w:rsidR="007F632C" w:rsidRPr="007F632C" w14:paraId="1FCCAF5F"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65A63A7B" w14:textId="77777777" w:rsidR="00CE1BDB" w:rsidRPr="007F632C" w:rsidRDefault="00CE1BDB" w:rsidP="00EF49A7">
            <w:pPr>
              <w:rPr>
                <w:rFonts w:cs="Arial"/>
                <w:color w:val="000000"/>
                <w:sz w:val="22"/>
                <w:szCs w:val="22"/>
              </w:rPr>
            </w:pPr>
            <w:r w:rsidRPr="007F632C">
              <w:rPr>
                <w:rFonts w:cs="Arial"/>
                <w:color w:val="000000"/>
                <w:sz w:val="22"/>
                <w:szCs w:val="22"/>
              </w:rPr>
              <w:t xml:space="preserve">NPA2 - High </w:t>
            </w:r>
            <w:proofErr w:type="spellStart"/>
            <w:r w:rsidRPr="007F632C">
              <w:rPr>
                <w:rFonts w:cs="Arial"/>
                <w:color w:val="000000"/>
                <w:sz w:val="22"/>
                <w:szCs w:val="22"/>
              </w:rPr>
              <w:t>Halstow</w:t>
            </w:r>
            <w:proofErr w:type="spellEnd"/>
          </w:p>
        </w:tc>
        <w:tc>
          <w:tcPr>
            <w:tcW w:w="540" w:type="pct"/>
            <w:tcBorders>
              <w:top w:val="nil"/>
              <w:left w:val="nil"/>
              <w:bottom w:val="single" w:sz="4" w:space="0" w:color="auto"/>
              <w:right w:val="single" w:sz="4" w:space="0" w:color="auto"/>
            </w:tcBorders>
            <w:shd w:val="clear" w:color="000000" w:fill="FFF2CC"/>
            <w:noWrap/>
            <w:vAlign w:val="center"/>
            <w:hideMark/>
          </w:tcPr>
          <w:p w14:paraId="351E7D4A"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464" w:type="pct"/>
            <w:tcBorders>
              <w:top w:val="nil"/>
              <w:left w:val="nil"/>
              <w:bottom w:val="single" w:sz="4" w:space="0" w:color="auto"/>
              <w:right w:val="single" w:sz="4" w:space="0" w:color="auto"/>
            </w:tcBorders>
            <w:shd w:val="clear" w:color="000000" w:fill="FFF2CC"/>
            <w:noWrap/>
            <w:vAlign w:val="center"/>
            <w:hideMark/>
          </w:tcPr>
          <w:p w14:paraId="6DB95C58"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386" w:type="pct"/>
            <w:tcBorders>
              <w:top w:val="nil"/>
              <w:left w:val="nil"/>
              <w:bottom w:val="single" w:sz="4" w:space="0" w:color="auto"/>
              <w:right w:val="single" w:sz="4" w:space="0" w:color="auto"/>
            </w:tcBorders>
            <w:shd w:val="clear" w:color="000000" w:fill="FFF2CC"/>
            <w:noWrap/>
            <w:vAlign w:val="center"/>
            <w:hideMark/>
          </w:tcPr>
          <w:p w14:paraId="7B187B59"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308" w:type="pct"/>
            <w:tcBorders>
              <w:top w:val="nil"/>
              <w:left w:val="nil"/>
              <w:bottom w:val="single" w:sz="4" w:space="0" w:color="auto"/>
              <w:right w:val="single" w:sz="4" w:space="0" w:color="auto"/>
            </w:tcBorders>
            <w:shd w:val="clear" w:color="000000" w:fill="FFF2CC"/>
            <w:noWrap/>
            <w:vAlign w:val="center"/>
            <w:hideMark/>
          </w:tcPr>
          <w:p w14:paraId="75410E5F"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386" w:type="pct"/>
            <w:tcBorders>
              <w:top w:val="nil"/>
              <w:left w:val="nil"/>
              <w:bottom w:val="single" w:sz="4" w:space="0" w:color="auto"/>
              <w:right w:val="single" w:sz="4" w:space="0" w:color="auto"/>
            </w:tcBorders>
            <w:shd w:val="clear" w:color="000000" w:fill="FFF2CC"/>
            <w:noWrap/>
            <w:vAlign w:val="center"/>
            <w:hideMark/>
          </w:tcPr>
          <w:p w14:paraId="5BD15B41"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387" w:type="pct"/>
            <w:tcBorders>
              <w:top w:val="nil"/>
              <w:left w:val="nil"/>
              <w:bottom w:val="single" w:sz="4" w:space="0" w:color="auto"/>
              <w:right w:val="single" w:sz="4" w:space="0" w:color="auto"/>
            </w:tcBorders>
            <w:shd w:val="clear" w:color="000000" w:fill="FFF2CC"/>
            <w:noWrap/>
            <w:vAlign w:val="center"/>
            <w:hideMark/>
          </w:tcPr>
          <w:p w14:paraId="09A6B97D"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465" w:type="pct"/>
            <w:tcBorders>
              <w:top w:val="nil"/>
              <w:left w:val="nil"/>
              <w:bottom w:val="single" w:sz="4" w:space="0" w:color="auto"/>
              <w:right w:val="single" w:sz="4" w:space="0" w:color="auto"/>
            </w:tcBorders>
            <w:shd w:val="clear" w:color="000000" w:fill="FFF2CC"/>
            <w:noWrap/>
            <w:vAlign w:val="center"/>
            <w:hideMark/>
          </w:tcPr>
          <w:p w14:paraId="5C26A0F6"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445" w:type="pct"/>
            <w:tcBorders>
              <w:top w:val="nil"/>
              <w:left w:val="nil"/>
              <w:bottom w:val="single" w:sz="4" w:space="0" w:color="auto"/>
              <w:right w:val="single" w:sz="4" w:space="0" w:color="auto"/>
            </w:tcBorders>
            <w:shd w:val="clear" w:color="auto" w:fill="auto"/>
            <w:noWrap/>
            <w:vAlign w:val="center"/>
            <w:hideMark/>
          </w:tcPr>
          <w:p w14:paraId="50F9F22E" w14:textId="77777777" w:rsidR="00CE1BDB" w:rsidRPr="007F632C" w:rsidRDefault="00CE1BDB" w:rsidP="007F632C">
            <w:pPr>
              <w:jc w:val="right"/>
              <w:rPr>
                <w:rFonts w:cs="Arial"/>
                <w:color w:val="000000"/>
                <w:sz w:val="22"/>
                <w:szCs w:val="22"/>
              </w:rPr>
            </w:pPr>
            <w:r w:rsidRPr="007F632C">
              <w:rPr>
                <w:rFonts w:cs="Arial"/>
                <w:color w:val="000000"/>
                <w:sz w:val="22"/>
                <w:szCs w:val="22"/>
              </w:rPr>
              <w:t>21</w:t>
            </w:r>
          </w:p>
        </w:tc>
      </w:tr>
      <w:tr w:rsidR="007F632C" w:rsidRPr="007F632C" w14:paraId="798AE74D"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0A708F21" w14:textId="77777777" w:rsidR="00CE1BDB" w:rsidRPr="007F632C" w:rsidRDefault="00CE1BDB" w:rsidP="00EF49A7">
            <w:pPr>
              <w:rPr>
                <w:rFonts w:cs="Arial"/>
                <w:color w:val="000000"/>
                <w:sz w:val="22"/>
                <w:szCs w:val="22"/>
              </w:rPr>
            </w:pPr>
            <w:r w:rsidRPr="007F632C">
              <w:rPr>
                <w:rFonts w:cs="Arial"/>
                <w:color w:val="000000"/>
                <w:sz w:val="22"/>
                <w:szCs w:val="22"/>
              </w:rPr>
              <w:t xml:space="preserve">NPA3 - </w:t>
            </w:r>
            <w:proofErr w:type="spellStart"/>
            <w:r w:rsidRPr="007F632C">
              <w:rPr>
                <w:rFonts w:cs="Arial"/>
                <w:color w:val="000000"/>
                <w:sz w:val="22"/>
                <w:szCs w:val="22"/>
              </w:rPr>
              <w:t>Hoo</w:t>
            </w:r>
            <w:proofErr w:type="spellEnd"/>
            <w:r w:rsidRPr="007F632C">
              <w:rPr>
                <w:rFonts w:cs="Arial"/>
                <w:color w:val="000000"/>
                <w:sz w:val="22"/>
                <w:szCs w:val="22"/>
              </w:rPr>
              <w:t xml:space="preserve"> St </w:t>
            </w:r>
            <w:proofErr w:type="spellStart"/>
            <w:r w:rsidRPr="007F632C">
              <w:rPr>
                <w:rFonts w:cs="Arial"/>
                <w:color w:val="000000"/>
                <w:sz w:val="22"/>
                <w:szCs w:val="22"/>
              </w:rPr>
              <w:t>Werburgh</w:t>
            </w:r>
            <w:proofErr w:type="spellEnd"/>
            <w:r w:rsidRPr="007F632C">
              <w:rPr>
                <w:rFonts w:cs="Arial"/>
                <w:color w:val="000000"/>
                <w:sz w:val="22"/>
                <w:szCs w:val="22"/>
              </w:rPr>
              <w:t>/Rural Town</w:t>
            </w:r>
          </w:p>
        </w:tc>
        <w:tc>
          <w:tcPr>
            <w:tcW w:w="540" w:type="pct"/>
            <w:tcBorders>
              <w:top w:val="nil"/>
              <w:left w:val="nil"/>
              <w:bottom w:val="single" w:sz="4" w:space="0" w:color="auto"/>
              <w:right w:val="single" w:sz="4" w:space="0" w:color="auto"/>
            </w:tcBorders>
            <w:shd w:val="clear" w:color="auto" w:fill="auto"/>
            <w:noWrap/>
            <w:vAlign w:val="center"/>
            <w:hideMark/>
          </w:tcPr>
          <w:p w14:paraId="1B2FA0A2" w14:textId="77777777" w:rsidR="00CE1BDB" w:rsidRPr="007F632C" w:rsidRDefault="00CE1BDB" w:rsidP="007F632C">
            <w:pPr>
              <w:jc w:val="right"/>
              <w:rPr>
                <w:rFonts w:cs="Arial"/>
                <w:color w:val="000000"/>
                <w:sz w:val="22"/>
                <w:szCs w:val="22"/>
              </w:rPr>
            </w:pPr>
            <w:r w:rsidRPr="007F632C">
              <w:rPr>
                <w:rFonts w:cs="Arial"/>
                <w:color w:val="000000"/>
                <w:sz w:val="22"/>
                <w:szCs w:val="22"/>
              </w:rPr>
              <w:t>21.7</w:t>
            </w:r>
          </w:p>
        </w:tc>
        <w:tc>
          <w:tcPr>
            <w:tcW w:w="464" w:type="pct"/>
            <w:tcBorders>
              <w:top w:val="nil"/>
              <w:left w:val="nil"/>
              <w:bottom w:val="single" w:sz="4" w:space="0" w:color="auto"/>
              <w:right w:val="single" w:sz="4" w:space="0" w:color="auto"/>
            </w:tcBorders>
            <w:shd w:val="clear" w:color="auto" w:fill="auto"/>
            <w:noWrap/>
            <w:vAlign w:val="center"/>
            <w:hideMark/>
          </w:tcPr>
          <w:p w14:paraId="0D3230CF" w14:textId="77777777" w:rsidR="00CE1BDB" w:rsidRPr="007F632C" w:rsidRDefault="00CE1BDB" w:rsidP="007F632C">
            <w:pPr>
              <w:jc w:val="right"/>
              <w:rPr>
                <w:rFonts w:cs="Arial"/>
                <w:color w:val="000000"/>
                <w:sz w:val="22"/>
                <w:szCs w:val="22"/>
              </w:rPr>
            </w:pPr>
            <w:r w:rsidRPr="007F632C">
              <w:rPr>
                <w:rFonts w:cs="Arial"/>
                <w:color w:val="000000"/>
                <w:sz w:val="22"/>
                <w:szCs w:val="22"/>
              </w:rPr>
              <w:t>23.3</w:t>
            </w:r>
          </w:p>
        </w:tc>
        <w:tc>
          <w:tcPr>
            <w:tcW w:w="386" w:type="pct"/>
            <w:tcBorders>
              <w:top w:val="nil"/>
              <w:left w:val="nil"/>
              <w:bottom w:val="single" w:sz="4" w:space="0" w:color="auto"/>
              <w:right w:val="single" w:sz="4" w:space="0" w:color="auto"/>
            </w:tcBorders>
            <w:shd w:val="clear" w:color="auto" w:fill="auto"/>
            <w:noWrap/>
            <w:vAlign w:val="center"/>
            <w:hideMark/>
          </w:tcPr>
          <w:p w14:paraId="59873363" w14:textId="77777777" w:rsidR="00CE1BDB" w:rsidRPr="007F632C" w:rsidRDefault="00CE1BDB" w:rsidP="007F632C">
            <w:pPr>
              <w:jc w:val="right"/>
              <w:rPr>
                <w:rFonts w:cs="Arial"/>
                <w:color w:val="000000"/>
                <w:sz w:val="22"/>
                <w:szCs w:val="22"/>
              </w:rPr>
            </w:pPr>
            <w:r w:rsidRPr="007F632C">
              <w:rPr>
                <w:rFonts w:cs="Arial"/>
                <w:color w:val="000000"/>
                <w:sz w:val="22"/>
                <w:szCs w:val="22"/>
              </w:rPr>
              <w:t>32.6</w:t>
            </w:r>
          </w:p>
        </w:tc>
        <w:tc>
          <w:tcPr>
            <w:tcW w:w="308" w:type="pct"/>
            <w:tcBorders>
              <w:top w:val="nil"/>
              <w:left w:val="nil"/>
              <w:bottom w:val="single" w:sz="4" w:space="0" w:color="auto"/>
              <w:right w:val="single" w:sz="4" w:space="0" w:color="auto"/>
            </w:tcBorders>
            <w:shd w:val="clear" w:color="auto" w:fill="auto"/>
            <w:noWrap/>
            <w:vAlign w:val="center"/>
            <w:hideMark/>
          </w:tcPr>
          <w:p w14:paraId="32CB5407" w14:textId="77777777" w:rsidR="00CE1BDB" w:rsidRPr="007F632C" w:rsidRDefault="00CE1BDB" w:rsidP="007F632C">
            <w:pPr>
              <w:jc w:val="right"/>
              <w:rPr>
                <w:rFonts w:cs="Arial"/>
                <w:color w:val="000000"/>
                <w:sz w:val="22"/>
                <w:szCs w:val="22"/>
              </w:rPr>
            </w:pPr>
            <w:r w:rsidRPr="007F632C">
              <w:rPr>
                <w:rFonts w:cs="Arial"/>
                <w:color w:val="000000"/>
                <w:sz w:val="22"/>
                <w:szCs w:val="22"/>
              </w:rPr>
              <w:t>6.2</w:t>
            </w:r>
          </w:p>
        </w:tc>
        <w:tc>
          <w:tcPr>
            <w:tcW w:w="386" w:type="pct"/>
            <w:tcBorders>
              <w:top w:val="nil"/>
              <w:left w:val="nil"/>
              <w:bottom w:val="single" w:sz="4" w:space="0" w:color="auto"/>
              <w:right w:val="single" w:sz="4" w:space="0" w:color="auto"/>
            </w:tcBorders>
            <w:shd w:val="clear" w:color="auto" w:fill="auto"/>
            <w:noWrap/>
            <w:vAlign w:val="center"/>
            <w:hideMark/>
          </w:tcPr>
          <w:p w14:paraId="3D635C12" w14:textId="77777777" w:rsidR="00CE1BDB" w:rsidRPr="007F632C" w:rsidRDefault="00CE1BDB" w:rsidP="007F632C">
            <w:pPr>
              <w:jc w:val="right"/>
              <w:rPr>
                <w:rFonts w:cs="Arial"/>
                <w:color w:val="000000"/>
                <w:sz w:val="22"/>
                <w:szCs w:val="22"/>
              </w:rPr>
            </w:pPr>
            <w:r w:rsidRPr="007F632C">
              <w:rPr>
                <w:rFonts w:cs="Arial"/>
                <w:color w:val="000000"/>
                <w:sz w:val="22"/>
                <w:szCs w:val="22"/>
              </w:rPr>
              <w:t>11.6</w:t>
            </w:r>
          </w:p>
        </w:tc>
        <w:tc>
          <w:tcPr>
            <w:tcW w:w="387" w:type="pct"/>
            <w:tcBorders>
              <w:top w:val="nil"/>
              <w:left w:val="nil"/>
              <w:bottom w:val="single" w:sz="4" w:space="0" w:color="auto"/>
              <w:right w:val="single" w:sz="4" w:space="0" w:color="auto"/>
            </w:tcBorders>
            <w:shd w:val="clear" w:color="auto" w:fill="auto"/>
            <w:noWrap/>
            <w:vAlign w:val="center"/>
            <w:hideMark/>
          </w:tcPr>
          <w:p w14:paraId="27CFFBFA" w14:textId="77777777" w:rsidR="00CE1BDB" w:rsidRPr="007F632C" w:rsidRDefault="00CE1BDB" w:rsidP="007F632C">
            <w:pPr>
              <w:jc w:val="right"/>
              <w:rPr>
                <w:rFonts w:cs="Arial"/>
                <w:color w:val="000000"/>
                <w:sz w:val="22"/>
                <w:szCs w:val="22"/>
              </w:rPr>
            </w:pPr>
            <w:r w:rsidRPr="007F632C">
              <w:rPr>
                <w:rFonts w:cs="Arial"/>
                <w:color w:val="000000"/>
                <w:sz w:val="22"/>
                <w:szCs w:val="22"/>
              </w:rPr>
              <w:t>4.7</w:t>
            </w:r>
          </w:p>
        </w:tc>
        <w:tc>
          <w:tcPr>
            <w:tcW w:w="465" w:type="pct"/>
            <w:tcBorders>
              <w:top w:val="nil"/>
              <w:left w:val="nil"/>
              <w:bottom w:val="single" w:sz="4" w:space="0" w:color="auto"/>
              <w:right w:val="single" w:sz="4" w:space="0" w:color="auto"/>
            </w:tcBorders>
            <w:shd w:val="clear" w:color="auto" w:fill="auto"/>
            <w:noWrap/>
            <w:vAlign w:val="center"/>
            <w:hideMark/>
          </w:tcPr>
          <w:p w14:paraId="71026CB3"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051108CA" w14:textId="77777777" w:rsidR="00CE1BDB" w:rsidRPr="007F632C" w:rsidRDefault="00CE1BDB" w:rsidP="007F632C">
            <w:pPr>
              <w:jc w:val="right"/>
              <w:rPr>
                <w:rFonts w:cs="Arial"/>
                <w:color w:val="000000"/>
                <w:sz w:val="22"/>
                <w:szCs w:val="22"/>
              </w:rPr>
            </w:pPr>
            <w:r w:rsidRPr="007F632C">
              <w:rPr>
                <w:rFonts w:cs="Arial"/>
                <w:color w:val="000000"/>
                <w:sz w:val="22"/>
                <w:szCs w:val="22"/>
              </w:rPr>
              <w:t>258</w:t>
            </w:r>
          </w:p>
        </w:tc>
      </w:tr>
      <w:tr w:rsidR="007F632C" w:rsidRPr="007F632C" w14:paraId="4456423F"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60D85E78" w14:textId="77777777" w:rsidR="00CE1BDB" w:rsidRPr="007F632C" w:rsidRDefault="00CE1BDB" w:rsidP="00EF49A7">
            <w:pPr>
              <w:rPr>
                <w:rFonts w:cs="Arial"/>
                <w:color w:val="000000"/>
                <w:sz w:val="22"/>
                <w:szCs w:val="22"/>
              </w:rPr>
            </w:pPr>
            <w:r w:rsidRPr="007F632C">
              <w:rPr>
                <w:rFonts w:cs="Arial"/>
                <w:color w:val="000000"/>
                <w:sz w:val="22"/>
                <w:szCs w:val="22"/>
              </w:rPr>
              <w:t>NPA4 - Arches (Chatham)</w:t>
            </w:r>
          </w:p>
        </w:tc>
        <w:tc>
          <w:tcPr>
            <w:tcW w:w="540" w:type="pct"/>
            <w:tcBorders>
              <w:top w:val="nil"/>
              <w:left w:val="nil"/>
              <w:bottom w:val="single" w:sz="4" w:space="0" w:color="auto"/>
              <w:right w:val="single" w:sz="4" w:space="0" w:color="auto"/>
            </w:tcBorders>
            <w:shd w:val="clear" w:color="auto" w:fill="auto"/>
            <w:noWrap/>
            <w:vAlign w:val="center"/>
            <w:hideMark/>
          </w:tcPr>
          <w:p w14:paraId="67AD1834" w14:textId="77777777" w:rsidR="00CE1BDB" w:rsidRPr="007F632C" w:rsidRDefault="00CE1BDB" w:rsidP="007F632C">
            <w:pPr>
              <w:jc w:val="right"/>
              <w:rPr>
                <w:rFonts w:cs="Arial"/>
                <w:color w:val="000000"/>
                <w:sz w:val="22"/>
                <w:szCs w:val="22"/>
              </w:rPr>
            </w:pPr>
            <w:r w:rsidRPr="007F632C">
              <w:rPr>
                <w:rFonts w:cs="Arial"/>
                <w:color w:val="000000"/>
                <w:sz w:val="22"/>
                <w:szCs w:val="22"/>
              </w:rPr>
              <w:t>19.9</w:t>
            </w:r>
          </w:p>
        </w:tc>
        <w:tc>
          <w:tcPr>
            <w:tcW w:w="464" w:type="pct"/>
            <w:tcBorders>
              <w:top w:val="nil"/>
              <w:left w:val="nil"/>
              <w:bottom w:val="single" w:sz="4" w:space="0" w:color="auto"/>
              <w:right w:val="single" w:sz="4" w:space="0" w:color="auto"/>
            </w:tcBorders>
            <w:shd w:val="clear" w:color="auto" w:fill="auto"/>
            <w:noWrap/>
            <w:vAlign w:val="center"/>
            <w:hideMark/>
          </w:tcPr>
          <w:p w14:paraId="76867155" w14:textId="77777777" w:rsidR="00CE1BDB" w:rsidRPr="007F632C" w:rsidRDefault="00CE1BDB" w:rsidP="007F632C">
            <w:pPr>
              <w:jc w:val="right"/>
              <w:rPr>
                <w:rFonts w:cs="Arial"/>
                <w:color w:val="000000"/>
                <w:sz w:val="22"/>
                <w:szCs w:val="22"/>
              </w:rPr>
            </w:pPr>
            <w:r w:rsidRPr="007F632C">
              <w:rPr>
                <w:rFonts w:cs="Arial"/>
                <w:color w:val="000000"/>
                <w:sz w:val="22"/>
                <w:szCs w:val="22"/>
              </w:rPr>
              <w:t>27.1</w:t>
            </w:r>
          </w:p>
        </w:tc>
        <w:tc>
          <w:tcPr>
            <w:tcW w:w="386" w:type="pct"/>
            <w:tcBorders>
              <w:top w:val="nil"/>
              <w:left w:val="nil"/>
              <w:bottom w:val="single" w:sz="4" w:space="0" w:color="auto"/>
              <w:right w:val="single" w:sz="4" w:space="0" w:color="auto"/>
            </w:tcBorders>
            <w:shd w:val="clear" w:color="auto" w:fill="auto"/>
            <w:noWrap/>
            <w:vAlign w:val="center"/>
            <w:hideMark/>
          </w:tcPr>
          <w:p w14:paraId="1EB6C00B" w14:textId="77777777" w:rsidR="00CE1BDB" w:rsidRPr="007F632C" w:rsidRDefault="00CE1BDB" w:rsidP="007F632C">
            <w:pPr>
              <w:jc w:val="right"/>
              <w:rPr>
                <w:rFonts w:cs="Arial"/>
                <w:color w:val="000000"/>
                <w:sz w:val="22"/>
                <w:szCs w:val="22"/>
              </w:rPr>
            </w:pPr>
            <w:r w:rsidRPr="007F632C">
              <w:rPr>
                <w:rFonts w:cs="Arial"/>
                <w:color w:val="000000"/>
                <w:sz w:val="22"/>
                <w:szCs w:val="22"/>
              </w:rPr>
              <w:t>25.9</w:t>
            </w:r>
          </w:p>
        </w:tc>
        <w:tc>
          <w:tcPr>
            <w:tcW w:w="308" w:type="pct"/>
            <w:tcBorders>
              <w:top w:val="nil"/>
              <w:left w:val="nil"/>
              <w:bottom w:val="single" w:sz="4" w:space="0" w:color="auto"/>
              <w:right w:val="single" w:sz="4" w:space="0" w:color="auto"/>
            </w:tcBorders>
            <w:shd w:val="clear" w:color="auto" w:fill="auto"/>
            <w:noWrap/>
            <w:vAlign w:val="center"/>
            <w:hideMark/>
          </w:tcPr>
          <w:p w14:paraId="63F22AB4" w14:textId="77777777" w:rsidR="00CE1BDB" w:rsidRPr="007F632C" w:rsidRDefault="00CE1BDB" w:rsidP="007F632C">
            <w:pPr>
              <w:jc w:val="right"/>
              <w:rPr>
                <w:rFonts w:cs="Arial"/>
                <w:color w:val="000000"/>
                <w:sz w:val="22"/>
                <w:szCs w:val="22"/>
              </w:rPr>
            </w:pPr>
            <w:r w:rsidRPr="007F632C">
              <w:rPr>
                <w:rFonts w:cs="Arial"/>
                <w:color w:val="000000"/>
                <w:sz w:val="22"/>
                <w:szCs w:val="22"/>
              </w:rPr>
              <w:t>7.5</w:t>
            </w:r>
          </w:p>
        </w:tc>
        <w:tc>
          <w:tcPr>
            <w:tcW w:w="386" w:type="pct"/>
            <w:tcBorders>
              <w:top w:val="nil"/>
              <w:left w:val="nil"/>
              <w:bottom w:val="single" w:sz="4" w:space="0" w:color="auto"/>
              <w:right w:val="single" w:sz="4" w:space="0" w:color="auto"/>
            </w:tcBorders>
            <w:shd w:val="clear" w:color="auto" w:fill="auto"/>
            <w:noWrap/>
            <w:vAlign w:val="center"/>
            <w:hideMark/>
          </w:tcPr>
          <w:p w14:paraId="5C5D2AE2" w14:textId="77777777" w:rsidR="00CE1BDB" w:rsidRPr="007F632C" w:rsidRDefault="00CE1BDB" w:rsidP="007F632C">
            <w:pPr>
              <w:jc w:val="right"/>
              <w:rPr>
                <w:rFonts w:cs="Arial"/>
                <w:color w:val="000000"/>
                <w:sz w:val="22"/>
                <w:szCs w:val="22"/>
              </w:rPr>
            </w:pPr>
            <w:r w:rsidRPr="007F632C">
              <w:rPr>
                <w:rFonts w:cs="Arial"/>
                <w:color w:val="000000"/>
                <w:sz w:val="22"/>
                <w:szCs w:val="22"/>
              </w:rPr>
              <w:t>10.1</w:t>
            </w:r>
          </w:p>
        </w:tc>
        <w:tc>
          <w:tcPr>
            <w:tcW w:w="387" w:type="pct"/>
            <w:tcBorders>
              <w:top w:val="nil"/>
              <w:left w:val="nil"/>
              <w:bottom w:val="single" w:sz="4" w:space="0" w:color="auto"/>
              <w:right w:val="single" w:sz="4" w:space="0" w:color="auto"/>
            </w:tcBorders>
            <w:shd w:val="clear" w:color="auto" w:fill="auto"/>
            <w:noWrap/>
            <w:vAlign w:val="center"/>
            <w:hideMark/>
          </w:tcPr>
          <w:p w14:paraId="7D4304BA" w14:textId="77777777" w:rsidR="00CE1BDB" w:rsidRPr="007F632C" w:rsidRDefault="00CE1BDB" w:rsidP="007F632C">
            <w:pPr>
              <w:jc w:val="right"/>
              <w:rPr>
                <w:rFonts w:cs="Arial"/>
                <w:color w:val="000000"/>
                <w:sz w:val="22"/>
                <w:szCs w:val="22"/>
              </w:rPr>
            </w:pPr>
            <w:r w:rsidRPr="007F632C">
              <w:rPr>
                <w:rFonts w:cs="Arial"/>
                <w:color w:val="000000"/>
                <w:sz w:val="22"/>
                <w:szCs w:val="22"/>
              </w:rPr>
              <w:t>9.5</w:t>
            </w:r>
          </w:p>
        </w:tc>
        <w:tc>
          <w:tcPr>
            <w:tcW w:w="465" w:type="pct"/>
            <w:tcBorders>
              <w:top w:val="nil"/>
              <w:left w:val="nil"/>
              <w:bottom w:val="single" w:sz="4" w:space="0" w:color="auto"/>
              <w:right w:val="single" w:sz="4" w:space="0" w:color="auto"/>
            </w:tcBorders>
            <w:shd w:val="clear" w:color="auto" w:fill="auto"/>
            <w:noWrap/>
            <w:vAlign w:val="center"/>
            <w:hideMark/>
          </w:tcPr>
          <w:p w14:paraId="0F19519A"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595C4880" w14:textId="77777777" w:rsidR="00CE1BDB" w:rsidRPr="007F632C" w:rsidRDefault="00CE1BDB" w:rsidP="007F632C">
            <w:pPr>
              <w:jc w:val="right"/>
              <w:rPr>
                <w:rFonts w:cs="Arial"/>
                <w:color w:val="000000"/>
                <w:sz w:val="22"/>
                <w:szCs w:val="22"/>
              </w:rPr>
            </w:pPr>
            <w:r w:rsidRPr="007F632C">
              <w:rPr>
                <w:rFonts w:cs="Arial"/>
                <w:color w:val="000000"/>
                <w:sz w:val="22"/>
                <w:szCs w:val="22"/>
              </w:rPr>
              <w:t>694</w:t>
            </w:r>
          </w:p>
        </w:tc>
      </w:tr>
      <w:tr w:rsidR="007F632C" w:rsidRPr="007F632C" w14:paraId="6C8F173A"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3C384C5E" w14:textId="77777777" w:rsidR="00CE1BDB" w:rsidRPr="007F632C" w:rsidRDefault="00CE1BDB" w:rsidP="00EF49A7">
            <w:pPr>
              <w:rPr>
                <w:rFonts w:cs="Arial"/>
                <w:color w:val="000000"/>
                <w:sz w:val="22"/>
                <w:szCs w:val="22"/>
              </w:rPr>
            </w:pPr>
            <w:r w:rsidRPr="007F632C">
              <w:rPr>
                <w:rFonts w:cs="Arial"/>
                <w:color w:val="000000"/>
                <w:sz w:val="22"/>
                <w:szCs w:val="22"/>
              </w:rPr>
              <w:t xml:space="preserve">NPA5 - </w:t>
            </w:r>
            <w:proofErr w:type="spellStart"/>
            <w:r w:rsidRPr="007F632C">
              <w:rPr>
                <w:rFonts w:cs="Arial"/>
                <w:color w:val="000000"/>
                <w:sz w:val="22"/>
                <w:szCs w:val="22"/>
              </w:rPr>
              <w:t>Frindsbury</w:t>
            </w:r>
            <w:proofErr w:type="spellEnd"/>
            <w:r w:rsidRPr="007F632C">
              <w:rPr>
                <w:rFonts w:cs="Arial"/>
                <w:color w:val="000000"/>
                <w:sz w:val="22"/>
                <w:szCs w:val="22"/>
              </w:rPr>
              <w:t xml:space="preserve"> Extra</w:t>
            </w:r>
          </w:p>
        </w:tc>
        <w:tc>
          <w:tcPr>
            <w:tcW w:w="540" w:type="pct"/>
            <w:tcBorders>
              <w:top w:val="nil"/>
              <w:left w:val="nil"/>
              <w:bottom w:val="single" w:sz="4" w:space="0" w:color="auto"/>
              <w:right w:val="single" w:sz="4" w:space="0" w:color="auto"/>
            </w:tcBorders>
            <w:shd w:val="clear" w:color="auto" w:fill="auto"/>
            <w:noWrap/>
            <w:vAlign w:val="center"/>
            <w:hideMark/>
          </w:tcPr>
          <w:p w14:paraId="56D6980D" w14:textId="77777777" w:rsidR="00CE1BDB" w:rsidRPr="007F632C" w:rsidRDefault="00CE1BDB" w:rsidP="007F632C">
            <w:pPr>
              <w:jc w:val="right"/>
              <w:rPr>
                <w:rFonts w:cs="Arial"/>
                <w:color w:val="000000"/>
                <w:sz w:val="22"/>
                <w:szCs w:val="22"/>
              </w:rPr>
            </w:pPr>
            <w:r w:rsidRPr="007F632C">
              <w:rPr>
                <w:rFonts w:cs="Arial"/>
                <w:color w:val="000000"/>
                <w:sz w:val="22"/>
                <w:szCs w:val="22"/>
              </w:rPr>
              <w:t>16.3</w:t>
            </w:r>
          </w:p>
        </w:tc>
        <w:tc>
          <w:tcPr>
            <w:tcW w:w="464" w:type="pct"/>
            <w:tcBorders>
              <w:top w:val="nil"/>
              <w:left w:val="nil"/>
              <w:bottom w:val="single" w:sz="4" w:space="0" w:color="auto"/>
              <w:right w:val="single" w:sz="4" w:space="0" w:color="auto"/>
            </w:tcBorders>
            <w:shd w:val="clear" w:color="auto" w:fill="auto"/>
            <w:noWrap/>
            <w:vAlign w:val="center"/>
            <w:hideMark/>
          </w:tcPr>
          <w:p w14:paraId="019405C4" w14:textId="77777777" w:rsidR="00CE1BDB" w:rsidRPr="007F632C" w:rsidRDefault="00CE1BDB" w:rsidP="007F632C">
            <w:pPr>
              <w:jc w:val="right"/>
              <w:rPr>
                <w:rFonts w:cs="Arial"/>
                <w:color w:val="000000"/>
                <w:sz w:val="22"/>
                <w:szCs w:val="22"/>
              </w:rPr>
            </w:pPr>
            <w:r w:rsidRPr="007F632C">
              <w:rPr>
                <w:rFonts w:cs="Arial"/>
                <w:color w:val="000000"/>
                <w:sz w:val="22"/>
                <w:szCs w:val="22"/>
              </w:rPr>
              <w:t>27.6</w:t>
            </w:r>
          </w:p>
        </w:tc>
        <w:tc>
          <w:tcPr>
            <w:tcW w:w="386" w:type="pct"/>
            <w:tcBorders>
              <w:top w:val="nil"/>
              <w:left w:val="nil"/>
              <w:bottom w:val="single" w:sz="4" w:space="0" w:color="auto"/>
              <w:right w:val="single" w:sz="4" w:space="0" w:color="auto"/>
            </w:tcBorders>
            <w:shd w:val="clear" w:color="auto" w:fill="auto"/>
            <w:noWrap/>
            <w:vAlign w:val="center"/>
            <w:hideMark/>
          </w:tcPr>
          <w:p w14:paraId="26ADD7EB" w14:textId="77777777" w:rsidR="00CE1BDB" w:rsidRPr="007F632C" w:rsidRDefault="00CE1BDB" w:rsidP="007F632C">
            <w:pPr>
              <w:jc w:val="right"/>
              <w:rPr>
                <w:rFonts w:cs="Arial"/>
                <w:color w:val="000000"/>
                <w:sz w:val="22"/>
                <w:szCs w:val="22"/>
              </w:rPr>
            </w:pPr>
            <w:r w:rsidRPr="007F632C">
              <w:rPr>
                <w:rFonts w:cs="Arial"/>
                <w:color w:val="000000"/>
                <w:sz w:val="22"/>
                <w:szCs w:val="22"/>
              </w:rPr>
              <w:t>43.9</w:t>
            </w:r>
          </w:p>
        </w:tc>
        <w:tc>
          <w:tcPr>
            <w:tcW w:w="308" w:type="pct"/>
            <w:tcBorders>
              <w:top w:val="nil"/>
              <w:left w:val="nil"/>
              <w:bottom w:val="single" w:sz="4" w:space="0" w:color="auto"/>
              <w:right w:val="single" w:sz="4" w:space="0" w:color="auto"/>
            </w:tcBorders>
            <w:shd w:val="clear" w:color="000000" w:fill="FFF2CC"/>
            <w:noWrap/>
            <w:vAlign w:val="center"/>
            <w:hideMark/>
          </w:tcPr>
          <w:p w14:paraId="7641102F" w14:textId="77777777" w:rsidR="00CE1BDB" w:rsidRPr="007F632C" w:rsidRDefault="00CE1BDB" w:rsidP="007F632C">
            <w:pPr>
              <w:jc w:val="right"/>
              <w:rPr>
                <w:rFonts w:cs="Arial"/>
                <w:color w:val="000000"/>
                <w:sz w:val="22"/>
                <w:szCs w:val="22"/>
              </w:rPr>
            </w:pPr>
            <w:r w:rsidRPr="007F632C">
              <w:rPr>
                <w:rFonts w:cs="Arial"/>
                <w:color w:val="000000"/>
                <w:sz w:val="22"/>
                <w:szCs w:val="22"/>
              </w:rPr>
              <w:t> </w:t>
            </w:r>
          </w:p>
        </w:tc>
        <w:tc>
          <w:tcPr>
            <w:tcW w:w="386" w:type="pct"/>
            <w:tcBorders>
              <w:top w:val="nil"/>
              <w:left w:val="nil"/>
              <w:bottom w:val="single" w:sz="4" w:space="0" w:color="auto"/>
              <w:right w:val="single" w:sz="4" w:space="0" w:color="auto"/>
            </w:tcBorders>
            <w:shd w:val="clear" w:color="auto" w:fill="auto"/>
            <w:noWrap/>
            <w:vAlign w:val="center"/>
            <w:hideMark/>
          </w:tcPr>
          <w:p w14:paraId="3916E129" w14:textId="77777777" w:rsidR="00CE1BDB" w:rsidRPr="007F632C" w:rsidRDefault="00CE1BDB" w:rsidP="007F632C">
            <w:pPr>
              <w:jc w:val="right"/>
              <w:rPr>
                <w:rFonts w:cs="Arial"/>
                <w:color w:val="000000"/>
                <w:sz w:val="22"/>
                <w:szCs w:val="22"/>
              </w:rPr>
            </w:pPr>
            <w:r w:rsidRPr="007F632C">
              <w:rPr>
                <w:rFonts w:cs="Arial"/>
                <w:color w:val="000000"/>
                <w:sz w:val="22"/>
                <w:szCs w:val="22"/>
              </w:rPr>
              <w:t>12.2</w:t>
            </w:r>
          </w:p>
        </w:tc>
        <w:tc>
          <w:tcPr>
            <w:tcW w:w="387" w:type="pct"/>
            <w:tcBorders>
              <w:top w:val="nil"/>
              <w:left w:val="nil"/>
              <w:bottom w:val="single" w:sz="4" w:space="0" w:color="auto"/>
              <w:right w:val="single" w:sz="4" w:space="0" w:color="auto"/>
            </w:tcBorders>
            <w:shd w:val="clear" w:color="auto" w:fill="auto"/>
            <w:noWrap/>
            <w:vAlign w:val="center"/>
            <w:hideMark/>
          </w:tcPr>
          <w:p w14:paraId="3DC8AA5A" w14:textId="77777777" w:rsidR="00CE1BDB" w:rsidRPr="007F632C" w:rsidRDefault="00CE1BDB" w:rsidP="007F632C">
            <w:pPr>
              <w:jc w:val="right"/>
              <w:rPr>
                <w:rFonts w:cs="Arial"/>
                <w:color w:val="000000"/>
                <w:sz w:val="22"/>
                <w:szCs w:val="22"/>
              </w:rPr>
            </w:pPr>
            <w:r w:rsidRPr="007F632C">
              <w:rPr>
                <w:rFonts w:cs="Arial"/>
                <w:color w:val="000000"/>
                <w:sz w:val="22"/>
                <w:szCs w:val="22"/>
              </w:rPr>
              <w:t>0.0</w:t>
            </w:r>
          </w:p>
        </w:tc>
        <w:tc>
          <w:tcPr>
            <w:tcW w:w="465" w:type="pct"/>
            <w:tcBorders>
              <w:top w:val="nil"/>
              <w:left w:val="nil"/>
              <w:bottom w:val="single" w:sz="4" w:space="0" w:color="auto"/>
              <w:right w:val="single" w:sz="4" w:space="0" w:color="auto"/>
            </w:tcBorders>
            <w:shd w:val="clear" w:color="auto" w:fill="auto"/>
            <w:noWrap/>
            <w:vAlign w:val="center"/>
            <w:hideMark/>
          </w:tcPr>
          <w:p w14:paraId="563C0AF9"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587DC8D9" w14:textId="77777777" w:rsidR="00CE1BDB" w:rsidRPr="007F632C" w:rsidRDefault="00CE1BDB" w:rsidP="007F632C">
            <w:pPr>
              <w:jc w:val="right"/>
              <w:rPr>
                <w:rFonts w:cs="Arial"/>
                <w:color w:val="000000"/>
                <w:sz w:val="22"/>
                <w:szCs w:val="22"/>
              </w:rPr>
            </w:pPr>
            <w:r w:rsidRPr="007F632C">
              <w:rPr>
                <w:rFonts w:cs="Arial"/>
                <w:color w:val="000000"/>
                <w:sz w:val="22"/>
                <w:szCs w:val="22"/>
              </w:rPr>
              <w:t>123</w:t>
            </w:r>
          </w:p>
        </w:tc>
      </w:tr>
      <w:tr w:rsidR="007F632C" w:rsidRPr="007F632C" w14:paraId="0073078B" w14:textId="77777777" w:rsidTr="007F632C">
        <w:trPr>
          <w:trHeight w:val="320"/>
        </w:trPr>
        <w:tc>
          <w:tcPr>
            <w:tcW w:w="1619" w:type="pct"/>
            <w:tcBorders>
              <w:top w:val="nil"/>
              <w:left w:val="single" w:sz="4" w:space="0" w:color="auto"/>
              <w:bottom w:val="single" w:sz="4" w:space="0" w:color="auto"/>
              <w:right w:val="single" w:sz="4" w:space="0" w:color="auto"/>
            </w:tcBorders>
            <w:shd w:val="clear" w:color="auto" w:fill="auto"/>
            <w:noWrap/>
            <w:vAlign w:val="bottom"/>
            <w:hideMark/>
          </w:tcPr>
          <w:p w14:paraId="487B0993" w14:textId="77777777" w:rsidR="00CE1BDB" w:rsidRPr="007F632C" w:rsidRDefault="00CE1BDB" w:rsidP="00EF49A7">
            <w:pPr>
              <w:rPr>
                <w:rFonts w:cs="Arial"/>
                <w:b/>
                <w:bCs/>
                <w:color w:val="000000"/>
                <w:sz w:val="22"/>
                <w:szCs w:val="22"/>
              </w:rPr>
            </w:pPr>
            <w:r w:rsidRPr="007F632C">
              <w:rPr>
                <w:rFonts w:cs="Arial"/>
                <w:b/>
                <w:bCs/>
                <w:color w:val="000000"/>
                <w:sz w:val="22"/>
                <w:szCs w:val="22"/>
              </w:rPr>
              <w:t>Grand Total</w:t>
            </w:r>
          </w:p>
        </w:tc>
        <w:tc>
          <w:tcPr>
            <w:tcW w:w="540" w:type="pct"/>
            <w:tcBorders>
              <w:top w:val="nil"/>
              <w:left w:val="nil"/>
              <w:bottom w:val="single" w:sz="4" w:space="0" w:color="auto"/>
              <w:right w:val="single" w:sz="4" w:space="0" w:color="auto"/>
            </w:tcBorders>
            <w:shd w:val="clear" w:color="auto" w:fill="auto"/>
            <w:noWrap/>
            <w:vAlign w:val="center"/>
            <w:hideMark/>
          </w:tcPr>
          <w:p w14:paraId="332B2FD5" w14:textId="77777777" w:rsidR="00CE1BDB" w:rsidRPr="007F632C" w:rsidRDefault="00CE1BDB" w:rsidP="007F632C">
            <w:pPr>
              <w:jc w:val="right"/>
              <w:rPr>
                <w:rFonts w:cs="Arial"/>
                <w:color w:val="000000"/>
                <w:sz w:val="22"/>
                <w:szCs w:val="22"/>
              </w:rPr>
            </w:pPr>
            <w:r w:rsidRPr="007F632C">
              <w:rPr>
                <w:rFonts w:cs="Arial"/>
                <w:color w:val="000000"/>
                <w:sz w:val="22"/>
                <w:szCs w:val="22"/>
              </w:rPr>
              <w:t>20.5</w:t>
            </w:r>
          </w:p>
        </w:tc>
        <w:tc>
          <w:tcPr>
            <w:tcW w:w="464" w:type="pct"/>
            <w:tcBorders>
              <w:top w:val="nil"/>
              <w:left w:val="nil"/>
              <w:bottom w:val="single" w:sz="4" w:space="0" w:color="auto"/>
              <w:right w:val="single" w:sz="4" w:space="0" w:color="auto"/>
            </w:tcBorders>
            <w:shd w:val="clear" w:color="auto" w:fill="auto"/>
            <w:noWrap/>
            <w:vAlign w:val="center"/>
            <w:hideMark/>
          </w:tcPr>
          <w:p w14:paraId="1AD6D9A5" w14:textId="77777777" w:rsidR="00CE1BDB" w:rsidRPr="007F632C" w:rsidRDefault="00CE1BDB" w:rsidP="007F632C">
            <w:pPr>
              <w:jc w:val="right"/>
              <w:rPr>
                <w:rFonts w:cs="Arial"/>
                <w:color w:val="000000"/>
                <w:sz w:val="22"/>
                <w:szCs w:val="22"/>
              </w:rPr>
            </w:pPr>
            <w:r w:rsidRPr="007F632C">
              <w:rPr>
                <w:rFonts w:cs="Arial"/>
                <w:color w:val="000000"/>
                <w:sz w:val="22"/>
                <w:szCs w:val="22"/>
              </w:rPr>
              <w:t>30.2</w:t>
            </w:r>
          </w:p>
        </w:tc>
        <w:tc>
          <w:tcPr>
            <w:tcW w:w="386" w:type="pct"/>
            <w:tcBorders>
              <w:top w:val="nil"/>
              <w:left w:val="nil"/>
              <w:bottom w:val="single" w:sz="4" w:space="0" w:color="auto"/>
              <w:right w:val="single" w:sz="4" w:space="0" w:color="auto"/>
            </w:tcBorders>
            <w:shd w:val="clear" w:color="auto" w:fill="auto"/>
            <w:noWrap/>
            <w:vAlign w:val="center"/>
            <w:hideMark/>
          </w:tcPr>
          <w:p w14:paraId="3F684B8F" w14:textId="77777777" w:rsidR="00CE1BDB" w:rsidRPr="007F632C" w:rsidRDefault="00CE1BDB" w:rsidP="007F632C">
            <w:pPr>
              <w:jc w:val="right"/>
              <w:rPr>
                <w:rFonts w:cs="Arial"/>
                <w:color w:val="000000"/>
                <w:sz w:val="22"/>
                <w:szCs w:val="22"/>
              </w:rPr>
            </w:pPr>
            <w:r w:rsidRPr="007F632C">
              <w:rPr>
                <w:rFonts w:cs="Arial"/>
                <w:color w:val="000000"/>
                <w:sz w:val="22"/>
                <w:szCs w:val="22"/>
              </w:rPr>
              <w:t>28.4</w:t>
            </w:r>
          </w:p>
        </w:tc>
        <w:tc>
          <w:tcPr>
            <w:tcW w:w="308" w:type="pct"/>
            <w:tcBorders>
              <w:top w:val="nil"/>
              <w:left w:val="nil"/>
              <w:bottom w:val="single" w:sz="4" w:space="0" w:color="auto"/>
              <w:right w:val="single" w:sz="4" w:space="0" w:color="auto"/>
            </w:tcBorders>
            <w:shd w:val="clear" w:color="auto" w:fill="auto"/>
            <w:noWrap/>
            <w:vAlign w:val="center"/>
            <w:hideMark/>
          </w:tcPr>
          <w:p w14:paraId="1F2784C4" w14:textId="77777777" w:rsidR="00CE1BDB" w:rsidRPr="007F632C" w:rsidRDefault="00CE1BDB" w:rsidP="007F632C">
            <w:pPr>
              <w:jc w:val="right"/>
              <w:rPr>
                <w:rFonts w:cs="Arial"/>
                <w:color w:val="000000"/>
                <w:sz w:val="22"/>
                <w:szCs w:val="22"/>
              </w:rPr>
            </w:pPr>
            <w:r w:rsidRPr="007F632C">
              <w:rPr>
                <w:rFonts w:cs="Arial"/>
                <w:color w:val="000000"/>
                <w:sz w:val="22"/>
                <w:szCs w:val="22"/>
              </w:rPr>
              <w:t>6.7</w:t>
            </w:r>
          </w:p>
        </w:tc>
        <w:tc>
          <w:tcPr>
            <w:tcW w:w="386" w:type="pct"/>
            <w:tcBorders>
              <w:top w:val="nil"/>
              <w:left w:val="nil"/>
              <w:bottom w:val="single" w:sz="4" w:space="0" w:color="auto"/>
              <w:right w:val="single" w:sz="4" w:space="0" w:color="auto"/>
            </w:tcBorders>
            <w:shd w:val="clear" w:color="auto" w:fill="auto"/>
            <w:noWrap/>
            <w:vAlign w:val="center"/>
            <w:hideMark/>
          </w:tcPr>
          <w:p w14:paraId="4A1D288C" w14:textId="77777777" w:rsidR="00CE1BDB" w:rsidRPr="007F632C" w:rsidRDefault="00CE1BDB" w:rsidP="007F632C">
            <w:pPr>
              <w:jc w:val="right"/>
              <w:rPr>
                <w:rFonts w:cs="Arial"/>
                <w:color w:val="000000"/>
                <w:sz w:val="22"/>
                <w:szCs w:val="22"/>
              </w:rPr>
            </w:pPr>
            <w:r w:rsidRPr="007F632C">
              <w:rPr>
                <w:rFonts w:cs="Arial"/>
                <w:color w:val="000000"/>
                <w:sz w:val="22"/>
                <w:szCs w:val="22"/>
              </w:rPr>
              <w:t>10.1</w:t>
            </w:r>
          </w:p>
        </w:tc>
        <w:tc>
          <w:tcPr>
            <w:tcW w:w="387" w:type="pct"/>
            <w:tcBorders>
              <w:top w:val="nil"/>
              <w:left w:val="nil"/>
              <w:bottom w:val="single" w:sz="4" w:space="0" w:color="auto"/>
              <w:right w:val="single" w:sz="4" w:space="0" w:color="auto"/>
            </w:tcBorders>
            <w:shd w:val="clear" w:color="auto" w:fill="auto"/>
            <w:noWrap/>
            <w:vAlign w:val="center"/>
            <w:hideMark/>
          </w:tcPr>
          <w:p w14:paraId="5BA9586D" w14:textId="77777777" w:rsidR="00CE1BDB" w:rsidRPr="007F632C" w:rsidRDefault="00CE1BDB" w:rsidP="007F632C">
            <w:pPr>
              <w:jc w:val="right"/>
              <w:rPr>
                <w:rFonts w:cs="Arial"/>
                <w:color w:val="000000"/>
                <w:sz w:val="22"/>
                <w:szCs w:val="22"/>
              </w:rPr>
            </w:pPr>
            <w:r w:rsidRPr="007F632C">
              <w:rPr>
                <w:rFonts w:cs="Arial"/>
                <w:color w:val="000000"/>
                <w:sz w:val="22"/>
                <w:szCs w:val="22"/>
              </w:rPr>
              <w:t>4.0</w:t>
            </w:r>
          </w:p>
        </w:tc>
        <w:tc>
          <w:tcPr>
            <w:tcW w:w="465" w:type="pct"/>
            <w:tcBorders>
              <w:top w:val="nil"/>
              <w:left w:val="nil"/>
              <w:bottom w:val="single" w:sz="4" w:space="0" w:color="auto"/>
              <w:right w:val="single" w:sz="4" w:space="0" w:color="auto"/>
            </w:tcBorders>
            <w:shd w:val="clear" w:color="auto" w:fill="auto"/>
            <w:noWrap/>
            <w:vAlign w:val="center"/>
            <w:hideMark/>
          </w:tcPr>
          <w:p w14:paraId="0AB23813" w14:textId="77777777" w:rsidR="00CE1BDB" w:rsidRPr="007F632C" w:rsidRDefault="00CE1BDB" w:rsidP="007F632C">
            <w:pPr>
              <w:jc w:val="right"/>
              <w:rPr>
                <w:rFonts w:cs="Arial"/>
                <w:color w:val="000000"/>
                <w:sz w:val="22"/>
                <w:szCs w:val="22"/>
              </w:rPr>
            </w:pPr>
            <w:r w:rsidRPr="007F632C">
              <w:rPr>
                <w:rFonts w:cs="Arial"/>
                <w:color w:val="000000"/>
                <w:sz w:val="22"/>
                <w:szCs w:val="22"/>
              </w:rPr>
              <w:t>100.0</w:t>
            </w:r>
          </w:p>
        </w:tc>
        <w:tc>
          <w:tcPr>
            <w:tcW w:w="445" w:type="pct"/>
            <w:tcBorders>
              <w:top w:val="nil"/>
              <w:left w:val="nil"/>
              <w:bottom w:val="single" w:sz="4" w:space="0" w:color="auto"/>
              <w:right w:val="single" w:sz="4" w:space="0" w:color="auto"/>
            </w:tcBorders>
            <w:shd w:val="clear" w:color="auto" w:fill="auto"/>
            <w:noWrap/>
            <w:vAlign w:val="center"/>
            <w:hideMark/>
          </w:tcPr>
          <w:p w14:paraId="721DE8A5" w14:textId="77777777" w:rsidR="00CE1BDB" w:rsidRPr="007F632C" w:rsidRDefault="00CE1BDB" w:rsidP="007F632C">
            <w:pPr>
              <w:jc w:val="right"/>
              <w:rPr>
                <w:rFonts w:cs="Arial"/>
                <w:color w:val="000000"/>
                <w:sz w:val="22"/>
                <w:szCs w:val="22"/>
              </w:rPr>
            </w:pPr>
            <w:r w:rsidRPr="007F632C">
              <w:rPr>
                <w:rFonts w:cs="Arial"/>
                <w:color w:val="000000"/>
                <w:sz w:val="22"/>
                <w:szCs w:val="22"/>
              </w:rPr>
              <w:t>7,489</w:t>
            </w:r>
          </w:p>
        </w:tc>
      </w:tr>
    </w:tbl>
    <w:p w14:paraId="57F50DE0" w14:textId="77777777" w:rsidR="00CE1BDB" w:rsidRPr="00FA4DC7" w:rsidRDefault="00CE1BDB" w:rsidP="00CE1BDB">
      <w:pPr>
        <w:pStyle w:val="Maintext"/>
        <w:numPr>
          <w:ilvl w:val="0"/>
          <w:numId w:val="0"/>
        </w:numPr>
        <w:rPr>
          <w:rFonts w:ascii="Arial" w:hAnsi="Arial" w:cs="Arial"/>
        </w:rPr>
      </w:pPr>
      <w:r w:rsidRPr="00FA4DC7">
        <w:rPr>
          <w:rFonts w:ascii="Arial" w:hAnsi="Arial" w:cs="Arial"/>
        </w:rPr>
        <w:t xml:space="preserve">Source: Housing Register. </w:t>
      </w:r>
    </w:p>
    <w:p w14:paraId="6F2234EC" w14:textId="77777777" w:rsidR="00CE1BDB" w:rsidRPr="00FA4DC7" w:rsidRDefault="00CE1BDB" w:rsidP="00CE1BDB">
      <w:pPr>
        <w:pStyle w:val="Maintext"/>
        <w:numPr>
          <w:ilvl w:val="0"/>
          <w:numId w:val="0"/>
        </w:numPr>
        <w:rPr>
          <w:rFonts w:ascii="Arial" w:hAnsi="Arial" w:cs="Arial"/>
        </w:rPr>
      </w:pPr>
      <w:r w:rsidRPr="00FA4DC7">
        <w:rPr>
          <w:rFonts w:ascii="Arial" w:hAnsi="Arial" w:cs="Arial"/>
        </w:rPr>
        <w:t xml:space="preserve">Notes: </w:t>
      </w:r>
    </w:p>
    <w:p w14:paraId="0E553248" w14:textId="77777777" w:rsidR="00CE1BDB" w:rsidRPr="00FA4DC7" w:rsidRDefault="00CE1BDB" w:rsidP="00CE1BDB">
      <w:pPr>
        <w:pStyle w:val="Maintext"/>
        <w:numPr>
          <w:ilvl w:val="0"/>
          <w:numId w:val="0"/>
        </w:numPr>
        <w:rPr>
          <w:rFonts w:ascii="Arial" w:hAnsi="Arial" w:cs="Arial"/>
        </w:rPr>
      </w:pPr>
      <w:r w:rsidRPr="00FA4DC7">
        <w:rPr>
          <w:rFonts w:ascii="Arial" w:hAnsi="Arial" w:cs="Arial"/>
        </w:rPr>
        <w:t>Applicants can state multiple location options and the base figures reflect this</w:t>
      </w:r>
    </w:p>
    <w:tbl>
      <w:tblPr>
        <w:tblStyle w:val="TableGrid"/>
        <w:tblW w:w="0" w:type="auto"/>
        <w:tblLook w:val="04A0" w:firstRow="1" w:lastRow="0" w:firstColumn="1" w:lastColumn="0" w:noHBand="0" w:noVBand="1"/>
      </w:tblPr>
      <w:tblGrid>
        <w:gridCol w:w="846"/>
        <w:gridCol w:w="8164"/>
      </w:tblGrid>
      <w:tr w:rsidR="00CE1BDB" w:rsidRPr="00FA4DC7" w14:paraId="4E28236A" w14:textId="77777777" w:rsidTr="00EF49A7">
        <w:tc>
          <w:tcPr>
            <w:tcW w:w="846" w:type="dxa"/>
          </w:tcPr>
          <w:tbl>
            <w:tblPr>
              <w:tblW w:w="562" w:type="dxa"/>
              <w:tblLook w:val="04A0" w:firstRow="1" w:lastRow="0" w:firstColumn="1" w:lastColumn="0" w:noHBand="0" w:noVBand="1"/>
            </w:tblPr>
            <w:tblGrid>
              <w:gridCol w:w="562"/>
            </w:tblGrid>
            <w:tr w:rsidR="00CE1BDB" w:rsidRPr="00FA4DC7" w14:paraId="630CCEE7" w14:textId="77777777" w:rsidTr="00EF49A7">
              <w:trPr>
                <w:trHeight w:val="320"/>
              </w:trPr>
              <w:tc>
                <w:tcPr>
                  <w:tcW w:w="562" w:type="dxa"/>
                  <w:shd w:val="clear" w:color="000000" w:fill="FFF2CC"/>
                  <w:noWrap/>
                  <w:vAlign w:val="bottom"/>
                  <w:hideMark/>
                </w:tcPr>
                <w:p w14:paraId="7576A109" w14:textId="77777777" w:rsidR="00CE1BDB" w:rsidRPr="00FA4DC7" w:rsidRDefault="00CE1BDB" w:rsidP="00EF49A7">
                  <w:pPr>
                    <w:spacing w:before="120" w:after="120"/>
                    <w:jc w:val="both"/>
                    <w:rPr>
                      <w:rFonts w:cs="Arial"/>
                      <w:color w:val="000000"/>
                      <w:sz w:val="22"/>
                      <w:szCs w:val="22"/>
                    </w:rPr>
                  </w:pPr>
                  <w:r w:rsidRPr="00FA4DC7">
                    <w:rPr>
                      <w:rFonts w:cs="Arial"/>
                      <w:color w:val="000000"/>
                      <w:sz w:val="22"/>
                      <w:szCs w:val="22"/>
                    </w:rPr>
                    <w:t> </w:t>
                  </w:r>
                </w:p>
              </w:tc>
            </w:tr>
          </w:tbl>
          <w:p w14:paraId="7D6A5ED6" w14:textId="77777777" w:rsidR="00CE1BDB" w:rsidRPr="00FA4DC7" w:rsidRDefault="00CE1BDB" w:rsidP="00EF49A7">
            <w:pPr>
              <w:jc w:val="both"/>
              <w:rPr>
                <w:rFonts w:cs="Arial"/>
                <w:color w:val="000000"/>
                <w:sz w:val="22"/>
                <w:szCs w:val="22"/>
              </w:rPr>
            </w:pPr>
          </w:p>
        </w:tc>
        <w:tc>
          <w:tcPr>
            <w:tcW w:w="8164" w:type="dxa"/>
          </w:tcPr>
          <w:p w14:paraId="74C53FA9" w14:textId="77777777" w:rsidR="00CE1BDB" w:rsidRPr="00FA4DC7" w:rsidRDefault="00CE1BDB" w:rsidP="00EF49A7">
            <w:pPr>
              <w:pStyle w:val="Maintext"/>
              <w:numPr>
                <w:ilvl w:val="0"/>
                <w:numId w:val="0"/>
              </w:numPr>
              <w:rPr>
                <w:rFonts w:ascii="Arial" w:hAnsi="Arial" w:cs="Arial"/>
                <w:highlight w:val="yellow"/>
              </w:rPr>
            </w:pPr>
            <w:r w:rsidRPr="00FA4DC7">
              <w:rPr>
                <w:rFonts w:ascii="Arial" w:hAnsi="Arial" w:cs="Arial"/>
              </w:rPr>
              <w:t>Indicates redacted data</w:t>
            </w:r>
          </w:p>
        </w:tc>
      </w:tr>
    </w:tbl>
    <w:p w14:paraId="74E37E6F" w14:textId="77777777" w:rsidR="00CE1BDB" w:rsidRPr="00FA4DC7" w:rsidRDefault="00CE1BDB" w:rsidP="00CE1BDB">
      <w:pPr>
        <w:pStyle w:val="Maintext"/>
        <w:numPr>
          <w:ilvl w:val="0"/>
          <w:numId w:val="0"/>
        </w:numPr>
        <w:rPr>
          <w:rFonts w:ascii="Arial" w:hAnsi="Arial" w:cs="Arial"/>
          <w:highlight w:val="yellow"/>
        </w:rPr>
      </w:pPr>
    </w:p>
    <w:p w14:paraId="15AF0AB9" w14:textId="77777777" w:rsidR="00CE1BDB" w:rsidRPr="00FA4DC7" w:rsidRDefault="00CE1BDB" w:rsidP="00CE1BDB">
      <w:pPr>
        <w:pStyle w:val="Heading3"/>
        <w:shd w:val="clear" w:color="auto" w:fill="FFFFFF" w:themeFill="background1"/>
        <w:rPr>
          <w:rFonts w:cs="Arial"/>
        </w:rPr>
      </w:pPr>
      <w:r w:rsidRPr="00FA4DC7">
        <w:rPr>
          <w:rFonts w:cs="Arial"/>
        </w:rPr>
        <w:t>Comparison of current housing stock and current/future needs</w:t>
      </w:r>
    </w:p>
    <w:p w14:paraId="773B2216" w14:textId="77777777" w:rsidR="00CE1BDB" w:rsidRPr="00FA4DC7" w:rsidRDefault="00CE1BDB" w:rsidP="00CE1BDB">
      <w:pPr>
        <w:pStyle w:val="Maintext"/>
        <w:numPr>
          <w:ilvl w:val="0"/>
          <w:numId w:val="0"/>
        </w:numPr>
        <w:ind w:left="709"/>
        <w:rPr>
          <w:rFonts w:ascii="Arial" w:hAnsi="Arial" w:cs="Arial"/>
        </w:rPr>
      </w:pPr>
      <w:r w:rsidRPr="00FA4DC7">
        <w:rPr>
          <w:rFonts w:ascii="Arial" w:hAnsi="Arial" w:cs="Arial"/>
        </w:rPr>
        <w:t>PPG states that ‘strategic policy-making authorities will need to look at the current stock of houses of different sizes and assess whether these match current and future need (</w:t>
      </w:r>
      <w:r w:rsidRPr="00FA4DC7">
        <w:rPr>
          <w:rFonts w:ascii="Arial" w:hAnsi="Arial" w:cs="Arial"/>
          <w:lang w:val="en-US"/>
        </w:rPr>
        <w:t>PPG Paragraph 023 Reference ID: 2a-023-20190220).</w:t>
      </w:r>
      <w:r w:rsidRPr="00FA4DC7">
        <w:rPr>
          <w:rFonts w:ascii="Arial" w:hAnsi="Arial" w:cs="Arial"/>
        </w:rPr>
        <w:t xml:space="preserve"> Table C9 sets out this comparison and shows there is a particular shortfall of </w:t>
      </w:r>
      <w:proofErr w:type="gramStart"/>
      <w:r w:rsidRPr="00FA4DC7">
        <w:rPr>
          <w:rFonts w:ascii="Arial" w:hAnsi="Arial" w:cs="Arial"/>
        </w:rPr>
        <w:t>4 or more bedroom</w:t>
      </w:r>
      <w:proofErr w:type="gramEnd"/>
      <w:r w:rsidRPr="00FA4DC7">
        <w:rPr>
          <w:rFonts w:ascii="Arial" w:hAnsi="Arial" w:cs="Arial"/>
        </w:rPr>
        <w:t xml:space="preserve"> affordable dwellings. </w:t>
      </w:r>
    </w:p>
    <w:p w14:paraId="32979FC0" w14:textId="77777777" w:rsidR="00CE1BDB" w:rsidRPr="00FA4DC7" w:rsidRDefault="00CE1BDB" w:rsidP="00CE1BDB">
      <w:pPr>
        <w:pStyle w:val="Maintext"/>
        <w:numPr>
          <w:ilvl w:val="0"/>
          <w:numId w:val="0"/>
        </w:numPr>
        <w:ind w:left="709"/>
        <w:rPr>
          <w:rFonts w:ascii="Arial" w:hAnsi="Arial" w:cs="Arial"/>
          <w:highlight w:val="yellow"/>
        </w:rPr>
      </w:pPr>
    </w:p>
    <w:tbl>
      <w:tblPr>
        <w:tblStyle w:val="TableGrid"/>
        <w:tblW w:w="5000" w:type="pct"/>
        <w:tblLook w:val="04A0" w:firstRow="1" w:lastRow="0" w:firstColumn="1" w:lastColumn="0" w:noHBand="0" w:noVBand="1"/>
      </w:tblPr>
      <w:tblGrid>
        <w:gridCol w:w="2306"/>
        <w:gridCol w:w="2455"/>
        <w:gridCol w:w="2888"/>
        <w:gridCol w:w="1531"/>
      </w:tblGrid>
      <w:tr w:rsidR="00CE1BDB" w:rsidRPr="007F632C" w14:paraId="72424167" w14:textId="77777777" w:rsidTr="007F632C">
        <w:trPr>
          <w:cantSplit/>
        </w:trPr>
        <w:tc>
          <w:tcPr>
            <w:tcW w:w="5000" w:type="pct"/>
            <w:gridSpan w:val="4"/>
            <w:shd w:val="clear" w:color="auto" w:fill="006666"/>
            <w:vAlign w:val="center"/>
          </w:tcPr>
          <w:p w14:paraId="7DD86908" w14:textId="77777777" w:rsidR="00CE1BDB" w:rsidRPr="007F632C" w:rsidRDefault="00CE1BDB" w:rsidP="00EF49A7">
            <w:pPr>
              <w:pStyle w:val="Tableheading1"/>
              <w:rPr>
                <w:rFonts w:cs="Arial"/>
                <w:szCs w:val="22"/>
              </w:rPr>
            </w:pPr>
            <w:bookmarkStart w:id="580" w:name="_Toc29556059"/>
            <w:bookmarkStart w:id="581" w:name="_Toc46778477"/>
            <w:bookmarkStart w:id="582" w:name="_Toc56502898"/>
            <w:bookmarkStart w:id="583" w:name="_Toc59205112"/>
            <w:bookmarkStart w:id="584" w:name="_Toc83036130"/>
            <w:r w:rsidRPr="007F632C">
              <w:rPr>
                <w:rFonts w:cs="Arial"/>
                <w:szCs w:val="22"/>
              </w:rPr>
              <w:t>Table C9</w:t>
            </w:r>
            <w:r w:rsidRPr="007F632C">
              <w:rPr>
                <w:rFonts w:cs="Arial"/>
                <w:szCs w:val="22"/>
              </w:rPr>
              <w:tab/>
              <w:t>Comparison between current supply and annual gross need</w:t>
            </w:r>
            <w:bookmarkEnd w:id="580"/>
            <w:bookmarkEnd w:id="581"/>
            <w:bookmarkEnd w:id="582"/>
            <w:bookmarkEnd w:id="583"/>
            <w:bookmarkEnd w:id="584"/>
          </w:p>
        </w:tc>
      </w:tr>
      <w:tr w:rsidR="00CE1BDB" w:rsidRPr="007F632C" w14:paraId="2ED3DB7E" w14:textId="77777777" w:rsidTr="007F632C">
        <w:trPr>
          <w:cantSplit/>
        </w:trPr>
        <w:tc>
          <w:tcPr>
            <w:tcW w:w="1256" w:type="pct"/>
            <w:shd w:val="clear" w:color="auto" w:fill="006666"/>
            <w:vAlign w:val="bottom"/>
          </w:tcPr>
          <w:p w14:paraId="72D40307" w14:textId="77777777" w:rsidR="00CE1BDB" w:rsidRPr="007F632C" w:rsidRDefault="00CE1BDB" w:rsidP="00EF49A7">
            <w:pPr>
              <w:tabs>
                <w:tab w:val="left" w:pos="0"/>
                <w:tab w:val="left" w:pos="709"/>
                <w:tab w:val="left" w:pos="1418"/>
              </w:tabs>
              <w:spacing w:before="0" w:after="0"/>
              <w:rPr>
                <w:rFonts w:cs="Arial"/>
                <w:b/>
                <w:sz w:val="22"/>
                <w:szCs w:val="22"/>
              </w:rPr>
            </w:pPr>
            <w:r w:rsidRPr="007F632C">
              <w:rPr>
                <w:rFonts w:cs="Arial"/>
                <w:b/>
                <w:color w:val="FFFFFF" w:themeColor="background1"/>
                <w:sz w:val="22"/>
                <w:szCs w:val="22"/>
              </w:rPr>
              <w:t>Number of bedrooms</w:t>
            </w:r>
          </w:p>
        </w:tc>
        <w:tc>
          <w:tcPr>
            <w:tcW w:w="1337" w:type="pct"/>
            <w:shd w:val="clear" w:color="auto" w:fill="006666"/>
            <w:vAlign w:val="bottom"/>
          </w:tcPr>
          <w:p w14:paraId="4A851210" w14:textId="77777777" w:rsidR="00CE1BDB" w:rsidRPr="007F632C" w:rsidRDefault="00CE1BDB" w:rsidP="00EF49A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p>
          <w:p w14:paraId="6E12C6A7" w14:textId="77777777" w:rsidR="00CE1BDB" w:rsidRPr="007F632C" w:rsidRDefault="00CE1BDB" w:rsidP="00EF49A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r w:rsidRPr="007F632C">
              <w:rPr>
                <w:rFonts w:ascii="Arial" w:hAnsi="Arial" w:cs="Arial"/>
                <w:b/>
                <w:color w:val="FFFFFF" w:themeColor="background1"/>
                <w:sz w:val="22"/>
                <w:szCs w:val="22"/>
              </w:rPr>
              <w:t>Current supply %</w:t>
            </w:r>
          </w:p>
        </w:tc>
        <w:tc>
          <w:tcPr>
            <w:tcW w:w="1573" w:type="pct"/>
            <w:shd w:val="clear" w:color="auto" w:fill="006666"/>
            <w:vAlign w:val="bottom"/>
          </w:tcPr>
          <w:p w14:paraId="615BE283" w14:textId="77777777" w:rsidR="00CE1BDB" w:rsidRPr="007F632C" w:rsidRDefault="00CE1BDB" w:rsidP="00EF49A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r w:rsidRPr="007F632C">
              <w:rPr>
                <w:rFonts w:ascii="Arial" w:hAnsi="Arial" w:cs="Arial"/>
                <w:b/>
                <w:color w:val="FFFFFF" w:themeColor="background1"/>
                <w:sz w:val="22"/>
                <w:szCs w:val="22"/>
              </w:rPr>
              <w:t>Annual gross need %</w:t>
            </w:r>
          </w:p>
        </w:tc>
        <w:tc>
          <w:tcPr>
            <w:tcW w:w="834" w:type="pct"/>
            <w:shd w:val="clear" w:color="auto" w:fill="006666"/>
            <w:vAlign w:val="bottom"/>
          </w:tcPr>
          <w:p w14:paraId="1D0DA085" w14:textId="77777777" w:rsidR="00CE1BDB" w:rsidRPr="007F632C" w:rsidRDefault="00CE1BDB" w:rsidP="00EF49A7">
            <w:pPr>
              <w:pStyle w:val="Maintext"/>
              <w:numPr>
                <w:ilvl w:val="0"/>
                <w:numId w:val="0"/>
              </w:numPr>
              <w:tabs>
                <w:tab w:val="left" w:pos="0"/>
                <w:tab w:val="left" w:pos="709"/>
                <w:tab w:val="left" w:pos="1418"/>
              </w:tabs>
              <w:spacing w:before="0" w:after="0"/>
              <w:jc w:val="center"/>
              <w:rPr>
                <w:rFonts w:ascii="Arial" w:hAnsi="Arial" w:cs="Arial"/>
                <w:b/>
                <w:color w:val="FFFFFF" w:themeColor="background1"/>
                <w:sz w:val="22"/>
                <w:szCs w:val="22"/>
              </w:rPr>
            </w:pPr>
            <w:r w:rsidRPr="007F632C">
              <w:rPr>
                <w:rFonts w:ascii="Arial" w:hAnsi="Arial" w:cs="Arial"/>
                <w:b/>
                <w:color w:val="FFFFFF" w:themeColor="background1"/>
                <w:sz w:val="22"/>
                <w:szCs w:val="22"/>
              </w:rPr>
              <w:t>Variance %</w:t>
            </w:r>
          </w:p>
        </w:tc>
      </w:tr>
      <w:tr w:rsidR="00CE1BDB" w:rsidRPr="007F632C" w14:paraId="7DB516D8" w14:textId="77777777" w:rsidTr="007F632C">
        <w:trPr>
          <w:cantSplit/>
        </w:trPr>
        <w:tc>
          <w:tcPr>
            <w:tcW w:w="1256" w:type="pct"/>
            <w:vAlign w:val="center"/>
          </w:tcPr>
          <w:p w14:paraId="10984E10" w14:textId="77777777" w:rsidR="00CE1BDB" w:rsidRPr="007F632C" w:rsidRDefault="00CE1BDB" w:rsidP="00EF49A7">
            <w:pPr>
              <w:pStyle w:val="Maintext"/>
              <w:numPr>
                <w:ilvl w:val="0"/>
                <w:numId w:val="0"/>
              </w:numPr>
              <w:tabs>
                <w:tab w:val="left" w:pos="0"/>
                <w:tab w:val="left" w:pos="709"/>
                <w:tab w:val="left" w:pos="1418"/>
              </w:tabs>
              <w:spacing w:before="0" w:after="0"/>
              <w:rPr>
                <w:rFonts w:ascii="Arial" w:hAnsi="Arial" w:cs="Arial"/>
                <w:sz w:val="22"/>
                <w:szCs w:val="22"/>
              </w:rPr>
            </w:pPr>
            <w:r w:rsidRPr="007F632C">
              <w:rPr>
                <w:rFonts w:ascii="Arial" w:hAnsi="Arial" w:cs="Arial"/>
                <w:color w:val="000000"/>
                <w:sz w:val="22"/>
                <w:szCs w:val="22"/>
              </w:rPr>
              <w:t>1-bedroom</w:t>
            </w:r>
          </w:p>
        </w:tc>
        <w:tc>
          <w:tcPr>
            <w:tcW w:w="1337" w:type="pct"/>
            <w:vAlign w:val="bottom"/>
          </w:tcPr>
          <w:p w14:paraId="3DF774C2"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30.8</w:t>
            </w:r>
          </w:p>
        </w:tc>
        <w:tc>
          <w:tcPr>
            <w:tcW w:w="1573" w:type="pct"/>
            <w:vAlign w:val="bottom"/>
          </w:tcPr>
          <w:p w14:paraId="5947121D"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20.5</w:t>
            </w:r>
          </w:p>
        </w:tc>
        <w:tc>
          <w:tcPr>
            <w:tcW w:w="834" w:type="pct"/>
            <w:vAlign w:val="bottom"/>
          </w:tcPr>
          <w:p w14:paraId="168EC1FF"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10.3</w:t>
            </w:r>
          </w:p>
        </w:tc>
      </w:tr>
      <w:tr w:rsidR="00CE1BDB" w:rsidRPr="007F632C" w14:paraId="45C5B934" w14:textId="77777777" w:rsidTr="007F632C">
        <w:trPr>
          <w:cantSplit/>
        </w:trPr>
        <w:tc>
          <w:tcPr>
            <w:tcW w:w="1256" w:type="pct"/>
            <w:vAlign w:val="center"/>
          </w:tcPr>
          <w:p w14:paraId="273A5A0D" w14:textId="77777777" w:rsidR="00CE1BDB" w:rsidRPr="007F632C" w:rsidRDefault="00CE1BDB" w:rsidP="00EF49A7">
            <w:pPr>
              <w:pStyle w:val="Maintext"/>
              <w:numPr>
                <w:ilvl w:val="0"/>
                <w:numId w:val="0"/>
              </w:numPr>
              <w:tabs>
                <w:tab w:val="left" w:pos="0"/>
                <w:tab w:val="left" w:pos="709"/>
                <w:tab w:val="left" w:pos="1418"/>
              </w:tabs>
              <w:spacing w:before="0" w:after="0"/>
              <w:rPr>
                <w:rFonts w:ascii="Arial" w:hAnsi="Arial" w:cs="Arial"/>
                <w:sz w:val="22"/>
                <w:szCs w:val="22"/>
              </w:rPr>
            </w:pPr>
            <w:r w:rsidRPr="007F632C">
              <w:rPr>
                <w:rFonts w:ascii="Arial" w:hAnsi="Arial" w:cs="Arial"/>
                <w:color w:val="000000"/>
                <w:sz w:val="22"/>
                <w:szCs w:val="22"/>
              </w:rPr>
              <w:t>2-bedroom</w:t>
            </w:r>
          </w:p>
        </w:tc>
        <w:tc>
          <w:tcPr>
            <w:tcW w:w="1337" w:type="pct"/>
            <w:vAlign w:val="bottom"/>
          </w:tcPr>
          <w:p w14:paraId="049D68B0"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34.7</w:t>
            </w:r>
          </w:p>
        </w:tc>
        <w:tc>
          <w:tcPr>
            <w:tcW w:w="1573" w:type="pct"/>
            <w:vAlign w:val="bottom"/>
          </w:tcPr>
          <w:p w14:paraId="25C5D1C0"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30.2</w:t>
            </w:r>
          </w:p>
        </w:tc>
        <w:tc>
          <w:tcPr>
            <w:tcW w:w="834" w:type="pct"/>
            <w:vAlign w:val="bottom"/>
          </w:tcPr>
          <w:p w14:paraId="310C73DD"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4.4</w:t>
            </w:r>
          </w:p>
        </w:tc>
      </w:tr>
      <w:tr w:rsidR="00CE1BDB" w:rsidRPr="007F632C" w14:paraId="5DFAC005" w14:textId="77777777" w:rsidTr="007F632C">
        <w:trPr>
          <w:cantSplit/>
        </w:trPr>
        <w:tc>
          <w:tcPr>
            <w:tcW w:w="1256" w:type="pct"/>
            <w:vAlign w:val="center"/>
          </w:tcPr>
          <w:p w14:paraId="4D5EEA83" w14:textId="77777777" w:rsidR="00CE1BDB" w:rsidRPr="007F632C" w:rsidRDefault="00CE1BDB" w:rsidP="00EF49A7">
            <w:pPr>
              <w:pStyle w:val="Maintext"/>
              <w:numPr>
                <w:ilvl w:val="0"/>
                <w:numId w:val="0"/>
              </w:numPr>
              <w:tabs>
                <w:tab w:val="left" w:pos="0"/>
                <w:tab w:val="left" w:pos="709"/>
                <w:tab w:val="left" w:pos="1418"/>
              </w:tabs>
              <w:spacing w:before="0" w:after="0"/>
              <w:rPr>
                <w:rFonts w:ascii="Arial" w:hAnsi="Arial" w:cs="Arial"/>
                <w:sz w:val="22"/>
                <w:szCs w:val="22"/>
              </w:rPr>
            </w:pPr>
            <w:r w:rsidRPr="007F632C">
              <w:rPr>
                <w:rFonts w:ascii="Arial" w:hAnsi="Arial" w:cs="Arial"/>
                <w:color w:val="000000"/>
                <w:sz w:val="22"/>
                <w:szCs w:val="22"/>
              </w:rPr>
              <w:t>3-bedroom</w:t>
            </w:r>
          </w:p>
        </w:tc>
        <w:tc>
          <w:tcPr>
            <w:tcW w:w="1337" w:type="pct"/>
            <w:vAlign w:val="bottom"/>
          </w:tcPr>
          <w:p w14:paraId="4D578FA3"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30.3</w:t>
            </w:r>
          </w:p>
        </w:tc>
        <w:tc>
          <w:tcPr>
            <w:tcW w:w="1573" w:type="pct"/>
            <w:vAlign w:val="bottom"/>
          </w:tcPr>
          <w:p w14:paraId="332E3735"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28.4</w:t>
            </w:r>
          </w:p>
        </w:tc>
        <w:tc>
          <w:tcPr>
            <w:tcW w:w="834" w:type="pct"/>
            <w:vAlign w:val="bottom"/>
          </w:tcPr>
          <w:p w14:paraId="0F08C1AD"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1.9</w:t>
            </w:r>
          </w:p>
        </w:tc>
      </w:tr>
      <w:tr w:rsidR="00CE1BDB" w:rsidRPr="007F632C" w14:paraId="5F98015E" w14:textId="77777777" w:rsidTr="007F632C">
        <w:trPr>
          <w:cantSplit/>
        </w:trPr>
        <w:tc>
          <w:tcPr>
            <w:tcW w:w="1256" w:type="pct"/>
            <w:vAlign w:val="center"/>
          </w:tcPr>
          <w:p w14:paraId="77A5662A" w14:textId="77777777" w:rsidR="00CE1BDB" w:rsidRPr="007F632C" w:rsidRDefault="00CE1BDB" w:rsidP="00EF49A7">
            <w:pPr>
              <w:pStyle w:val="Maintext"/>
              <w:numPr>
                <w:ilvl w:val="0"/>
                <w:numId w:val="0"/>
              </w:numPr>
              <w:tabs>
                <w:tab w:val="left" w:pos="0"/>
                <w:tab w:val="left" w:pos="709"/>
                <w:tab w:val="left" w:pos="1418"/>
              </w:tabs>
              <w:spacing w:before="0" w:after="0"/>
              <w:rPr>
                <w:rFonts w:ascii="Arial" w:hAnsi="Arial" w:cs="Arial"/>
                <w:sz w:val="22"/>
                <w:szCs w:val="22"/>
              </w:rPr>
            </w:pPr>
            <w:r w:rsidRPr="007F632C">
              <w:rPr>
                <w:rFonts w:ascii="Arial" w:hAnsi="Arial" w:cs="Arial"/>
                <w:color w:val="000000"/>
                <w:sz w:val="22"/>
                <w:szCs w:val="22"/>
              </w:rPr>
              <w:t>4 or more -bedroom</w:t>
            </w:r>
          </w:p>
        </w:tc>
        <w:tc>
          <w:tcPr>
            <w:tcW w:w="1337" w:type="pct"/>
            <w:vAlign w:val="bottom"/>
          </w:tcPr>
          <w:p w14:paraId="1F4D5E1C"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4.3</w:t>
            </w:r>
          </w:p>
        </w:tc>
        <w:tc>
          <w:tcPr>
            <w:tcW w:w="1573" w:type="pct"/>
            <w:vAlign w:val="bottom"/>
          </w:tcPr>
          <w:p w14:paraId="76200D98"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20.9</w:t>
            </w:r>
          </w:p>
        </w:tc>
        <w:tc>
          <w:tcPr>
            <w:tcW w:w="834" w:type="pct"/>
            <w:vAlign w:val="bottom"/>
          </w:tcPr>
          <w:p w14:paraId="46B66D9D"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-16.6</w:t>
            </w:r>
          </w:p>
        </w:tc>
      </w:tr>
      <w:tr w:rsidR="00CE1BDB" w:rsidRPr="007F632C" w14:paraId="13C48F7A" w14:textId="77777777" w:rsidTr="007F632C">
        <w:trPr>
          <w:gridAfter w:val="1"/>
          <w:wAfter w:w="834" w:type="pct"/>
          <w:cantSplit/>
        </w:trPr>
        <w:tc>
          <w:tcPr>
            <w:tcW w:w="1256" w:type="pct"/>
            <w:vAlign w:val="center"/>
          </w:tcPr>
          <w:p w14:paraId="65794B1D" w14:textId="77777777" w:rsidR="00CE1BDB" w:rsidRPr="007F632C" w:rsidRDefault="00CE1BDB" w:rsidP="00EF49A7">
            <w:pPr>
              <w:pStyle w:val="Maintext"/>
              <w:numPr>
                <w:ilvl w:val="0"/>
                <w:numId w:val="0"/>
              </w:numPr>
              <w:tabs>
                <w:tab w:val="left" w:pos="0"/>
                <w:tab w:val="left" w:pos="709"/>
                <w:tab w:val="left" w:pos="1418"/>
              </w:tabs>
              <w:spacing w:before="0" w:after="0"/>
              <w:rPr>
                <w:rFonts w:ascii="Arial" w:hAnsi="Arial" w:cs="Arial"/>
                <w:sz w:val="22"/>
                <w:szCs w:val="22"/>
              </w:rPr>
            </w:pPr>
            <w:r w:rsidRPr="007F632C">
              <w:rPr>
                <w:rFonts w:ascii="Arial" w:hAnsi="Arial" w:cs="Arial"/>
                <w:color w:val="000000"/>
                <w:sz w:val="22"/>
                <w:szCs w:val="22"/>
              </w:rPr>
              <w:t>Total</w:t>
            </w:r>
          </w:p>
        </w:tc>
        <w:tc>
          <w:tcPr>
            <w:tcW w:w="1337" w:type="pct"/>
            <w:vAlign w:val="bottom"/>
          </w:tcPr>
          <w:p w14:paraId="79437AD0"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100.0</w:t>
            </w:r>
          </w:p>
        </w:tc>
        <w:tc>
          <w:tcPr>
            <w:tcW w:w="1573" w:type="pct"/>
            <w:vAlign w:val="bottom"/>
          </w:tcPr>
          <w:p w14:paraId="2CCB7141" w14:textId="77777777" w:rsidR="00CE1BDB" w:rsidRPr="007F632C" w:rsidRDefault="00CE1BDB" w:rsidP="007F632C">
            <w:pPr>
              <w:spacing w:before="0" w:after="0"/>
              <w:jc w:val="right"/>
              <w:rPr>
                <w:rFonts w:cs="Arial"/>
                <w:color w:val="000000"/>
                <w:sz w:val="22"/>
                <w:szCs w:val="22"/>
              </w:rPr>
            </w:pPr>
            <w:r w:rsidRPr="007F632C">
              <w:rPr>
                <w:rFonts w:cs="Arial"/>
                <w:color w:val="000000"/>
                <w:sz w:val="22"/>
                <w:szCs w:val="22"/>
              </w:rPr>
              <w:t>100.0</w:t>
            </w:r>
          </w:p>
        </w:tc>
      </w:tr>
    </w:tbl>
    <w:p w14:paraId="76C0EC05" w14:textId="77777777" w:rsidR="00CE1BDB" w:rsidRPr="00FA4DC7" w:rsidRDefault="00CE1BDB" w:rsidP="00CE1BDB">
      <w:pPr>
        <w:ind w:firstLine="11"/>
        <w:rPr>
          <w:rFonts w:cs="Arial"/>
          <w:sz w:val="20"/>
          <w:szCs w:val="20"/>
        </w:rPr>
      </w:pPr>
      <w:r w:rsidRPr="00FA4DC7">
        <w:rPr>
          <w:rFonts w:cs="Arial"/>
          <w:sz w:val="20"/>
          <w:szCs w:val="20"/>
        </w:rPr>
        <w:t>Source: 2020 SDR; 2021 housing register</w:t>
      </w:r>
    </w:p>
    <w:p w14:paraId="622B7E91" w14:textId="77777777" w:rsidR="00CE1BDB" w:rsidRPr="00FA4DC7" w:rsidRDefault="00CE1BDB" w:rsidP="00CE1BDB">
      <w:pPr>
        <w:rPr>
          <w:rFonts w:cs="Arial"/>
          <w:highlight w:val="yellow"/>
          <w:lang w:eastAsia="en-US"/>
        </w:rPr>
      </w:pPr>
    </w:p>
    <w:p w14:paraId="39A3592B" w14:textId="77777777" w:rsidR="00CE1BDB" w:rsidRPr="00FA4DC7" w:rsidRDefault="00CE1BDB" w:rsidP="00CE1BDB">
      <w:pPr>
        <w:pStyle w:val="Heading3"/>
        <w:rPr>
          <w:rFonts w:cs="Arial"/>
        </w:rPr>
      </w:pPr>
      <w:r w:rsidRPr="00FA4DC7">
        <w:rPr>
          <w:rFonts w:cs="Arial"/>
        </w:rPr>
        <w:lastRenderedPageBreak/>
        <w:t xml:space="preserve">Tenure </w:t>
      </w:r>
      <w:proofErr w:type="gramStart"/>
      <w:r w:rsidRPr="00FA4DC7">
        <w:rPr>
          <w:rFonts w:cs="Arial"/>
        </w:rPr>
        <w:t>mix</w:t>
      </w:r>
      <w:proofErr w:type="gramEnd"/>
      <w:r w:rsidRPr="00FA4DC7">
        <w:rPr>
          <w:rFonts w:cs="Arial"/>
        </w:rPr>
        <w:t xml:space="preserve"> and First Homes</w:t>
      </w:r>
    </w:p>
    <w:p w14:paraId="4AA08DF4"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Analysis needs to consider the range of affordable tenures as set out in Annex 2 of the NPPF that may be appropriate for existing households in need and </w:t>
      </w:r>
      <w:proofErr w:type="gramStart"/>
      <w:r w:rsidRPr="00FA4DC7">
        <w:rPr>
          <w:rFonts w:ascii="Arial" w:hAnsi="Arial" w:cs="Arial"/>
        </w:rPr>
        <w:t>newly-forming</w:t>
      </w:r>
      <w:proofErr w:type="gramEnd"/>
      <w:r w:rsidRPr="00FA4DC7">
        <w:rPr>
          <w:rFonts w:ascii="Arial" w:hAnsi="Arial" w:cs="Arial"/>
        </w:rPr>
        <w:t xml:space="preserve"> households.</w:t>
      </w:r>
    </w:p>
    <w:p w14:paraId="0C72A07C"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For need arising from homeless households and those in temporary accommodation, it is assumed they all require social rented accommodation. For </w:t>
      </w:r>
      <w:proofErr w:type="gramStart"/>
      <w:r w:rsidRPr="00FA4DC7">
        <w:rPr>
          <w:rFonts w:ascii="Arial" w:hAnsi="Arial" w:cs="Arial"/>
        </w:rPr>
        <w:t>newly-forming</w:t>
      </w:r>
      <w:proofErr w:type="gramEnd"/>
      <w:r w:rsidRPr="00FA4DC7">
        <w:rPr>
          <w:rFonts w:ascii="Arial" w:hAnsi="Arial" w:cs="Arial"/>
        </w:rPr>
        <w:t xml:space="preserve"> households and existing households in need, a split between affordable rented and affordable home ownership should be considered. However, there is insufficient household income and savings data available from the housing register to complete this analysis. Therefore, CAMEO household income data has been used to establish the proportions of households who could afford social rent, affordable </w:t>
      </w:r>
      <w:proofErr w:type="gramStart"/>
      <w:r w:rsidRPr="00FA4DC7">
        <w:rPr>
          <w:rFonts w:ascii="Arial" w:hAnsi="Arial" w:cs="Arial"/>
        </w:rPr>
        <w:t>rent</w:t>
      </w:r>
      <w:proofErr w:type="gramEnd"/>
      <w:r w:rsidRPr="00FA4DC7">
        <w:rPr>
          <w:rFonts w:ascii="Arial" w:hAnsi="Arial" w:cs="Arial"/>
        </w:rPr>
        <w:t xml:space="preserve"> and affordable home ownership options.  </w:t>
      </w:r>
    </w:p>
    <w:p w14:paraId="24837C88" w14:textId="77777777" w:rsidR="00CE1BDB" w:rsidRPr="00FA4DC7" w:rsidRDefault="00CE1BDB" w:rsidP="00CE1BDB">
      <w:pPr>
        <w:pStyle w:val="Maintext"/>
        <w:numPr>
          <w:ilvl w:val="1"/>
          <w:numId w:val="36"/>
        </w:numPr>
        <w:rPr>
          <w:rFonts w:ascii="Arial" w:hAnsi="Arial" w:cs="Arial"/>
        </w:rPr>
      </w:pPr>
      <w:r w:rsidRPr="00FA4DC7">
        <w:rPr>
          <w:rFonts w:ascii="Arial" w:hAnsi="Arial" w:cs="Arial"/>
          <w:lang w:val="en-US"/>
        </w:rPr>
        <w:t xml:space="preserve">A minimum of 25% of all affordable housing units secured through developer contributions should be First Homes </w:t>
      </w:r>
      <w:r w:rsidRPr="00FA4DC7">
        <w:rPr>
          <w:rFonts w:ascii="Arial" w:hAnsi="Arial" w:cs="Arial"/>
          <w:b/>
          <w:bCs/>
          <w:lang w:val="en-US"/>
        </w:rPr>
        <w:t>(Paragraph 013 Reference ID: 70-013-20210425)</w:t>
      </w:r>
      <w:r w:rsidRPr="00FA4DC7">
        <w:rPr>
          <w:rFonts w:ascii="Arial" w:hAnsi="Arial" w:cs="Arial"/>
          <w:lang w:val="en-US"/>
        </w:rPr>
        <w:t xml:space="preserve">. Then, PPG says ‘once a minimum of 25% of First Homes has been accounted for, social rent should be delivered in the same percentage as set out in the Local Plan. The remainder of the affordable housing tenures should be delivered in line with the proportions set out in the Local Plan policy </w:t>
      </w:r>
      <w:r w:rsidRPr="00FA4DC7">
        <w:rPr>
          <w:rFonts w:ascii="Arial" w:hAnsi="Arial" w:cs="Arial"/>
          <w:b/>
          <w:bCs/>
          <w:lang w:val="en-US"/>
        </w:rPr>
        <w:t>(Paragraph 15 reference ID: 70-015-20210524).</w:t>
      </w:r>
      <w:r w:rsidRPr="00FA4DC7">
        <w:rPr>
          <w:rFonts w:ascii="Arial" w:hAnsi="Arial" w:cs="Arial"/>
        </w:rPr>
        <w:t xml:space="preserve"> </w:t>
      </w:r>
    </w:p>
    <w:p w14:paraId="634D2BD2"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 xml:space="preserve">This LHNA is providing evidence to support the preparation of the Local Plan and the proportion of rented and affordable home ownership are based on actual delivery over the past 3 years 2017/18 to 2019/20. This suggests a split of 60% rented and 40% affordable home ownership for the remainder of affordable housing delivery after first homes has been considered. Table C10 sets out the split between social and affordable rented based on local household incomes. This shows that the rental units should be split 65% social and 35% affordable rented. </w:t>
      </w:r>
    </w:p>
    <w:p w14:paraId="2296FCE5" w14:textId="77777777" w:rsidR="00CE1BDB" w:rsidRPr="00FA4DC7" w:rsidRDefault="00CE1BDB" w:rsidP="00CE1BDB">
      <w:pPr>
        <w:pStyle w:val="Maintext"/>
        <w:numPr>
          <w:ilvl w:val="0"/>
          <w:numId w:val="0"/>
        </w:numPr>
        <w:ind w:left="709"/>
        <w:rPr>
          <w:rFonts w:ascii="Arial" w:hAnsi="Arial" w:cs="Arial"/>
          <w:highlight w:val="yellow"/>
        </w:rPr>
      </w:pPr>
    </w:p>
    <w:tbl>
      <w:tblPr>
        <w:tblStyle w:val="TableGrid"/>
        <w:tblW w:w="5000" w:type="pct"/>
        <w:tblLook w:val="04A0" w:firstRow="1" w:lastRow="0" w:firstColumn="1" w:lastColumn="0" w:noHBand="0" w:noVBand="1"/>
      </w:tblPr>
      <w:tblGrid>
        <w:gridCol w:w="1837"/>
        <w:gridCol w:w="1405"/>
        <w:gridCol w:w="2848"/>
        <w:gridCol w:w="1614"/>
        <w:gridCol w:w="1476"/>
      </w:tblGrid>
      <w:tr w:rsidR="00CE1BDB" w:rsidRPr="007F632C" w14:paraId="1C2B2D9F" w14:textId="77777777" w:rsidTr="007F632C">
        <w:tc>
          <w:tcPr>
            <w:tcW w:w="5000" w:type="pct"/>
            <w:gridSpan w:val="5"/>
            <w:shd w:val="clear" w:color="auto" w:fill="006666"/>
          </w:tcPr>
          <w:p w14:paraId="15709C5C" w14:textId="77777777" w:rsidR="00CE1BDB" w:rsidRPr="007F632C" w:rsidRDefault="00CE1BDB" w:rsidP="007F632C">
            <w:pPr>
              <w:pStyle w:val="Tableheading1"/>
              <w:rPr>
                <w:lang w:val="en-US"/>
              </w:rPr>
            </w:pPr>
            <w:bookmarkStart w:id="585" w:name="_Toc83036131"/>
            <w:r w:rsidRPr="007F632C">
              <w:t xml:space="preserve">Table C10 </w:t>
            </w:r>
            <w:r w:rsidRPr="007F632C">
              <w:tab/>
              <w:t>Affordable tenure split</w:t>
            </w:r>
            <w:bookmarkEnd w:id="585"/>
          </w:p>
        </w:tc>
      </w:tr>
      <w:tr w:rsidR="007F632C" w:rsidRPr="007F632C" w14:paraId="3D249A54" w14:textId="77777777" w:rsidTr="007F632C">
        <w:tc>
          <w:tcPr>
            <w:tcW w:w="1001" w:type="pct"/>
            <w:shd w:val="clear" w:color="auto" w:fill="006666"/>
            <w:vAlign w:val="bottom"/>
          </w:tcPr>
          <w:p w14:paraId="3F81E914" w14:textId="77777777" w:rsidR="00CE1BDB" w:rsidRPr="007F632C" w:rsidRDefault="00CE1BDB" w:rsidP="007F632C">
            <w:pPr>
              <w:spacing w:before="20" w:after="20"/>
              <w:jc w:val="center"/>
              <w:rPr>
                <w:rFonts w:cs="Arial"/>
                <w:b/>
                <w:bCs/>
                <w:color w:val="FFFFFF" w:themeColor="background1"/>
                <w:sz w:val="22"/>
                <w:szCs w:val="22"/>
                <w:lang w:val="en-US"/>
              </w:rPr>
            </w:pPr>
          </w:p>
        </w:tc>
        <w:tc>
          <w:tcPr>
            <w:tcW w:w="765" w:type="pct"/>
            <w:shd w:val="clear" w:color="auto" w:fill="006666"/>
            <w:vAlign w:val="bottom"/>
          </w:tcPr>
          <w:p w14:paraId="75D78692"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Rental cost each year</w:t>
            </w:r>
          </w:p>
        </w:tc>
        <w:tc>
          <w:tcPr>
            <w:tcW w:w="1551" w:type="pct"/>
            <w:shd w:val="clear" w:color="auto" w:fill="006666"/>
            <w:vAlign w:val="bottom"/>
          </w:tcPr>
          <w:p w14:paraId="685274DD"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Household income required to afford rent (based on 25% of income to be affordable)</w:t>
            </w:r>
          </w:p>
        </w:tc>
        <w:tc>
          <w:tcPr>
            <w:tcW w:w="879" w:type="pct"/>
            <w:shd w:val="clear" w:color="auto" w:fill="006666"/>
            <w:vAlign w:val="bottom"/>
          </w:tcPr>
          <w:p w14:paraId="3E5A3CCB"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 xml:space="preserve">% </w:t>
            </w:r>
            <w:proofErr w:type="gramStart"/>
            <w:r w:rsidRPr="007F632C">
              <w:rPr>
                <w:rFonts w:cs="Arial"/>
                <w:b/>
                <w:bCs/>
                <w:color w:val="FFFFFF" w:themeColor="background1"/>
                <w:sz w:val="22"/>
                <w:szCs w:val="22"/>
                <w:lang w:val="en-US"/>
              </w:rPr>
              <w:t>could</w:t>
            </w:r>
            <w:proofErr w:type="gramEnd"/>
            <w:r w:rsidRPr="007F632C">
              <w:rPr>
                <w:rFonts w:cs="Arial"/>
                <w:b/>
                <w:bCs/>
                <w:color w:val="FFFFFF" w:themeColor="background1"/>
                <w:sz w:val="22"/>
                <w:szCs w:val="22"/>
                <w:lang w:val="en-US"/>
              </w:rPr>
              <w:t xml:space="preserve"> afford based on 2021 CAMEO data</w:t>
            </w:r>
          </w:p>
        </w:tc>
        <w:tc>
          <w:tcPr>
            <w:tcW w:w="804" w:type="pct"/>
            <w:shd w:val="clear" w:color="auto" w:fill="006666"/>
            <w:vAlign w:val="bottom"/>
          </w:tcPr>
          <w:p w14:paraId="26DB10EA" w14:textId="77777777" w:rsidR="00CE1BDB" w:rsidRPr="007F632C" w:rsidRDefault="00CE1BDB" w:rsidP="007F632C">
            <w:pPr>
              <w:spacing w:before="20" w:after="20"/>
              <w:jc w:val="center"/>
              <w:rPr>
                <w:rFonts w:cs="Arial"/>
                <w:b/>
                <w:bCs/>
                <w:color w:val="FFFFFF" w:themeColor="background1"/>
                <w:sz w:val="22"/>
                <w:szCs w:val="22"/>
                <w:lang w:val="en-US"/>
              </w:rPr>
            </w:pPr>
            <w:proofErr w:type="spellStart"/>
            <w:r w:rsidRPr="007F632C">
              <w:rPr>
                <w:rFonts w:cs="Arial"/>
                <w:b/>
                <w:bCs/>
                <w:color w:val="FFFFFF" w:themeColor="background1"/>
                <w:sz w:val="22"/>
                <w:szCs w:val="22"/>
                <w:lang w:val="en-US"/>
              </w:rPr>
              <w:t>Standardise</w:t>
            </w:r>
            <w:proofErr w:type="spellEnd"/>
            <w:r w:rsidRPr="007F632C">
              <w:rPr>
                <w:rFonts w:cs="Arial"/>
                <w:b/>
                <w:bCs/>
                <w:color w:val="FFFFFF" w:themeColor="background1"/>
                <w:sz w:val="22"/>
                <w:szCs w:val="22"/>
                <w:lang w:val="en-US"/>
              </w:rPr>
              <w:t xml:space="preserve"> 125.4% to 100%</w:t>
            </w:r>
          </w:p>
        </w:tc>
      </w:tr>
      <w:tr w:rsidR="00CE1BDB" w:rsidRPr="007F632C" w14:paraId="51C8D467" w14:textId="77777777" w:rsidTr="007F632C">
        <w:tc>
          <w:tcPr>
            <w:tcW w:w="1001" w:type="pct"/>
          </w:tcPr>
          <w:p w14:paraId="404160A2" w14:textId="77777777" w:rsidR="00CE1BDB" w:rsidRPr="007F632C" w:rsidRDefault="00CE1BDB" w:rsidP="007F632C">
            <w:pPr>
              <w:spacing w:before="20" w:after="20"/>
              <w:rPr>
                <w:rFonts w:cs="Arial"/>
                <w:sz w:val="22"/>
                <w:szCs w:val="22"/>
                <w:lang w:val="en-US"/>
              </w:rPr>
            </w:pPr>
            <w:r w:rsidRPr="007F632C">
              <w:rPr>
                <w:rFonts w:cs="Arial"/>
                <w:sz w:val="22"/>
                <w:szCs w:val="22"/>
                <w:lang w:val="en-US"/>
              </w:rPr>
              <w:t>Social Rent</w:t>
            </w:r>
          </w:p>
        </w:tc>
        <w:tc>
          <w:tcPr>
            <w:tcW w:w="765" w:type="pct"/>
          </w:tcPr>
          <w:p w14:paraId="2724F1B5"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£5,239</w:t>
            </w:r>
          </w:p>
        </w:tc>
        <w:tc>
          <w:tcPr>
            <w:tcW w:w="1551" w:type="pct"/>
          </w:tcPr>
          <w:p w14:paraId="4F5971D6"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£20,955</w:t>
            </w:r>
          </w:p>
        </w:tc>
        <w:tc>
          <w:tcPr>
            <w:tcW w:w="879" w:type="pct"/>
          </w:tcPr>
          <w:p w14:paraId="35710AB7"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82.1%</w:t>
            </w:r>
          </w:p>
        </w:tc>
        <w:tc>
          <w:tcPr>
            <w:tcW w:w="804" w:type="pct"/>
          </w:tcPr>
          <w:p w14:paraId="4CB4DE81"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65.4</w:t>
            </w:r>
          </w:p>
        </w:tc>
      </w:tr>
      <w:tr w:rsidR="00CE1BDB" w:rsidRPr="007F632C" w14:paraId="5A730D34" w14:textId="77777777" w:rsidTr="007F632C">
        <w:tc>
          <w:tcPr>
            <w:tcW w:w="1001" w:type="pct"/>
          </w:tcPr>
          <w:p w14:paraId="20894F95" w14:textId="77777777" w:rsidR="00CE1BDB" w:rsidRPr="007F632C" w:rsidRDefault="00CE1BDB" w:rsidP="007F632C">
            <w:pPr>
              <w:spacing w:before="20" w:after="20"/>
              <w:rPr>
                <w:rFonts w:cs="Arial"/>
                <w:sz w:val="22"/>
                <w:szCs w:val="22"/>
                <w:lang w:val="en-US"/>
              </w:rPr>
            </w:pPr>
            <w:r w:rsidRPr="007F632C">
              <w:rPr>
                <w:rFonts w:cs="Arial"/>
                <w:sz w:val="22"/>
                <w:szCs w:val="22"/>
                <w:lang w:val="en-US"/>
              </w:rPr>
              <w:t>Affordable Rent</w:t>
            </w:r>
          </w:p>
        </w:tc>
        <w:tc>
          <w:tcPr>
            <w:tcW w:w="765" w:type="pct"/>
          </w:tcPr>
          <w:p w14:paraId="4EBECAA4"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£8,362</w:t>
            </w:r>
          </w:p>
        </w:tc>
        <w:tc>
          <w:tcPr>
            <w:tcW w:w="1551" w:type="pct"/>
          </w:tcPr>
          <w:p w14:paraId="0870C24F"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£33,446</w:t>
            </w:r>
          </w:p>
        </w:tc>
        <w:tc>
          <w:tcPr>
            <w:tcW w:w="879" w:type="pct"/>
          </w:tcPr>
          <w:p w14:paraId="68DB042C"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43.3%</w:t>
            </w:r>
          </w:p>
        </w:tc>
        <w:tc>
          <w:tcPr>
            <w:tcW w:w="804" w:type="pct"/>
          </w:tcPr>
          <w:p w14:paraId="353C0405"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34.6</w:t>
            </w:r>
          </w:p>
        </w:tc>
      </w:tr>
      <w:tr w:rsidR="00CE1BDB" w:rsidRPr="007F632C" w14:paraId="63FC00A3" w14:textId="77777777" w:rsidTr="007F632C">
        <w:tc>
          <w:tcPr>
            <w:tcW w:w="3317" w:type="pct"/>
            <w:gridSpan w:val="3"/>
          </w:tcPr>
          <w:p w14:paraId="0ACE787C"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Total</w:t>
            </w:r>
          </w:p>
        </w:tc>
        <w:tc>
          <w:tcPr>
            <w:tcW w:w="879" w:type="pct"/>
          </w:tcPr>
          <w:p w14:paraId="2DF0D270"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125.4%</w:t>
            </w:r>
          </w:p>
        </w:tc>
        <w:tc>
          <w:tcPr>
            <w:tcW w:w="804" w:type="pct"/>
          </w:tcPr>
          <w:p w14:paraId="0AC5DEAB"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100%</w:t>
            </w:r>
          </w:p>
        </w:tc>
      </w:tr>
    </w:tbl>
    <w:p w14:paraId="55B16819" w14:textId="77777777" w:rsidR="00CE1BDB" w:rsidRPr="00FA4DC7" w:rsidRDefault="00CE1BDB" w:rsidP="00CE1BDB">
      <w:pPr>
        <w:pStyle w:val="Maintext"/>
        <w:numPr>
          <w:ilvl w:val="0"/>
          <w:numId w:val="0"/>
        </w:numPr>
        <w:ind w:left="709"/>
        <w:rPr>
          <w:rFonts w:ascii="Arial" w:hAnsi="Arial" w:cs="Arial"/>
          <w:highlight w:val="yellow"/>
        </w:rPr>
      </w:pPr>
    </w:p>
    <w:p w14:paraId="11F35CBA" w14:textId="77777777" w:rsidR="00CE1BDB" w:rsidRPr="00FA4DC7" w:rsidRDefault="00CE1BDB" w:rsidP="00CE1BDB">
      <w:pPr>
        <w:pStyle w:val="Maintext"/>
        <w:numPr>
          <w:ilvl w:val="1"/>
          <w:numId w:val="36"/>
        </w:numPr>
        <w:rPr>
          <w:rFonts w:ascii="Arial" w:hAnsi="Arial" w:cs="Arial"/>
          <w:lang w:val="en-US"/>
        </w:rPr>
      </w:pPr>
      <w:r w:rsidRPr="00FA4DC7">
        <w:rPr>
          <w:rFonts w:ascii="Arial" w:hAnsi="Arial" w:cs="Arial"/>
        </w:rPr>
        <w:t>Table</w:t>
      </w:r>
      <w:r w:rsidRPr="00FA4DC7">
        <w:rPr>
          <w:rFonts w:ascii="Arial" w:hAnsi="Arial" w:cs="Arial"/>
          <w:lang w:val="en-US"/>
        </w:rPr>
        <w:t xml:space="preserve"> C11 sets out the steps to derive a final tenure split. The final affordable tenure split for Medway is set out in Table C12.</w:t>
      </w:r>
    </w:p>
    <w:p w14:paraId="403916A6" w14:textId="77777777" w:rsidR="00CE1BDB" w:rsidRPr="00FA4DC7" w:rsidRDefault="00CE1BDB" w:rsidP="007F632C">
      <w:pPr>
        <w:rPr>
          <w:highlight w:val="yellow"/>
        </w:rPr>
      </w:pPr>
    </w:p>
    <w:p w14:paraId="6B6A15D4" w14:textId="77777777" w:rsidR="007F632C" w:rsidRDefault="007F632C">
      <w:pPr>
        <w:rPr>
          <w:rFonts w:cs="Arial"/>
          <w:highlight w:val="yellow"/>
        </w:rPr>
        <w:sectPr w:rsidR="007F632C" w:rsidSect="00EF49A7">
          <w:pgSz w:w="11906" w:h="16838"/>
          <w:pgMar w:top="1276" w:right="1276" w:bottom="567" w:left="1440" w:header="708" w:footer="715" w:gutter="0"/>
          <w:cols w:space="708"/>
          <w:docGrid w:linePitch="360"/>
        </w:sectPr>
      </w:pPr>
    </w:p>
    <w:p w14:paraId="2CE35CBB" w14:textId="77777777" w:rsidR="00CE1BDB" w:rsidRPr="007F632C" w:rsidRDefault="00CE1BDB" w:rsidP="007F632C">
      <w:pPr>
        <w:pStyle w:val="Tableheading1"/>
        <w:rPr>
          <w:color w:val="009999"/>
        </w:rPr>
      </w:pPr>
      <w:bookmarkStart w:id="586" w:name="_Toc83036132"/>
      <w:r w:rsidRPr="007F632C">
        <w:rPr>
          <w:color w:val="009999"/>
        </w:rPr>
        <w:lastRenderedPageBreak/>
        <w:t xml:space="preserve">Table C11 </w:t>
      </w:r>
      <w:r w:rsidRPr="007F632C">
        <w:rPr>
          <w:color w:val="009999"/>
        </w:rPr>
        <w:tab/>
        <w:t>Detailed calculation of tenure split</w:t>
      </w:r>
      <w:bookmarkEnd w:id="586"/>
    </w:p>
    <w:p w14:paraId="296936CB" w14:textId="0A90E74F" w:rsidR="00CE1BDB" w:rsidRPr="00FA4DC7" w:rsidRDefault="00C3107C" w:rsidP="00CE1BDB">
      <w:pPr>
        <w:pStyle w:val="Maintext"/>
        <w:numPr>
          <w:ilvl w:val="0"/>
          <w:numId w:val="0"/>
        </w:numPr>
        <w:rPr>
          <w:rFonts w:ascii="Arial" w:hAnsi="Arial" w:cs="Arial"/>
          <w:highlight w:val="yellow"/>
        </w:rPr>
      </w:pPr>
      <w:r w:rsidRPr="00C3107C">
        <w:rPr>
          <w:rFonts w:ascii="Arial" w:hAnsi="Arial" w:cs="Arial"/>
          <w:noProof/>
        </w:rPr>
        <w:drawing>
          <wp:inline distT="0" distB="0" distL="0" distR="0" wp14:anchorId="740678D8" wp14:editId="6C1809FF">
            <wp:extent cx="7104829" cy="3981450"/>
            <wp:effectExtent l="0" t="0" r="1270" b="0"/>
            <wp:docPr id="2" name="Picture 2" descr="Table showing detailed calculation of tenure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showing detailed calculation of tenure split"/>
                    <pic:cNvPicPr/>
                  </pic:nvPicPr>
                  <pic:blipFill>
                    <a:blip r:embed="rId67"/>
                    <a:stretch>
                      <a:fillRect/>
                    </a:stretch>
                  </pic:blipFill>
                  <pic:spPr>
                    <a:xfrm>
                      <a:off x="0" y="0"/>
                      <a:ext cx="7116167" cy="3987804"/>
                    </a:xfrm>
                    <a:prstGeom prst="rect">
                      <a:avLst/>
                    </a:prstGeom>
                  </pic:spPr>
                </pic:pic>
              </a:graphicData>
            </a:graphic>
          </wp:inline>
        </w:drawing>
      </w:r>
    </w:p>
    <w:p w14:paraId="4467E0D0" w14:textId="77777777" w:rsidR="00CE1BDB" w:rsidRPr="00FA4DC7" w:rsidRDefault="00CE1BDB" w:rsidP="00CE1BDB">
      <w:pPr>
        <w:rPr>
          <w:rFonts w:cs="Arial"/>
          <w:highlight w:val="yellow"/>
          <w:lang w:eastAsia="en-US"/>
        </w:rPr>
      </w:pPr>
    </w:p>
    <w:tbl>
      <w:tblPr>
        <w:tblStyle w:val="TableGrid"/>
        <w:tblW w:w="0" w:type="auto"/>
        <w:tblLook w:val="04A0" w:firstRow="1" w:lastRow="0" w:firstColumn="1" w:lastColumn="0" w:noHBand="0" w:noVBand="1"/>
      </w:tblPr>
      <w:tblGrid>
        <w:gridCol w:w="2547"/>
        <w:gridCol w:w="1984"/>
        <w:gridCol w:w="2268"/>
        <w:gridCol w:w="2268"/>
      </w:tblGrid>
      <w:tr w:rsidR="007F632C" w:rsidRPr="007F632C" w14:paraId="7D2D8C44" w14:textId="77777777" w:rsidTr="007F632C">
        <w:tc>
          <w:tcPr>
            <w:tcW w:w="9067" w:type="dxa"/>
            <w:gridSpan w:val="4"/>
            <w:shd w:val="clear" w:color="auto" w:fill="006666"/>
          </w:tcPr>
          <w:p w14:paraId="693A5075" w14:textId="5C236E04" w:rsidR="007F632C" w:rsidRPr="007F632C" w:rsidRDefault="007F632C" w:rsidP="007F632C">
            <w:pPr>
              <w:pStyle w:val="Tableheading1"/>
              <w:rPr>
                <w:szCs w:val="22"/>
                <w:lang w:val="en-US"/>
              </w:rPr>
            </w:pPr>
            <w:bookmarkStart w:id="587" w:name="_Toc83036133"/>
            <w:bookmarkStart w:id="588" w:name="_Toc529652036"/>
            <w:bookmarkStart w:id="589" w:name="_Toc7683346"/>
            <w:bookmarkStart w:id="590" w:name="_Toc13046186"/>
            <w:bookmarkStart w:id="591" w:name="_Toc55856216"/>
            <w:bookmarkStart w:id="592" w:name="_Toc56502865"/>
            <w:bookmarkStart w:id="593" w:name="_Toc59204544"/>
            <w:bookmarkEnd w:id="514"/>
            <w:bookmarkEnd w:id="515"/>
            <w:bookmarkEnd w:id="516"/>
            <w:bookmarkEnd w:id="517"/>
            <w:bookmarkEnd w:id="518"/>
            <w:bookmarkEnd w:id="519"/>
            <w:bookmarkEnd w:id="520"/>
            <w:bookmarkEnd w:id="521"/>
            <w:r w:rsidRPr="007F632C">
              <w:rPr>
                <w:szCs w:val="22"/>
              </w:rPr>
              <w:t>Table</w:t>
            </w:r>
            <w:r w:rsidRPr="007F632C">
              <w:rPr>
                <w:szCs w:val="22"/>
                <w:lang w:val="en-US"/>
              </w:rPr>
              <w:t xml:space="preserve"> C12</w:t>
            </w:r>
            <w:r w:rsidRPr="007F632C">
              <w:rPr>
                <w:szCs w:val="22"/>
                <w:lang w:val="en-US"/>
              </w:rPr>
              <w:tab/>
              <w:t>Affordable tenure split for Medway</w:t>
            </w:r>
            <w:bookmarkEnd w:id="587"/>
          </w:p>
        </w:tc>
      </w:tr>
      <w:tr w:rsidR="007F632C" w:rsidRPr="007F632C" w14:paraId="3DD61BEC" w14:textId="77777777" w:rsidTr="007F632C">
        <w:tc>
          <w:tcPr>
            <w:tcW w:w="2547" w:type="dxa"/>
            <w:shd w:val="clear" w:color="auto" w:fill="006666"/>
            <w:vAlign w:val="bottom"/>
          </w:tcPr>
          <w:p w14:paraId="0928ADB2"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Social Rent</w:t>
            </w:r>
          </w:p>
        </w:tc>
        <w:tc>
          <w:tcPr>
            <w:tcW w:w="1984" w:type="dxa"/>
            <w:shd w:val="clear" w:color="auto" w:fill="006666"/>
            <w:vAlign w:val="bottom"/>
          </w:tcPr>
          <w:p w14:paraId="789C4606"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Affordable rent</w:t>
            </w:r>
          </w:p>
        </w:tc>
        <w:tc>
          <w:tcPr>
            <w:tcW w:w="2268" w:type="dxa"/>
            <w:shd w:val="clear" w:color="auto" w:fill="006666"/>
            <w:vAlign w:val="bottom"/>
          </w:tcPr>
          <w:p w14:paraId="1E375582"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Affordable home ownership</w:t>
            </w:r>
          </w:p>
        </w:tc>
        <w:tc>
          <w:tcPr>
            <w:tcW w:w="2268" w:type="dxa"/>
            <w:shd w:val="clear" w:color="auto" w:fill="006666"/>
            <w:vAlign w:val="bottom"/>
          </w:tcPr>
          <w:p w14:paraId="4BD8237C" w14:textId="77777777" w:rsidR="00CE1BDB" w:rsidRPr="007F632C" w:rsidRDefault="00CE1BDB" w:rsidP="007F632C">
            <w:pPr>
              <w:spacing w:before="20" w:after="20"/>
              <w:jc w:val="center"/>
              <w:rPr>
                <w:rFonts w:cs="Arial"/>
                <w:b/>
                <w:bCs/>
                <w:color w:val="FFFFFF" w:themeColor="background1"/>
                <w:sz w:val="22"/>
                <w:szCs w:val="22"/>
                <w:lang w:val="en-US"/>
              </w:rPr>
            </w:pPr>
            <w:r w:rsidRPr="007F632C">
              <w:rPr>
                <w:rFonts w:cs="Arial"/>
                <w:b/>
                <w:bCs/>
                <w:color w:val="FFFFFF" w:themeColor="background1"/>
                <w:sz w:val="22"/>
                <w:szCs w:val="22"/>
                <w:lang w:val="en-US"/>
              </w:rPr>
              <w:t>First Homes</w:t>
            </w:r>
          </w:p>
        </w:tc>
      </w:tr>
      <w:tr w:rsidR="00CE1BDB" w:rsidRPr="007F632C" w14:paraId="2698F99B" w14:textId="77777777" w:rsidTr="007F632C">
        <w:tc>
          <w:tcPr>
            <w:tcW w:w="2547" w:type="dxa"/>
          </w:tcPr>
          <w:p w14:paraId="59F9F856"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39%</w:t>
            </w:r>
          </w:p>
        </w:tc>
        <w:tc>
          <w:tcPr>
            <w:tcW w:w="1984" w:type="dxa"/>
          </w:tcPr>
          <w:p w14:paraId="65B8DFA5" w14:textId="3E44846B" w:rsidR="00CE1BDB" w:rsidRPr="007F632C" w:rsidRDefault="00C3107C" w:rsidP="007F632C">
            <w:pPr>
              <w:spacing w:before="20" w:after="20"/>
              <w:jc w:val="center"/>
              <w:rPr>
                <w:rFonts w:cs="Arial"/>
                <w:sz w:val="22"/>
                <w:szCs w:val="22"/>
                <w:lang w:val="en-US"/>
              </w:rPr>
            </w:pPr>
            <w:r w:rsidRPr="007F632C">
              <w:rPr>
                <w:rFonts w:cs="Arial"/>
                <w:sz w:val="22"/>
                <w:szCs w:val="22"/>
                <w:lang w:val="en-US"/>
              </w:rPr>
              <w:t>21</w:t>
            </w:r>
            <w:r w:rsidR="00CE1BDB" w:rsidRPr="007F632C">
              <w:rPr>
                <w:rFonts w:cs="Arial"/>
                <w:sz w:val="22"/>
                <w:szCs w:val="22"/>
                <w:lang w:val="en-US"/>
              </w:rPr>
              <w:t>%</w:t>
            </w:r>
          </w:p>
        </w:tc>
        <w:tc>
          <w:tcPr>
            <w:tcW w:w="2268" w:type="dxa"/>
          </w:tcPr>
          <w:p w14:paraId="0068A612" w14:textId="7391D1BE" w:rsidR="00CE1BDB" w:rsidRPr="007F632C" w:rsidRDefault="00C3107C" w:rsidP="007F632C">
            <w:pPr>
              <w:spacing w:before="20" w:after="20"/>
              <w:jc w:val="center"/>
              <w:rPr>
                <w:rFonts w:cs="Arial"/>
                <w:sz w:val="22"/>
                <w:szCs w:val="22"/>
                <w:lang w:val="en-US"/>
              </w:rPr>
            </w:pPr>
            <w:r w:rsidRPr="007F632C">
              <w:rPr>
                <w:rFonts w:cs="Arial"/>
                <w:sz w:val="22"/>
                <w:szCs w:val="22"/>
                <w:lang w:val="en-US"/>
              </w:rPr>
              <w:t>15</w:t>
            </w:r>
            <w:r w:rsidR="00CE1BDB" w:rsidRPr="007F632C">
              <w:rPr>
                <w:rFonts w:cs="Arial"/>
                <w:sz w:val="22"/>
                <w:szCs w:val="22"/>
                <w:lang w:val="en-US"/>
              </w:rPr>
              <w:t>%</w:t>
            </w:r>
          </w:p>
        </w:tc>
        <w:tc>
          <w:tcPr>
            <w:tcW w:w="2268" w:type="dxa"/>
          </w:tcPr>
          <w:p w14:paraId="49B7ADF2" w14:textId="77777777" w:rsidR="00CE1BDB" w:rsidRPr="007F632C" w:rsidRDefault="00CE1BDB" w:rsidP="007F632C">
            <w:pPr>
              <w:spacing w:before="20" w:after="20"/>
              <w:jc w:val="center"/>
              <w:rPr>
                <w:rFonts w:cs="Arial"/>
                <w:sz w:val="22"/>
                <w:szCs w:val="22"/>
                <w:lang w:val="en-US"/>
              </w:rPr>
            </w:pPr>
            <w:r w:rsidRPr="007F632C">
              <w:rPr>
                <w:rFonts w:cs="Arial"/>
                <w:sz w:val="22"/>
                <w:szCs w:val="22"/>
                <w:lang w:val="en-US"/>
              </w:rPr>
              <w:t>25%</w:t>
            </w:r>
          </w:p>
        </w:tc>
      </w:tr>
      <w:tr w:rsidR="00C3107C" w:rsidRPr="007F632C" w14:paraId="6EA2C228" w14:textId="77777777" w:rsidTr="007F632C">
        <w:tc>
          <w:tcPr>
            <w:tcW w:w="4531" w:type="dxa"/>
            <w:gridSpan w:val="2"/>
          </w:tcPr>
          <w:p w14:paraId="7290224D" w14:textId="23C4F0E3" w:rsidR="00C3107C" w:rsidRPr="007F632C" w:rsidRDefault="00C3107C" w:rsidP="007F632C">
            <w:pPr>
              <w:spacing w:before="20" w:after="20"/>
              <w:jc w:val="center"/>
              <w:rPr>
                <w:rFonts w:cs="Arial"/>
                <w:sz w:val="22"/>
                <w:szCs w:val="22"/>
                <w:lang w:val="en-US"/>
              </w:rPr>
            </w:pPr>
            <w:r w:rsidRPr="007F632C">
              <w:rPr>
                <w:rFonts w:cs="Arial"/>
                <w:sz w:val="22"/>
                <w:szCs w:val="22"/>
                <w:lang w:val="en-US"/>
              </w:rPr>
              <w:t>60% Rented options</w:t>
            </w:r>
          </w:p>
        </w:tc>
        <w:tc>
          <w:tcPr>
            <w:tcW w:w="4536" w:type="dxa"/>
            <w:gridSpan w:val="2"/>
          </w:tcPr>
          <w:p w14:paraId="5170C783" w14:textId="32BC1D03" w:rsidR="00C3107C" w:rsidRPr="007F632C" w:rsidRDefault="00C3107C" w:rsidP="007F632C">
            <w:pPr>
              <w:spacing w:before="20" w:after="20"/>
              <w:jc w:val="center"/>
              <w:rPr>
                <w:rFonts w:cs="Arial"/>
                <w:sz w:val="22"/>
                <w:szCs w:val="22"/>
                <w:lang w:val="en-US"/>
              </w:rPr>
            </w:pPr>
            <w:r w:rsidRPr="007F632C">
              <w:rPr>
                <w:rFonts w:cs="Arial"/>
                <w:sz w:val="22"/>
                <w:szCs w:val="22"/>
                <w:lang w:val="en-US"/>
              </w:rPr>
              <w:t>40% Affordable Home Ownership options</w:t>
            </w:r>
          </w:p>
        </w:tc>
      </w:tr>
    </w:tbl>
    <w:p w14:paraId="77C99C0F" w14:textId="77777777" w:rsidR="007F632C" w:rsidRDefault="007F632C" w:rsidP="00CE1BDB">
      <w:pPr>
        <w:pStyle w:val="Maintext"/>
        <w:numPr>
          <w:ilvl w:val="0"/>
          <w:numId w:val="0"/>
        </w:numPr>
        <w:ind w:left="709"/>
        <w:rPr>
          <w:rFonts w:ascii="Arial" w:hAnsi="Arial" w:cs="Arial"/>
        </w:rPr>
        <w:sectPr w:rsidR="007F632C" w:rsidSect="007F632C">
          <w:pgSz w:w="16838" w:h="11906" w:orient="landscape"/>
          <w:pgMar w:top="1276" w:right="567" w:bottom="1440" w:left="1276" w:header="708" w:footer="715" w:gutter="0"/>
          <w:cols w:space="708"/>
          <w:docGrid w:linePitch="360"/>
        </w:sectPr>
      </w:pPr>
    </w:p>
    <w:p w14:paraId="51B5666C" w14:textId="30CD26A4" w:rsidR="00CE1BDB" w:rsidRPr="00FA4DC7" w:rsidRDefault="00CE1BDB" w:rsidP="00CE1BDB">
      <w:pPr>
        <w:pStyle w:val="Maintext"/>
        <w:numPr>
          <w:ilvl w:val="1"/>
          <w:numId w:val="36"/>
        </w:numPr>
        <w:rPr>
          <w:rFonts w:ascii="Arial" w:hAnsi="Arial" w:cs="Arial"/>
        </w:rPr>
      </w:pPr>
      <w:r w:rsidRPr="00FA4DC7">
        <w:rPr>
          <w:rFonts w:ascii="Arial" w:hAnsi="Arial" w:cs="Arial"/>
        </w:rPr>
        <w:lastRenderedPageBreak/>
        <w:t>The final split of affordable tenures is 3</w:t>
      </w:r>
      <w:r w:rsidR="001A51F7">
        <w:rPr>
          <w:rFonts w:ascii="Arial" w:hAnsi="Arial" w:cs="Arial"/>
        </w:rPr>
        <w:t>9</w:t>
      </w:r>
      <w:r w:rsidRPr="00FA4DC7">
        <w:rPr>
          <w:rFonts w:ascii="Arial" w:hAnsi="Arial" w:cs="Arial"/>
        </w:rPr>
        <w:t xml:space="preserve">% social rented, </w:t>
      </w:r>
      <w:r w:rsidR="00C3107C">
        <w:rPr>
          <w:rFonts w:ascii="Arial" w:hAnsi="Arial" w:cs="Arial"/>
        </w:rPr>
        <w:t>21</w:t>
      </w:r>
      <w:r w:rsidRPr="00FA4DC7">
        <w:rPr>
          <w:rFonts w:ascii="Arial" w:hAnsi="Arial" w:cs="Arial"/>
        </w:rPr>
        <w:t xml:space="preserve">% affordable rented and </w:t>
      </w:r>
      <w:r w:rsidR="00C3107C">
        <w:rPr>
          <w:rFonts w:ascii="Arial" w:hAnsi="Arial" w:cs="Arial"/>
        </w:rPr>
        <w:t>40</w:t>
      </w:r>
      <w:r w:rsidRPr="00FA4DC7">
        <w:rPr>
          <w:rFonts w:ascii="Arial" w:hAnsi="Arial" w:cs="Arial"/>
        </w:rPr>
        <w:t>% affordable home ownership (</w:t>
      </w:r>
      <w:r w:rsidR="00C3107C">
        <w:rPr>
          <w:rFonts w:ascii="Arial" w:hAnsi="Arial" w:cs="Arial"/>
        </w:rPr>
        <w:t>2</w:t>
      </w:r>
      <w:r w:rsidRPr="00FA4DC7">
        <w:rPr>
          <w:rFonts w:ascii="Arial" w:hAnsi="Arial" w:cs="Arial"/>
        </w:rPr>
        <w:t xml:space="preserve">5% first homes and </w:t>
      </w:r>
      <w:r w:rsidR="00C3107C">
        <w:rPr>
          <w:rFonts w:ascii="Arial" w:hAnsi="Arial" w:cs="Arial"/>
        </w:rPr>
        <w:t>15</w:t>
      </w:r>
      <w:r w:rsidRPr="00FA4DC7">
        <w:rPr>
          <w:rFonts w:ascii="Arial" w:hAnsi="Arial" w:cs="Arial"/>
        </w:rPr>
        <w:t>% other affordable home ownership options</w:t>
      </w:r>
      <w:r w:rsidR="0052460C">
        <w:rPr>
          <w:rFonts w:ascii="Arial" w:hAnsi="Arial" w:cs="Arial"/>
        </w:rPr>
        <w:t>)</w:t>
      </w:r>
      <w:r w:rsidRPr="00FA4DC7">
        <w:rPr>
          <w:rFonts w:ascii="Arial" w:hAnsi="Arial" w:cs="Arial"/>
        </w:rPr>
        <w:t xml:space="preserve">. </w:t>
      </w:r>
    </w:p>
    <w:p w14:paraId="37272815" w14:textId="77777777" w:rsidR="00CE1BDB" w:rsidRPr="00FA4DC7" w:rsidRDefault="00CE1BDB" w:rsidP="007F632C"/>
    <w:p w14:paraId="74398837" w14:textId="77777777" w:rsidR="00CE1BDB" w:rsidRPr="00FA4DC7" w:rsidRDefault="00CE1BDB" w:rsidP="00CE1BDB">
      <w:pPr>
        <w:pStyle w:val="Heading3"/>
        <w:rPr>
          <w:rFonts w:cs="Arial"/>
        </w:rPr>
      </w:pPr>
      <w:r w:rsidRPr="00FA4DC7">
        <w:rPr>
          <w:rFonts w:cs="Arial"/>
        </w:rPr>
        <w:t>Affordable dwelling mix</w:t>
      </w:r>
    </w:p>
    <w:p w14:paraId="5E2B96F9" w14:textId="77777777" w:rsidR="00CE1BDB" w:rsidRPr="00FA4DC7" w:rsidRDefault="00CE1BDB" w:rsidP="00CE1BDB">
      <w:pPr>
        <w:pStyle w:val="Maintext"/>
        <w:numPr>
          <w:ilvl w:val="1"/>
          <w:numId w:val="36"/>
        </w:numPr>
        <w:rPr>
          <w:rFonts w:ascii="Arial" w:hAnsi="Arial" w:cs="Arial"/>
        </w:rPr>
      </w:pPr>
      <w:r w:rsidRPr="00FA4DC7">
        <w:rPr>
          <w:rFonts w:ascii="Arial" w:hAnsi="Arial" w:cs="Arial"/>
        </w:rPr>
        <w:t>The housing register does not report dwelling type preferences but a recommendation for dwelling type and size can be provided based on the range of affordable dwellings built over the past 3 years (2017/18 to 2019/29) (Table C13).</w:t>
      </w:r>
    </w:p>
    <w:p w14:paraId="15A91C3E" w14:textId="77777777" w:rsidR="00CE1BDB" w:rsidRPr="00FA4DC7" w:rsidRDefault="00CE1BDB" w:rsidP="00CE1BDB">
      <w:pPr>
        <w:pStyle w:val="Maintext"/>
        <w:numPr>
          <w:ilvl w:val="0"/>
          <w:numId w:val="0"/>
        </w:numPr>
        <w:ind w:left="709"/>
        <w:rPr>
          <w:rFonts w:ascii="Arial" w:hAnsi="Arial" w:cs="Arial"/>
        </w:rPr>
      </w:pPr>
    </w:p>
    <w:tbl>
      <w:tblPr>
        <w:tblW w:w="9239" w:type="dxa"/>
        <w:tblLook w:val="04A0" w:firstRow="1" w:lastRow="0" w:firstColumn="1" w:lastColumn="0" w:noHBand="0" w:noVBand="1"/>
      </w:tblPr>
      <w:tblGrid>
        <w:gridCol w:w="2604"/>
        <w:gridCol w:w="2300"/>
        <w:gridCol w:w="1460"/>
        <w:gridCol w:w="1560"/>
        <w:gridCol w:w="1300"/>
        <w:gridCol w:w="15"/>
      </w:tblGrid>
      <w:tr w:rsidR="00CE1BDB" w:rsidRPr="007F632C" w14:paraId="74597D5E" w14:textId="77777777" w:rsidTr="007B2FFD">
        <w:tc>
          <w:tcPr>
            <w:tcW w:w="9239" w:type="dxa"/>
            <w:gridSpan w:val="6"/>
            <w:tcBorders>
              <w:top w:val="single" w:sz="4" w:space="0" w:color="auto"/>
              <w:left w:val="single" w:sz="4" w:space="0" w:color="auto"/>
              <w:bottom w:val="nil"/>
              <w:right w:val="single" w:sz="4" w:space="0" w:color="auto"/>
            </w:tcBorders>
            <w:shd w:val="clear" w:color="auto" w:fill="006666"/>
            <w:noWrap/>
            <w:vAlign w:val="bottom"/>
          </w:tcPr>
          <w:p w14:paraId="13AD2462" w14:textId="77777777" w:rsidR="00CE1BDB" w:rsidRPr="007F632C" w:rsidRDefault="00CE1BDB" w:rsidP="007B2FFD">
            <w:pPr>
              <w:pStyle w:val="Tableheading1"/>
              <w:rPr>
                <w:color w:val="000000" w:themeColor="text1"/>
                <w:lang w:val="en-US"/>
              </w:rPr>
            </w:pPr>
            <w:bookmarkStart w:id="594" w:name="_Toc83036134"/>
            <w:r w:rsidRPr="007F632C">
              <w:t>Table</w:t>
            </w:r>
            <w:r w:rsidRPr="007F632C">
              <w:rPr>
                <w:color w:val="000000" w:themeColor="text1"/>
                <w:lang w:val="en-US"/>
              </w:rPr>
              <w:t xml:space="preserve"> </w:t>
            </w:r>
            <w:r w:rsidRPr="007F632C">
              <w:rPr>
                <w:lang w:val="en-US"/>
              </w:rPr>
              <w:t>C13</w:t>
            </w:r>
            <w:r w:rsidRPr="007F632C">
              <w:rPr>
                <w:lang w:val="en-US"/>
              </w:rPr>
              <w:tab/>
            </w:r>
            <w:r w:rsidRPr="007F632C">
              <w:t>Affordable</w:t>
            </w:r>
            <w:r w:rsidRPr="007F632C">
              <w:rPr>
                <w:lang w:val="en-US"/>
              </w:rPr>
              <w:t xml:space="preserve"> dwelling mix by </w:t>
            </w:r>
            <w:r w:rsidRPr="007B2FFD">
              <w:t>number</w:t>
            </w:r>
            <w:r w:rsidRPr="007F632C">
              <w:rPr>
                <w:lang w:val="en-US"/>
              </w:rPr>
              <w:t xml:space="preserve"> of bedrooms and dwelling type</w:t>
            </w:r>
            <w:bookmarkEnd w:id="594"/>
          </w:p>
        </w:tc>
      </w:tr>
      <w:tr w:rsidR="007F632C" w:rsidRPr="007F632C" w14:paraId="76C4A4E8" w14:textId="77777777" w:rsidTr="007B2FFD">
        <w:trPr>
          <w:gridAfter w:val="1"/>
          <w:wAfter w:w="15" w:type="dxa"/>
        </w:trPr>
        <w:tc>
          <w:tcPr>
            <w:tcW w:w="2604" w:type="dxa"/>
            <w:tcBorders>
              <w:top w:val="single" w:sz="4" w:space="0" w:color="auto"/>
              <w:left w:val="single" w:sz="4" w:space="0" w:color="auto"/>
              <w:bottom w:val="nil"/>
              <w:right w:val="single" w:sz="4" w:space="0" w:color="auto"/>
            </w:tcBorders>
            <w:shd w:val="clear" w:color="auto" w:fill="006666"/>
            <w:noWrap/>
            <w:vAlign w:val="bottom"/>
            <w:hideMark/>
          </w:tcPr>
          <w:p w14:paraId="282B8113" w14:textId="77777777" w:rsidR="007F632C" w:rsidRPr="007F632C" w:rsidRDefault="007F632C" w:rsidP="007B2FFD">
            <w:pPr>
              <w:spacing w:before="20" w:after="20"/>
              <w:rPr>
                <w:rFonts w:cs="Arial"/>
                <w:b/>
                <w:bCs/>
                <w:color w:val="FFFFFF" w:themeColor="background1"/>
                <w:sz w:val="22"/>
                <w:szCs w:val="22"/>
              </w:rPr>
            </w:pPr>
            <w:r w:rsidRPr="007F632C">
              <w:rPr>
                <w:rFonts w:cs="Arial"/>
                <w:b/>
                <w:bCs/>
                <w:color w:val="FFFFFF" w:themeColor="background1"/>
                <w:sz w:val="22"/>
                <w:szCs w:val="22"/>
              </w:rPr>
              <w:t>Number of bedrooms</w:t>
            </w:r>
          </w:p>
        </w:tc>
        <w:tc>
          <w:tcPr>
            <w:tcW w:w="6620" w:type="dxa"/>
            <w:gridSpan w:val="4"/>
            <w:tcBorders>
              <w:top w:val="single" w:sz="4" w:space="0" w:color="auto"/>
              <w:left w:val="nil"/>
              <w:bottom w:val="single" w:sz="4" w:space="0" w:color="auto"/>
              <w:right w:val="single" w:sz="4" w:space="0" w:color="auto"/>
            </w:tcBorders>
            <w:shd w:val="clear" w:color="auto" w:fill="006666"/>
            <w:noWrap/>
            <w:vAlign w:val="bottom"/>
            <w:hideMark/>
          </w:tcPr>
          <w:p w14:paraId="13607712" w14:textId="23709C29" w:rsidR="007F632C" w:rsidRPr="007F632C" w:rsidRDefault="007F632C" w:rsidP="007B2FFD">
            <w:pPr>
              <w:spacing w:before="20" w:after="20"/>
              <w:jc w:val="center"/>
              <w:rPr>
                <w:rFonts w:cs="Arial"/>
                <w:b/>
                <w:bCs/>
                <w:color w:val="FFFFFF" w:themeColor="background1"/>
                <w:sz w:val="22"/>
                <w:szCs w:val="22"/>
              </w:rPr>
            </w:pPr>
            <w:r w:rsidRPr="007F632C">
              <w:rPr>
                <w:rFonts w:cs="Arial"/>
                <w:b/>
                <w:bCs/>
                <w:color w:val="FFFFFF" w:themeColor="background1"/>
                <w:sz w:val="22"/>
                <w:szCs w:val="22"/>
              </w:rPr>
              <w:t>Dwelling type</w:t>
            </w:r>
          </w:p>
        </w:tc>
      </w:tr>
      <w:tr w:rsidR="00CE1BDB" w:rsidRPr="007B2FFD" w14:paraId="6FB308AE"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70F76166" w14:textId="77777777" w:rsidR="00CE1BDB" w:rsidRPr="007B2FFD" w:rsidRDefault="00CE1BDB" w:rsidP="007B2FFD">
            <w:pPr>
              <w:spacing w:before="20" w:after="20"/>
              <w:rPr>
                <w:rFonts w:cs="Arial"/>
                <w:b/>
                <w:bCs/>
                <w:color w:val="000000"/>
                <w:sz w:val="22"/>
                <w:szCs w:val="22"/>
              </w:rPr>
            </w:pPr>
            <w:r w:rsidRPr="007B2FFD">
              <w:rPr>
                <w:rFonts w:cs="Arial"/>
                <w:b/>
                <w:bCs/>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5D606F7A" w14:textId="77777777" w:rsidR="00CE1BDB" w:rsidRPr="007B2FFD" w:rsidRDefault="00CE1BDB" w:rsidP="007B2FFD">
            <w:pPr>
              <w:spacing w:before="20" w:after="20"/>
              <w:jc w:val="center"/>
              <w:rPr>
                <w:rFonts w:cs="Arial"/>
                <w:b/>
                <w:bCs/>
                <w:color w:val="000000"/>
                <w:sz w:val="22"/>
                <w:szCs w:val="22"/>
              </w:rPr>
            </w:pPr>
            <w:r w:rsidRPr="007B2FFD">
              <w:rPr>
                <w:rFonts w:cs="Arial"/>
                <w:b/>
                <w:bCs/>
                <w:color w:val="000000"/>
                <w:sz w:val="22"/>
                <w:szCs w:val="22"/>
              </w:rPr>
              <w:t>House/bungalow</w:t>
            </w:r>
          </w:p>
        </w:tc>
        <w:tc>
          <w:tcPr>
            <w:tcW w:w="1460" w:type="dxa"/>
            <w:tcBorders>
              <w:top w:val="nil"/>
              <w:left w:val="nil"/>
              <w:bottom w:val="single" w:sz="4" w:space="0" w:color="auto"/>
              <w:right w:val="single" w:sz="4" w:space="0" w:color="auto"/>
            </w:tcBorders>
            <w:shd w:val="clear" w:color="auto" w:fill="auto"/>
            <w:noWrap/>
            <w:vAlign w:val="bottom"/>
            <w:hideMark/>
          </w:tcPr>
          <w:p w14:paraId="57A18B0A" w14:textId="77777777" w:rsidR="00CE1BDB" w:rsidRPr="007B2FFD" w:rsidRDefault="00CE1BDB" w:rsidP="007B2FFD">
            <w:pPr>
              <w:spacing w:before="20" w:after="20"/>
              <w:jc w:val="center"/>
              <w:rPr>
                <w:rFonts w:cs="Arial"/>
                <w:b/>
                <w:bCs/>
                <w:color w:val="000000"/>
                <w:sz w:val="22"/>
                <w:szCs w:val="22"/>
              </w:rPr>
            </w:pPr>
            <w:r w:rsidRPr="007B2FFD">
              <w:rPr>
                <w:rFonts w:cs="Arial"/>
                <w:b/>
                <w:bCs/>
                <w:color w:val="000000"/>
                <w:sz w:val="22"/>
                <w:szCs w:val="22"/>
              </w:rPr>
              <w:t>Flat</w:t>
            </w:r>
          </w:p>
        </w:tc>
        <w:tc>
          <w:tcPr>
            <w:tcW w:w="1560" w:type="dxa"/>
            <w:tcBorders>
              <w:top w:val="nil"/>
              <w:left w:val="nil"/>
              <w:bottom w:val="single" w:sz="4" w:space="0" w:color="auto"/>
              <w:right w:val="single" w:sz="4" w:space="0" w:color="auto"/>
            </w:tcBorders>
            <w:shd w:val="clear" w:color="auto" w:fill="auto"/>
            <w:noWrap/>
            <w:vAlign w:val="bottom"/>
            <w:hideMark/>
          </w:tcPr>
          <w:p w14:paraId="6B5FD1CD" w14:textId="77777777" w:rsidR="00CE1BDB" w:rsidRPr="007B2FFD" w:rsidRDefault="00CE1BDB" w:rsidP="007B2FFD">
            <w:pPr>
              <w:spacing w:before="20" w:after="20"/>
              <w:jc w:val="center"/>
              <w:rPr>
                <w:rFonts w:cs="Arial"/>
                <w:b/>
                <w:bCs/>
                <w:color w:val="000000"/>
                <w:sz w:val="22"/>
                <w:szCs w:val="22"/>
              </w:rPr>
            </w:pPr>
            <w:r w:rsidRPr="007B2FFD">
              <w:rPr>
                <w:rFonts w:cs="Arial"/>
                <w:b/>
                <w:bCs/>
                <w:color w:val="000000"/>
                <w:sz w:val="22"/>
                <w:szCs w:val="22"/>
              </w:rPr>
              <w:t>Total</w:t>
            </w:r>
          </w:p>
        </w:tc>
        <w:tc>
          <w:tcPr>
            <w:tcW w:w="1300" w:type="dxa"/>
            <w:tcBorders>
              <w:top w:val="nil"/>
              <w:left w:val="nil"/>
              <w:bottom w:val="single" w:sz="4" w:space="0" w:color="auto"/>
              <w:right w:val="single" w:sz="4" w:space="0" w:color="auto"/>
            </w:tcBorders>
            <w:shd w:val="clear" w:color="auto" w:fill="auto"/>
            <w:noWrap/>
            <w:vAlign w:val="bottom"/>
            <w:hideMark/>
          </w:tcPr>
          <w:p w14:paraId="56009723" w14:textId="77777777" w:rsidR="00CE1BDB" w:rsidRPr="007B2FFD" w:rsidRDefault="00CE1BDB" w:rsidP="007B2FFD">
            <w:pPr>
              <w:spacing w:before="20" w:after="20"/>
              <w:jc w:val="center"/>
              <w:rPr>
                <w:rFonts w:cs="Arial"/>
                <w:b/>
                <w:bCs/>
                <w:color w:val="000000"/>
                <w:sz w:val="22"/>
                <w:szCs w:val="22"/>
              </w:rPr>
            </w:pPr>
            <w:r w:rsidRPr="007B2FFD">
              <w:rPr>
                <w:rFonts w:cs="Arial"/>
                <w:b/>
                <w:bCs/>
                <w:color w:val="000000"/>
                <w:sz w:val="22"/>
                <w:szCs w:val="22"/>
              </w:rPr>
              <w:t>Base</w:t>
            </w:r>
          </w:p>
        </w:tc>
      </w:tr>
      <w:tr w:rsidR="00CE1BDB" w:rsidRPr="007F632C" w14:paraId="3FD1DCAC"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4260FBCA" w14:textId="77777777" w:rsidR="00CE1BDB" w:rsidRPr="007F632C" w:rsidRDefault="00CE1BDB" w:rsidP="007B2FFD">
            <w:pPr>
              <w:spacing w:before="20" w:after="20"/>
              <w:jc w:val="center"/>
              <w:rPr>
                <w:rFonts w:cs="Arial"/>
                <w:color w:val="000000"/>
                <w:sz w:val="22"/>
                <w:szCs w:val="22"/>
              </w:rPr>
            </w:pPr>
            <w:r w:rsidRPr="007F632C">
              <w:rPr>
                <w:rFonts w:cs="Arial"/>
                <w:color w:val="000000"/>
                <w:sz w:val="22"/>
                <w:szCs w:val="22"/>
              </w:rPr>
              <w:t>1</w:t>
            </w:r>
          </w:p>
        </w:tc>
        <w:tc>
          <w:tcPr>
            <w:tcW w:w="2300" w:type="dxa"/>
            <w:tcBorders>
              <w:top w:val="nil"/>
              <w:left w:val="nil"/>
              <w:bottom w:val="single" w:sz="4" w:space="0" w:color="auto"/>
              <w:right w:val="single" w:sz="4" w:space="0" w:color="auto"/>
            </w:tcBorders>
            <w:shd w:val="clear" w:color="auto" w:fill="auto"/>
            <w:noWrap/>
            <w:vAlign w:val="bottom"/>
            <w:hideMark/>
          </w:tcPr>
          <w:p w14:paraId="1DA84289"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2.7</w:t>
            </w:r>
          </w:p>
        </w:tc>
        <w:tc>
          <w:tcPr>
            <w:tcW w:w="1460" w:type="dxa"/>
            <w:tcBorders>
              <w:top w:val="nil"/>
              <w:left w:val="nil"/>
              <w:bottom w:val="single" w:sz="4" w:space="0" w:color="auto"/>
              <w:right w:val="single" w:sz="4" w:space="0" w:color="auto"/>
            </w:tcBorders>
            <w:shd w:val="clear" w:color="auto" w:fill="auto"/>
            <w:noWrap/>
            <w:vAlign w:val="bottom"/>
            <w:hideMark/>
          </w:tcPr>
          <w:p w14:paraId="5B0D468D"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97.3</w:t>
            </w:r>
          </w:p>
        </w:tc>
        <w:tc>
          <w:tcPr>
            <w:tcW w:w="1560" w:type="dxa"/>
            <w:tcBorders>
              <w:top w:val="nil"/>
              <w:left w:val="nil"/>
              <w:bottom w:val="single" w:sz="4" w:space="0" w:color="auto"/>
              <w:right w:val="single" w:sz="4" w:space="0" w:color="auto"/>
            </w:tcBorders>
            <w:shd w:val="clear" w:color="auto" w:fill="auto"/>
            <w:noWrap/>
            <w:vAlign w:val="bottom"/>
            <w:hideMark/>
          </w:tcPr>
          <w:p w14:paraId="275885B0"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0A0D6B16"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222</w:t>
            </w:r>
          </w:p>
        </w:tc>
      </w:tr>
      <w:tr w:rsidR="00CE1BDB" w:rsidRPr="007F632C" w14:paraId="19C58E76"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710B765E" w14:textId="77777777" w:rsidR="00CE1BDB" w:rsidRPr="007F632C" w:rsidRDefault="00CE1BDB" w:rsidP="007B2FFD">
            <w:pPr>
              <w:spacing w:before="20" w:after="20"/>
              <w:jc w:val="center"/>
              <w:rPr>
                <w:rFonts w:cs="Arial"/>
                <w:color w:val="000000"/>
                <w:sz w:val="22"/>
                <w:szCs w:val="22"/>
              </w:rPr>
            </w:pPr>
            <w:r w:rsidRPr="007F632C">
              <w:rPr>
                <w:rFonts w:cs="Arial"/>
                <w:color w:val="000000"/>
                <w:sz w:val="22"/>
                <w:szCs w:val="22"/>
              </w:rPr>
              <w:t>2</w:t>
            </w:r>
          </w:p>
        </w:tc>
        <w:tc>
          <w:tcPr>
            <w:tcW w:w="2300" w:type="dxa"/>
            <w:tcBorders>
              <w:top w:val="nil"/>
              <w:left w:val="nil"/>
              <w:bottom w:val="single" w:sz="4" w:space="0" w:color="auto"/>
              <w:right w:val="single" w:sz="4" w:space="0" w:color="auto"/>
            </w:tcBorders>
            <w:shd w:val="clear" w:color="auto" w:fill="auto"/>
            <w:noWrap/>
            <w:vAlign w:val="bottom"/>
            <w:hideMark/>
          </w:tcPr>
          <w:p w14:paraId="5FC8E3B7"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17.9</w:t>
            </w:r>
          </w:p>
        </w:tc>
        <w:tc>
          <w:tcPr>
            <w:tcW w:w="1460" w:type="dxa"/>
            <w:tcBorders>
              <w:top w:val="nil"/>
              <w:left w:val="nil"/>
              <w:bottom w:val="single" w:sz="4" w:space="0" w:color="auto"/>
              <w:right w:val="single" w:sz="4" w:space="0" w:color="auto"/>
            </w:tcBorders>
            <w:shd w:val="clear" w:color="auto" w:fill="auto"/>
            <w:noWrap/>
            <w:vAlign w:val="bottom"/>
            <w:hideMark/>
          </w:tcPr>
          <w:p w14:paraId="38D4CF27"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82.1</w:t>
            </w:r>
          </w:p>
        </w:tc>
        <w:tc>
          <w:tcPr>
            <w:tcW w:w="1560" w:type="dxa"/>
            <w:tcBorders>
              <w:top w:val="nil"/>
              <w:left w:val="nil"/>
              <w:bottom w:val="single" w:sz="4" w:space="0" w:color="auto"/>
              <w:right w:val="single" w:sz="4" w:space="0" w:color="auto"/>
            </w:tcBorders>
            <w:shd w:val="clear" w:color="auto" w:fill="auto"/>
            <w:noWrap/>
            <w:vAlign w:val="bottom"/>
            <w:hideMark/>
          </w:tcPr>
          <w:p w14:paraId="571BE5AE"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64472E3C"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280</w:t>
            </w:r>
          </w:p>
        </w:tc>
      </w:tr>
      <w:tr w:rsidR="00CE1BDB" w:rsidRPr="007F632C" w14:paraId="76C58EDC"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4AF71677" w14:textId="77777777" w:rsidR="00CE1BDB" w:rsidRPr="007F632C" w:rsidRDefault="00CE1BDB" w:rsidP="007B2FFD">
            <w:pPr>
              <w:spacing w:before="20" w:after="20"/>
              <w:jc w:val="center"/>
              <w:rPr>
                <w:rFonts w:cs="Arial"/>
                <w:color w:val="000000"/>
                <w:sz w:val="22"/>
                <w:szCs w:val="22"/>
              </w:rPr>
            </w:pPr>
            <w:r w:rsidRPr="007F632C">
              <w:rPr>
                <w:rFonts w:cs="Arial"/>
                <w:color w:val="000000"/>
                <w:sz w:val="22"/>
                <w:szCs w:val="22"/>
              </w:rPr>
              <w:t>3</w:t>
            </w:r>
          </w:p>
        </w:tc>
        <w:tc>
          <w:tcPr>
            <w:tcW w:w="2300" w:type="dxa"/>
            <w:tcBorders>
              <w:top w:val="nil"/>
              <w:left w:val="nil"/>
              <w:bottom w:val="single" w:sz="4" w:space="0" w:color="auto"/>
              <w:right w:val="single" w:sz="4" w:space="0" w:color="auto"/>
            </w:tcBorders>
            <w:shd w:val="clear" w:color="auto" w:fill="auto"/>
            <w:noWrap/>
            <w:vAlign w:val="bottom"/>
            <w:hideMark/>
          </w:tcPr>
          <w:p w14:paraId="0425A5A8"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91.8</w:t>
            </w:r>
          </w:p>
        </w:tc>
        <w:tc>
          <w:tcPr>
            <w:tcW w:w="1460" w:type="dxa"/>
            <w:tcBorders>
              <w:top w:val="nil"/>
              <w:left w:val="nil"/>
              <w:bottom w:val="single" w:sz="4" w:space="0" w:color="auto"/>
              <w:right w:val="single" w:sz="4" w:space="0" w:color="auto"/>
            </w:tcBorders>
            <w:shd w:val="clear" w:color="auto" w:fill="auto"/>
            <w:noWrap/>
            <w:vAlign w:val="bottom"/>
            <w:hideMark/>
          </w:tcPr>
          <w:p w14:paraId="3350CA04"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8.2</w:t>
            </w:r>
          </w:p>
        </w:tc>
        <w:tc>
          <w:tcPr>
            <w:tcW w:w="1560" w:type="dxa"/>
            <w:tcBorders>
              <w:top w:val="nil"/>
              <w:left w:val="nil"/>
              <w:bottom w:val="single" w:sz="4" w:space="0" w:color="auto"/>
              <w:right w:val="single" w:sz="4" w:space="0" w:color="auto"/>
            </w:tcBorders>
            <w:shd w:val="clear" w:color="auto" w:fill="auto"/>
            <w:noWrap/>
            <w:vAlign w:val="bottom"/>
            <w:hideMark/>
          </w:tcPr>
          <w:p w14:paraId="3D62C6D5"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1172A8E2"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122</w:t>
            </w:r>
          </w:p>
        </w:tc>
      </w:tr>
      <w:tr w:rsidR="00CE1BDB" w:rsidRPr="007F632C" w14:paraId="51D4C8FB"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140686EF" w14:textId="77777777" w:rsidR="00CE1BDB" w:rsidRPr="007F632C" w:rsidRDefault="00CE1BDB" w:rsidP="007B2FFD">
            <w:pPr>
              <w:spacing w:before="20" w:after="20"/>
              <w:jc w:val="center"/>
              <w:rPr>
                <w:rFonts w:cs="Arial"/>
                <w:color w:val="000000"/>
                <w:sz w:val="22"/>
                <w:szCs w:val="22"/>
              </w:rPr>
            </w:pPr>
            <w:r w:rsidRPr="007F632C">
              <w:rPr>
                <w:rFonts w:cs="Arial"/>
                <w:color w:val="000000"/>
                <w:sz w:val="22"/>
                <w:szCs w:val="22"/>
              </w:rPr>
              <w:t>4</w:t>
            </w:r>
          </w:p>
        </w:tc>
        <w:tc>
          <w:tcPr>
            <w:tcW w:w="2300" w:type="dxa"/>
            <w:tcBorders>
              <w:top w:val="nil"/>
              <w:left w:val="nil"/>
              <w:bottom w:val="single" w:sz="4" w:space="0" w:color="auto"/>
              <w:right w:val="single" w:sz="4" w:space="0" w:color="auto"/>
            </w:tcBorders>
            <w:shd w:val="clear" w:color="auto" w:fill="auto"/>
            <w:noWrap/>
            <w:vAlign w:val="bottom"/>
            <w:hideMark/>
          </w:tcPr>
          <w:p w14:paraId="59733FC9"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100.0</w:t>
            </w:r>
          </w:p>
        </w:tc>
        <w:tc>
          <w:tcPr>
            <w:tcW w:w="1460" w:type="dxa"/>
            <w:tcBorders>
              <w:top w:val="nil"/>
              <w:left w:val="nil"/>
              <w:bottom w:val="single" w:sz="4" w:space="0" w:color="auto"/>
              <w:right w:val="single" w:sz="4" w:space="0" w:color="auto"/>
            </w:tcBorders>
            <w:shd w:val="clear" w:color="auto" w:fill="auto"/>
            <w:noWrap/>
            <w:vAlign w:val="bottom"/>
            <w:hideMark/>
          </w:tcPr>
          <w:p w14:paraId="3562EE5E"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0.0</w:t>
            </w:r>
          </w:p>
        </w:tc>
        <w:tc>
          <w:tcPr>
            <w:tcW w:w="1560" w:type="dxa"/>
            <w:tcBorders>
              <w:top w:val="nil"/>
              <w:left w:val="nil"/>
              <w:bottom w:val="single" w:sz="4" w:space="0" w:color="auto"/>
              <w:right w:val="single" w:sz="4" w:space="0" w:color="auto"/>
            </w:tcBorders>
            <w:shd w:val="clear" w:color="auto" w:fill="auto"/>
            <w:noWrap/>
            <w:vAlign w:val="bottom"/>
            <w:hideMark/>
          </w:tcPr>
          <w:p w14:paraId="2F5F58A7"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77D8C399"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22</w:t>
            </w:r>
          </w:p>
        </w:tc>
      </w:tr>
      <w:tr w:rsidR="00CE1BDB" w:rsidRPr="007F632C" w14:paraId="2D793B94"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6B2F1D86" w14:textId="77777777" w:rsidR="00CE1BDB" w:rsidRPr="007F632C" w:rsidRDefault="00CE1BDB" w:rsidP="007B2FFD">
            <w:pPr>
              <w:spacing w:before="20" w:after="20"/>
              <w:jc w:val="center"/>
              <w:rPr>
                <w:rFonts w:cs="Arial"/>
                <w:color w:val="000000"/>
                <w:sz w:val="22"/>
                <w:szCs w:val="22"/>
              </w:rPr>
            </w:pPr>
            <w:r w:rsidRPr="007F632C">
              <w:rPr>
                <w:rFonts w:cs="Arial"/>
                <w:color w:val="000000"/>
                <w:sz w:val="22"/>
                <w:szCs w:val="22"/>
              </w:rPr>
              <w:t>Total</w:t>
            </w:r>
          </w:p>
        </w:tc>
        <w:tc>
          <w:tcPr>
            <w:tcW w:w="2300" w:type="dxa"/>
            <w:tcBorders>
              <w:top w:val="nil"/>
              <w:left w:val="nil"/>
              <w:bottom w:val="single" w:sz="4" w:space="0" w:color="auto"/>
              <w:right w:val="single" w:sz="4" w:space="0" w:color="auto"/>
            </w:tcBorders>
            <w:shd w:val="clear" w:color="auto" w:fill="auto"/>
            <w:noWrap/>
            <w:vAlign w:val="bottom"/>
            <w:hideMark/>
          </w:tcPr>
          <w:p w14:paraId="098C7D71"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29.4</w:t>
            </w:r>
          </w:p>
        </w:tc>
        <w:tc>
          <w:tcPr>
            <w:tcW w:w="1460" w:type="dxa"/>
            <w:tcBorders>
              <w:top w:val="nil"/>
              <w:left w:val="nil"/>
              <w:bottom w:val="single" w:sz="4" w:space="0" w:color="auto"/>
              <w:right w:val="single" w:sz="4" w:space="0" w:color="auto"/>
            </w:tcBorders>
            <w:shd w:val="clear" w:color="auto" w:fill="auto"/>
            <w:noWrap/>
            <w:vAlign w:val="bottom"/>
            <w:hideMark/>
          </w:tcPr>
          <w:p w14:paraId="6DB510EB"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70.6</w:t>
            </w:r>
          </w:p>
        </w:tc>
        <w:tc>
          <w:tcPr>
            <w:tcW w:w="1560" w:type="dxa"/>
            <w:tcBorders>
              <w:top w:val="nil"/>
              <w:left w:val="nil"/>
              <w:bottom w:val="single" w:sz="4" w:space="0" w:color="auto"/>
              <w:right w:val="single" w:sz="4" w:space="0" w:color="auto"/>
            </w:tcBorders>
            <w:shd w:val="clear" w:color="auto" w:fill="auto"/>
            <w:noWrap/>
            <w:vAlign w:val="bottom"/>
            <w:hideMark/>
          </w:tcPr>
          <w:p w14:paraId="56570267"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63040D25" w14:textId="77777777" w:rsidR="00CE1BDB" w:rsidRPr="007F632C" w:rsidRDefault="00CE1BDB" w:rsidP="007B2FFD">
            <w:pPr>
              <w:spacing w:before="20" w:after="20"/>
              <w:jc w:val="right"/>
              <w:rPr>
                <w:rFonts w:cs="Arial"/>
                <w:color w:val="000000"/>
                <w:sz w:val="22"/>
                <w:szCs w:val="22"/>
              </w:rPr>
            </w:pPr>
          </w:p>
        </w:tc>
      </w:tr>
      <w:tr w:rsidR="00CE1BDB" w:rsidRPr="007F632C" w14:paraId="1D5AF9AC" w14:textId="77777777" w:rsidTr="007B2FFD">
        <w:trPr>
          <w:gridAfter w:val="1"/>
          <w:wAfter w:w="15" w:type="dxa"/>
        </w:trPr>
        <w:tc>
          <w:tcPr>
            <w:tcW w:w="2604" w:type="dxa"/>
            <w:tcBorders>
              <w:top w:val="nil"/>
              <w:left w:val="single" w:sz="4" w:space="0" w:color="auto"/>
              <w:bottom w:val="single" w:sz="4" w:space="0" w:color="auto"/>
              <w:right w:val="single" w:sz="4" w:space="0" w:color="auto"/>
            </w:tcBorders>
            <w:shd w:val="clear" w:color="auto" w:fill="auto"/>
            <w:noWrap/>
            <w:vAlign w:val="bottom"/>
            <w:hideMark/>
          </w:tcPr>
          <w:p w14:paraId="1EEF6F44" w14:textId="77777777" w:rsidR="00CE1BDB" w:rsidRPr="007F632C" w:rsidRDefault="00CE1BDB" w:rsidP="007B2FFD">
            <w:pPr>
              <w:spacing w:before="20" w:after="20"/>
              <w:jc w:val="center"/>
              <w:rPr>
                <w:rFonts w:cs="Arial"/>
                <w:color w:val="000000"/>
                <w:sz w:val="22"/>
                <w:szCs w:val="22"/>
              </w:rPr>
            </w:pPr>
            <w:r w:rsidRPr="007F632C">
              <w:rPr>
                <w:rFonts w:cs="Arial"/>
                <w:color w:val="000000"/>
                <w:sz w:val="22"/>
                <w:szCs w:val="22"/>
              </w:rPr>
              <w:t>Base</w:t>
            </w:r>
          </w:p>
        </w:tc>
        <w:tc>
          <w:tcPr>
            <w:tcW w:w="2300" w:type="dxa"/>
            <w:tcBorders>
              <w:top w:val="nil"/>
              <w:left w:val="nil"/>
              <w:bottom w:val="single" w:sz="4" w:space="0" w:color="auto"/>
              <w:right w:val="single" w:sz="4" w:space="0" w:color="auto"/>
            </w:tcBorders>
            <w:shd w:val="clear" w:color="auto" w:fill="auto"/>
            <w:noWrap/>
            <w:vAlign w:val="bottom"/>
            <w:hideMark/>
          </w:tcPr>
          <w:p w14:paraId="628C36A7"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190</w:t>
            </w:r>
          </w:p>
        </w:tc>
        <w:tc>
          <w:tcPr>
            <w:tcW w:w="1460" w:type="dxa"/>
            <w:tcBorders>
              <w:top w:val="nil"/>
              <w:left w:val="nil"/>
              <w:bottom w:val="single" w:sz="4" w:space="0" w:color="auto"/>
              <w:right w:val="single" w:sz="4" w:space="0" w:color="auto"/>
            </w:tcBorders>
            <w:shd w:val="clear" w:color="auto" w:fill="auto"/>
            <w:noWrap/>
            <w:vAlign w:val="bottom"/>
            <w:hideMark/>
          </w:tcPr>
          <w:p w14:paraId="3819924A"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456</w:t>
            </w:r>
          </w:p>
        </w:tc>
        <w:tc>
          <w:tcPr>
            <w:tcW w:w="1560" w:type="dxa"/>
            <w:tcBorders>
              <w:top w:val="nil"/>
              <w:left w:val="nil"/>
              <w:bottom w:val="single" w:sz="4" w:space="0" w:color="auto"/>
              <w:right w:val="single" w:sz="4" w:space="0" w:color="auto"/>
            </w:tcBorders>
            <w:shd w:val="clear" w:color="auto" w:fill="auto"/>
            <w:noWrap/>
            <w:vAlign w:val="bottom"/>
            <w:hideMark/>
          </w:tcPr>
          <w:p w14:paraId="480DF0C2" w14:textId="77777777" w:rsidR="00CE1BDB" w:rsidRPr="007F632C" w:rsidRDefault="00CE1BDB" w:rsidP="007B2FFD">
            <w:pPr>
              <w:spacing w:before="20" w:after="20"/>
              <w:jc w:val="right"/>
              <w:rPr>
                <w:rFonts w:cs="Arial"/>
                <w:color w:val="000000"/>
                <w:sz w:val="22"/>
                <w:szCs w:val="22"/>
              </w:rPr>
            </w:pPr>
          </w:p>
        </w:tc>
        <w:tc>
          <w:tcPr>
            <w:tcW w:w="1300" w:type="dxa"/>
            <w:tcBorders>
              <w:top w:val="nil"/>
              <w:left w:val="nil"/>
              <w:bottom w:val="single" w:sz="4" w:space="0" w:color="auto"/>
              <w:right w:val="single" w:sz="4" w:space="0" w:color="auto"/>
            </w:tcBorders>
            <w:shd w:val="clear" w:color="auto" w:fill="auto"/>
            <w:noWrap/>
            <w:vAlign w:val="bottom"/>
            <w:hideMark/>
          </w:tcPr>
          <w:p w14:paraId="59DA0E14" w14:textId="77777777" w:rsidR="00CE1BDB" w:rsidRPr="007F632C" w:rsidRDefault="00CE1BDB" w:rsidP="007B2FFD">
            <w:pPr>
              <w:spacing w:before="20" w:after="20"/>
              <w:jc w:val="right"/>
              <w:rPr>
                <w:rFonts w:cs="Arial"/>
                <w:color w:val="000000"/>
                <w:sz w:val="22"/>
                <w:szCs w:val="22"/>
              </w:rPr>
            </w:pPr>
            <w:r w:rsidRPr="007F632C">
              <w:rPr>
                <w:rFonts w:cs="Arial"/>
                <w:color w:val="000000"/>
                <w:sz w:val="22"/>
                <w:szCs w:val="22"/>
              </w:rPr>
              <w:t>646</w:t>
            </w:r>
          </w:p>
        </w:tc>
      </w:tr>
    </w:tbl>
    <w:p w14:paraId="4628FE3F" w14:textId="7D52A51E" w:rsidR="00CE1BDB" w:rsidRPr="00FA4DC7" w:rsidRDefault="00C3107C" w:rsidP="007B2FFD">
      <w:pPr>
        <w:pStyle w:val="Maintext"/>
        <w:numPr>
          <w:ilvl w:val="0"/>
          <w:numId w:val="0"/>
        </w:numPr>
        <w:rPr>
          <w:rFonts w:ascii="Arial" w:hAnsi="Arial" w:cs="Arial"/>
        </w:rPr>
      </w:pPr>
      <w:r>
        <w:rPr>
          <w:rFonts w:ascii="Arial" w:hAnsi="Arial" w:cs="Arial"/>
        </w:rPr>
        <w:t>Source: Council affordable completions data</w:t>
      </w:r>
    </w:p>
    <w:p w14:paraId="4D3BFFC5" w14:textId="1C2443E4" w:rsidR="00CE1BDB" w:rsidRPr="00C3107C" w:rsidRDefault="00CE1BDB" w:rsidP="00C3107C">
      <w:pPr>
        <w:pStyle w:val="Maintext"/>
        <w:numPr>
          <w:ilvl w:val="0"/>
          <w:numId w:val="0"/>
        </w:numPr>
        <w:ind w:left="709"/>
        <w:rPr>
          <w:rFonts w:ascii="Arial" w:hAnsi="Arial" w:cs="Arial"/>
        </w:rPr>
      </w:pPr>
    </w:p>
    <w:p w14:paraId="1EF752FE" w14:textId="10479DDC" w:rsidR="00C3107C" w:rsidRPr="00CD2BF8" w:rsidRDefault="00C3107C" w:rsidP="00C3107C">
      <w:pPr>
        <w:pStyle w:val="Maintext"/>
        <w:numPr>
          <w:ilvl w:val="1"/>
          <w:numId w:val="72"/>
        </w:numPr>
        <w:rPr>
          <w:rFonts w:ascii="Arial" w:hAnsi="Arial" w:cs="Arial"/>
        </w:rPr>
      </w:pPr>
      <w:r w:rsidRPr="00CD2BF8">
        <w:rPr>
          <w:rFonts w:ascii="Arial" w:hAnsi="Arial" w:cs="Arial"/>
        </w:rPr>
        <w:t>Table C1</w:t>
      </w:r>
      <w:r>
        <w:rPr>
          <w:rFonts w:ascii="Arial" w:hAnsi="Arial" w:cs="Arial"/>
        </w:rPr>
        <w:t>4</w:t>
      </w:r>
      <w:r w:rsidRPr="00CD2BF8">
        <w:rPr>
          <w:rFonts w:ascii="Arial" w:hAnsi="Arial" w:cs="Arial"/>
        </w:rPr>
        <w:t xml:space="preserve"> provides a recommended profile of affordable home ownership dwellings based on the arc4 national database</w:t>
      </w:r>
      <w:r w:rsidR="000E6448">
        <w:rPr>
          <w:rFonts w:ascii="Arial" w:hAnsi="Arial" w:cs="Arial"/>
        </w:rPr>
        <w:t>.</w:t>
      </w:r>
      <w:r w:rsidRPr="00CD2BF8">
        <w:rPr>
          <w:rFonts w:ascii="Arial" w:hAnsi="Arial" w:cs="Arial"/>
        </w:rPr>
        <w:t xml:space="preserve"> </w:t>
      </w:r>
    </w:p>
    <w:p w14:paraId="6BDE7D14" w14:textId="77777777" w:rsidR="00C3107C" w:rsidRPr="00CD2BF8" w:rsidRDefault="00C3107C" w:rsidP="00C3107C">
      <w:pPr>
        <w:pStyle w:val="Maintext"/>
        <w:numPr>
          <w:ilvl w:val="0"/>
          <w:numId w:val="0"/>
        </w:numPr>
        <w:rPr>
          <w:rFonts w:ascii="Arial" w:hAnsi="Arial" w:cs="Arial"/>
          <w:highlight w:val="yellow"/>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42"/>
        <w:gridCol w:w="2127"/>
        <w:gridCol w:w="1702"/>
        <w:gridCol w:w="1418"/>
        <w:gridCol w:w="1381"/>
      </w:tblGrid>
      <w:tr w:rsidR="007B2FFD" w:rsidRPr="007B2FFD" w14:paraId="67FD249B" w14:textId="77777777" w:rsidTr="007B2FFD">
        <w:tc>
          <w:tcPr>
            <w:tcW w:w="5000" w:type="pct"/>
            <w:gridSpan w:val="5"/>
            <w:shd w:val="clear" w:color="auto" w:fill="006666"/>
            <w:noWrap/>
            <w:vAlign w:val="bottom"/>
          </w:tcPr>
          <w:p w14:paraId="39901833" w14:textId="7D07A4C4" w:rsidR="007B2FFD" w:rsidRPr="007B2FFD" w:rsidRDefault="007B2FFD" w:rsidP="007B2FFD">
            <w:pPr>
              <w:pStyle w:val="Tableheading1"/>
            </w:pPr>
            <w:bookmarkStart w:id="595" w:name="_Toc82626003"/>
            <w:bookmarkStart w:id="596" w:name="_Toc83036135"/>
            <w:r w:rsidRPr="007B2FFD">
              <w:t xml:space="preserve">Table C14 </w:t>
            </w:r>
            <w:r w:rsidRPr="007B2FFD">
              <w:tab/>
              <w:t>Recommended profile of affordable home ownership dwellings</w:t>
            </w:r>
            <w:bookmarkEnd w:id="595"/>
            <w:bookmarkEnd w:id="596"/>
          </w:p>
        </w:tc>
      </w:tr>
      <w:tr w:rsidR="007B2FFD" w:rsidRPr="007B2FFD" w14:paraId="172F04CE" w14:textId="1AEB7D18" w:rsidTr="007B2FFD">
        <w:tc>
          <w:tcPr>
            <w:tcW w:w="1386" w:type="pct"/>
            <w:shd w:val="clear" w:color="auto" w:fill="006666"/>
            <w:noWrap/>
            <w:vAlign w:val="center"/>
          </w:tcPr>
          <w:p w14:paraId="1F36DAC5" w14:textId="30488504" w:rsidR="007B2FFD" w:rsidRPr="007B2FFD" w:rsidRDefault="007B2FFD" w:rsidP="0047100B">
            <w:pPr>
              <w:spacing w:before="20" w:after="20"/>
              <w:jc w:val="center"/>
            </w:pPr>
            <w:r w:rsidRPr="007B2FFD">
              <w:rPr>
                <w:rFonts w:cs="Arial"/>
                <w:b/>
                <w:bCs/>
                <w:color w:val="FFFFFF"/>
                <w:sz w:val="22"/>
                <w:szCs w:val="22"/>
              </w:rPr>
              <w:t>Number of bedrooms</w:t>
            </w:r>
          </w:p>
        </w:tc>
        <w:tc>
          <w:tcPr>
            <w:tcW w:w="1160" w:type="pct"/>
            <w:shd w:val="clear" w:color="auto" w:fill="006666"/>
            <w:vAlign w:val="bottom"/>
          </w:tcPr>
          <w:p w14:paraId="1D1A5B58" w14:textId="769E5FAF" w:rsidR="007B2FFD" w:rsidRPr="007B2FFD" w:rsidRDefault="007B2FFD" w:rsidP="0047100B">
            <w:pPr>
              <w:spacing w:before="20" w:after="20"/>
              <w:jc w:val="center"/>
            </w:pPr>
            <w:r w:rsidRPr="007B2FFD">
              <w:rPr>
                <w:rFonts w:cs="Arial"/>
                <w:b/>
                <w:bCs/>
                <w:color w:val="FFFFFF"/>
                <w:sz w:val="22"/>
                <w:szCs w:val="22"/>
              </w:rPr>
              <w:t xml:space="preserve">% </w:t>
            </w:r>
            <w:proofErr w:type="gramStart"/>
            <w:r w:rsidRPr="007B2FFD">
              <w:rPr>
                <w:rFonts w:cs="Arial"/>
                <w:b/>
                <w:bCs/>
                <w:color w:val="FFFFFF"/>
                <w:sz w:val="22"/>
                <w:szCs w:val="22"/>
              </w:rPr>
              <w:t>of</w:t>
            </w:r>
            <w:proofErr w:type="gramEnd"/>
            <w:r w:rsidRPr="007B2FFD">
              <w:rPr>
                <w:rFonts w:cs="Arial"/>
                <w:b/>
                <w:bCs/>
                <w:color w:val="FFFFFF"/>
                <w:sz w:val="22"/>
                <w:szCs w:val="22"/>
              </w:rPr>
              <w:t xml:space="preserve"> dwellings</w:t>
            </w:r>
          </w:p>
        </w:tc>
        <w:tc>
          <w:tcPr>
            <w:tcW w:w="2454" w:type="pct"/>
            <w:gridSpan w:val="3"/>
            <w:shd w:val="clear" w:color="auto" w:fill="006666"/>
          </w:tcPr>
          <w:p w14:paraId="572ABD23" w14:textId="6FCF835E" w:rsidR="007B2FFD" w:rsidRPr="007B2FFD" w:rsidRDefault="007B2FFD" w:rsidP="000957EE">
            <w:pPr>
              <w:spacing w:before="20" w:after="20"/>
              <w:jc w:val="center"/>
            </w:pPr>
            <w:r w:rsidRPr="000957EE">
              <w:rPr>
                <w:rFonts w:cs="Arial"/>
                <w:b/>
                <w:bCs/>
                <w:color w:val="FFFFFF"/>
                <w:sz w:val="22"/>
                <w:szCs w:val="22"/>
              </w:rPr>
              <w:t>Suggested dwelling stock</w:t>
            </w:r>
          </w:p>
        </w:tc>
      </w:tr>
      <w:tr w:rsidR="007B2FFD" w:rsidRPr="007B2FFD" w14:paraId="6AEC37A7" w14:textId="77C22158" w:rsidTr="007B2FFD">
        <w:tc>
          <w:tcPr>
            <w:tcW w:w="1386" w:type="pct"/>
            <w:shd w:val="clear" w:color="auto" w:fill="FFFFFF" w:themeFill="background1"/>
            <w:noWrap/>
            <w:vAlign w:val="center"/>
          </w:tcPr>
          <w:p w14:paraId="01D81168" w14:textId="2CABFF2A" w:rsidR="007B2FFD" w:rsidRPr="007B2FFD" w:rsidRDefault="007B2FFD" w:rsidP="007B2FFD">
            <w:pPr>
              <w:spacing w:before="20" w:after="20"/>
              <w:jc w:val="center"/>
              <w:rPr>
                <w:rFonts w:cs="Arial"/>
                <w:b/>
                <w:bCs/>
                <w:color w:val="000000" w:themeColor="text1"/>
                <w:sz w:val="22"/>
                <w:szCs w:val="22"/>
              </w:rPr>
            </w:pPr>
          </w:p>
        </w:tc>
        <w:tc>
          <w:tcPr>
            <w:tcW w:w="1160" w:type="pct"/>
            <w:shd w:val="clear" w:color="auto" w:fill="FFFFFF" w:themeFill="background1"/>
            <w:vAlign w:val="center"/>
          </w:tcPr>
          <w:p w14:paraId="56AAA0EB" w14:textId="1D1CD830" w:rsidR="007B2FFD" w:rsidRPr="007B2FFD" w:rsidRDefault="007B2FFD" w:rsidP="007B2FFD">
            <w:pPr>
              <w:spacing w:before="20" w:after="20"/>
              <w:jc w:val="center"/>
              <w:rPr>
                <w:rFonts w:cs="Arial"/>
                <w:b/>
                <w:bCs/>
                <w:color w:val="000000" w:themeColor="text1"/>
                <w:sz w:val="22"/>
                <w:szCs w:val="22"/>
              </w:rPr>
            </w:pPr>
          </w:p>
        </w:tc>
        <w:tc>
          <w:tcPr>
            <w:tcW w:w="928" w:type="pct"/>
            <w:shd w:val="clear" w:color="auto" w:fill="FFFFFF" w:themeFill="background1"/>
          </w:tcPr>
          <w:p w14:paraId="2198938B" w14:textId="59E28AC0" w:rsidR="007B2FFD" w:rsidRPr="007B2FFD" w:rsidRDefault="007B2FFD" w:rsidP="007B2FFD">
            <w:pPr>
              <w:spacing w:before="20" w:after="20"/>
              <w:jc w:val="center"/>
              <w:rPr>
                <w:rFonts w:cs="Arial"/>
                <w:b/>
                <w:bCs/>
                <w:color w:val="000000" w:themeColor="text1"/>
                <w:sz w:val="22"/>
                <w:szCs w:val="22"/>
              </w:rPr>
            </w:pPr>
            <w:r w:rsidRPr="007B2FFD">
              <w:rPr>
                <w:rFonts w:cs="Arial"/>
                <w:b/>
                <w:bCs/>
                <w:color w:val="000000" w:themeColor="text1"/>
                <w:sz w:val="22"/>
                <w:szCs w:val="22"/>
              </w:rPr>
              <w:t>House</w:t>
            </w:r>
          </w:p>
        </w:tc>
        <w:tc>
          <w:tcPr>
            <w:tcW w:w="773" w:type="pct"/>
            <w:shd w:val="clear" w:color="auto" w:fill="FFFFFF" w:themeFill="background1"/>
          </w:tcPr>
          <w:p w14:paraId="0B53F9B2" w14:textId="49EEA298" w:rsidR="007B2FFD" w:rsidRPr="007B2FFD" w:rsidRDefault="007B2FFD" w:rsidP="007B2FFD">
            <w:pPr>
              <w:spacing w:before="20" w:after="20"/>
              <w:jc w:val="center"/>
              <w:rPr>
                <w:rFonts w:cs="Arial"/>
                <w:b/>
                <w:bCs/>
                <w:color w:val="000000" w:themeColor="text1"/>
                <w:sz w:val="22"/>
                <w:szCs w:val="22"/>
              </w:rPr>
            </w:pPr>
            <w:r w:rsidRPr="007B2FFD">
              <w:rPr>
                <w:rFonts w:cs="Arial"/>
                <w:b/>
                <w:bCs/>
                <w:color w:val="000000" w:themeColor="text1"/>
                <w:sz w:val="22"/>
                <w:szCs w:val="22"/>
              </w:rPr>
              <w:t>Flat</w:t>
            </w:r>
          </w:p>
        </w:tc>
        <w:tc>
          <w:tcPr>
            <w:tcW w:w="753" w:type="pct"/>
            <w:shd w:val="clear" w:color="auto" w:fill="FFFFFF" w:themeFill="background1"/>
          </w:tcPr>
          <w:p w14:paraId="1374A190" w14:textId="79447637" w:rsidR="007B2FFD" w:rsidRPr="007B2FFD" w:rsidRDefault="007B2FFD" w:rsidP="007B2FFD">
            <w:pPr>
              <w:spacing w:before="20" w:after="20"/>
              <w:jc w:val="center"/>
              <w:rPr>
                <w:rFonts w:cs="Arial"/>
                <w:b/>
                <w:bCs/>
                <w:color w:val="000000" w:themeColor="text1"/>
                <w:sz w:val="22"/>
                <w:szCs w:val="22"/>
              </w:rPr>
            </w:pPr>
            <w:r w:rsidRPr="007B2FFD">
              <w:rPr>
                <w:rFonts w:cs="Arial"/>
                <w:b/>
                <w:bCs/>
                <w:color w:val="000000" w:themeColor="text1"/>
                <w:sz w:val="22"/>
                <w:szCs w:val="22"/>
              </w:rPr>
              <w:t>Bungalow</w:t>
            </w:r>
          </w:p>
        </w:tc>
      </w:tr>
      <w:tr w:rsidR="007B2FFD" w:rsidRPr="007B2FFD" w14:paraId="704FD829" w14:textId="4CC54215" w:rsidTr="007B2FFD">
        <w:tc>
          <w:tcPr>
            <w:tcW w:w="1386" w:type="pct"/>
            <w:shd w:val="clear" w:color="auto" w:fill="auto"/>
            <w:noWrap/>
            <w:vAlign w:val="bottom"/>
            <w:hideMark/>
          </w:tcPr>
          <w:p w14:paraId="031FF98F" w14:textId="77777777" w:rsidR="007B2FFD" w:rsidRPr="007B2FFD" w:rsidRDefault="007B2FFD" w:rsidP="007B2FFD">
            <w:pPr>
              <w:spacing w:before="20" w:after="20"/>
              <w:jc w:val="center"/>
              <w:rPr>
                <w:rFonts w:cs="Arial"/>
                <w:color w:val="000000"/>
                <w:sz w:val="22"/>
                <w:szCs w:val="22"/>
              </w:rPr>
            </w:pPr>
            <w:r w:rsidRPr="007B2FFD">
              <w:rPr>
                <w:rFonts w:cs="Arial"/>
                <w:color w:val="000000"/>
                <w:sz w:val="22"/>
                <w:szCs w:val="22"/>
              </w:rPr>
              <w:t>1</w:t>
            </w:r>
          </w:p>
        </w:tc>
        <w:tc>
          <w:tcPr>
            <w:tcW w:w="1160" w:type="pct"/>
            <w:shd w:val="clear" w:color="auto" w:fill="auto"/>
            <w:noWrap/>
          </w:tcPr>
          <w:p w14:paraId="454E84F7" w14:textId="77777777" w:rsidR="007B2FFD" w:rsidRPr="007B2FFD" w:rsidRDefault="007B2FFD" w:rsidP="0047100B">
            <w:pPr>
              <w:spacing w:before="20" w:after="20"/>
              <w:jc w:val="right"/>
              <w:rPr>
                <w:rFonts w:cs="Arial"/>
                <w:color w:val="000000"/>
                <w:sz w:val="22"/>
                <w:szCs w:val="22"/>
              </w:rPr>
            </w:pPr>
            <w:r w:rsidRPr="007B2FFD">
              <w:rPr>
                <w:rFonts w:cs="Arial"/>
                <w:sz w:val="22"/>
                <w:szCs w:val="22"/>
              </w:rPr>
              <w:t>10%</w:t>
            </w:r>
          </w:p>
        </w:tc>
        <w:tc>
          <w:tcPr>
            <w:tcW w:w="928" w:type="pct"/>
          </w:tcPr>
          <w:p w14:paraId="26F287A2" w14:textId="4214479A" w:rsidR="007B2FFD" w:rsidRPr="007B2FFD" w:rsidRDefault="007B2FFD" w:rsidP="0047100B">
            <w:pPr>
              <w:spacing w:before="20" w:after="20"/>
              <w:jc w:val="right"/>
              <w:rPr>
                <w:rFonts w:cs="Arial"/>
                <w:sz w:val="22"/>
                <w:szCs w:val="22"/>
              </w:rPr>
            </w:pPr>
            <w:r w:rsidRPr="007B2FFD">
              <w:rPr>
                <w:rFonts w:cs="Arial"/>
                <w:sz w:val="22"/>
                <w:szCs w:val="22"/>
              </w:rPr>
              <w:t>5%</w:t>
            </w:r>
          </w:p>
        </w:tc>
        <w:tc>
          <w:tcPr>
            <w:tcW w:w="773" w:type="pct"/>
          </w:tcPr>
          <w:p w14:paraId="7DAB1D7E" w14:textId="40B22FC8" w:rsidR="007B2FFD" w:rsidRPr="007B2FFD" w:rsidRDefault="007B2FFD" w:rsidP="0047100B">
            <w:pPr>
              <w:spacing w:before="20" w:after="20"/>
              <w:jc w:val="right"/>
              <w:rPr>
                <w:rFonts w:cs="Arial"/>
                <w:sz w:val="22"/>
                <w:szCs w:val="22"/>
              </w:rPr>
            </w:pPr>
            <w:r w:rsidRPr="007B2FFD">
              <w:rPr>
                <w:rFonts w:cs="Arial"/>
                <w:sz w:val="22"/>
                <w:szCs w:val="22"/>
              </w:rPr>
              <w:t>0%</w:t>
            </w:r>
          </w:p>
        </w:tc>
        <w:tc>
          <w:tcPr>
            <w:tcW w:w="753" w:type="pct"/>
          </w:tcPr>
          <w:p w14:paraId="10F75C3A" w14:textId="427D4F45" w:rsidR="007B2FFD" w:rsidRPr="007B2FFD" w:rsidRDefault="007B2FFD" w:rsidP="0047100B">
            <w:pPr>
              <w:spacing w:before="20" w:after="20"/>
              <w:jc w:val="right"/>
              <w:rPr>
                <w:rFonts w:cs="Arial"/>
                <w:sz w:val="22"/>
                <w:szCs w:val="22"/>
              </w:rPr>
            </w:pPr>
            <w:r w:rsidRPr="007B2FFD">
              <w:rPr>
                <w:rFonts w:cs="Arial"/>
                <w:sz w:val="22"/>
                <w:szCs w:val="22"/>
              </w:rPr>
              <w:t>5%</w:t>
            </w:r>
          </w:p>
        </w:tc>
      </w:tr>
      <w:tr w:rsidR="007B2FFD" w:rsidRPr="007B2FFD" w14:paraId="1322DBD6" w14:textId="76ED3C0E" w:rsidTr="007B2FFD">
        <w:tc>
          <w:tcPr>
            <w:tcW w:w="1386" w:type="pct"/>
            <w:shd w:val="clear" w:color="auto" w:fill="auto"/>
            <w:noWrap/>
            <w:vAlign w:val="bottom"/>
            <w:hideMark/>
          </w:tcPr>
          <w:p w14:paraId="42249455" w14:textId="77777777" w:rsidR="007B2FFD" w:rsidRPr="007B2FFD" w:rsidRDefault="007B2FFD" w:rsidP="007B2FFD">
            <w:pPr>
              <w:spacing w:before="20" w:after="20"/>
              <w:jc w:val="center"/>
              <w:rPr>
                <w:rFonts w:cs="Arial"/>
                <w:color w:val="000000"/>
                <w:sz w:val="22"/>
                <w:szCs w:val="22"/>
              </w:rPr>
            </w:pPr>
            <w:r w:rsidRPr="007B2FFD">
              <w:rPr>
                <w:rFonts w:cs="Arial"/>
                <w:color w:val="000000"/>
                <w:sz w:val="22"/>
                <w:szCs w:val="22"/>
              </w:rPr>
              <w:t>2</w:t>
            </w:r>
          </w:p>
        </w:tc>
        <w:tc>
          <w:tcPr>
            <w:tcW w:w="1160" w:type="pct"/>
            <w:shd w:val="clear" w:color="auto" w:fill="auto"/>
            <w:noWrap/>
          </w:tcPr>
          <w:p w14:paraId="6223D157" w14:textId="77777777" w:rsidR="007B2FFD" w:rsidRPr="007B2FFD" w:rsidRDefault="007B2FFD" w:rsidP="0047100B">
            <w:pPr>
              <w:spacing w:before="20" w:after="20"/>
              <w:jc w:val="right"/>
              <w:rPr>
                <w:rFonts w:cs="Arial"/>
                <w:color w:val="000000"/>
                <w:sz w:val="22"/>
                <w:szCs w:val="22"/>
              </w:rPr>
            </w:pPr>
            <w:r w:rsidRPr="007B2FFD">
              <w:rPr>
                <w:rFonts w:cs="Arial"/>
                <w:sz w:val="22"/>
                <w:szCs w:val="22"/>
              </w:rPr>
              <w:t>40%</w:t>
            </w:r>
          </w:p>
        </w:tc>
        <w:tc>
          <w:tcPr>
            <w:tcW w:w="928" w:type="pct"/>
          </w:tcPr>
          <w:p w14:paraId="53CBCA5F" w14:textId="76BCABAB" w:rsidR="007B2FFD" w:rsidRPr="007B2FFD" w:rsidRDefault="007B2FFD" w:rsidP="0047100B">
            <w:pPr>
              <w:spacing w:before="20" w:after="20"/>
              <w:jc w:val="right"/>
              <w:rPr>
                <w:rFonts w:cs="Arial"/>
                <w:sz w:val="22"/>
                <w:szCs w:val="22"/>
              </w:rPr>
            </w:pPr>
            <w:r w:rsidRPr="007B2FFD">
              <w:rPr>
                <w:rFonts w:cs="Arial"/>
                <w:sz w:val="22"/>
                <w:szCs w:val="22"/>
              </w:rPr>
              <w:t>20%</w:t>
            </w:r>
          </w:p>
        </w:tc>
        <w:tc>
          <w:tcPr>
            <w:tcW w:w="773" w:type="pct"/>
          </w:tcPr>
          <w:p w14:paraId="54FB1E77" w14:textId="55FA9A80" w:rsidR="007B2FFD" w:rsidRPr="007B2FFD" w:rsidRDefault="007B2FFD" w:rsidP="0047100B">
            <w:pPr>
              <w:spacing w:before="20" w:after="20"/>
              <w:jc w:val="right"/>
              <w:rPr>
                <w:rFonts w:cs="Arial"/>
                <w:sz w:val="22"/>
                <w:szCs w:val="22"/>
              </w:rPr>
            </w:pPr>
            <w:r w:rsidRPr="007B2FFD">
              <w:rPr>
                <w:rFonts w:cs="Arial"/>
                <w:sz w:val="22"/>
                <w:szCs w:val="22"/>
              </w:rPr>
              <w:t>15%</w:t>
            </w:r>
          </w:p>
        </w:tc>
        <w:tc>
          <w:tcPr>
            <w:tcW w:w="753" w:type="pct"/>
          </w:tcPr>
          <w:p w14:paraId="36B0FC33" w14:textId="0898BF96" w:rsidR="007B2FFD" w:rsidRPr="007B2FFD" w:rsidRDefault="007B2FFD" w:rsidP="0047100B">
            <w:pPr>
              <w:spacing w:before="20" w:after="20"/>
              <w:jc w:val="right"/>
              <w:rPr>
                <w:rFonts w:cs="Arial"/>
                <w:sz w:val="22"/>
                <w:szCs w:val="22"/>
              </w:rPr>
            </w:pPr>
            <w:r w:rsidRPr="007B2FFD">
              <w:rPr>
                <w:rFonts w:cs="Arial"/>
                <w:sz w:val="22"/>
                <w:szCs w:val="22"/>
              </w:rPr>
              <w:t>5%</w:t>
            </w:r>
          </w:p>
        </w:tc>
      </w:tr>
      <w:tr w:rsidR="007B2FFD" w:rsidRPr="007B2FFD" w14:paraId="0B221ADC" w14:textId="75E2E4C0" w:rsidTr="007B2FFD">
        <w:tc>
          <w:tcPr>
            <w:tcW w:w="1386" w:type="pct"/>
            <w:shd w:val="clear" w:color="auto" w:fill="auto"/>
            <w:noWrap/>
            <w:vAlign w:val="bottom"/>
            <w:hideMark/>
          </w:tcPr>
          <w:p w14:paraId="3B58636E" w14:textId="77777777" w:rsidR="007B2FFD" w:rsidRPr="007B2FFD" w:rsidRDefault="007B2FFD" w:rsidP="007B2FFD">
            <w:pPr>
              <w:spacing w:before="20" w:after="20"/>
              <w:jc w:val="center"/>
              <w:rPr>
                <w:rFonts w:cs="Arial"/>
                <w:color w:val="000000"/>
                <w:sz w:val="22"/>
                <w:szCs w:val="22"/>
              </w:rPr>
            </w:pPr>
            <w:r w:rsidRPr="007B2FFD">
              <w:rPr>
                <w:rFonts w:cs="Arial"/>
                <w:color w:val="000000"/>
                <w:sz w:val="22"/>
                <w:szCs w:val="22"/>
              </w:rPr>
              <w:t>3</w:t>
            </w:r>
          </w:p>
        </w:tc>
        <w:tc>
          <w:tcPr>
            <w:tcW w:w="1160" w:type="pct"/>
            <w:shd w:val="clear" w:color="auto" w:fill="auto"/>
            <w:noWrap/>
          </w:tcPr>
          <w:p w14:paraId="41DE6053" w14:textId="77777777" w:rsidR="007B2FFD" w:rsidRPr="007B2FFD" w:rsidRDefault="007B2FFD" w:rsidP="0047100B">
            <w:pPr>
              <w:spacing w:before="20" w:after="20"/>
              <w:jc w:val="right"/>
              <w:rPr>
                <w:rFonts w:cs="Arial"/>
                <w:color w:val="000000"/>
                <w:sz w:val="22"/>
                <w:szCs w:val="22"/>
              </w:rPr>
            </w:pPr>
            <w:r w:rsidRPr="007B2FFD">
              <w:rPr>
                <w:rFonts w:cs="Arial"/>
                <w:sz w:val="22"/>
                <w:szCs w:val="22"/>
              </w:rPr>
              <w:t>35%</w:t>
            </w:r>
          </w:p>
        </w:tc>
        <w:tc>
          <w:tcPr>
            <w:tcW w:w="928" w:type="pct"/>
          </w:tcPr>
          <w:p w14:paraId="6EEE5FA4" w14:textId="763AFF40" w:rsidR="007B2FFD" w:rsidRPr="007B2FFD" w:rsidRDefault="007B2FFD" w:rsidP="0047100B">
            <w:pPr>
              <w:spacing w:before="20" w:after="20"/>
              <w:jc w:val="right"/>
              <w:rPr>
                <w:rFonts w:cs="Arial"/>
                <w:sz w:val="22"/>
                <w:szCs w:val="22"/>
              </w:rPr>
            </w:pPr>
            <w:r w:rsidRPr="007B2FFD">
              <w:rPr>
                <w:rFonts w:cs="Arial"/>
                <w:sz w:val="22"/>
                <w:szCs w:val="22"/>
              </w:rPr>
              <w:t>35%</w:t>
            </w:r>
          </w:p>
        </w:tc>
        <w:tc>
          <w:tcPr>
            <w:tcW w:w="773" w:type="pct"/>
          </w:tcPr>
          <w:p w14:paraId="037CC558" w14:textId="77777777" w:rsidR="007B2FFD" w:rsidRPr="007B2FFD" w:rsidRDefault="007B2FFD" w:rsidP="0047100B">
            <w:pPr>
              <w:spacing w:before="20" w:after="20"/>
              <w:jc w:val="right"/>
              <w:rPr>
                <w:rFonts w:cs="Arial"/>
                <w:sz w:val="22"/>
                <w:szCs w:val="22"/>
              </w:rPr>
            </w:pPr>
          </w:p>
        </w:tc>
        <w:tc>
          <w:tcPr>
            <w:tcW w:w="753" w:type="pct"/>
          </w:tcPr>
          <w:p w14:paraId="1C060107" w14:textId="40CC94FF" w:rsidR="007B2FFD" w:rsidRPr="007B2FFD" w:rsidRDefault="007B2FFD" w:rsidP="0047100B">
            <w:pPr>
              <w:spacing w:before="20" w:after="20"/>
              <w:jc w:val="right"/>
              <w:rPr>
                <w:rFonts w:cs="Arial"/>
                <w:sz w:val="22"/>
                <w:szCs w:val="22"/>
              </w:rPr>
            </w:pPr>
          </w:p>
        </w:tc>
      </w:tr>
      <w:tr w:rsidR="007B2FFD" w:rsidRPr="007B2FFD" w14:paraId="1EDDE2DA" w14:textId="56ADFE7F" w:rsidTr="007B2FFD">
        <w:tc>
          <w:tcPr>
            <w:tcW w:w="1386" w:type="pct"/>
            <w:shd w:val="clear" w:color="auto" w:fill="auto"/>
            <w:noWrap/>
            <w:vAlign w:val="bottom"/>
            <w:hideMark/>
          </w:tcPr>
          <w:p w14:paraId="366D2112" w14:textId="77777777" w:rsidR="007B2FFD" w:rsidRPr="007B2FFD" w:rsidRDefault="007B2FFD" w:rsidP="007B2FFD">
            <w:pPr>
              <w:spacing w:before="20" w:after="20"/>
              <w:jc w:val="center"/>
              <w:rPr>
                <w:rFonts w:cs="Arial"/>
                <w:color w:val="000000"/>
                <w:sz w:val="22"/>
                <w:szCs w:val="22"/>
              </w:rPr>
            </w:pPr>
            <w:r w:rsidRPr="007B2FFD">
              <w:rPr>
                <w:rFonts w:cs="Arial"/>
                <w:color w:val="000000"/>
                <w:sz w:val="22"/>
                <w:szCs w:val="22"/>
              </w:rPr>
              <w:t>4</w:t>
            </w:r>
          </w:p>
        </w:tc>
        <w:tc>
          <w:tcPr>
            <w:tcW w:w="1160" w:type="pct"/>
            <w:shd w:val="clear" w:color="auto" w:fill="auto"/>
            <w:noWrap/>
          </w:tcPr>
          <w:p w14:paraId="2AC6920E" w14:textId="77777777" w:rsidR="007B2FFD" w:rsidRPr="007B2FFD" w:rsidRDefault="007B2FFD" w:rsidP="0047100B">
            <w:pPr>
              <w:spacing w:before="20" w:after="20"/>
              <w:jc w:val="right"/>
              <w:rPr>
                <w:rFonts w:cs="Arial"/>
                <w:color w:val="000000"/>
                <w:sz w:val="22"/>
                <w:szCs w:val="22"/>
              </w:rPr>
            </w:pPr>
            <w:r w:rsidRPr="007B2FFD">
              <w:rPr>
                <w:rFonts w:cs="Arial"/>
                <w:sz w:val="22"/>
                <w:szCs w:val="22"/>
              </w:rPr>
              <w:t>15%</w:t>
            </w:r>
          </w:p>
        </w:tc>
        <w:tc>
          <w:tcPr>
            <w:tcW w:w="928" w:type="pct"/>
          </w:tcPr>
          <w:p w14:paraId="7E7F2FF9" w14:textId="05777914" w:rsidR="007B2FFD" w:rsidRPr="007B2FFD" w:rsidRDefault="007B2FFD" w:rsidP="0047100B">
            <w:pPr>
              <w:spacing w:before="20" w:after="20"/>
              <w:jc w:val="right"/>
              <w:rPr>
                <w:rFonts w:cs="Arial"/>
                <w:sz w:val="22"/>
                <w:szCs w:val="22"/>
              </w:rPr>
            </w:pPr>
            <w:r w:rsidRPr="007B2FFD">
              <w:rPr>
                <w:rFonts w:cs="Arial"/>
                <w:sz w:val="22"/>
                <w:szCs w:val="22"/>
              </w:rPr>
              <w:t>15%</w:t>
            </w:r>
          </w:p>
        </w:tc>
        <w:tc>
          <w:tcPr>
            <w:tcW w:w="773" w:type="pct"/>
          </w:tcPr>
          <w:p w14:paraId="212BE4C0" w14:textId="77777777" w:rsidR="007B2FFD" w:rsidRPr="007B2FFD" w:rsidRDefault="007B2FFD" w:rsidP="0047100B">
            <w:pPr>
              <w:spacing w:before="20" w:after="20"/>
              <w:jc w:val="right"/>
              <w:rPr>
                <w:rFonts w:cs="Arial"/>
                <w:sz w:val="22"/>
                <w:szCs w:val="22"/>
              </w:rPr>
            </w:pPr>
          </w:p>
        </w:tc>
        <w:tc>
          <w:tcPr>
            <w:tcW w:w="753" w:type="pct"/>
          </w:tcPr>
          <w:p w14:paraId="2BEE2D3A" w14:textId="64AB781D" w:rsidR="007B2FFD" w:rsidRPr="007B2FFD" w:rsidRDefault="007B2FFD" w:rsidP="0047100B">
            <w:pPr>
              <w:spacing w:before="20" w:after="20"/>
              <w:jc w:val="right"/>
              <w:rPr>
                <w:rFonts w:cs="Arial"/>
                <w:sz w:val="22"/>
                <w:szCs w:val="22"/>
              </w:rPr>
            </w:pPr>
          </w:p>
        </w:tc>
      </w:tr>
      <w:tr w:rsidR="007B2FFD" w:rsidRPr="007B2FFD" w14:paraId="7FEFF595" w14:textId="3965EFEE" w:rsidTr="007B2FFD">
        <w:tc>
          <w:tcPr>
            <w:tcW w:w="1386" w:type="pct"/>
            <w:shd w:val="clear" w:color="auto" w:fill="auto"/>
            <w:noWrap/>
            <w:vAlign w:val="bottom"/>
            <w:hideMark/>
          </w:tcPr>
          <w:p w14:paraId="41548EC6" w14:textId="77777777" w:rsidR="007B2FFD" w:rsidRPr="007B2FFD" w:rsidRDefault="007B2FFD" w:rsidP="007B2FFD">
            <w:pPr>
              <w:spacing w:before="20" w:after="20"/>
              <w:jc w:val="center"/>
              <w:rPr>
                <w:rFonts w:cs="Arial"/>
                <w:color w:val="000000"/>
                <w:sz w:val="22"/>
                <w:szCs w:val="22"/>
              </w:rPr>
            </w:pPr>
            <w:r w:rsidRPr="007B2FFD">
              <w:rPr>
                <w:rFonts w:cs="Arial"/>
                <w:color w:val="000000"/>
                <w:sz w:val="22"/>
                <w:szCs w:val="22"/>
              </w:rPr>
              <w:t>Total</w:t>
            </w:r>
          </w:p>
        </w:tc>
        <w:tc>
          <w:tcPr>
            <w:tcW w:w="1160" w:type="pct"/>
            <w:shd w:val="clear" w:color="auto" w:fill="auto"/>
            <w:noWrap/>
          </w:tcPr>
          <w:p w14:paraId="21B0350D" w14:textId="77777777" w:rsidR="007B2FFD" w:rsidRPr="007B2FFD" w:rsidRDefault="007B2FFD" w:rsidP="0047100B">
            <w:pPr>
              <w:spacing w:before="20" w:after="20"/>
              <w:jc w:val="right"/>
              <w:rPr>
                <w:rFonts w:cs="Arial"/>
                <w:color w:val="000000"/>
                <w:sz w:val="22"/>
                <w:szCs w:val="22"/>
              </w:rPr>
            </w:pPr>
            <w:r w:rsidRPr="007B2FFD">
              <w:rPr>
                <w:rFonts w:cs="Arial"/>
                <w:sz w:val="22"/>
                <w:szCs w:val="22"/>
              </w:rPr>
              <w:t>100%</w:t>
            </w:r>
          </w:p>
        </w:tc>
        <w:tc>
          <w:tcPr>
            <w:tcW w:w="928" w:type="pct"/>
          </w:tcPr>
          <w:p w14:paraId="3D18795A" w14:textId="397DA9F6" w:rsidR="007B2FFD" w:rsidRPr="007B2FFD" w:rsidRDefault="007B2FFD" w:rsidP="0047100B">
            <w:pPr>
              <w:spacing w:before="20" w:after="20"/>
              <w:jc w:val="right"/>
              <w:rPr>
                <w:rFonts w:cs="Arial"/>
                <w:sz w:val="22"/>
                <w:szCs w:val="22"/>
              </w:rPr>
            </w:pPr>
            <w:r w:rsidRPr="007B2FFD">
              <w:rPr>
                <w:rFonts w:cs="Arial"/>
                <w:sz w:val="22"/>
                <w:szCs w:val="22"/>
              </w:rPr>
              <w:t>85%</w:t>
            </w:r>
          </w:p>
        </w:tc>
        <w:tc>
          <w:tcPr>
            <w:tcW w:w="773" w:type="pct"/>
          </w:tcPr>
          <w:p w14:paraId="3410EBC3" w14:textId="794564F7" w:rsidR="007B2FFD" w:rsidRPr="007B2FFD" w:rsidRDefault="007B2FFD" w:rsidP="0047100B">
            <w:pPr>
              <w:spacing w:before="20" w:after="20"/>
              <w:jc w:val="right"/>
              <w:rPr>
                <w:rFonts w:cs="Arial"/>
                <w:sz w:val="22"/>
                <w:szCs w:val="22"/>
              </w:rPr>
            </w:pPr>
            <w:r w:rsidRPr="007B2FFD">
              <w:rPr>
                <w:rFonts w:cs="Arial"/>
                <w:sz w:val="22"/>
                <w:szCs w:val="22"/>
              </w:rPr>
              <w:t>10%</w:t>
            </w:r>
          </w:p>
        </w:tc>
        <w:tc>
          <w:tcPr>
            <w:tcW w:w="753" w:type="pct"/>
          </w:tcPr>
          <w:p w14:paraId="09385BAB" w14:textId="753A534B" w:rsidR="007B2FFD" w:rsidRPr="007B2FFD" w:rsidRDefault="007B2FFD" w:rsidP="0047100B">
            <w:pPr>
              <w:spacing w:before="20" w:after="20"/>
              <w:jc w:val="right"/>
              <w:rPr>
                <w:rFonts w:cs="Arial"/>
                <w:sz w:val="22"/>
                <w:szCs w:val="22"/>
              </w:rPr>
            </w:pPr>
            <w:r w:rsidRPr="007B2FFD">
              <w:rPr>
                <w:rFonts w:cs="Arial"/>
                <w:sz w:val="22"/>
                <w:szCs w:val="22"/>
              </w:rPr>
              <w:t>5%</w:t>
            </w:r>
          </w:p>
        </w:tc>
      </w:tr>
    </w:tbl>
    <w:p w14:paraId="0F2B197D" w14:textId="095D4BCD" w:rsidR="00C3107C" w:rsidRPr="00FA4DC7" w:rsidRDefault="00C3107C" w:rsidP="0047100B">
      <w:pPr>
        <w:rPr>
          <w:rFonts w:cs="Arial"/>
          <w:highlight w:val="yellow"/>
          <w:lang w:eastAsia="en-US"/>
        </w:rPr>
      </w:pPr>
      <w:r>
        <w:rPr>
          <w:rFonts w:cs="Arial"/>
        </w:rPr>
        <w:t>Source: arc4 national database</w:t>
      </w:r>
    </w:p>
    <w:p w14:paraId="736F27A8" w14:textId="20F1C07C" w:rsidR="0047100B" w:rsidRDefault="0047100B">
      <w:pPr>
        <w:rPr>
          <w:rFonts w:cs="Arial"/>
          <w:highlight w:val="yellow"/>
          <w:lang w:eastAsia="en-US"/>
        </w:rPr>
      </w:pPr>
      <w:r>
        <w:rPr>
          <w:rFonts w:cs="Arial"/>
          <w:highlight w:val="yellow"/>
          <w:lang w:eastAsia="en-US"/>
        </w:rPr>
        <w:br w:type="page"/>
      </w:r>
    </w:p>
    <w:p w14:paraId="6E877DF9" w14:textId="77777777" w:rsidR="00CE1BDB" w:rsidRPr="00FA4DC7" w:rsidRDefault="00CE1BDB" w:rsidP="00CE1BDB">
      <w:pPr>
        <w:pStyle w:val="Heading1"/>
        <w:numPr>
          <w:ilvl w:val="0"/>
          <w:numId w:val="0"/>
        </w:numPr>
        <w:ind w:left="709" w:hanging="709"/>
        <w:rPr>
          <w:rFonts w:cs="Arial"/>
        </w:rPr>
      </w:pPr>
      <w:bookmarkStart w:id="597" w:name="_Toc83035704"/>
      <w:r w:rsidRPr="00FA4DC7">
        <w:rPr>
          <w:rFonts w:cs="Arial"/>
        </w:rPr>
        <w:lastRenderedPageBreak/>
        <w:t xml:space="preserve">Technical Appendix D:  </w:t>
      </w:r>
      <w:bookmarkEnd w:id="588"/>
      <w:bookmarkEnd w:id="589"/>
      <w:bookmarkEnd w:id="590"/>
      <w:r w:rsidRPr="00FA4DC7">
        <w:rPr>
          <w:rFonts w:cs="Arial"/>
        </w:rPr>
        <w:t>Dwelling mix and modelling</w:t>
      </w:r>
      <w:bookmarkEnd w:id="591"/>
      <w:bookmarkEnd w:id="592"/>
      <w:bookmarkEnd w:id="593"/>
      <w:bookmarkEnd w:id="597"/>
    </w:p>
    <w:p w14:paraId="5EF89BC3" w14:textId="77777777" w:rsidR="00CE1BDB" w:rsidRPr="00FA4DC7" w:rsidRDefault="00CE1BDB" w:rsidP="0047100B">
      <w:pPr>
        <w:pStyle w:val="Heading2"/>
      </w:pPr>
      <w:bookmarkStart w:id="598" w:name="_Toc16846599"/>
      <w:bookmarkStart w:id="599" w:name="_Toc19198555"/>
      <w:bookmarkStart w:id="600" w:name="_Toc55856217"/>
      <w:bookmarkStart w:id="601" w:name="_Toc56426640"/>
      <w:bookmarkStart w:id="602" w:name="_Toc56502866"/>
      <w:bookmarkStart w:id="603" w:name="_Toc59204545"/>
      <w:bookmarkStart w:id="604" w:name="_Toc70614016"/>
      <w:bookmarkStart w:id="605" w:name="_Toc83035705"/>
      <w:bookmarkStart w:id="606" w:name="_Toc7683347"/>
      <w:bookmarkStart w:id="607" w:name="_Toc13046187"/>
      <w:bookmarkStart w:id="608" w:name="_Toc395163141"/>
      <w:r w:rsidRPr="0047100B">
        <w:t>Introduction</w:t>
      </w:r>
      <w:bookmarkEnd w:id="598"/>
      <w:bookmarkEnd w:id="599"/>
      <w:bookmarkEnd w:id="600"/>
      <w:bookmarkEnd w:id="601"/>
      <w:bookmarkEnd w:id="602"/>
      <w:bookmarkEnd w:id="603"/>
      <w:bookmarkEnd w:id="604"/>
      <w:bookmarkEnd w:id="605"/>
    </w:p>
    <w:p w14:paraId="027C6DAC"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This technical appendix describes the method used by arc</w:t>
      </w:r>
      <w:r w:rsidRPr="00FA4DC7">
        <w:rPr>
          <w:rFonts w:ascii="Arial" w:hAnsi="Arial" w:cs="Arial"/>
          <w:vertAlign w:val="superscript"/>
        </w:rPr>
        <w:t>4</w:t>
      </w:r>
      <w:r w:rsidRPr="00FA4DC7">
        <w:rPr>
          <w:rFonts w:ascii="Arial" w:hAnsi="Arial" w:cs="Arial"/>
        </w:rPr>
        <w:t xml:space="preserve"> to establish future dwelling type and size mix across the borough. It presents the baseline data used as a starting point for the analysis and how data are interpreted to establish a reasonable view on dwelling type and mix.</w:t>
      </w:r>
    </w:p>
    <w:p w14:paraId="7A880D30" w14:textId="77777777" w:rsidR="00CE1BDB" w:rsidRPr="00FA4DC7" w:rsidRDefault="00CE1BDB" w:rsidP="00CE1BDB">
      <w:pPr>
        <w:pStyle w:val="Reporttext"/>
        <w:numPr>
          <w:ilvl w:val="0"/>
          <w:numId w:val="0"/>
        </w:numPr>
        <w:tabs>
          <w:tab w:val="left" w:pos="0"/>
          <w:tab w:val="left" w:pos="1418"/>
        </w:tabs>
        <w:ind w:left="709"/>
        <w:rPr>
          <w:rFonts w:cs="Arial"/>
        </w:rPr>
      </w:pPr>
    </w:p>
    <w:p w14:paraId="506EE300" w14:textId="77777777" w:rsidR="00CE1BDB" w:rsidRPr="00FA4DC7" w:rsidRDefault="00CE1BDB" w:rsidP="00CE1BDB">
      <w:pPr>
        <w:pStyle w:val="Heading2"/>
        <w:rPr>
          <w:rFonts w:cs="Arial"/>
        </w:rPr>
      </w:pPr>
      <w:bookmarkStart w:id="609" w:name="_Toc19198556"/>
      <w:bookmarkStart w:id="610" w:name="_Toc55856218"/>
      <w:bookmarkStart w:id="611" w:name="_Toc56426641"/>
      <w:bookmarkStart w:id="612" w:name="_Toc56502867"/>
      <w:bookmarkStart w:id="613" w:name="_Toc59204546"/>
      <w:bookmarkStart w:id="614" w:name="_Toc70614017"/>
      <w:bookmarkStart w:id="615" w:name="_Toc83035706"/>
      <w:bookmarkStart w:id="616" w:name="_Toc16846600"/>
      <w:r w:rsidRPr="00FA4DC7">
        <w:rPr>
          <w:rFonts w:cs="Arial"/>
        </w:rPr>
        <w:t>Starting points</w:t>
      </w:r>
      <w:bookmarkEnd w:id="609"/>
      <w:bookmarkEnd w:id="610"/>
      <w:bookmarkEnd w:id="611"/>
      <w:bookmarkEnd w:id="612"/>
      <w:bookmarkEnd w:id="613"/>
      <w:bookmarkEnd w:id="614"/>
      <w:bookmarkEnd w:id="615"/>
    </w:p>
    <w:p w14:paraId="49074B72"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There are four main data sources which underpin the analysis: </w:t>
      </w:r>
    </w:p>
    <w:p w14:paraId="37E62317" w14:textId="77777777" w:rsidR="00CE1BDB" w:rsidRPr="00FA4DC7" w:rsidRDefault="00CE1BDB" w:rsidP="00CE1BDB">
      <w:pPr>
        <w:pStyle w:val="bullet"/>
        <w:jc w:val="both"/>
        <w:rPr>
          <w:rFonts w:cs="Arial"/>
        </w:rPr>
      </w:pPr>
      <w:r w:rsidRPr="00FA4DC7">
        <w:rPr>
          <w:rFonts w:cs="Arial"/>
        </w:rPr>
        <w:t xml:space="preserve">household </w:t>
      </w:r>
      <w:proofErr w:type="gramStart"/>
      <w:r w:rsidRPr="00FA4DC7">
        <w:rPr>
          <w:rFonts w:cs="Arial"/>
        </w:rPr>
        <w:t>projections;</w:t>
      </w:r>
      <w:proofErr w:type="gramEnd"/>
      <w:r w:rsidRPr="00FA4DC7">
        <w:rPr>
          <w:rFonts w:cs="Arial"/>
        </w:rPr>
        <w:t xml:space="preserve"> </w:t>
      </w:r>
    </w:p>
    <w:p w14:paraId="12DCF88F" w14:textId="77777777" w:rsidR="00CE1BDB" w:rsidRPr="00FA4DC7" w:rsidRDefault="00CE1BDB" w:rsidP="00CE1BDB">
      <w:pPr>
        <w:pStyle w:val="bullet"/>
        <w:jc w:val="both"/>
        <w:rPr>
          <w:rFonts w:cs="Arial"/>
        </w:rPr>
      </w:pPr>
      <w:r w:rsidRPr="00FA4DC7">
        <w:rPr>
          <w:rFonts w:cs="Arial"/>
        </w:rPr>
        <w:t xml:space="preserve">dwelling stock </w:t>
      </w:r>
      <w:proofErr w:type="gramStart"/>
      <w:r w:rsidRPr="00FA4DC7">
        <w:rPr>
          <w:rFonts w:cs="Arial"/>
        </w:rPr>
        <w:t>information;</w:t>
      </w:r>
      <w:proofErr w:type="gramEnd"/>
    </w:p>
    <w:p w14:paraId="42383933" w14:textId="77777777" w:rsidR="00CE1BDB" w:rsidRPr="00FA4DC7" w:rsidRDefault="00CE1BDB" w:rsidP="00CE1BDB">
      <w:pPr>
        <w:pStyle w:val="bullet"/>
        <w:jc w:val="both"/>
        <w:rPr>
          <w:rFonts w:cs="Arial"/>
        </w:rPr>
      </w:pPr>
      <w:r w:rsidRPr="00FA4DC7">
        <w:rPr>
          <w:rFonts w:cs="Arial"/>
        </w:rPr>
        <w:t>data identifying the relationships between households and dwellings derived from the arc4 national database; and</w:t>
      </w:r>
    </w:p>
    <w:p w14:paraId="01F73CA9" w14:textId="77777777" w:rsidR="00CE1BDB" w:rsidRPr="00FA4DC7" w:rsidRDefault="00CE1BDB" w:rsidP="00CE1BDB">
      <w:pPr>
        <w:pStyle w:val="bullet"/>
        <w:jc w:val="both"/>
        <w:rPr>
          <w:rFonts w:cs="Arial"/>
        </w:rPr>
      </w:pPr>
      <w:r w:rsidRPr="00FA4DC7">
        <w:rPr>
          <w:rFonts w:cs="Arial"/>
        </w:rPr>
        <w:t>data derived from affordable housing need analysis.</w:t>
      </w:r>
    </w:p>
    <w:p w14:paraId="04DEDECA" w14:textId="77777777" w:rsidR="00CE1BDB" w:rsidRPr="00FA4DC7" w:rsidRDefault="00CE1BDB" w:rsidP="00CE1BDB">
      <w:pPr>
        <w:rPr>
          <w:rFonts w:cs="Arial"/>
          <w:highlight w:val="yellow"/>
        </w:rPr>
      </w:pPr>
    </w:p>
    <w:bookmarkEnd w:id="616"/>
    <w:p w14:paraId="7515921F" w14:textId="77777777" w:rsidR="00CE1BDB" w:rsidRPr="00FA4DC7" w:rsidRDefault="00CE1BDB" w:rsidP="00CE1BDB">
      <w:pPr>
        <w:pStyle w:val="Heading3"/>
        <w:rPr>
          <w:rFonts w:cs="Arial"/>
        </w:rPr>
      </w:pPr>
      <w:r w:rsidRPr="00FA4DC7">
        <w:rPr>
          <w:rFonts w:cs="Arial"/>
        </w:rPr>
        <w:t>Household projections</w:t>
      </w:r>
    </w:p>
    <w:p w14:paraId="57939C92"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These are used to establish the number of households by Household Reference Persons (HRP) and household type using the 2018-based data, and how this is expected to change over the Local Plan period 2021 to 2037.</w:t>
      </w:r>
    </w:p>
    <w:p w14:paraId="54EA7E8E"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The change in the number of households over this period can be established and, assuming that the dwelling needs of these households do not change significantly over the plan period, the potential impact on type and number of bedrooms of future dwellings can be determined.</w:t>
      </w:r>
    </w:p>
    <w:p w14:paraId="4305EE8B" w14:textId="77777777" w:rsidR="00CE1BDB" w:rsidRPr="00FA4DC7" w:rsidRDefault="00CE1BDB" w:rsidP="00CE1BDB">
      <w:pPr>
        <w:rPr>
          <w:rFonts w:cs="Arial"/>
          <w:highlight w:val="yellow"/>
        </w:rPr>
      </w:pPr>
    </w:p>
    <w:p w14:paraId="559D25FC" w14:textId="77777777" w:rsidR="00CE1BDB" w:rsidRPr="00FA4DC7" w:rsidRDefault="00CE1BDB" w:rsidP="00CE1BDB">
      <w:pPr>
        <w:pStyle w:val="Heading3"/>
        <w:rPr>
          <w:rFonts w:cs="Arial"/>
        </w:rPr>
      </w:pPr>
      <w:r w:rsidRPr="00FA4DC7">
        <w:rPr>
          <w:rFonts w:cs="Arial"/>
        </w:rPr>
        <w:t>Relationship between households and dwellings</w:t>
      </w:r>
    </w:p>
    <w:p w14:paraId="08C70613"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The relationship between the age of Household Reference Person, household type and dwellings occupied by type and size can be derived from the arc4 national database. </w:t>
      </w:r>
    </w:p>
    <w:p w14:paraId="5640ABFE"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The data available is summarised in Table D1. For each age group, the proportion of Household Reference Persons (HRPs) by household type living in different type/size and size of dwelling has been estimated. </w:t>
      </w:r>
    </w:p>
    <w:p w14:paraId="0A1305BF"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The arc4 national </w:t>
      </w:r>
      <w:proofErr w:type="gramStart"/>
      <w:r w:rsidRPr="00FA4DC7">
        <w:rPr>
          <w:rFonts w:ascii="Arial" w:hAnsi="Arial" w:cs="Arial"/>
        </w:rPr>
        <w:t>database  also</w:t>
      </w:r>
      <w:proofErr w:type="gramEnd"/>
      <w:r w:rsidRPr="00FA4DC7">
        <w:rPr>
          <w:rFonts w:ascii="Arial" w:hAnsi="Arial" w:cs="Arial"/>
        </w:rPr>
        <w:t xml:space="preserve"> provides data on household aspirations and what households would expect to move to. This data can also be broken down by HRP age group and household type. </w:t>
      </w:r>
    </w:p>
    <w:p w14:paraId="16D01508"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By combining this range of data, it is possible to model the likely change in dwelling type/size requirements with reference to:</w:t>
      </w:r>
    </w:p>
    <w:p w14:paraId="47C38090" w14:textId="77777777" w:rsidR="00CE1BDB" w:rsidRPr="00FA4DC7" w:rsidRDefault="00CE1BDB" w:rsidP="00CE1BDB">
      <w:pPr>
        <w:pStyle w:val="bullet"/>
        <w:tabs>
          <w:tab w:val="left" w:pos="0"/>
          <w:tab w:val="left" w:pos="709"/>
          <w:tab w:val="left" w:pos="1418"/>
        </w:tabs>
        <w:jc w:val="both"/>
        <w:rPr>
          <w:rFonts w:cs="Arial"/>
        </w:rPr>
      </w:pPr>
      <w:r w:rsidRPr="00FA4DC7">
        <w:rPr>
          <w:rFonts w:cs="Arial"/>
        </w:rPr>
        <w:t>the current relationship between HRP/household type and dwelling type/size and this remains constant over the plan period (demographic baseline</w:t>
      </w:r>
      <w:proofErr w:type="gramStart"/>
      <w:r w:rsidRPr="00FA4DC7">
        <w:rPr>
          <w:rFonts w:cs="Arial"/>
        </w:rPr>
        <w:t>);</w:t>
      </w:r>
      <w:proofErr w:type="gramEnd"/>
    </w:p>
    <w:p w14:paraId="3227F80B" w14:textId="77777777" w:rsidR="00CE1BDB" w:rsidRPr="00FA4DC7" w:rsidRDefault="00CE1BDB" w:rsidP="00CE1BDB">
      <w:pPr>
        <w:pStyle w:val="bullet"/>
        <w:tabs>
          <w:tab w:val="left" w:pos="0"/>
          <w:tab w:val="left" w:pos="709"/>
          <w:tab w:val="left" w:pos="1418"/>
        </w:tabs>
        <w:jc w:val="both"/>
        <w:rPr>
          <w:rFonts w:cs="Arial"/>
        </w:rPr>
      </w:pPr>
      <w:r w:rsidRPr="00FA4DC7">
        <w:rPr>
          <w:rFonts w:cs="Arial"/>
        </w:rPr>
        <w:t>household aspirations by HRP/household type (aspirations); and</w:t>
      </w:r>
    </w:p>
    <w:p w14:paraId="42638EC5" w14:textId="77777777" w:rsidR="00CE1BDB" w:rsidRPr="00FA4DC7" w:rsidRDefault="00CE1BDB" w:rsidP="00CE1BDB">
      <w:pPr>
        <w:pStyle w:val="bullet"/>
        <w:tabs>
          <w:tab w:val="left" w:pos="0"/>
          <w:tab w:val="left" w:pos="709"/>
          <w:tab w:val="left" w:pos="1418"/>
        </w:tabs>
        <w:jc w:val="both"/>
        <w:rPr>
          <w:rFonts w:cs="Arial"/>
        </w:rPr>
      </w:pPr>
      <w:r w:rsidRPr="00FA4DC7">
        <w:rPr>
          <w:rFonts w:cs="Arial"/>
        </w:rPr>
        <w:t>what households would expect by HRP/household type (expect).</w:t>
      </w:r>
    </w:p>
    <w:p w14:paraId="0068EE11" w14:textId="77777777" w:rsidR="00CE1BDB" w:rsidRPr="00FA4DC7" w:rsidRDefault="00CE1BDB" w:rsidP="00CE1BDB">
      <w:pPr>
        <w:pStyle w:val="Reporttext"/>
        <w:numPr>
          <w:ilvl w:val="0"/>
          <w:numId w:val="0"/>
        </w:numPr>
        <w:tabs>
          <w:tab w:val="left" w:pos="0"/>
          <w:tab w:val="left" w:pos="709"/>
          <w:tab w:val="left" w:pos="1418"/>
        </w:tabs>
        <w:ind w:left="1429"/>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239"/>
        <w:gridCol w:w="3103"/>
      </w:tblGrid>
      <w:tr w:rsidR="00CE1BDB" w:rsidRPr="00FA4DC7" w14:paraId="0F0E7A40" w14:textId="77777777" w:rsidTr="00CB100F">
        <w:trPr>
          <w:jc w:val="center"/>
        </w:trPr>
        <w:tc>
          <w:tcPr>
            <w:tcW w:w="5000" w:type="pct"/>
            <w:gridSpan w:val="3"/>
            <w:shd w:val="clear" w:color="auto" w:fill="006666"/>
            <w:vAlign w:val="center"/>
          </w:tcPr>
          <w:p w14:paraId="5481B520" w14:textId="77777777" w:rsidR="00CE1BDB" w:rsidRPr="00FA4DC7" w:rsidRDefault="00CE1BDB" w:rsidP="00EF49A7">
            <w:pPr>
              <w:pStyle w:val="Tableheading1"/>
              <w:rPr>
                <w:rFonts w:cs="Arial"/>
                <w:b w:val="0"/>
                <w:color w:val="000000"/>
                <w:sz w:val="24"/>
              </w:rPr>
            </w:pPr>
            <w:bookmarkStart w:id="617" w:name="_Toc19198683"/>
            <w:bookmarkStart w:id="618" w:name="_Toc55814240"/>
            <w:bookmarkStart w:id="619" w:name="_Toc56502903"/>
            <w:bookmarkStart w:id="620" w:name="_Toc59205117"/>
            <w:bookmarkStart w:id="621" w:name="_Toc83036136"/>
            <w:r w:rsidRPr="00FA4DC7">
              <w:rPr>
                <w:rFonts w:cs="Arial"/>
              </w:rPr>
              <w:t>Table</w:t>
            </w:r>
            <w:r w:rsidRPr="00FA4DC7">
              <w:rPr>
                <w:rFonts w:cs="Arial"/>
                <w:sz w:val="24"/>
              </w:rPr>
              <w:t xml:space="preserve"> D1</w:t>
            </w:r>
            <w:r w:rsidRPr="00FA4DC7">
              <w:rPr>
                <w:rFonts w:cs="Arial"/>
                <w:sz w:val="24"/>
              </w:rPr>
              <w:tab/>
              <w:t>Age groups, household type and dwelling types used</w:t>
            </w:r>
            <w:bookmarkEnd w:id="617"/>
            <w:bookmarkEnd w:id="618"/>
            <w:bookmarkEnd w:id="619"/>
            <w:bookmarkEnd w:id="620"/>
            <w:bookmarkEnd w:id="621"/>
          </w:p>
        </w:tc>
      </w:tr>
      <w:tr w:rsidR="00CE1BDB" w:rsidRPr="00FA4DC7" w14:paraId="37CA1732" w14:textId="77777777" w:rsidTr="00CB100F">
        <w:trPr>
          <w:jc w:val="center"/>
        </w:trPr>
        <w:tc>
          <w:tcPr>
            <w:tcW w:w="1001" w:type="pct"/>
            <w:shd w:val="clear" w:color="auto" w:fill="006666"/>
            <w:vAlign w:val="bottom"/>
            <w:hideMark/>
          </w:tcPr>
          <w:p w14:paraId="3974A126" w14:textId="77777777" w:rsidR="00CE1BDB" w:rsidRPr="00FA4DC7" w:rsidRDefault="00CE1BDB" w:rsidP="00CB100F">
            <w:pPr>
              <w:tabs>
                <w:tab w:val="left" w:pos="0"/>
                <w:tab w:val="left" w:pos="709"/>
                <w:tab w:val="left" w:pos="1418"/>
              </w:tabs>
              <w:jc w:val="center"/>
              <w:rPr>
                <w:rFonts w:cs="Arial"/>
                <w:b/>
                <w:bCs/>
                <w:color w:val="FFFFFF" w:themeColor="background1"/>
                <w:sz w:val="22"/>
              </w:rPr>
            </w:pPr>
            <w:r w:rsidRPr="00FA4DC7">
              <w:rPr>
                <w:rFonts w:cs="Arial"/>
                <w:b/>
                <w:bCs/>
                <w:color w:val="FFFFFF" w:themeColor="background1"/>
                <w:sz w:val="22"/>
              </w:rPr>
              <w:t>Age group of Household Reference Person</w:t>
            </w:r>
          </w:p>
        </w:tc>
        <w:tc>
          <w:tcPr>
            <w:tcW w:w="2309" w:type="pct"/>
            <w:shd w:val="clear" w:color="auto" w:fill="006666"/>
            <w:vAlign w:val="bottom"/>
            <w:hideMark/>
          </w:tcPr>
          <w:p w14:paraId="4A56F59D" w14:textId="77777777" w:rsidR="00CE1BDB" w:rsidRPr="00FA4DC7" w:rsidRDefault="00CE1BDB" w:rsidP="00CB100F">
            <w:pPr>
              <w:tabs>
                <w:tab w:val="left" w:pos="0"/>
                <w:tab w:val="left" w:pos="709"/>
                <w:tab w:val="left" w:pos="1418"/>
              </w:tabs>
              <w:jc w:val="center"/>
              <w:rPr>
                <w:rFonts w:cs="Arial"/>
                <w:b/>
                <w:bCs/>
                <w:color w:val="FFFFFF" w:themeColor="background1"/>
                <w:sz w:val="22"/>
              </w:rPr>
            </w:pPr>
            <w:r w:rsidRPr="00FA4DC7">
              <w:rPr>
                <w:rFonts w:cs="Arial"/>
                <w:b/>
                <w:bCs/>
                <w:color w:val="FFFFFF" w:themeColor="background1"/>
                <w:sz w:val="22"/>
              </w:rPr>
              <w:t>Household type</w:t>
            </w:r>
          </w:p>
        </w:tc>
        <w:tc>
          <w:tcPr>
            <w:tcW w:w="1690" w:type="pct"/>
            <w:shd w:val="clear" w:color="auto" w:fill="006666"/>
            <w:vAlign w:val="bottom"/>
            <w:hideMark/>
          </w:tcPr>
          <w:p w14:paraId="05195477" w14:textId="77777777" w:rsidR="00CE1BDB" w:rsidRPr="00FA4DC7" w:rsidRDefault="00CE1BDB" w:rsidP="00CB100F">
            <w:pPr>
              <w:tabs>
                <w:tab w:val="left" w:pos="0"/>
                <w:tab w:val="left" w:pos="709"/>
                <w:tab w:val="left" w:pos="1418"/>
              </w:tabs>
              <w:jc w:val="center"/>
              <w:rPr>
                <w:rFonts w:cs="Arial"/>
                <w:b/>
                <w:bCs/>
                <w:color w:val="FFFFFF" w:themeColor="background1"/>
                <w:sz w:val="22"/>
              </w:rPr>
            </w:pPr>
            <w:r w:rsidRPr="00FA4DC7">
              <w:rPr>
                <w:rFonts w:cs="Arial"/>
                <w:b/>
                <w:bCs/>
                <w:color w:val="FFFFFF" w:themeColor="background1"/>
                <w:sz w:val="22"/>
              </w:rPr>
              <w:t>Dwelling type and number of bedrooms</w:t>
            </w:r>
          </w:p>
        </w:tc>
      </w:tr>
      <w:tr w:rsidR="00CE1BDB" w:rsidRPr="00FA4DC7" w14:paraId="007B4922" w14:textId="77777777" w:rsidTr="00CB100F">
        <w:trPr>
          <w:jc w:val="center"/>
        </w:trPr>
        <w:tc>
          <w:tcPr>
            <w:tcW w:w="1001" w:type="pct"/>
            <w:shd w:val="clear" w:color="auto" w:fill="auto"/>
            <w:noWrap/>
            <w:vAlign w:val="center"/>
            <w:hideMark/>
          </w:tcPr>
          <w:p w14:paraId="5EE8BB52"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15 to 24</w:t>
            </w:r>
          </w:p>
        </w:tc>
        <w:tc>
          <w:tcPr>
            <w:tcW w:w="2309" w:type="pct"/>
            <w:shd w:val="clear" w:color="auto" w:fill="auto"/>
            <w:noWrap/>
            <w:vAlign w:val="center"/>
            <w:hideMark/>
          </w:tcPr>
          <w:p w14:paraId="216710AF"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One-person household</w:t>
            </w:r>
          </w:p>
        </w:tc>
        <w:tc>
          <w:tcPr>
            <w:tcW w:w="1690" w:type="pct"/>
            <w:shd w:val="clear" w:color="auto" w:fill="auto"/>
            <w:noWrap/>
            <w:vAlign w:val="center"/>
            <w:hideMark/>
          </w:tcPr>
          <w:p w14:paraId="09F7BF87"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1-bedroom house</w:t>
            </w:r>
          </w:p>
        </w:tc>
      </w:tr>
      <w:tr w:rsidR="00CE1BDB" w:rsidRPr="00FA4DC7" w14:paraId="29496224" w14:textId="77777777" w:rsidTr="00CB100F">
        <w:trPr>
          <w:jc w:val="center"/>
        </w:trPr>
        <w:tc>
          <w:tcPr>
            <w:tcW w:w="1001" w:type="pct"/>
            <w:shd w:val="clear" w:color="auto" w:fill="auto"/>
            <w:noWrap/>
            <w:vAlign w:val="center"/>
            <w:hideMark/>
          </w:tcPr>
          <w:p w14:paraId="14B13B7A"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25 to 34</w:t>
            </w:r>
          </w:p>
        </w:tc>
        <w:tc>
          <w:tcPr>
            <w:tcW w:w="2309" w:type="pct"/>
            <w:shd w:val="clear" w:color="auto" w:fill="auto"/>
            <w:noWrap/>
            <w:vAlign w:val="center"/>
            <w:hideMark/>
          </w:tcPr>
          <w:p w14:paraId="6E436B8B"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Household with 1 dependent child</w:t>
            </w:r>
          </w:p>
        </w:tc>
        <w:tc>
          <w:tcPr>
            <w:tcW w:w="1690" w:type="pct"/>
            <w:shd w:val="clear" w:color="auto" w:fill="auto"/>
            <w:noWrap/>
            <w:vAlign w:val="center"/>
            <w:hideMark/>
          </w:tcPr>
          <w:p w14:paraId="2B81AFFE"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2-bedroom house</w:t>
            </w:r>
          </w:p>
        </w:tc>
      </w:tr>
      <w:tr w:rsidR="00CE1BDB" w:rsidRPr="00FA4DC7" w14:paraId="7E9E2167" w14:textId="77777777" w:rsidTr="00CB100F">
        <w:trPr>
          <w:jc w:val="center"/>
        </w:trPr>
        <w:tc>
          <w:tcPr>
            <w:tcW w:w="1001" w:type="pct"/>
            <w:shd w:val="clear" w:color="auto" w:fill="auto"/>
            <w:noWrap/>
            <w:vAlign w:val="center"/>
            <w:hideMark/>
          </w:tcPr>
          <w:p w14:paraId="7F46C1C3"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35 to 44</w:t>
            </w:r>
          </w:p>
        </w:tc>
        <w:tc>
          <w:tcPr>
            <w:tcW w:w="2309" w:type="pct"/>
            <w:shd w:val="clear" w:color="auto" w:fill="auto"/>
            <w:noWrap/>
            <w:vAlign w:val="center"/>
            <w:hideMark/>
          </w:tcPr>
          <w:p w14:paraId="58844901"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Household with 2 dependent children</w:t>
            </w:r>
          </w:p>
        </w:tc>
        <w:tc>
          <w:tcPr>
            <w:tcW w:w="1690" w:type="pct"/>
            <w:shd w:val="clear" w:color="auto" w:fill="auto"/>
            <w:noWrap/>
            <w:vAlign w:val="center"/>
            <w:hideMark/>
          </w:tcPr>
          <w:p w14:paraId="65F18C3E"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3-bedroom house</w:t>
            </w:r>
          </w:p>
        </w:tc>
      </w:tr>
      <w:tr w:rsidR="00CE1BDB" w:rsidRPr="00FA4DC7" w14:paraId="5CF17164" w14:textId="77777777" w:rsidTr="00CB100F">
        <w:trPr>
          <w:jc w:val="center"/>
        </w:trPr>
        <w:tc>
          <w:tcPr>
            <w:tcW w:w="1001" w:type="pct"/>
            <w:shd w:val="clear" w:color="auto" w:fill="auto"/>
            <w:noWrap/>
            <w:vAlign w:val="center"/>
            <w:hideMark/>
          </w:tcPr>
          <w:p w14:paraId="1374686D"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45 to 54</w:t>
            </w:r>
          </w:p>
        </w:tc>
        <w:tc>
          <w:tcPr>
            <w:tcW w:w="2309" w:type="pct"/>
            <w:shd w:val="clear" w:color="auto" w:fill="auto"/>
            <w:noWrap/>
            <w:vAlign w:val="center"/>
            <w:hideMark/>
          </w:tcPr>
          <w:p w14:paraId="73D6E8BF"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Households with 3 dependent children</w:t>
            </w:r>
          </w:p>
        </w:tc>
        <w:tc>
          <w:tcPr>
            <w:tcW w:w="1690" w:type="pct"/>
            <w:shd w:val="clear" w:color="auto" w:fill="auto"/>
            <w:noWrap/>
            <w:vAlign w:val="center"/>
            <w:hideMark/>
          </w:tcPr>
          <w:p w14:paraId="16ABEEB6"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4 or more-bedroom house</w:t>
            </w:r>
          </w:p>
        </w:tc>
      </w:tr>
      <w:tr w:rsidR="00CE1BDB" w:rsidRPr="00FA4DC7" w14:paraId="436AC2A6" w14:textId="77777777" w:rsidTr="00CB100F">
        <w:trPr>
          <w:jc w:val="center"/>
        </w:trPr>
        <w:tc>
          <w:tcPr>
            <w:tcW w:w="1001" w:type="pct"/>
            <w:shd w:val="clear" w:color="auto" w:fill="auto"/>
            <w:noWrap/>
            <w:vAlign w:val="center"/>
          </w:tcPr>
          <w:p w14:paraId="3597E8CA"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55 to 64</w:t>
            </w:r>
          </w:p>
        </w:tc>
        <w:tc>
          <w:tcPr>
            <w:tcW w:w="2309" w:type="pct"/>
            <w:shd w:val="clear" w:color="auto" w:fill="auto"/>
            <w:noWrap/>
            <w:vAlign w:val="center"/>
          </w:tcPr>
          <w:p w14:paraId="1FCA5099"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Other household with two or more adults</w:t>
            </w:r>
          </w:p>
        </w:tc>
        <w:tc>
          <w:tcPr>
            <w:tcW w:w="1690" w:type="pct"/>
            <w:shd w:val="clear" w:color="auto" w:fill="auto"/>
            <w:noWrap/>
            <w:vAlign w:val="center"/>
          </w:tcPr>
          <w:p w14:paraId="2F82AE70"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1-bedroom flat</w:t>
            </w:r>
          </w:p>
        </w:tc>
      </w:tr>
      <w:tr w:rsidR="00CE1BDB" w:rsidRPr="00FA4DC7" w14:paraId="149A9E0A" w14:textId="77777777" w:rsidTr="00CB100F">
        <w:trPr>
          <w:trHeight w:val="115"/>
          <w:jc w:val="center"/>
        </w:trPr>
        <w:tc>
          <w:tcPr>
            <w:tcW w:w="1001" w:type="pct"/>
            <w:shd w:val="clear" w:color="auto" w:fill="auto"/>
            <w:noWrap/>
            <w:vAlign w:val="center"/>
          </w:tcPr>
          <w:p w14:paraId="71BA2A7A"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65 to 74</w:t>
            </w:r>
          </w:p>
        </w:tc>
        <w:tc>
          <w:tcPr>
            <w:tcW w:w="2309" w:type="pct"/>
            <w:shd w:val="clear" w:color="auto" w:fill="auto"/>
            <w:noWrap/>
            <w:vAlign w:val="center"/>
          </w:tcPr>
          <w:p w14:paraId="0DFC71CD"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All</w:t>
            </w:r>
          </w:p>
        </w:tc>
        <w:tc>
          <w:tcPr>
            <w:tcW w:w="1690" w:type="pct"/>
            <w:shd w:val="clear" w:color="auto" w:fill="auto"/>
            <w:noWrap/>
            <w:vAlign w:val="center"/>
          </w:tcPr>
          <w:p w14:paraId="28A6731B"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2-bedroom flat</w:t>
            </w:r>
          </w:p>
        </w:tc>
      </w:tr>
      <w:tr w:rsidR="00CE1BDB" w:rsidRPr="00FA4DC7" w14:paraId="194DFF45" w14:textId="77777777" w:rsidTr="00CB100F">
        <w:trPr>
          <w:trHeight w:val="143"/>
          <w:jc w:val="center"/>
        </w:trPr>
        <w:tc>
          <w:tcPr>
            <w:tcW w:w="1001" w:type="pct"/>
            <w:shd w:val="clear" w:color="auto" w:fill="auto"/>
            <w:noWrap/>
            <w:vAlign w:val="center"/>
            <w:hideMark/>
          </w:tcPr>
          <w:p w14:paraId="0AADA733"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75 to 84</w:t>
            </w:r>
          </w:p>
        </w:tc>
        <w:tc>
          <w:tcPr>
            <w:tcW w:w="2309" w:type="pct"/>
            <w:vMerge w:val="restart"/>
            <w:shd w:val="clear" w:color="auto" w:fill="auto"/>
            <w:noWrap/>
            <w:vAlign w:val="center"/>
            <w:hideMark/>
          </w:tcPr>
          <w:p w14:paraId="42F40088" w14:textId="77777777" w:rsidR="00CE1BDB" w:rsidRPr="00FA4DC7" w:rsidRDefault="00CE1BDB" w:rsidP="00EF49A7">
            <w:pPr>
              <w:tabs>
                <w:tab w:val="left" w:pos="0"/>
                <w:tab w:val="left" w:pos="709"/>
                <w:tab w:val="left" w:pos="1418"/>
              </w:tabs>
              <w:rPr>
                <w:rFonts w:cs="Arial"/>
                <w:color w:val="000000"/>
                <w:sz w:val="22"/>
              </w:rPr>
            </w:pPr>
          </w:p>
        </w:tc>
        <w:tc>
          <w:tcPr>
            <w:tcW w:w="1690" w:type="pct"/>
            <w:shd w:val="clear" w:color="auto" w:fill="auto"/>
            <w:noWrap/>
            <w:vAlign w:val="center"/>
          </w:tcPr>
          <w:p w14:paraId="25C5334E"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3 or more-bedroom flat</w:t>
            </w:r>
          </w:p>
        </w:tc>
      </w:tr>
      <w:tr w:rsidR="00CE1BDB" w:rsidRPr="00FA4DC7" w14:paraId="75F05E3E" w14:textId="77777777" w:rsidTr="00CB100F">
        <w:trPr>
          <w:jc w:val="center"/>
        </w:trPr>
        <w:tc>
          <w:tcPr>
            <w:tcW w:w="1001" w:type="pct"/>
            <w:shd w:val="clear" w:color="auto" w:fill="auto"/>
            <w:noWrap/>
            <w:vAlign w:val="center"/>
            <w:hideMark/>
          </w:tcPr>
          <w:p w14:paraId="6046BBED"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85+</w:t>
            </w:r>
          </w:p>
        </w:tc>
        <w:tc>
          <w:tcPr>
            <w:tcW w:w="2309" w:type="pct"/>
            <w:vMerge/>
            <w:shd w:val="clear" w:color="auto" w:fill="auto"/>
            <w:noWrap/>
            <w:vAlign w:val="center"/>
            <w:hideMark/>
          </w:tcPr>
          <w:p w14:paraId="14A46657" w14:textId="77777777" w:rsidR="00CE1BDB" w:rsidRPr="00FA4DC7" w:rsidRDefault="00CE1BDB" w:rsidP="00EF49A7">
            <w:pPr>
              <w:tabs>
                <w:tab w:val="left" w:pos="0"/>
                <w:tab w:val="left" w:pos="709"/>
                <w:tab w:val="left" w:pos="1418"/>
              </w:tabs>
              <w:rPr>
                <w:rFonts w:cs="Arial"/>
                <w:color w:val="000000"/>
                <w:sz w:val="22"/>
              </w:rPr>
            </w:pPr>
          </w:p>
        </w:tc>
        <w:tc>
          <w:tcPr>
            <w:tcW w:w="1690" w:type="pct"/>
            <w:shd w:val="clear" w:color="auto" w:fill="auto"/>
            <w:noWrap/>
            <w:vAlign w:val="center"/>
          </w:tcPr>
          <w:p w14:paraId="01F6D906"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1-bedroom bungalow</w:t>
            </w:r>
          </w:p>
        </w:tc>
      </w:tr>
      <w:tr w:rsidR="00CE1BDB" w:rsidRPr="00FA4DC7" w14:paraId="0FA03B1C" w14:textId="77777777" w:rsidTr="00CB100F">
        <w:trPr>
          <w:jc w:val="center"/>
        </w:trPr>
        <w:tc>
          <w:tcPr>
            <w:tcW w:w="1001" w:type="pct"/>
            <w:vMerge w:val="restart"/>
            <w:shd w:val="clear" w:color="auto" w:fill="auto"/>
            <w:noWrap/>
            <w:vAlign w:val="center"/>
            <w:hideMark/>
          </w:tcPr>
          <w:p w14:paraId="215C7108" w14:textId="77777777" w:rsidR="00CE1BDB" w:rsidRPr="00FA4DC7" w:rsidRDefault="00CE1BDB" w:rsidP="00EF49A7">
            <w:pPr>
              <w:tabs>
                <w:tab w:val="left" w:pos="0"/>
                <w:tab w:val="left" w:pos="709"/>
                <w:tab w:val="left" w:pos="1418"/>
              </w:tabs>
              <w:jc w:val="center"/>
              <w:rPr>
                <w:rFonts w:cs="Arial"/>
                <w:color w:val="000000"/>
                <w:sz w:val="22"/>
              </w:rPr>
            </w:pPr>
            <w:r w:rsidRPr="00FA4DC7">
              <w:rPr>
                <w:rFonts w:cs="Arial"/>
                <w:color w:val="000000"/>
                <w:sz w:val="22"/>
              </w:rPr>
              <w:t>All</w:t>
            </w:r>
          </w:p>
          <w:p w14:paraId="7268F7BA" w14:textId="77777777" w:rsidR="00CE1BDB" w:rsidRPr="00FA4DC7" w:rsidRDefault="00CE1BDB" w:rsidP="00EF49A7">
            <w:pPr>
              <w:tabs>
                <w:tab w:val="left" w:pos="0"/>
                <w:tab w:val="left" w:pos="709"/>
                <w:tab w:val="left" w:pos="1418"/>
              </w:tabs>
              <w:jc w:val="center"/>
              <w:rPr>
                <w:rFonts w:cs="Arial"/>
                <w:color w:val="000000"/>
                <w:sz w:val="22"/>
              </w:rPr>
            </w:pPr>
          </w:p>
          <w:p w14:paraId="3FF480C6" w14:textId="77777777" w:rsidR="00CE1BDB" w:rsidRPr="00FA4DC7" w:rsidRDefault="00CE1BDB" w:rsidP="00EF49A7">
            <w:pPr>
              <w:tabs>
                <w:tab w:val="left" w:pos="0"/>
                <w:tab w:val="left" w:pos="709"/>
                <w:tab w:val="left" w:pos="1418"/>
              </w:tabs>
              <w:jc w:val="center"/>
              <w:rPr>
                <w:rFonts w:cs="Arial"/>
                <w:color w:val="000000"/>
                <w:sz w:val="22"/>
              </w:rPr>
            </w:pPr>
          </w:p>
        </w:tc>
        <w:tc>
          <w:tcPr>
            <w:tcW w:w="2309" w:type="pct"/>
            <w:vMerge/>
            <w:shd w:val="clear" w:color="auto" w:fill="auto"/>
            <w:noWrap/>
            <w:vAlign w:val="center"/>
            <w:hideMark/>
          </w:tcPr>
          <w:p w14:paraId="21FCFC7B" w14:textId="77777777" w:rsidR="00CE1BDB" w:rsidRPr="00FA4DC7" w:rsidRDefault="00CE1BDB" w:rsidP="00EF49A7">
            <w:pPr>
              <w:tabs>
                <w:tab w:val="left" w:pos="0"/>
                <w:tab w:val="left" w:pos="709"/>
                <w:tab w:val="left" w:pos="1418"/>
              </w:tabs>
              <w:rPr>
                <w:rFonts w:cs="Arial"/>
                <w:color w:val="000000"/>
                <w:sz w:val="22"/>
              </w:rPr>
            </w:pPr>
          </w:p>
        </w:tc>
        <w:tc>
          <w:tcPr>
            <w:tcW w:w="1690" w:type="pct"/>
            <w:shd w:val="clear" w:color="auto" w:fill="auto"/>
            <w:noWrap/>
            <w:vAlign w:val="center"/>
          </w:tcPr>
          <w:p w14:paraId="016EB847"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2-bedroom bungalow</w:t>
            </w:r>
          </w:p>
        </w:tc>
      </w:tr>
      <w:tr w:rsidR="00CE1BDB" w:rsidRPr="00FA4DC7" w14:paraId="0EBD138D" w14:textId="77777777" w:rsidTr="00CB100F">
        <w:trPr>
          <w:jc w:val="center"/>
        </w:trPr>
        <w:tc>
          <w:tcPr>
            <w:tcW w:w="1001" w:type="pct"/>
            <w:vMerge/>
            <w:shd w:val="clear" w:color="auto" w:fill="auto"/>
            <w:noWrap/>
            <w:vAlign w:val="center"/>
            <w:hideMark/>
          </w:tcPr>
          <w:p w14:paraId="1108674F" w14:textId="77777777" w:rsidR="00CE1BDB" w:rsidRPr="00FA4DC7" w:rsidRDefault="00CE1BDB" w:rsidP="00EF49A7">
            <w:pPr>
              <w:tabs>
                <w:tab w:val="left" w:pos="0"/>
                <w:tab w:val="left" w:pos="709"/>
                <w:tab w:val="left" w:pos="1418"/>
              </w:tabs>
              <w:jc w:val="center"/>
              <w:rPr>
                <w:rFonts w:cs="Arial"/>
                <w:color w:val="000000"/>
                <w:sz w:val="22"/>
              </w:rPr>
            </w:pPr>
          </w:p>
        </w:tc>
        <w:tc>
          <w:tcPr>
            <w:tcW w:w="2309" w:type="pct"/>
            <w:vMerge/>
            <w:shd w:val="clear" w:color="auto" w:fill="auto"/>
            <w:noWrap/>
            <w:vAlign w:val="center"/>
            <w:hideMark/>
          </w:tcPr>
          <w:p w14:paraId="0A700148" w14:textId="77777777" w:rsidR="00CE1BDB" w:rsidRPr="00FA4DC7" w:rsidRDefault="00CE1BDB" w:rsidP="00EF49A7">
            <w:pPr>
              <w:tabs>
                <w:tab w:val="left" w:pos="0"/>
                <w:tab w:val="left" w:pos="709"/>
                <w:tab w:val="left" w:pos="1418"/>
              </w:tabs>
              <w:rPr>
                <w:rFonts w:cs="Arial"/>
                <w:color w:val="000000"/>
                <w:sz w:val="22"/>
              </w:rPr>
            </w:pPr>
          </w:p>
        </w:tc>
        <w:tc>
          <w:tcPr>
            <w:tcW w:w="1690" w:type="pct"/>
            <w:shd w:val="clear" w:color="auto" w:fill="auto"/>
            <w:noWrap/>
            <w:vAlign w:val="center"/>
          </w:tcPr>
          <w:p w14:paraId="05EDCC23"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3 or more-bedroom bungalow</w:t>
            </w:r>
          </w:p>
        </w:tc>
      </w:tr>
      <w:tr w:rsidR="00CE1BDB" w:rsidRPr="00FA4DC7" w14:paraId="09EEC28D" w14:textId="77777777" w:rsidTr="00CB100F">
        <w:trPr>
          <w:trHeight w:val="137"/>
          <w:jc w:val="center"/>
        </w:trPr>
        <w:tc>
          <w:tcPr>
            <w:tcW w:w="1001" w:type="pct"/>
            <w:vMerge/>
            <w:shd w:val="clear" w:color="auto" w:fill="auto"/>
            <w:noWrap/>
            <w:vAlign w:val="center"/>
            <w:hideMark/>
          </w:tcPr>
          <w:p w14:paraId="06A3C63B" w14:textId="77777777" w:rsidR="00CE1BDB" w:rsidRPr="00FA4DC7" w:rsidRDefault="00CE1BDB" w:rsidP="00EF49A7">
            <w:pPr>
              <w:tabs>
                <w:tab w:val="left" w:pos="0"/>
                <w:tab w:val="left" w:pos="709"/>
                <w:tab w:val="left" w:pos="1418"/>
              </w:tabs>
              <w:jc w:val="center"/>
              <w:rPr>
                <w:rFonts w:cs="Arial"/>
                <w:color w:val="000000"/>
                <w:sz w:val="22"/>
              </w:rPr>
            </w:pPr>
          </w:p>
        </w:tc>
        <w:tc>
          <w:tcPr>
            <w:tcW w:w="2309" w:type="pct"/>
            <w:vMerge/>
            <w:shd w:val="clear" w:color="auto" w:fill="auto"/>
            <w:noWrap/>
            <w:vAlign w:val="center"/>
            <w:hideMark/>
          </w:tcPr>
          <w:p w14:paraId="53F87187" w14:textId="77777777" w:rsidR="00CE1BDB" w:rsidRPr="00FA4DC7" w:rsidRDefault="00CE1BDB" w:rsidP="00EF49A7">
            <w:pPr>
              <w:tabs>
                <w:tab w:val="left" w:pos="0"/>
                <w:tab w:val="left" w:pos="709"/>
                <w:tab w:val="left" w:pos="1418"/>
              </w:tabs>
              <w:rPr>
                <w:rFonts w:cs="Arial"/>
                <w:color w:val="000000"/>
                <w:sz w:val="22"/>
              </w:rPr>
            </w:pPr>
          </w:p>
        </w:tc>
        <w:tc>
          <w:tcPr>
            <w:tcW w:w="1690" w:type="pct"/>
            <w:shd w:val="clear" w:color="auto" w:fill="auto"/>
            <w:noWrap/>
            <w:vAlign w:val="center"/>
            <w:hideMark/>
          </w:tcPr>
          <w:p w14:paraId="7D28310D" w14:textId="77777777" w:rsidR="00CE1BDB" w:rsidRPr="00FA4DC7" w:rsidRDefault="00CE1BDB" w:rsidP="00EF49A7">
            <w:pPr>
              <w:tabs>
                <w:tab w:val="left" w:pos="0"/>
                <w:tab w:val="left" w:pos="709"/>
                <w:tab w:val="left" w:pos="1418"/>
              </w:tabs>
              <w:rPr>
                <w:rFonts w:cs="Arial"/>
                <w:color w:val="000000"/>
                <w:sz w:val="22"/>
              </w:rPr>
            </w:pPr>
            <w:r w:rsidRPr="00FA4DC7">
              <w:rPr>
                <w:rFonts w:cs="Arial"/>
                <w:color w:val="000000"/>
                <w:sz w:val="22"/>
              </w:rPr>
              <w:t>All</w:t>
            </w:r>
          </w:p>
        </w:tc>
      </w:tr>
    </w:tbl>
    <w:p w14:paraId="27AA5465" w14:textId="77777777" w:rsidR="00CE1BDB" w:rsidRPr="00FA4DC7" w:rsidRDefault="00CE1BDB" w:rsidP="00CB100F">
      <w:pPr>
        <w:rPr>
          <w:highlight w:val="yellow"/>
        </w:rPr>
      </w:pPr>
    </w:p>
    <w:p w14:paraId="4C7470DF" w14:textId="77777777" w:rsidR="00CE1BDB" w:rsidRPr="00FA4DC7" w:rsidRDefault="00CE1BDB" w:rsidP="00CE1BDB">
      <w:pPr>
        <w:pStyle w:val="Heading3"/>
        <w:rPr>
          <w:rFonts w:cs="Arial"/>
        </w:rPr>
      </w:pPr>
      <w:r w:rsidRPr="00FA4DC7">
        <w:rPr>
          <w:rFonts w:cs="Arial"/>
        </w:rPr>
        <w:t>Applying the data at authority level</w:t>
      </w:r>
    </w:p>
    <w:p w14:paraId="2A1AEE1C"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Applying the data at authority level is done in a systematic way. Firstly, the change in the number of households by age group and household type is established from household projections. Assuming that the dwelling needs of these households do not change over the plan period, the overall impact on type/size of dwellings can be determined. </w:t>
      </w:r>
    </w:p>
    <w:p w14:paraId="662D6C81"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Table D2 presents the baseline demographic data for Medway. The total number of households is expected to increase by around 7,039 over the period 2021-2037 using 2018-based ONS household projections. Growth is mainly expected across older age cohorts, with absolute declines in HRPs aged 25-44 and 55-64. Figure D1 illustrates how the number of households by HRP age is expected to change over the plan period 2021-2037. </w:t>
      </w:r>
    </w:p>
    <w:p w14:paraId="77A883E0" w14:textId="1A65EB36" w:rsidR="00CB100F" w:rsidRDefault="00CB100F">
      <w:pPr>
        <w:rPr>
          <w:rFonts w:cs="Arial"/>
          <w:b/>
          <w:color w:val="006666"/>
          <w:sz w:val="22"/>
          <w:highlight w:val="yellow"/>
          <w:lang w:eastAsia="en-US"/>
        </w:rPr>
      </w:pPr>
      <w:bookmarkStart w:id="622" w:name="_Toc59204737"/>
      <w:r>
        <w:rPr>
          <w:highlight w:val="yellow"/>
        </w:rPr>
        <w:br w:type="page"/>
      </w:r>
    </w:p>
    <w:p w14:paraId="16D8219D" w14:textId="77777777" w:rsidR="00CE1BDB" w:rsidRPr="00FA4DC7" w:rsidRDefault="00CE1BDB" w:rsidP="00CE1BDB">
      <w:pPr>
        <w:pStyle w:val="Tableheading1"/>
        <w:rPr>
          <w:rFonts w:cs="Arial"/>
          <w:color w:val="009193"/>
        </w:rPr>
      </w:pPr>
      <w:bookmarkStart w:id="623" w:name="_Toc83036137"/>
      <w:r w:rsidRPr="00FA4DC7">
        <w:rPr>
          <w:rFonts w:cs="Arial"/>
          <w:color w:val="009193"/>
        </w:rPr>
        <w:lastRenderedPageBreak/>
        <w:t>Table D2</w:t>
      </w:r>
      <w:r w:rsidRPr="00FA4DC7">
        <w:rPr>
          <w:rFonts w:cs="Arial"/>
          <w:color w:val="009193"/>
        </w:rPr>
        <w:tab/>
        <w:t>Change in number of households by age group and household type 2021 to 203</w:t>
      </w:r>
      <w:bookmarkEnd w:id="622"/>
      <w:r w:rsidRPr="00FA4DC7">
        <w:rPr>
          <w:rFonts w:cs="Arial"/>
          <w:color w:val="009193"/>
        </w:rPr>
        <w:t>7</w:t>
      </w:r>
      <w:bookmarkEnd w:id="623"/>
    </w:p>
    <w:tbl>
      <w:tblPr>
        <w:tblW w:w="5000" w:type="pct"/>
        <w:tblLayout w:type="fixed"/>
        <w:tblLook w:val="04A0" w:firstRow="1" w:lastRow="0" w:firstColumn="1" w:lastColumn="0" w:noHBand="0" w:noVBand="1"/>
      </w:tblPr>
      <w:tblGrid>
        <w:gridCol w:w="1130"/>
        <w:gridCol w:w="991"/>
        <w:gridCol w:w="1417"/>
        <w:gridCol w:w="1419"/>
        <w:gridCol w:w="1368"/>
        <w:gridCol w:w="1495"/>
        <w:gridCol w:w="1360"/>
      </w:tblGrid>
      <w:tr w:rsidR="00CB100F" w:rsidRPr="00CB100F" w14:paraId="378E4B8A"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765EF4FC"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2021</w:t>
            </w:r>
          </w:p>
        </w:tc>
        <w:tc>
          <w:tcPr>
            <w:tcW w:w="540"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33E95791"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One Person</w:t>
            </w:r>
          </w:p>
        </w:tc>
        <w:tc>
          <w:tcPr>
            <w:tcW w:w="772"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19D11E6F"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1 dependent child</w:t>
            </w:r>
          </w:p>
        </w:tc>
        <w:tc>
          <w:tcPr>
            <w:tcW w:w="773"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06894A1D"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2 dependent children</w:t>
            </w:r>
          </w:p>
        </w:tc>
        <w:tc>
          <w:tcPr>
            <w:tcW w:w="745"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5BED0071"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3 or more dependent children</w:t>
            </w:r>
          </w:p>
        </w:tc>
        <w:tc>
          <w:tcPr>
            <w:tcW w:w="814"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2E36DAF3"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Other households with two or more adults</w:t>
            </w:r>
          </w:p>
        </w:tc>
        <w:tc>
          <w:tcPr>
            <w:tcW w:w="741"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097A6556"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Total</w:t>
            </w:r>
          </w:p>
        </w:tc>
      </w:tr>
      <w:tr w:rsidR="00CE1BDB" w:rsidRPr="00CB100F" w14:paraId="031B873E"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4C8EB"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15-24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CCC5" w14:textId="77777777" w:rsidR="00CE1BDB" w:rsidRPr="00CB100F" w:rsidRDefault="00CE1BDB" w:rsidP="00EF49A7">
            <w:pPr>
              <w:jc w:val="right"/>
              <w:rPr>
                <w:rFonts w:cs="Arial"/>
                <w:color w:val="000000"/>
                <w:sz w:val="22"/>
                <w:szCs w:val="22"/>
              </w:rPr>
            </w:pPr>
            <w:r w:rsidRPr="00CB100F">
              <w:rPr>
                <w:rFonts w:cs="Arial"/>
                <w:color w:val="000000"/>
                <w:sz w:val="22"/>
                <w:szCs w:val="22"/>
              </w:rPr>
              <w:t>546</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85C88" w14:textId="77777777" w:rsidR="00CE1BDB" w:rsidRPr="00CB100F" w:rsidRDefault="00CE1BDB" w:rsidP="00EF49A7">
            <w:pPr>
              <w:jc w:val="right"/>
              <w:rPr>
                <w:rFonts w:cs="Arial"/>
                <w:color w:val="000000"/>
                <w:sz w:val="22"/>
                <w:szCs w:val="22"/>
              </w:rPr>
            </w:pPr>
            <w:r w:rsidRPr="00CB100F">
              <w:rPr>
                <w:rFonts w:cs="Arial"/>
                <w:color w:val="000000"/>
                <w:sz w:val="22"/>
                <w:szCs w:val="22"/>
              </w:rPr>
              <w:t>873</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2CBBD" w14:textId="77777777" w:rsidR="00CE1BDB" w:rsidRPr="00CB100F" w:rsidRDefault="00CE1BDB" w:rsidP="00EF49A7">
            <w:pPr>
              <w:jc w:val="right"/>
              <w:rPr>
                <w:rFonts w:cs="Arial"/>
                <w:color w:val="000000"/>
                <w:sz w:val="22"/>
                <w:szCs w:val="22"/>
              </w:rPr>
            </w:pPr>
            <w:r w:rsidRPr="00CB100F">
              <w:rPr>
                <w:rFonts w:cs="Arial"/>
                <w:color w:val="000000"/>
                <w:sz w:val="22"/>
                <w:szCs w:val="22"/>
              </w:rPr>
              <w:t>460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ECEBA" w14:textId="77777777" w:rsidR="00CE1BDB" w:rsidRPr="00CB100F" w:rsidRDefault="00CE1BDB" w:rsidP="00EF49A7">
            <w:pPr>
              <w:jc w:val="right"/>
              <w:rPr>
                <w:rFonts w:cs="Arial"/>
                <w:color w:val="000000"/>
                <w:sz w:val="22"/>
                <w:szCs w:val="22"/>
              </w:rPr>
            </w:pPr>
            <w:r w:rsidRPr="00CB100F">
              <w:rPr>
                <w:rFonts w:cs="Arial"/>
                <w:color w:val="000000"/>
                <w:sz w:val="22"/>
                <w:szCs w:val="22"/>
              </w:rPr>
              <w:t>177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D90D6" w14:textId="77777777" w:rsidR="00CE1BDB" w:rsidRPr="00CB100F" w:rsidRDefault="00CE1BDB" w:rsidP="00EF49A7">
            <w:pPr>
              <w:jc w:val="right"/>
              <w:rPr>
                <w:rFonts w:cs="Arial"/>
                <w:color w:val="000000"/>
                <w:sz w:val="22"/>
                <w:szCs w:val="22"/>
              </w:rPr>
            </w:pPr>
            <w:r w:rsidRPr="00CB100F">
              <w:rPr>
                <w:rFonts w:cs="Arial"/>
                <w:color w:val="000000"/>
                <w:sz w:val="22"/>
                <w:szCs w:val="22"/>
              </w:rPr>
              <w:t>1,015</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1E5B" w14:textId="77777777" w:rsidR="00CE1BDB" w:rsidRPr="00CB100F" w:rsidRDefault="00CE1BDB" w:rsidP="00EF49A7">
            <w:pPr>
              <w:jc w:val="right"/>
              <w:rPr>
                <w:rFonts w:cs="Arial"/>
                <w:color w:val="000000"/>
                <w:sz w:val="22"/>
                <w:szCs w:val="22"/>
              </w:rPr>
            </w:pPr>
            <w:r w:rsidRPr="00CB100F">
              <w:rPr>
                <w:rFonts w:cs="Arial"/>
                <w:color w:val="000000"/>
                <w:sz w:val="22"/>
                <w:szCs w:val="22"/>
              </w:rPr>
              <w:t>3,070</w:t>
            </w:r>
          </w:p>
        </w:tc>
      </w:tr>
      <w:tr w:rsidR="00CE1BDB" w:rsidRPr="00CB100F" w14:paraId="344D9F4C"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00481"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25-34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9E6F" w14:textId="77777777" w:rsidR="00CE1BDB" w:rsidRPr="00CB100F" w:rsidRDefault="00CE1BDB" w:rsidP="00EF49A7">
            <w:pPr>
              <w:jc w:val="right"/>
              <w:rPr>
                <w:rFonts w:cs="Arial"/>
                <w:color w:val="000000"/>
                <w:sz w:val="22"/>
                <w:szCs w:val="22"/>
              </w:rPr>
            </w:pPr>
            <w:r w:rsidRPr="00CB100F">
              <w:rPr>
                <w:rFonts w:cs="Arial"/>
                <w:color w:val="000000"/>
                <w:sz w:val="22"/>
                <w:szCs w:val="22"/>
              </w:rPr>
              <w:t>2,566</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E370" w14:textId="77777777" w:rsidR="00CE1BDB" w:rsidRPr="00CB100F" w:rsidRDefault="00CE1BDB" w:rsidP="00EF49A7">
            <w:pPr>
              <w:jc w:val="right"/>
              <w:rPr>
                <w:rFonts w:cs="Arial"/>
                <w:color w:val="000000"/>
                <w:sz w:val="22"/>
                <w:szCs w:val="22"/>
              </w:rPr>
            </w:pPr>
            <w:r w:rsidRPr="00CB100F">
              <w:rPr>
                <w:rFonts w:cs="Arial"/>
                <w:color w:val="000000"/>
                <w:sz w:val="22"/>
                <w:szCs w:val="22"/>
              </w:rPr>
              <w:t>3,866</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514BC" w14:textId="77777777" w:rsidR="00CE1BDB" w:rsidRPr="00CB100F" w:rsidRDefault="00CE1BDB" w:rsidP="00EF49A7">
            <w:pPr>
              <w:jc w:val="right"/>
              <w:rPr>
                <w:rFonts w:cs="Arial"/>
                <w:color w:val="000000"/>
                <w:sz w:val="22"/>
                <w:szCs w:val="22"/>
              </w:rPr>
            </w:pPr>
            <w:r w:rsidRPr="00CB100F">
              <w:rPr>
                <w:rFonts w:cs="Arial"/>
                <w:color w:val="000000"/>
                <w:sz w:val="22"/>
                <w:szCs w:val="22"/>
              </w:rPr>
              <w:t>3,334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929FD" w14:textId="77777777" w:rsidR="00CE1BDB" w:rsidRPr="00CB100F" w:rsidRDefault="00CE1BDB" w:rsidP="00EF49A7">
            <w:pPr>
              <w:jc w:val="right"/>
              <w:rPr>
                <w:rFonts w:cs="Arial"/>
                <w:color w:val="000000"/>
                <w:sz w:val="22"/>
                <w:szCs w:val="22"/>
              </w:rPr>
            </w:pPr>
            <w:r w:rsidRPr="00CB100F">
              <w:rPr>
                <w:rFonts w:cs="Arial"/>
                <w:color w:val="000000"/>
                <w:sz w:val="22"/>
                <w:szCs w:val="22"/>
              </w:rPr>
              <w:t>1,585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CC9DF" w14:textId="77777777" w:rsidR="00CE1BDB" w:rsidRPr="00CB100F" w:rsidRDefault="00CE1BDB" w:rsidP="00EF49A7">
            <w:pPr>
              <w:jc w:val="right"/>
              <w:rPr>
                <w:rFonts w:cs="Arial"/>
                <w:color w:val="000000"/>
                <w:sz w:val="22"/>
                <w:szCs w:val="22"/>
              </w:rPr>
            </w:pPr>
            <w:r w:rsidRPr="00CB100F">
              <w:rPr>
                <w:rFonts w:cs="Arial"/>
                <w:color w:val="000000"/>
                <w:sz w:val="22"/>
                <w:szCs w:val="22"/>
              </w:rPr>
              <w:t>4,123</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2642" w14:textId="77777777" w:rsidR="00CE1BDB" w:rsidRPr="00CB100F" w:rsidRDefault="00CE1BDB" w:rsidP="00EF49A7">
            <w:pPr>
              <w:jc w:val="right"/>
              <w:rPr>
                <w:rFonts w:cs="Arial"/>
                <w:color w:val="000000"/>
                <w:sz w:val="22"/>
                <w:szCs w:val="22"/>
              </w:rPr>
            </w:pPr>
            <w:r w:rsidRPr="00CB100F">
              <w:rPr>
                <w:rFonts w:cs="Arial"/>
                <w:color w:val="000000"/>
                <w:sz w:val="22"/>
                <w:szCs w:val="22"/>
              </w:rPr>
              <w:t>15,475</w:t>
            </w:r>
          </w:p>
        </w:tc>
      </w:tr>
      <w:tr w:rsidR="00CE1BDB" w:rsidRPr="00CB100F" w14:paraId="34DA1B3A"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5010D"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35-44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60C6B" w14:textId="77777777" w:rsidR="00CE1BDB" w:rsidRPr="00CB100F" w:rsidRDefault="00CE1BDB" w:rsidP="00EF49A7">
            <w:pPr>
              <w:jc w:val="right"/>
              <w:rPr>
                <w:rFonts w:cs="Arial"/>
                <w:color w:val="000000"/>
                <w:sz w:val="22"/>
                <w:szCs w:val="22"/>
              </w:rPr>
            </w:pPr>
            <w:r w:rsidRPr="00CB100F">
              <w:rPr>
                <w:rFonts w:cs="Arial"/>
                <w:color w:val="000000"/>
                <w:sz w:val="22"/>
                <w:szCs w:val="22"/>
              </w:rPr>
              <w:t>4,305</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1D4B" w14:textId="77777777" w:rsidR="00CE1BDB" w:rsidRPr="00CB100F" w:rsidRDefault="00CE1BDB" w:rsidP="00EF49A7">
            <w:pPr>
              <w:jc w:val="right"/>
              <w:rPr>
                <w:rFonts w:cs="Arial"/>
                <w:color w:val="000000"/>
                <w:sz w:val="22"/>
                <w:szCs w:val="22"/>
              </w:rPr>
            </w:pPr>
            <w:r w:rsidRPr="00CB100F">
              <w:rPr>
                <w:rFonts w:cs="Arial"/>
                <w:color w:val="000000"/>
                <w:sz w:val="22"/>
                <w:szCs w:val="22"/>
              </w:rPr>
              <w:t>4,837</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9778" w14:textId="77777777" w:rsidR="00CE1BDB" w:rsidRPr="00CB100F" w:rsidRDefault="00CE1BDB" w:rsidP="00EF49A7">
            <w:pPr>
              <w:jc w:val="right"/>
              <w:rPr>
                <w:rFonts w:cs="Arial"/>
                <w:color w:val="000000"/>
                <w:sz w:val="22"/>
                <w:szCs w:val="22"/>
              </w:rPr>
            </w:pPr>
            <w:r w:rsidRPr="00CB100F">
              <w:rPr>
                <w:rFonts w:cs="Arial"/>
                <w:color w:val="000000"/>
                <w:sz w:val="22"/>
                <w:szCs w:val="22"/>
              </w:rPr>
              <w:t>5,393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EAC89" w14:textId="77777777" w:rsidR="00CE1BDB" w:rsidRPr="00CB100F" w:rsidRDefault="00CE1BDB" w:rsidP="00EF49A7">
            <w:pPr>
              <w:jc w:val="right"/>
              <w:rPr>
                <w:rFonts w:cs="Arial"/>
                <w:color w:val="000000"/>
                <w:sz w:val="22"/>
                <w:szCs w:val="22"/>
              </w:rPr>
            </w:pPr>
            <w:r w:rsidRPr="00CB100F">
              <w:rPr>
                <w:rFonts w:cs="Arial"/>
                <w:color w:val="000000"/>
                <w:sz w:val="22"/>
                <w:szCs w:val="22"/>
              </w:rPr>
              <w:t>2,218</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DEAB9" w14:textId="77777777" w:rsidR="00CE1BDB" w:rsidRPr="00CB100F" w:rsidRDefault="00CE1BDB" w:rsidP="00EF49A7">
            <w:pPr>
              <w:jc w:val="right"/>
              <w:rPr>
                <w:rFonts w:cs="Arial"/>
                <w:color w:val="000000"/>
                <w:sz w:val="22"/>
                <w:szCs w:val="22"/>
              </w:rPr>
            </w:pPr>
            <w:r w:rsidRPr="00CB100F">
              <w:rPr>
                <w:rFonts w:cs="Arial"/>
                <w:color w:val="000000"/>
                <w:sz w:val="22"/>
                <w:szCs w:val="22"/>
              </w:rPr>
              <w:t>3,894</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84B7" w14:textId="77777777" w:rsidR="00CE1BDB" w:rsidRPr="00CB100F" w:rsidRDefault="00CE1BDB" w:rsidP="00EF49A7">
            <w:pPr>
              <w:jc w:val="right"/>
              <w:rPr>
                <w:rFonts w:cs="Arial"/>
                <w:color w:val="000000"/>
                <w:sz w:val="22"/>
                <w:szCs w:val="22"/>
              </w:rPr>
            </w:pPr>
            <w:r w:rsidRPr="00CB100F">
              <w:rPr>
                <w:rFonts w:cs="Arial"/>
                <w:color w:val="000000"/>
                <w:sz w:val="22"/>
                <w:szCs w:val="22"/>
              </w:rPr>
              <w:t>20,647</w:t>
            </w:r>
          </w:p>
        </w:tc>
      </w:tr>
      <w:tr w:rsidR="00CE1BDB" w:rsidRPr="00CB100F" w14:paraId="70AE85C9"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34322"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45-54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338A2" w14:textId="77777777" w:rsidR="00CE1BDB" w:rsidRPr="00CB100F" w:rsidRDefault="00CE1BDB" w:rsidP="00EF49A7">
            <w:pPr>
              <w:jc w:val="right"/>
              <w:rPr>
                <w:rFonts w:cs="Arial"/>
                <w:color w:val="000000"/>
                <w:sz w:val="22"/>
                <w:szCs w:val="22"/>
              </w:rPr>
            </w:pPr>
            <w:r w:rsidRPr="00CB100F">
              <w:rPr>
                <w:rFonts w:cs="Arial"/>
                <w:color w:val="000000"/>
                <w:sz w:val="22"/>
                <w:szCs w:val="22"/>
              </w:rPr>
              <w:t>5,345</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06B0D" w14:textId="77777777" w:rsidR="00CE1BDB" w:rsidRPr="00CB100F" w:rsidRDefault="00CE1BDB" w:rsidP="00EF49A7">
            <w:pPr>
              <w:jc w:val="right"/>
              <w:rPr>
                <w:rFonts w:cs="Arial"/>
                <w:color w:val="000000"/>
                <w:sz w:val="22"/>
                <w:szCs w:val="22"/>
              </w:rPr>
            </w:pPr>
            <w:r w:rsidRPr="00CB100F">
              <w:rPr>
                <w:rFonts w:cs="Arial"/>
                <w:color w:val="000000"/>
                <w:sz w:val="22"/>
                <w:szCs w:val="22"/>
              </w:rPr>
              <w:t>4,555</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C782" w14:textId="77777777" w:rsidR="00CE1BDB" w:rsidRPr="00CB100F" w:rsidRDefault="00CE1BDB" w:rsidP="00EF49A7">
            <w:pPr>
              <w:jc w:val="right"/>
              <w:rPr>
                <w:rFonts w:cs="Arial"/>
                <w:color w:val="000000"/>
                <w:sz w:val="22"/>
                <w:szCs w:val="22"/>
              </w:rPr>
            </w:pPr>
            <w:r w:rsidRPr="00CB100F">
              <w:rPr>
                <w:rFonts w:cs="Arial"/>
                <w:color w:val="000000"/>
                <w:sz w:val="22"/>
                <w:szCs w:val="22"/>
              </w:rPr>
              <w:t>3,334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DB4BF" w14:textId="77777777" w:rsidR="00CE1BDB" w:rsidRPr="00CB100F" w:rsidRDefault="00CE1BDB" w:rsidP="00EF49A7">
            <w:pPr>
              <w:jc w:val="right"/>
              <w:rPr>
                <w:rFonts w:cs="Arial"/>
                <w:color w:val="000000"/>
                <w:sz w:val="22"/>
                <w:szCs w:val="22"/>
              </w:rPr>
            </w:pPr>
            <w:r w:rsidRPr="00CB100F">
              <w:rPr>
                <w:rFonts w:cs="Arial"/>
                <w:color w:val="000000"/>
                <w:sz w:val="22"/>
                <w:szCs w:val="22"/>
              </w:rPr>
              <w:t>1,163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DA3B" w14:textId="77777777" w:rsidR="00CE1BDB" w:rsidRPr="00CB100F" w:rsidRDefault="00CE1BDB" w:rsidP="00EF49A7">
            <w:pPr>
              <w:jc w:val="right"/>
              <w:rPr>
                <w:rFonts w:cs="Arial"/>
                <w:color w:val="000000"/>
                <w:sz w:val="22"/>
                <w:szCs w:val="22"/>
              </w:rPr>
            </w:pPr>
            <w:r w:rsidRPr="00CB100F">
              <w:rPr>
                <w:rFonts w:cs="Arial"/>
                <w:color w:val="000000"/>
                <w:sz w:val="22"/>
                <w:szCs w:val="22"/>
              </w:rPr>
              <w:t>8,099</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FD0EB" w14:textId="77777777" w:rsidR="00CE1BDB" w:rsidRPr="00CB100F" w:rsidRDefault="00CE1BDB" w:rsidP="00EF49A7">
            <w:pPr>
              <w:jc w:val="right"/>
              <w:rPr>
                <w:rFonts w:cs="Arial"/>
                <w:color w:val="000000"/>
                <w:sz w:val="22"/>
                <w:szCs w:val="22"/>
              </w:rPr>
            </w:pPr>
            <w:r w:rsidRPr="00CB100F">
              <w:rPr>
                <w:rFonts w:cs="Arial"/>
                <w:color w:val="000000"/>
                <w:sz w:val="22"/>
                <w:szCs w:val="22"/>
              </w:rPr>
              <w:t>22,497</w:t>
            </w:r>
          </w:p>
        </w:tc>
      </w:tr>
      <w:tr w:rsidR="00CE1BDB" w:rsidRPr="00CB100F" w14:paraId="2D3F704A"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F559F"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55-64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9A4A" w14:textId="77777777" w:rsidR="00CE1BDB" w:rsidRPr="00CB100F" w:rsidRDefault="00CE1BDB" w:rsidP="00EF49A7">
            <w:pPr>
              <w:jc w:val="right"/>
              <w:rPr>
                <w:rFonts w:cs="Arial"/>
                <w:color w:val="000000"/>
                <w:sz w:val="22"/>
                <w:szCs w:val="22"/>
              </w:rPr>
            </w:pPr>
            <w:r w:rsidRPr="00CB100F">
              <w:rPr>
                <w:rFonts w:cs="Arial"/>
                <w:color w:val="000000"/>
                <w:sz w:val="22"/>
                <w:szCs w:val="22"/>
              </w:rPr>
              <w:t>6,054</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FE785" w14:textId="77777777" w:rsidR="00CE1BDB" w:rsidRPr="00CB100F" w:rsidRDefault="00CE1BDB" w:rsidP="00EF49A7">
            <w:pPr>
              <w:jc w:val="right"/>
              <w:rPr>
                <w:rFonts w:cs="Arial"/>
                <w:color w:val="000000"/>
                <w:sz w:val="22"/>
                <w:szCs w:val="22"/>
              </w:rPr>
            </w:pPr>
            <w:r w:rsidRPr="00CB100F">
              <w:rPr>
                <w:rFonts w:cs="Arial"/>
                <w:color w:val="000000"/>
                <w:sz w:val="22"/>
                <w:szCs w:val="22"/>
              </w:rPr>
              <w:t>1,792</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19C9A" w14:textId="77777777" w:rsidR="00CE1BDB" w:rsidRPr="00CB100F" w:rsidRDefault="00CE1BDB" w:rsidP="00EF49A7">
            <w:pPr>
              <w:jc w:val="right"/>
              <w:rPr>
                <w:rFonts w:cs="Arial"/>
                <w:color w:val="000000"/>
                <w:sz w:val="22"/>
                <w:szCs w:val="22"/>
              </w:rPr>
            </w:pPr>
            <w:r w:rsidRPr="00CB100F">
              <w:rPr>
                <w:rFonts w:cs="Arial"/>
                <w:color w:val="000000"/>
                <w:sz w:val="22"/>
                <w:szCs w:val="22"/>
              </w:rPr>
              <w:t>672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19E22" w14:textId="77777777" w:rsidR="00CE1BDB" w:rsidRPr="00CB100F" w:rsidRDefault="00CE1BDB" w:rsidP="00EF49A7">
            <w:pPr>
              <w:jc w:val="right"/>
              <w:rPr>
                <w:rFonts w:cs="Arial"/>
                <w:color w:val="000000"/>
                <w:sz w:val="22"/>
                <w:szCs w:val="22"/>
              </w:rPr>
            </w:pPr>
            <w:r w:rsidRPr="00CB100F">
              <w:rPr>
                <w:rFonts w:cs="Arial"/>
                <w:color w:val="000000"/>
                <w:sz w:val="22"/>
                <w:szCs w:val="22"/>
              </w:rPr>
              <w:t>228</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C3E30" w14:textId="77777777" w:rsidR="00CE1BDB" w:rsidRPr="00CB100F" w:rsidRDefault="00CE1BDB" w:rsidP="00EF49A7">
            <w:pPr>
              <w:jc w:val="right"/>
              <w:rPr>
                <w:rFonts w:cs="Arial"/>
                <w:color w:val="000000"/>
                <w:sz w:val="22"/>
                <w:szCs w:val="22"/>
              </w:rPr>
            </w:pPr>
            <w:r w:rsidRPr="00CB100F">
              <w:rPr>
                <w:rFonts w:cs="Arial"/>
                <w:color w:val="000000"/>
                <w:sz w:val="22"/>
                <w:szCs w:val="22"/>
              </w:rPr>
              <w:t>11,986</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AE59" w14:textId="77777777" w:rsidR="00CE1BDB" w:rsidRPr="00CB100F" w:rsidRDefault="00CE1BDB" w:rsidP="00EF49A7">
            <w:pPr>
              <w:jc w:val="right"/>
              <w:rPr>
                <w:rFonts w:cs="Arial"/>
                <w:color w:val="000000"/>
                <w:sz w:val="22"/>
                <w:szCs w:val="22"/>
              </w:rPr>
            </w:pPr>
            <w:r w:rsidRPr="00CB100F">
              <w:rPr>
                <w:rFonts w:cs="Arial"/>
                <w:color w:val="000000"/>
                <w:sz w:val="22"/>
                <w:szCs w:val="22"/>
              </w:rPr>
              <w:t>20,732</w:t>
            </w:r>
          </w:p>
        </w:tc>
      </w:tr>
      <w:tr w:rsidR="00CE1BDB" w:rsidRPr="00CB100F" w14:paraId="3A543476"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8658"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65-74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5D866" w14:textId="77777777" w:rsidR="00CE1BDB" w:rsidRPr="00CB100F" w:rsidRDefault="00CE1BDB" w:rsidP="00EF49A7">
            <w:pPr>
              <w:jc w:val="right"/>
              <w:rPr>
                <w:rFonts w:cs="Arial"/>
                <w:color w:val="000000"/>
                <w:sz w:val="22"/>
                <w:szCs w:val="22"/>
              </w:rPr>
            </w:pPr>
            <w:r w:rsidRPr="00CB100F">
              <w:rPr>
                <w:rFonts w:cs="Arial"/>
                <w:color w:val="000000"/>
                <w:sz w:val="22"/>
                <w:szCs w:val="22"/>
              </w:rPr>
              <w:t>5,826</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B9C4" w14:textId="77777777" w:rsidR="00CE1BDB" w:rsidRPr="00CB100F" w:rsidRDefault="00CE1BDB" w:rsidP="00EF49A7">
            <w:pPr>
              <w:jc w:val="right"/>
              <w:rPr>
                <w:rFonts w:cs="Arial"/>
                <w:color w:val="000000"/>
                <w:sz w:val="22"/>
                <w:szCs w:val="22"/>
              </w:rPr>
            </w:pPr>
            <w:r w:rsidRPr="00CB100F">
              <w:rPr>
                <w:rFonts w:cs="Arial"/>
                <w:color w:val="000000"/>
                <w:sz w:val="22"/>
                <w:szCs w:val="22"/>
              </w:rPr>
              <w:t>202</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5F96" w14:textId="77777777" w:rsidR="00CE1BDB" w:rsidRPr="00CB100F" w:rsidRDefault="00CE1BDB" w:rsidP="00EF49A7">
            <w:pPr>
              <w:jc w:val="right"/>
              <w:rPr>
                <w:rFonts w:cs="Arial"/>
                <w:color w:val="000000"/>
                <w:sz w:val="22"/>
                <w:szCs w:val="22"/>
              </w:rPr>
            </w:pPr>
            <w:r w:rsidRPr="00CB100F">
              <w:rPr>
                <w:rFonts w:cs="Arial"/>
                <w:color w:val="000000"/>
                <w:sz w:val="22"/>
                <w:szCs w:val="22"/>
              </w:rPr>
              <w:t>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9A6A2" w14:textId="77777777" w:rsidR="00CE1BDB" w:rsidRPr="00CB100F" w:rsidRDefault="00CE1BDB" w:rsidP="00EF49A7">
            <w:pPr>
              <w:jc w:val="right"/>
              <w:rPr>
                <w:rFonts w:cs="Arial"/>
                <w:color w:val="000000"/>
                <w:sz w:val="22"/>
                <w:szCs w:val="22"/>
              </w:rPr>
            </w:pPr>
            <w:r w:rsidRPr="00CB100F">
              <w:rPr>
                <w:rFonts w:cs="Arial"/>
                <w:color w:val="000000"/>
                <w:sz w:val="22"/>
                <w:szCs w:val="22"/>
              </w:rPr>
              <w:t>11</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A3D9D" w14:textId="77777777" w:rsidR="00CE1BDB" w:rsidRPr="00CB100F" w:rsidRDefault="00CE1BDB" w:rsidP="00EF49A7">
            <w:pPr>
              <w:jc w:val="right"/>
              <w:rPr>
                <w:rFonts w:cs="Arial"/>
                <w:color w:val="000000"/>
                <w:sz w:val="22"/>
                <w:szCs w:val="22"/>
              </w:rPr>
            </w:pPr>
            <w:r w:rsidRPr="00CB100F">
              <w:rPr>
                <w:rFonts w:cs="Arial"/>
                <w:color w:val="000000"/>
                <w:sz w:val="22"/>
                <w:szCs w:val="22"/>
              </w:rPr>
              <w:t>9,012</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A82AE" w14:textId="77777777" w:rsidR="00CE1BDB" w:rsidRPr="00CB100F" w:rsidRDefault="00CE1BDB" w:rsidP="00EF49A7">
            <w:pPr>
              <w:jc w:val="right"/>
              <w:rPr>
                <w:rFonts w:cs="Arial"/>
                <w:color w:val="000000"/>
                <w:sz w:val="22"/>
                <w:szCs w:val="22"/>
              </w:rPr>
            </w:pPr>
            <w:r w:rsidRPr="00CB100F">
              <w:rPr>
                <w:rFonts w:cs="Arial"/>
                <w:color w:val="000000"/>
                <w:sz w:val="22"/>
                <w:szCs w:val="22"/>
              </w:rPr>
              <w:t>15,099</w:t>
            </w:r>
          </w:p>
        </w:tc>
      </w:tr>
      <w:tr w:rsidR="00CE1BDB" w:rsidRPr="00CB100F" w14:paraId="4D63F97C"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D783F"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75-84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AD983" w14:textId="77777777" w:rsidR="00CE1BDB" w:rsidRPr="00CB100F" w:rsidRDefault="00CE1BDB" w:rsidP="00EF49A7">
            <w:pPr>
              <w:jc w:val="right"/>
              <w:rPr>
                <w:rFonts w:cs="Arial"/>
                <w:color w:val="000000"/>
                <w:sz w:val="22"/>
                <w:szCs w:val="22"/>
              </w:rPr>
            </w:pPr>
            <w:r w:rsidRPr="00CB100F">
              <w:rPr>
                <w:rFonts w:cs="Arial"/>
                <w:color w:val="000000"/>
                <w:sz w:val="22"/>
                <w:szCs w:val="22"/>
              </w:rPr>
              <w:t>5,188</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73B26" w14:textId="77777777" w:rsidR="00CE1BDB" w:rsidRPr="00CB100F" w:rsidRDefault="00CE1BDB" w:rsidP="00EF49A7">
            <w:pPr>
              <w:jc w:val="right"/>
              <w:rPr>
                <w:rFonts w:cs="Arial"/>
                <w:color w:val="000000"/>
                <w:sz w:val="22"/>
                <w:szCs w:val="22"/>
              </w:rPr>
            </w:pPr>
            <w:r w:rsidRPr="00CB100F">
              <w:rPr>
                <w:rFonts w:cs="Arial"/>
                <w:color w:val="000000"/>
                <w:sz w:val="22"/>
                <w:szCs w:val="22"/>
              </w:rPr>
              <w:t>36</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5025C" w14:textId="77777777" w:rsidR="00CE1BDB" w:rsidRPr="00CB100F" w:rsidRDefault="00CE1BDB" w:rsidP="00EF49A7">
            <w:pPr>
              <w:jc w:val="right"/>
              <w:rPr>
                <w:rFonts w:cs="Arial"/>
                <w:color w:val="000000"/>
                <w:sz w:val="22"/>
                <w:szCs w:val="22"/>
              </w:rPr>
            </w:pPr>
            <w:r w:rsidRPr="00CB100F">
              <w:rPr>
                <w:rFonts w:cs="Arial"/>
                <w:color w:val="000000"/>
                <w:sz w:val="22"/>
                <w:szCs w:val="22"/>
              </w:rPr>
              <w:t>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8704B" w14:textId="77777777" w:rsidR="00CE1BDB" w:rsidRPr="00CB100F" w:rsidRDefault="00CE1BDB" w:rsidP="00EF49A7">
            <w:pPr>
              <w:jc w:val="right"/>
              <w:rPr>
                <w:rFonts w:cs="Arial"/>
                <w:color w:val="000000"/>
                <w:sz w:val="22"/>
                <w:szCs w:val="22"/>
              </w:rPr>
            </w:pPr>
            <w:r w:rsidRPr="00CB100F">
              <w:rPr>
                <w:rFonts w:cs="Arial"/>
                <w:color w:val="000000"/>
                <w:sz w:val="22"/>
                <w:szCs w:val="22"/>
              </w:rPr>
              <w:t>2</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8C429" w14:textId="77777777" w:rsidR="00CE1BDB" w:rsidRPr="00CB100F" w:rsidRDefault="00CE1BDB" w:rsidP="00EF49A7">
            <w:pPr>
              <w:jc w:val="right"/>
              <w:rPr>
                <w:rFonts w:cs="Arial"/>
                <w:color w:val="000000"/>
                <w:sz w:val="22"/>
                <w:szCs w:val="22"/>
              </w:rPr>
            </w:pPr>
            <w:r w:rsidRPr="00CB100F">
              <w:rPr>
                <w:rFonts w:cs="Arial"/>
                <w:color w:val="000000"/>
                <w:sz w:val="22"/>
                <w:szCs w:val="22"/>
              </w:rPr>
              <w:t>5,900</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A4DB5" w14:textId="77777777" w:rsidR="00CE1BDB" w:rsidRPr="00CB100F" w:rsidRDefault="00CE1BDB" w:rsidP="00EF49A7">
            <w:pPr>
              <w:jc w:val="right"/>
              <w:rPr>
                <w:rFonts w:cs="Arial"/>
                <w:color w:val="000000"/>
                <w:sz w:val="22"/>
                <w:szCs w:val="22"/>
              </w:rPr>
            </w:pPr>
            <w:r w:rsidRPr="00CB100F">
              <w:rPr>
                <w:rFonts w:cs="Arial"/>
                <w:color w:val="000000"/>
                <w:sz w:val="22"/>
                <w:szCs w:val="22"/>
              </w:rPr>
              <w:t>11,135</w:t>
            </w:r>
          </w:p>
        </w:tc>
      </w:tr>
      <w:tr w:rsidR="00CE1BDB" w:rsidRPr="00CB100F" w14:paraId="6ED12B6A"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6F6FF"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85+</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E4C28" w14:textId="77777777" w:rsidR="00CE1BDB" w:rsidRPr="00CB100F" w:rsidRDefault="00CE1BDB" w:rsidP="00EF49A7">
            <w:pPr>
              <w:jc w:val="right"/>
              <w:rPr>
                <w:rFonts w:cs="Arial"/>
                <w:color w:val="000000"/>
                <w:sz w:val="22"/>
                <w:szCs w:val="22"/>
              </w:rPr>
            </w:pPr>
            <w:r w:rsidRPr="00CB100F">
              <w:rPr>
                <w:rFonts w:cs="Arial"/>
                <w:color w:val="000000"/>
                <w:sz w:val="22"/>
                <w:szCs w:val="22"/>
              </w:rPr>
              <w:t>2,682</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8B3A" w14:textId="77777777" w:rsidR="00CE1BDB" w:rsidRPr="00CB100F" w:rsidRDefault="00CE1BDB" w:rsidP="00EF49A7">
            <w:pPr>
              <w:jc w:val="right"/>
              <w:rPr>
                <w:rFonts w:cs="Arial"/>
                <w:color w:val="000000"/>
                <w:sz w:val="22"/>
                <w:szCs w:val="22"/>
              </w:rPr>
            </w:pPr>
            <w:r w:rsidRPr="00CB100F">
              <w:rPr>
                <w:rFonts w:cs="Arial"/>
                <w:color w:val="000000"/>
                <w:sz w:val="22"/>
                <w:szCs w:val="22"/>
              </w:rPr>
              <w:t>14</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5EABD"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B371D"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E474C" w14:textId="77777777" w:rsidR="00CE1BDB" w:rsidRPr="00CB100F" w:rsidRDefault="00CE1BDB" w:rsidP="00EF49A7">
            <w:pPr>
              <w:jc w:val="right"/>
              <w:rPr>
                <w:rFonts w:cs="Arial"/>
                <w:color w:val="000000"/>
                <w:sz w:val="22"/>
                <w:szCs w:val="22"/>
              </w:rPr>
            </w:pPr>
            <w:r w:rsidRPr="00CB100F">
              <w:rPr>
                <w:rFonts w:cs="Arial"/>
                <w:color w:val="000000"/>
                <w:sz w:val="22"/>
                <w:szCs w:val="22"/>
              </w:rPr>
              <w:t>1,388</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220CD" w14:textId="77777777" w:rsidR="00CE1BDB" w:rsidRPr="00CB100F" w:rsidRDefault="00CE1BDB" w:rsidP="00EF49A7">
            <w:pPr>
              <w:jc w:val="right"/>
              <w:rPr>
                <w:rFonts w:cs="Arial"/>
                <w:color w:val="000000"/>
                <w:sz w:val="22"/>
                <w:szCs w:val="22"/>
              </w:rPr>
            </w:pPr>
            <w:r w:rsidRPr="00CB100F">
              <w:rPr>
                <w:rFonts w:cs="Arial"/>
                <w:color w:val="000000"/>
                <w:sz w:val="22"/>
                <w:szCs w:val="22"/>
              </w:rPr>
              <w:t>4,084</w:t>
            </w:r>
          </w:p>
        </w:tc>
      </w:tr>
      <w:tr w:rsidR="00CE1BDB" w:rsidRPr="00CB100F" w14:paraId="07F223DA"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84A1"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TOTAL</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C0FE5" w14:textId="77777777" w:rsidR="00CE1BDB" w:rsidRPr="00CB100F" w:rsidRDefault="00CE1BDB" w:rsidP="00EF49A7">
            <w:pPr>
              <w:jc w:val="right"/>
              <w:rPr>
                <w:rFonts w:cs="Arial"/>
                <w:color w:val="000000"/>
                <w:sz w:val="22"/>
                <w:szCs w:val="22"/>
              </w:rPr>
            </w:pPr>
            <w:r w:rsidRPr="00CB100F">
              <w:rPr>
                <w:rFonts w:cs="Arial"/>
                <w:color w:val="000000"/>
                <w:sz w:val="22"/>
                <w:szCs w:val="22"/>
              </w:rPr>
              <w:t>32,513</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AA43F" w14:textId="77777777" w:rsidR="00CE1BDB" w:rsidRPr="00CB100F" w:rsidRDefault="00CE1BDB" w:rsidP="00EF49A7">
            <w:pPr>
              <w:jc w:val="right"/>
              <w:rPr>
                <w:rFonts w:cs="Arial"/>
                <w:color w:val="000000"/>
                <w:sz w:val="22"/>
                <w:szCs w:val="22"/>
              </w:rPr>
            </w:pPr>
            <w:r w:rsidRPr="00CB100F">
              <w:rPr>
                <w:rFonts w:cs="Arial"/>
                <w:color w:val="000000"/>
                <w:sz w:val="22"/>
                <w:szCs w:val="22"/>
              </w:rPr>
              <w:t>16,175</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FFD8" w14:textId="77777777" w:rsidR="00CE1BDB" w:rsidRPr="00CB100F" w:rsidRDefault="00CE1BDB" w:rsidP="00EF49A7">
            <w:pPr>
              <w:jc w:val="right"/>
              <w:rPr>
                <w:rFonts w:cs="Arial"/>
                <w:color w:val="000000"/>
                <w:sz w:val="22"/>
                <w:szCs w:val="22"/>
              </w:rPr>
            </w:pPr>
            <w:r w:rsidRPr="00CB100F">
              <w:rPr>
                <w:rFonts w:cs="Arial"/>
                <w:color w:val="000000"/>
                <w:sz w:val="22"/>
                <w:szCs w:val="22"/>
              </w:rPr>
              <w:t>13,250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2DE28" w14:textId="77777777" w:rsidR="00CE1BDB" w:rsidRPr="00CB100F" w:rsidRDefault="00CE1BDB" w:rsidP="00EF49A7">
            <w:pPr>
              <w:jc w:val="right"/>
              <w:rPr>
                <w:rFonts w:cs="Arial"/>
                <w:color w:val="000000"/>
                <w:sz w:val="22"/>
                <w:szCs w:val="22"/>
              </w:rPr>
            </w:pPr>
            <w:r w:rsidRPr="00CB100F">
              <w:rPr>
                <w:rFonts w:cs="Arial"/>
                <w:color w:val="000000"/>
                <w:sz w:val="22"/>
                <w:szCs w:val="22"/>
              </w:rPr>
              <w:t>5,385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17275" w14:textId="77777777" w:rsidR="00CE1BDB" w:rsidRPr="00CB100F" w:rsidRDefault="00CE1BDB" w:rsidP="00EF49A7">
            <w:pPr>
              <w:jc w:val="right"/>
              <w:rPr>
                <w:rFonts w:cs="Arial"/>
                <w:color w:val="000000"/>
                <w:sz w:val="22"/>
                <w:szCs w:val="22"/>
              </w:rPr>
            </w:pPr>
            <w:r w:rsidRPr="00CB100F">
              <w:rPr>
                <w:rFonts w:cs="Arial"/>
                <w:color w:val="000000"/>
                <w:sz w:val="22"/>
                <w:szCs w:val="22"/>
              </w:rPr>
              <w:t>45,417</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C8BE" w14:textId="77777777" w:rsidR="00CE1BDB" w:rsidRPr="00CB100F" w:rsidRDefault="00CE1BDB" w:rsidP="00EF49A7">
            <w:pPr>
              <w:jc w:val="right"/>
              <w:rPr>
                <w:rFonts w:cs="Arial"/>
                <w:color w:val="000000"/>
                <w:sz w:val="22"/>
                <w:szCs w:val="22"/>
              </w:rPr>
            </w:pPr>
            <w:r w:rsidRPr="00CB100F">
              <w:rPr>
                <w:rFonts w:cs="Arial"/>
                <w:color w:val="000000"/>
                <w:sz w:val="22"/>
                <w:szCs w:val="22"/>
              </w:rPr>
              <w:t>112,740</w:t>
            </w:r>
          </w:p>
        </w:tc>
      </w:tr>
      <w:tr w:rsidR="00CE1BDB" w:rsidRPr="00CB100F" w14:paraId="4823E47C" w14:textId="77777777" w:rsidTr="00CB100F">
        <w:trPr>
          <w:trHeight w:val="300"/>
        </w:trPr>
        <w:tc>
          <w:tcPr>
            <w:tcW w:w="615" w:type="pct"/>
            <w:tcBorders>
              <w:top w:val="single" w:sz="4" w:space="0" w:color="auto"/>
              <w:left w:val="nil"/>
              <w:bottom w:val="single" w:sz="4" w:space="0" w:color="auto"/>
              <w:right w:val="nil"/>
            </w:tcBorders>
            <w:shd w:val="clear" w:color="auto" w:fill="auto"/>
            <w:noWrap/>
            <w:vAlign w:val="bottom"/>
            <w:hideMark/>
          </w:tcPr>
          <w:p w14:paraId="6F561B5D" w14:textId="77777777" w:rsidR="00CE1BDB" w:rsidRPr="00CB100F" w:rsidRDefault="00CE1BDB" w:rsidP="00EF49A7">
            <w:pPr>
              <w:jc w:val="right"/>
              <w:rPr>
                <w:rFonts w:cs="Arial"/>
                <w:color w:val="000000"/>
                <w:sz w:val="22"/>
                <w:szCs w:val="22"/>
              </w:rPr>
            </w:pPr>
          </w:p>
        </w:tc>
        <w:tc>
          <w:tcPr>
            <w:tcW w:w="540" w:type="pct"/>
            <w:tcBorders>
              <w:top w:val="single" w:sz="4" w:space="0" w:color="auto"/>
              <w:left w:val="nil"/>
              <w:bottom w:val="single" w:sz="4" w:space="0" w:color="auto"/>
              <w:right w:val="nil"/>
            </w:tcBorders>
            <w:shd w:val="clear" w:color="auto" w:fill="auto"/>
            <w:noWrap/>
            <w:vAlign w:val="bottom"/>
            <w:hideMark/>
          </w:tcPr>
          <w:p w14:paraId="5564AF54" w14:textId="77777777" w:rsidR="00CE1BDB" w:rsidRPr="00CB100F" w:rsidRDefault="00CE1BDB" w:rsidP="00EF49A7">
            <w:pPr>
              <w:rPr>
                <w:rFonts w:cs="Arial"/>
                <w:sz w:val="22"/>
                <w:szCs w:val="22"/>
              </w:rPr>
            </w:pPr>
          </w:p>
        </w:tc>
        <w:tc>
          <w:tcPr>
            <w:tcW w:w="772" w:type="pct"/>
            <w:tcBorders>
              <w:top w:val="single" w:sz="4" w:space="0" w:color="auto"/>
              <w:left w:val="nil"/>
              <w:bottom w:val="single" w:sz="4" w:space="0" w:color="auto"/>
              <w:right w:val="nil"/>
            </w:tcBorders>
            <w:shd w:val="clear" w:color="auto" w:fill="auto"/>
            <w:noWrap/>
            <w:vAlign w:val="bottom"/>
            <w:hideMark/>
          </w:tcPr>
          <w:p w14:paraId="12A6FCC4" w14:textId="77777777" w:rsidR="00CE1BDB" w:rsidRPr="00CB100F" w:rsidRDefault="00CE1BDB" w:rsidP="00EF49A7">
            <w:pPr>
              <w:rPr>
                <w:rFonts w:cs="Arial"/>
                <w:sz w:val="22"/>
                <w:szCs w:val="22"/>
              </w:rPr>
            </w:pPr>
          </w:p>
        </w:tc>
        <w:tc>
          <w:tcPr>
            <w:tcW w:w="773" w:type="pct"/>
            <w:tcBorders>
              <w:top w:val="single" w:sz="4" w:space="0" w:color="auto"/>
              <w:left w:val="nil"/>
              <w:bottom w:val="single" w:sz="4" w:space="0" w:color="auto"/>
              <w:right w:val="nil"/>
            </w:tcBorders>
            <w:shd w:val="clear" w:color="auto" w:fill="auto"/>
            <w:noWrap/>
            <w:vAlign w:val="bottom"/>
            <w:hideMark/>
          </w:tcPr>
          <w:p w14:paraId="2B3B971D" w14:textId="77777777" w:rsidR="00CE1BDB" w:rsidRPr="00CB100F" w:rsidRDefault="00CE1BDB" w:rsidP="00EF49A7">
            <w:pPr>
              <w:rPr>
                <w:rFonts w:cs="Arial"/>
                <w:sz w:val="22"/>
                <w:szCs w:val="22"/>
              </w:rPr>
            </w:pPr>
          </w:p>
        </w:tc>
        <w:tc>
          <w:tcPr>
            <w:tcW w:w="745" w:type="pct"/>
            <w:tcBorders>
              <w:top w:val="single" w:sz="4" w:space="0" w:color="auto"/>
              <w:left w:val="nil"/>
              <w:bottom w:val="single" w:sz="4" w:space="0" w:color="auto"/>
              <w:right w:val="nil"/>
            </w:tcBorders>
            <w:shd w:val="clear" w:color="auto" w:fill="auto"/>
            <w:noWrap/>
            <w:vAlign w:val="bottom"/>
            <w:hideMark/>
          </w:tcPr>
          <w:p w14:paraId="2820F7F2" w14:textId="77777777" w:rsidR="00CE1BDB" w:rsidRPr="00CB100F" w:rsidRDefault="00CE1BDB" w:rsidP="00EF49A7">
            <w:pPr>
              <w:rPr>
                <w:rFonts w:cs="Arial"/>
                <w:sz w:val="22"/>
                <w:szCs w:val="22"/>
              </w:rPr>
            </w:pPr>
          </w:p>
        </w:tc>
        <w:tc>
          <w:tcPr>
            <w:tcW w:w="814" w:type="pct"/>
            <w:tcBorders>
              <w:top w:val="single" w:sz="4" w:space="0" w:color="auto"/>
              <w:left w:val="nil"/>
              <w:bottom w:val="single" w:sz="4" w:space="0" w:color="auto"/>
              <w:right w:val="nil"/>
            </w:tcBorders>
            <w:shd w:val="clear" w:color="auto" w:fill="auto"/>
            <w:noWrap/>
            <w:vAlign w:val="bottom"/>
            <w:hideMark/>
          </w:tcPr>
          <w:p w14:paraId="13D4D289" w14:textId="77777777" w:rsidR="00CE1BDB" w:rsidRPr="00CB100F" w:rsidRDefault="00CE1BDB" w:rsidP="00EF49A7">
            <w:pPr>
              <w:rPr>
                <w:rFonts w:cs="Arial"/>
                <w:sz w:val="22"/>
                <w:szCs w:val="22"/>
              </w:rPr>
            </w:pPr>
          </w:p>
        </w:tc>
        <w:tc>
          <w:tcPr>
            <w:tcW w:w="741" w:type="pct"/>
            <w:tcBorders>
              <w:top w:val="single" w:sz="4" w:space="0" w:color="auto"/>
              <w:left w:val="nil"/>
              <w:bottom w:val="single" w:sz="4" w:space="0" w:color="auto"/>
              <w:right w:val="nil"/>
            </w:tcBorders>
            <w:shd w:val="clear" w:color="auto" w:fill="auto"/>
            <w:noWrap/>
            <w:vAlign w:val="bottom"/>
            <w:hideMark/>
          </w:tcPr>
          <w:p w14:paraId="669DA084" w14:textId="77777777" w:rsidR="00CE1BDB" w:rsidRPr="00CB100F" w:rsidRDefault="00CE1BDB" w:rsidP="00EF49A7">
            <w:pPr>
              <w:rPr>
                <w:rFonts w:cs="Arial"/>
                <w:sz w:val="22"/>
                <w:szCs w:val="22"/>
              </w:rPr>
            </w:pPr>
          </w:p>
        </w:tc>
      </w:tr>
      <w:tr w:rsidR="00CB100F" w:rsidRPr="00CB100F" w14:paraId="7CA1897C"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24013E8B"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2037</w:t>
            </w:r>
          </w:p>
        </w:tc>
        <w:tc>
          <w:tcPr>
            <w:tcW w:w="540"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5EC917A3"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One Person</w:t>
            </w:r>
          </w:p>
        </w:tc>
        <w:tc>
          <w:tcPr>
            <w:tcW w:w="772"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639CAA72"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1 dependent child</w:t>
            </w:r>
          </w:p>
        </w:tc>
        <w:tc>
          <w:tcPr>
            <w:tcW w:w="773"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0C43B647"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2 dependent children</w:t>
            </w:r>
          </w:p>
        </w:tc>
        <w:tc>
          <w:tcPr>
            <w:tcW w:w="745"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1CB4739F"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3 or more dependent children</w:t>
            </w:r>
          </w:p>
        </w:tc>
        <w:tc>
          <w:tcPr>
            <w:tcW w:w="814"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51C46C95"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Other households with two or more adults</w:t>
            </w:r>
          </w:p>
        </w:tc>
        <w:tc>
          <w:tcPr>
            <w:tcW w:w="741"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77867774"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Total</w:t>
            </w:r>
          </w:p>
        </w:tc>
      </w:tr>
      <w:tr w:rsidR="00CE1BDB" w:rsidRPr="00CB100F" w14:paraId="6E54E114"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44D0F"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15-24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D31C1" w14:textId="77777777" w:rsidR="00CE1BDB" w:rsidRPr="00CB100F" w:rsidRDefault="00CE1BDB" w:rsidP="00EF49A7">
            <w:pPr>
              <w:jc w:val="right"/>
              <w:rPr>
                <w:rFonts w:cs="Arial"/>
                <w:color w:val="000000"/>
                <w:sz w:val="22"/>
                <w:szCs w:val="22"/>
              </w:rPr>
            </w:pPr>
            <w:r w:rsidRPr="00CB100F">
              <w:rPr>
                <w:rFonts w:cs="Arial"/>
                <w:color w:val="000000"/>
                <w:sz w:val="22"/>
                <w:szCs w:val="22"/>
              </w:rPr>
              <w:t>624</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BC3D" w14:textId="77777777" w:rsidR="00CE1BDB" w:rsidRPr="00CB100F" w:rsidRDefault="00CE1BDB" w:rsidP="00EF49A7">
            <w:pPr>
              <w:jc w:val="right"/>
              <w:rPr>
                <w:rFonts w:cs="Arial"/>
                <w:color w:val="000000"/>
                <w:sz w:val="22"/>
                <w:szCs w:val="22"/>
              </w:rPr>
            </w:pPr>
            <w:r w:rsidRPr="00CB100F">
              <w:rPr>
                <w:rFonts w:cs="Arial"/>
                <w:color w:val="000000"/>
                <w:sz w:val="22"/>
                <w:szCs w:val="22"/>
              </w:rPr>
              <w:t>998</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44535" w14:textId="77777777" w:rsidR="00CE1BDB" w:rsidRPr="00CB100F" w:rsidRDefault="00CE1BDB" w:rsidP="00EF49A7">
            <w:pPr>
              <w:jc w:val="right"/>
              <w:rPr>
                <w:rFonts w:cs="Arial"/>
                <w:color w:val="000000"/>
                <w:sz w:val="22"/>
                <w:szCs w:val="22"/>
              </w:rPr>
            </w:pPr>
            <w:r w:rsidRPr="00CB100F">
              <w:rPr>
                <w:rFonts w:cs="Arial"/>
                <w:color w:val="000000"/>
                <w:sz w:val="22"/>
                <w:szCs w:val="22"/>
              </w:rPr>
              <w:t>528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FBBF3" w14:textId="77777777" w:rsidR="00CE1BDB" w:rsidRPr="00CB100F" w:rsidRDefault="00CE1BDB" w:rsidP="00EF49A7">
            <w:pPr>
              <w:jc w:val="right"/>
              <w:rPr>
                <w:rFonts w:cs="Arial"/>
                <w:color w:val="000000"/>
                <w:sz w:val="22"/>
                <w:szCs w:val="22"/>
              </w:rPr>
            </w:pPr>
            <w:r w:rsidRPr="00CB100F">
              <w:rPr>
                <w:rFonts w:cs="Arial"/>
                <w:color w:val="000000"/>
                <w:sz w:val="22"/>
                <w:szCs w:val="22"/>
              </w:rPr>
              <w:t>204</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2DE0" w14:textId="77777777" w:rsidR="00CE1BDB" w:rsidRPr="00CB100F" w:rsidRDefault="00CE1BDB" w:rsidP="00EF49A7">
            <w:pPr>
              <w:jc w:val="right"/>
              <w:rPr>
                <w:rFonts w:cs="Arial"/>
                <w:color w:val="000000"/>
                <w:sz w:val="22"/>
                <w:szCs w:val="22"/>
              </w:rPr>
            </w:pPr>
            <w:r w:rsidRPr="00CB100F">
              <w:rPr>
                <w:rFonts w:cs="Arial"/>
                <w:color w:val="000000"/>
                <w:sz w:val="22"/>
                <w:szCs w:val="22"/>
              </w:rPr>
              <w:t>1,157</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EA09F" w14:textId="77777777" w:rsidR="00CE1BDB" w:rsidRPr="00CB100F" w:rsidRDefault="00CE1BDB" w:rsidP="00EF49A7">
            <w:pPr>
              <w:jc w:val="right"/>
              <w:rPr>
                <w:rFonts w:cs="Arial"/>
                <w:color w:val="000000"/>
                <w:sz w:val="22"/>
                <w:szCs w:val="22"/>
              </w:rPr>
            </w:pPr>
            <w:r w:rsidRPr="00CB100F">
              <w:rPr>
                <w:rFonts w:cs="Arial"/>
                <w:color w:val="000000"/>
                <w:sz w:val="22"/>
                <w:szCs w:val="22"/>
              </w:rPr>
              <w:t>3,512</w:t>
            </w:r>
          </w:p>
        </w:tc>
      </w:tr>
      <w:tr w:rsidR="00CE1BDB" w:rsidRPr="00CB100F" w14:paraId="412894C2"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BBCFE"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25-34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E3882" w14:textId="77777777" w:rsidR="00CE1BDB" w:rsidRPr="00CB100F" w:rsidRDefault="00CE1BDB" w:rsidP="00EF49A7">
            <w:pPr>
              <w:jc w:val="right"/>
              <w:rPr>
                <w:rFonts w:cs="Arial"/>
                <w:color w:val="000000"/>
                <w:sz w:val="22"/>
                <w:szCs w:val="22"/>
              </w:rPr>
            </w:pPr>
            <w:r w:rsidRPr="00CB100F">
              <w:rPr>
                <w:rFonts w:cs="Arial"/>
                <w:color w:val="000000"/>
                <w:sz w:val="22"/>
                <w:szCs w:val="22"/>
              </w:rPr>
              <w:t>2,336</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C412" w14:textId="77777777" w:rsidR="00CE1BDB" w:rsidRPr="00CB100F" w:rsidRDefault="00CE1BDB" w:rsidP="00EF49A7">
            <w:pPr>
              <w:jc w:val="right"/>
              <w:rPr>
                <w:rFonts w:cs="Arial"/>
                <w:color w:val="000000"/>
                <w:sz w:val="22"/>
                <w:szCs w:val="22"/>
              </w:rPr>
            </w:pPr>
            <w:r w:rsidRPr="00CB100F">
              <w:rPr>
                <w:rFonts w:cs="Arial"/>
                <w:color w:val="000000"/>
                <w:sz w:val="22"/>
                <w:szCs w:val="22"/>
              </w:rPr>
              <w:t>3,543</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0AF4B" w14:textId="77777777" w:rsidR="00CE1BDB" w:rsidRPr="00CB100F" w:rsidRDefault="00CE1BDB" w:rsidP="00EF49A7">
            <w:pPr>
              <w:jc w:val="right"/>
              <w:rPr>
                <w:rFonts w:cs="Arial"/>
                <w:color w:val="000000"/>
                <w:sz w:val="22"/>
                <w:szCs w:val="22"/>
              </w:rPr>
            </w:pPr>
            <w:r w:rsidRPr="00CB100F">
              <w:rPr>
                <w:rFonts w:cs="Arial"/>
                <w:color w:val="000000"/>
                <w:sz w:val="22"/>
                <w:szCs w:val="22"/>
              </w:rPr>
              <w:t>3,024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1B866" w14:textId="77777777" w:rsidR="00CE1BDB" w:rsidRPr="00CB100F" w:rsidRDefault="00CE1BDB" w:rsidP="00EF49A7">
            <w:pPr>
              <w:jc w:val="right"/>
              <w:rPr>
                <w:rFonts w:cs="Arial"/>
                <w:color w:val="000000"/>
                <w:sz w:val="22"/>
                <w:szCs w:val="22"/>
              </w:rPr>
            </w:pPr>
            <w:r w:rsidRPr="00CB100F">
              <w:rPr>
                <w:rFonts w:cs="Arial"/>
                <w:color w:val="000000"/>
                <w:sz w:val="22"/>
                <w:szCs w:val="22"/>
              </w:rPr>
              <w:t>1,441</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BE6F6" w14:textId="77777777" w:rsidR="00CE1BDB" w:rsidRPr="00CB100F" w:rsidRDefault="00CE1BDB" w:rsidP="00EF49A7">
            <w:pPr>
              <w:jc w:val="right"/>
              <w:rPr>
                <w:rFonts w:cs="Arial"/>
                <w:color w:val="000000"/>
                <w:sz w:val="22"/>
                <w:szCs w:val="22"/>
              </w:rPr>
            </w:pPr>
            <w:r w:rsidRPr="00CB100F">
              <w:rPr>
                <w:rFonts w:cs="Arial"/>
                <w:color w:val="000000"/>
                <w:sz w:val="22"/>
                <w:szCs w:val="22"/>
              </w:rPr>
              <w:t>3,808</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5743" w14:textId="77777777" w:rsidR="00CE1BDB" w:rsidRPr="00CB100F" w:rsidRDefault="00CE1BDB" w:rsidP="00EF49A7">
            <w:pPr>
              <w:jc w:val="right"/>
              <w:rPr>
                <w:rFonts w:cs="Arial"/>
                <w:color w:val="000000"/>
                <w:sz w:val="22"/>
                <w:szCs w:val="22"/>
              </w:rPr>
            </w:pPr>
            <w:r w:rsidRPr="00CB100F">
              <w:rPr>
                <w:rFonts w:cs="Arial"/>
                <w:color w:val="000000"/>
                <w:sz w:val="22"/>
                <w:szCs w:val="22"/>
              </w:rPr>
              <w:t>14,151</w:t>
            </w:r>
          </w:p>
        </w:tc>
      </w:tr>
      <w:tr w:rsidR="00CE1BDB" w:rsidRPr="00CB100F" w14:paraId="48A42613"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FB423"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35-44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E7E81" w14:textId="77777777" w:rsidR="00CE1BDB" w:rsidRPr="00CB100F" w:rsidRDefault="00CE1BDB" w:rsidP="00EF49A7">
            <w:pPr>
              <w:jc w:val="right"/>
              <w:rPr>
                <w:rFonts w:cs="Arial"/>
                <w:color w:val="000000"/>
                <w:sz w:val="22"/>
                <w:szCs w:val="22"/>
              </w:rPr>
            </w:pPr>
            <w:r w:rsidRPr="00CB100F">
              <w:rPr>
                <w:rFonts w:cs="Arial"/>
                <w:color w:val="000000"/>
                <w:sz w:val="22"/>
                <w:szCs w:val="22"/>
              </w:rPr>
              <w:t>4,264</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7E1E5" w14:textId="77777777" w:rsidR="00CE1BDB" w:rsidRPr="00CB100F" w:rsidRDefault="00CE1BDB" w:rsidP="00EF49A7">
            <w:pPr>
              <w:jc w:val="right"/>
              <w:rPr>
                <w:rFonts w:cs="Arial"/>
                <w:color w:val="000000"/>
                <w:sz w:val="22"/>
                <w:szCs w:val="22"/>
              </w:rPr>
            </w:pPr>
            <w:r w:rsidRPr="00CB100F">
              <w:rPr>
                <w:rFonts w:cs="Arial"/>
                <w:color w:val="000000"/>
                <w:sz w:val="22"/>
                <w:szCs w:val="22"/>
              </w:rPr>
              <w:t>4,750</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1EF86" w14:textId="77777777" w:rsidR="00CE1BDB" w:rsidRPr="00CB100F" w:rsidRDefault="00CE1BDB" w:rsidP="00EF49A7">
            <w:pPr>
              <w:jc w:val="right"/>
              <w:rPr>
                <w:rFonts w:cs="Arial"/>
                <w:color w:val="000000"/>
                <w:sz w:val="22"/>
                <w:szCs w:val="22"/>
              </w:rPr>
            </w:pPr>
            <w:r w:rsidRPr="00CB100F">
              <w:rPr>
                <w:rFonts w:cs="Arial"/>
                <w:color w:val="000000"/>
                <w:sz w:val="22"/>
                <w:szCs w:val="22"/>
              </w:rPr>
              <w:t>5,306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BFB8" w14:textId="77777777" w:rsidR="00CE1BDB" w:rsidRPr="00CB100F" w:rsidRDefault="00CE1BDB" w:rsidP="00EF49A7">
            <w:pPr>
              <w:jc w:val="right"/>
              <w:rPr>
                <w:rFonts w:cs="Arial"/>
                <w:color w:val="000000"/>
                <w:sz w:val="22"/>
                <w:szCs w:val="22"/>
              </w:rPr>
            </w:pPr>
            <w:r w:rsidRPr="00CB100F">
              <w:rPr>
                <w:rFonts w:cs="Arial"/>
                <w:color w:val="000000"/>
                <w:sz w:val="22"/>
                <w:szCs w:val="22"/>
              </w:rPr>
              <w:t>2,189</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DE018" w14:textId="77777777" w:rsidR="00CE1BDB" w:rsidRPr="00CB100F" w:rsidRDefault="00CE1BDB" w:rsidP="00EF49A7">
            <w:pPr>
              <w:jc w:val="right"/>
              <w:rPr>
                <w:rFonts w:cs="Arial"/>
                <w:color w:val="000000"/>
                <w:sz w:val="22"/>
                <w:szCs w:val="22"/>
              </w:rPr>
            </w:pPr>
            <w:r w:rsidRPr="00CB100F">
              <w:rPr>
                <w:rFonts w:cs="Arial"/>
                <w:color w:val="000000"/>
                <w:sz w:val="22"/>
                <w:szCs w:val="22"/>
              </w:rPr>
              <w:t>3,869</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C214" w14:textId="77777777" w:rsidR="00CE1BDB" w:rsidRPr="00CB100F" w:rsidRDefault="00CE1BDB" w:rsidP="00EF49A7">
            <w:pPr>
              <w:jc w:val="right"/>
              <w:rPr>
                <w:rFonts w:cs="Arial"/>
                <w:color w:val="000000"/>
                <w:sz w:val="22"/>
                <w:szCs w:val="22"/>
              </w:rPr>
            </w:pPr>
            <w:r w:rsidRPr="00CB100F">
              <w:rPr>
                <w:rFonts w:cs="Arial"/>
                <w:color w:val="000000"/>
                <w:sz w:val="22"/>
                <w:szCs w:val="22"/>
              </w:rPr>
              <w:t>20,378</w:t>
            </w:r>
          </w:p>
        </w:tc>
      </w:tr>
      <w:tr w:rsidR="00CE1BDB" w:rsidRPr="00CB100F" w14:paraId="2913BDCD"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57234"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45-54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B23C9" w14:textId="77777777" w:rsidR="00CE1BDB" w:rsidRPr="00CB100F" w:rsidRDefault="00CE1BDB" w:rsidP="00EF49A7">
            <w:pPr>
              <w:jc w:val="right"/>
              <w:rPr>
                <w:rFonts w:cs="Arial"/>
                <w:color w:val="000000"/>
                <w:sz w:val="22"/>
                <w:szCs w:val="22"/>
              </w:rPr>
            </w:pPr>
            <w:r w:rsidRPr="00CB100F">
              <w:rPr>
                <w:rFonts w:cs="Arial"/>
                <w:color w:val="000000"/>
                <w:sz w:val="22"/>
                <w:szCs w:val="22"/>
              </w:rPr>
              <w:t>5,669</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8A944" w14:textId="77777777" w:rsidR="00CE1BDB" w:rsidRPr="00CB100F" w:rsidRDefault="00CE1BDB" w:rsidP="00EF49A7">
            <w:pPr>
              <w:jc w:val="right"/>
              <w:rPr>
                <w:rFonts w:cs="Arial"/>
                <w:color w:val="000000"/>
                <w:sz w:val="22"/>
                <w:szCs w:val="22"/>
              </w:rPr>
            </w:pPr>
            <w:r w:rsidRPr="00CB100F">
              <w:rPr>
                <w:rFonts w:cs="Arial"/>
                <w:color w:val="000000"/>
                <w:sz w:val="22"/>
                <w:szCs w:val="22"/>
              </w:rPr>
              <w:t>4,902</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267F9" w14:textId="77777777" w:rsidR="00CE1BDB" w:rsidRPr="00CB100F" w:rsidRDefault="00CE1BDB" w:rsidP="00EF49A7">
            <w:pPr>
              <w:jc w:val="right"/>
              <w:rPr>
                <w:rFonts w:cs="Arial"/>
                <w:color w:val="000000"/>
                <w:sz w:val="22"/>
                <w:szCs w:val="22"/>
              </w:rPr>
            </w:pPr>
            <w:r w:rsidRPr="00CB100F">
              <w:rPr>
                <w:rFonts w:cs="Arial"/>
                <w:color w:val="000000"/>
                <w:sz w:val="22"/>
                <w:szCs w:val="22"/>
              </w:rPr>
              <w:t>3,655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BA63B" w14:textId="77777777" w:rsidR="00CE1BDB" w:rsidRPr="00CB100F" w:rsidRDefault="00CE1BDB" w:rsidP="00EF49A7">
            <w:pPr>
              <w:jc w:val="right"/>
              <w:rPr>
                <w:rFonts w:cs="Arial"/>
                <w:color w:val="000000"/>
                <w:sz w:val="22"/>
                <w:szCs w:val="22"/>
              </w:rPr>
            </w:pPr>
            <w:r w:rsidRPr="00CB100F">
              <w:rPr>
                <w:rFonts w:cs="Arial"/>
                <w:color w:val="000000"/>
                <w:sz w:val="22"/>
                <w:szCs w:val="22"/>
              </w:rPr>
              <w:t>1,270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4F922" w14:textId="77777777" w:rsidR="00CE1BDB" w:rsidRPr="00CB100F" w:rsidRDefault="00CE1BDB" w:rsidP="00EF49A7">
            <w:pPr>
              <w:jc w:val="right"/>
              <w:rPr>
                <w:rFonts w:cs="Arial"/>
                <w:color w:val="000000"/>
                <w:sz w:val="22"/>
                <w:szCs w:val="22"/>
              </w:rPr>
            </w:pPr>
            <w:r w:rsidRPr="00CB100F">
              <w:rPr>
                <w:rFonts w:cs="Arial"/>
                <w:color w:val="000000"/>
                <w:sz w:val="22"/>
                <w:szCs w:val="22"/>
              </w:rPr>
              <w:t>8,485</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3CB5" w14:textId="77777777" w:rsidR="00CE1BDB" w:rsidRPr="00CB100F" w:rsidRDefault="00CE1BDB" w:rsidP="00EF49A7">
            <w:pPr>
              <w:jc w:val="right"/>
              <w:rPr>
                <w:rFonts w:cs="Arial"/>
                <w:color w:val="000000"/>
                <w:sz w:val="22"/>
                <w:szCs w:val="22"/>
              </w:rPr>
            </w:pPr>
            <w:r w:rsidRPr="00CB100F">
              <w:rPr>
                <w:rFonts w:cs="Arial"/>
                <w:color w:val="000000"/>
                <w:sz w:val="22"/>
                <w:szCs w:val="22"/>
              </w:rPr>
              <w:t>23,980</w:t>
            </w:r>
          </w:p>
        </w:tc>
      </w:tr>
      <w:tr w:rsidR="00CE1BDB" w:rsidRPr="00CB100F" w14:paraId="6EB330F3" w14:textId="77777777" w:rsidTr="00CB100F">
        <w:trPr>
          <w:trHeight w:val="32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53756"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55-64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8E497" w14:textId="77777777" w:rsidR="00CE1BDB" w:rsidRPr="00CB100F" w:rsidRDefault="00CE1BDB" w:rsidP="00EF49A7">
            <w:pPr>
              <w:jc w:val="right"/>
              <w:rPr>
                <w:rFonts w:cs="Arial"/>
                <w:color w:val="000000"/>
                <w:sz w:val="22"/>
                <w:szCs w:val="22"/>
              </w:rPr>
            </w:pPr>
            <w:r w:rsidRPr="00CB100F">
              <w:rPr>
                <w:rFonts w:cs="Arial"/>
                <w:color w:val="000000"/>
                <w:sz w:val="22"/>
                <w:szCs w:val="22"/>
              </w:rPr>
              <w:t>5,651</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6428F" w14:textId="77777777" w:rsidR="00CE1BDB" w:rsidRPr="00CB100F" w:rsidRDefault="00CE1BDB" w:rsidP="00EF49A7">
            <w:pPr>
              <w:jc w:val="right"/>
              <w:rPr>
                <w:rFonts w:cs="Arial"/>
                <w:color w:val="000000"/>
                <w:sz w:val="22"/>
                <w:szCs w:val="22"/>
              </w:rPr>
            </w:pPr>
            <w:r w:rsidRPr="00CB100F">
              <w:rPr>
                <w:rFonts w:cs="Arial"/>
                <w:color w:val="000000"/>
                <w:sz w:val="22"/>
                <w:szCs w:val="22"/>
              </w:rPr>
              <w:t>1,638</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4294A" w14:textId="77777777" w:rsidR="00CE1BDB" w:rsidRPr="00CB100F" w:rsidRDefault="00CE1BDB" w:rsidP="00EF49A7">
            <w:pPr>
              <w:jc w:val="right"/>
              <w:rPr>
                <w:rFonts w:cs="Arial"/>
                <w:color w:val="000000"/>
                <w:sz w:val="22"/>
                <w:szCs w:val="22"/>
              </w:rPr>
            </w:pPr>
            <w:r w:rsidRPr="00CB100F">
              <w:rPr>
                <w:rFonts w:cs="Arial"/>
                <w:color w:val="000000"/>
                <w:sz w:val="22"/>
                <w:szCs w:val="22"/>
              </w:rPr>
              <w:t>606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0BE58" w14:textId="77777777" w:rsidR="00CE1BDB" w:rsidRPr="00CB100F" w:rsidRDefault="00CE1BDB" w:rsidP="00EF49A7">
            <w:pPr>
              <w:jc w:val="right"/>
              <w:rPr>
                <w:rFonts w:cs="Arial"/>
                <w:color w:val="000000"/>
                <w:sz w:val="22"/>
                <w:szCs w:val="22"/>
              </w:rPr>
            </w:pPr>
            <w:r w:rsidRPr="00CB100F">
              <w:rPr>
                <w:rFonts w:cs="Arial"/>
                <w:color w:val="000000"/>
                <w:sz w:val="22"/>
                <w:szCs w:val="22"/>
              </w:rPr>
              <w:t>200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3143B" w14:textId="77777777" w:rsidR="00CE1BDB" w:rsidRPr="00CB100F" w:rsidRDefault="00CE1BDB" w:rsidP="00EF49A7">
            <w:pPr>
              <w:jc w:val="right"/>
              <w:rPr>
                <w:rFonts w:cs="Arial"/>
                <w:color w:val="000000"/>
                <w:sz w:val="22"/>
                <w:szCs w:val="22"/>
              </w:rPr>
            </w:pPr>
            <w:r w:rsidRPr="00CB100F">
              <w:rPr>
                <w:rFonts w:cs="Arial"/>
                <w:color w:val="000000"/>
                <w:sz w:val="22"/>
                <w:szCs w:val="22"/>
              </w:rPr>
              <w:t>11,208</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E23D" w14:textId="77777777" w:rsidR="00CE1BDB" w:rsidRPr="00CB100F" w:rsidRDefault="00CE1BDB" w:rsidP="00EF49A7">
            <w:pPr>
              <w:jc w:val="right"/>
              <w:rPr>
                <w:rFonts w:cs="Arial"/>
                <w:color w:val="000000"/>
                <w:sz w:val="22"/>
                <w:szCs w:val="22"/>
              </w:rPr>
            </w:pPr>
            <w:r w:rsidRPr="00CB100F">
              <w:rPr>
                <w:rFonts w:cs="Arial"/>
                <w:color w:val="000000"/>
                <w:sz w:val="22"/>
                <w:szCs w:val="22"/>
              </w:rPr>
              <w:t>19,302</w:t>
            </w:r>
          </w:p>
        </w:tc>
      </w:tr>
      <w:tr w:rsidR="00CE1BDB" w:rsidRPr="00CB100F" w14:paraId="7BD76A90"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9BE9B"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65-74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2228A" w14:textId="77777777" w:rsidR="00CE1BDB" w:rsidRPr="00CB100F" w:rsidRDefault="00CE1BDB" w:rsidP="00EF49A7">
            <w:pPr>
              <w:jc w:val="right"/>
              <w:rPr>
                <w:rFonts w:cs="Arial"/>
                <w:color w:val="000000"/>
                <w:sz w:val="22"/>
                <w:szCs w:val="22"/>
              </w:rPr>
            </w:pPr>
            <w:r w:rsidRPr="00CB100F">
              <w:rPr>
                <w:rFonts w:cs="Arial"/>
                <w:color w:val="000000"/>
                <w:sz w:val="22"/>
                <w:szCs w:val="22"/>
              </w:rPr>
              <w:t>6,755</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E710" w14:textId="77777777" w:rsidR="00CE1BDB" w:rsidRPr="00CB100F" w:rsidRDefault="00CE1BDB" w:rsidP="00EF49A7">
            <w:pPr>
              <w:jc w:val="right"/>
              <w:rPr>
                <w:rFonts w:cs="Arial"/>
                <w:color w:val="000000"/>
                <w:sz w:val="22"/>
                <w:szCs w:val="22"/>
              </w:rPr>
            </w:pPr>
            <w:r w:rsidRPr="00CB100F">
              <w:rPr>
                <w:rFonts w:cs="Arial"/>
                <w:color w:val="000000"/>
                <w:sz w:val="22"/>
                <w:szCs w:val="22"/>
              </w:rPr>
              <w:t>235</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5656" w14:textId="77777777" w:rsidR="00CE1BDB" w:rsidRPr="00CB100F" w:rsidRDefault="00CE1BDB" w:rsidP="00EF49A7">
            <w:pPr>
              <w:jc w:val="right"/>
              <w:rPr>
                <w:rFonts w:cs="Arial"/>
                <w:color w:val="000000"/>
                <w:sz w:val="22"/>
                <w:szCs w:val="22"/>
              </w:rPr>
            </w:pPr>
            <w:r w:rsidRPr="00CB100F">
              <w:rPr>
                <w:rFonts w:cs="Arial"/>
                <w:color w:val="000000"/>
                <w:sz w:val="22"/>
                <w:szCs w:val="22"/>
              </w:rPr>
              <w:t>55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EF18" w14:textId="77777777" w:rsidR="00CE1BDB" w:rsidRPr="00CB100F" w:rsidRDefault="00CE1BDB" w:rsidP="00EF49A7">
            <w:pPr>
              <w:jc w:val="right"/>
              <w:rPr>
                <w:rFonts w:cs="Arial"/>
                <w:color w:val="000000"/>
                <w:sz w:val="22"/>
                <w:szCs w:val="22"/>
              </w:rPr>
            </w:pPr>
            <w:r w:rsidRPr="00CB100F">
              <w:rPr>
                <w:rFonts w:cs="Arial"/>
                <w:color w:val="000000"/>
                <w:sz w:val="22"/>
                <w:szCs w:val="22"/>
              </w:rPr>
              <w:t>13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13AFF" w14:textId="77777777" w:rsidR="00CE1BDB" w:rsidRPr="00CB100F" w:rsidRDefault="00CE1BDB" w:rsidP="00EF49A7">
            <w:pPr>
              <w:jc w:val="right"/>
              <w:rPr>
                <w:rFonts w:cs="Arial"/>
                <w:color w:val="000000"/>
                <w:sz w:val="22"/>
                <w:szCs w:val="22"/>
              </w:rPr>
            </w:pPr>
            <w:r w:rsidRPr="00CB100F">
              <w:rPr>
                <w:rFonts w:cs="Arial"/>
                <w:color w:val="000000"/>
                <w:sz w:val="22"/>
                <w:szCs w:val="22"/>
              </w:rPr>
              <w:t>10,528</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02DC" w14:textId="77777777" w:rsidR="00CE1BDB" w:rsidRPr="00CB100F" w:rsidRDefault="00CE1BDB" w:rsidP="00EF49A7">
            <w:pPr>
              <w:jc w:val="right"/>
              <w:rPr>
                <w:rFonts w:cs="Arial"/>
                <w:color w:val="000000"/>
                <w:sz w:val="22"/>
                <w:szCs w:val="22"/>
              </w:rPr>
            </w:pPr>
            <w:r w:rsidRPr="00CB100F">
              <w:rPr>
                <w:rFonts w:cs="Arial"/>
                <w:color w:val="000000"/>
                <w:sz w:val="22"/>
                <w:szCs w:val="22"/>
              </w:rPr>
              <w:t>17,586</w:t>
            </w:r>
          </w:p>
        </w:tc>
      </w:tr>
      <w:tr w:rsidR="00CE1BDB" w:rsidRPr="00CB100F" w14:paraId="5374D8E9"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022CF"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75-84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4196A" w14:textId="77777777" w:rsidR="00CE1BDB" w:rsidRPr="00CB100F" w:rsidRDefault="00CE1BDB" w:rsidP="00EF49A7">
            <w:pPr>
              <w:jc w:val="right"/>
              <w:rPr>
                <w:rFonts w:cs="Arial"/>
                <w:color w:val="000000"/>
                <w:sz w:val="22"/>
                <w:szCs w:val="22"/>
              </w:rPr>
            </w:pPr>
            <w:r w:rsidRPr="00CB100F">
              <w:rPr>
                <w:rFonts w:cs="Arial"/>
                <w:color w:val="000000"/>
                <w:sz w:val="22"/>
                <w:szCs w:val="22"/>
              </w:rPr>
              <w:t>6,673</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FFCE1" w14:textId="77777777" w:rsidR="00CE1BDB" w:rsidRPr="00CB100F" w:rsidRDefault="00CE1BDB" w:rsidP="00EF49A7">
            <w:pPr>
              <w:jc w:val="right"/>
              <w:rPr>
                <w:rFonts w:cs="Arial"/>
                <w:color w:val="000000"/>
                <w:sz w:val="22"/>
                <w:szCs w:val="22"/>
              </w:rPr>
            </w:pPr>
            <w:r w:rsidRPr="00CB100F">
              <w:rPr>
                <w:rFonts w:cs="Arial"/>
                <w:color w:val="000000"/>
                <w:sz w:val="22"/>
                <w:szCs w:val="22"/>
              </w:rPr>
              <w:t>45</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529DD" w14:textId="77777777" w:rsidR="00CE1BDB" w:rsidRPr="00CB100F" w:rsidRDefault="00CE1BDB" w:rsidP="00EF49A7">
            <w:pPr>
              <w:jc w:val="right"/>
              <w:rPr>
                <w:rFonts w:cs="Arial"/>
                <w:color w:val="000000"/>
                <w:sz w:val="22"/>
                <w:szCs w:val="22"/>
              </w:rPr>
            </w:pPr>
            <w:r w:rsidRPr="00CB100F">
              <w:rPr>
                <w:rFonts w:cs="Arial"/>
                <w:color w:val="000000"/>
                <w:sz w:val="22"/>
                <w:szCs w:val="22"/>
              </w:rPr>
              <w:t>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F33A" w14:textId="77777777" w:rsidR="00CE1BDB" w:rsidRPr="00CB100F" w:rsidRDefault="00CE1BDB" w:rsidP="00EF49A7">
            <w:pPr>
              <w:jc w:val="right"/>
              <w:rPr>
                <w:rFonts w:cs="Arial"/>
                <w:color w:val="000000"/>
                <w:sz w:val="22"/>
                <w:szCs w:val="22"/>
              </w:rPr>
            </w:pPr>
            <w:r w:rsidRPr="00CB100F">
              <w:rPr>
                <w:rFonts w:cs="Arial"/>
                <w:color w:val="000000"/>
                <w:sz w:val="22"/>
                <w:szCs w:val="22"/>
              </w:rPr>
              <w:t>2</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6E025" w14:textId="77777777" w:rsidR="00CE1BDB" w:rsidRPr="00CB100F" w:rsidRDefault="00CE1BDB" w:rsidP="00EF49A7">
            <w:pPr>
              <w:jc w:val="right"/>
              <w:rPr>
                <w:rFonts w:cs="Arial"/>
                <w:color w:val="000000"/>
                <w:sz w:val="22"/>
                <w:szCs w:val="22"/>
              </w:rPr>
            </w:pPr>
            <w:r w:rsidRPr="00CB100F">
              <w:rPr>
                <w:rFonts w:cs="Arial"/>
                <w:color w:val="000000"/>
                <w:sz w:val="22"/>
                <w:szCs w:val="22"/>
              </w:rPr>
              <w:t>7,599</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1D0D3" w14:textId="77777777" w:rsidR="00CE1BDB" w:rsidRPr="00CB100F" w:rsidRDefault="00CE1BDB" w:rsidP="00EF49A7">
            <w:pPr>
              <w:jc w:val="right"/>
              <w:rPr>
                <w:rFonts w:cs="Arial"/>
                <w:color w:val="000000"/>
                <w:sz w:val="22"/>
                <w:szCs w:val="22"/>
              </w:rPr>
            </w:pPr>
            <w:r w:rsidRPr="00CB100F">
              <w:rPr>
                <w:rFonts w:cs="Arial"/>
                <w:color w:val="000000"/>
                <w:sz w:val="22"/>
                <w:szCs w:val="22"/>
              </w:rPr>
              <w:t>14,330</w:t>
            </w:r>
          </w:p>
        </w:tc>
      </w:tr>
      <w:tr w:rsidR="00CE1BDB" w:rsidRPr="00CB100F" w14:paraId="712F6A1E"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4D91"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85+</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6953C" w14:textId="77777777" w:rsidR="00CE1BDB" w:rsidRPr="00CB100F" w:rsidRDefault="00CE1BDB" w:rsidP="00EF49A7">
            <w:pPr>
              <w:jc w:val="right"/>
              <w:rPr>
                <w:rFonts w:cs="Arial"/>
                <w:color w:val="000000"/>
                <w:sz w:val="22"/>
                <w:szCs w:val="22"/>
              </w:rPr>
            </w:pPr>
            <w:r w:rsidRPr="00CB100F">
              <w:rPr>
                <w:rFonts w:cs="Arial"/>
                <w:color w:val="000000"/>
                <w:sz w:val="22"/>
                <w:szCs w:val="22"/>
              </w:rPr>
              <w:t>4,202</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7E54F" w14:textId="77777777" w:rsidR="00CE1BDB" w:rsidRPr="00CB100F" w:rsidRDefault="00CE1BDB" w:rsidP="00EF49A7">
            <w:pPr>
              <w:jc w:val="right"/>
              <w:rPr>
                <w:rFonts w:cs="Arial"/>
                <w:color w:val="000000"/>
                <w:sz w:val="22"/>
                <w:szCs w:val="22"/>
              </w:rPr>
            </w:pPr>
            <w:r w:rsidRPr="00CB100F">
              <w:rPr>
                <w:rFonts w:cs="Arial"/>
                <w:color w:val="000000"/>
                <w:sz w:val="22"/>
                <w:szCs w:val="22"/>
              </w:rPr>
              <w:t>23</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B842"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D6410"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49A78" w14:textId="77777777" w:rsidR="00CE1BDB" w:rsidRPr="00CB100F" w:rsidRDefault="00CE1BDB" w:rsidP="00EF49A7">
            <w:pPr>
              <w:jc w:val="right"/>
              <w:rPr>
                <w:rFonts w:cs="Arial"/>
                <w:color w:val="000000"/>
                <w:sz w:val="22"/>
                <w:szCs w:val="22"/>
              </w:rPr>
            </w:pPr>
            <w:r w:rsidRPr="00CB100F">
              <w:rPr>
                <w:rFonts w:cs="Arial"/>
                <w:color w:val="000000"/>
                <w:sz w:val="22"/>
                <w:szCs w:val="22"/>
              </w:rPr>
              <w:t>2,313</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6D393" w14:textId="77777777" w:rsidR="00CE1BDB" w:rsidRPr="00CB100F" w:rsidRDefault="00CE1BDB" w:rsidP="00EF49A7">
            <w:pPr>
              <w:jc w:val="right"/>
              <w:rPr>
                <w:rFonts w:cs="Arial"/>
                <w:color w:val="000000"/>
                <w:sz w:val="22"/>
                <w:szCs w:val="22"/>
              </w:rPr>
            </w:pPr>
            <w:r w:rsidRPr="00CB100F">
              <w:rPr>
                <w:rFonts w:cs="Arial"/>
                <w:color w:val="000000"/>
                <w:sz w:val="22"/>
                <w:szCs w:val="22"/>
              </w:rPr>
              <w:t>6,538</w:t>
            </w:r>
          </w:p>
        </w:tc>
      </w:tr>
      <w:tr w:rsidR="00CE1BDB" w:rsidRPr="00CB100F" w14:paraId="62D2976D"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F82F"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TOTAL</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C0381" w14:textId="77777777" w:rsidR="00CE1BDB" w:rsidRPr="00CB100F" w:rsidRDefault="00CE1BDB" w:rsidP="00EF49A7">
            <w:pPr>
              <w:jc w:val="right"/>
              <w:rPr>
                <w:rFonts w:cs="Arial"/>
                <w:color w:val="000000"/>
                <w:sz w:val="22"/>
                <w:szCs w:val="22"/>
              </w:rPr>
            </w:pPr>
            <w:r w:rsidRPr="00CB100F">
              <w:rPr>
                <w:rFonts w:cs="Arial"/>
                <w:color w:val="000000"/>
                <w:sz w:val="22"/>
                <w:szCs w:val="22"/>
              </w:rPr>
              <w:t>36,174</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F634D" w14:textId="77777777" w:rsidR="00CE1BDB" w:rsidRPr="00CB100F" w:rsidRDefault="00CE1BDB" w:rsidP="00EF49A7">
            <w:pPr>
              <w:jc w:val="right"/>
              <w:rPr>
                <w:rFonts w:cs="Arial"/>
                <w:color w:val="000000"/>
                <w:sz w:val="22"/>
                <w:szCs w:val="22"/>
              </w:rPr>
            </w:pPr>
            <w:r w:rsidRPr="00CB100F">
              <w:rPr>
                <w:rFonts w:cs="Arial"/>
                <w:color w:val="000000"/>
                <w:sz w:val="22"/>
                <w:szCs w:val="22"/>
              </w:rPr>
              <w:t>16,134</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14921" w14:textId="77777777" w:rsidR="00CE1BDB" w:rsidRPr="00CB100F" w:rsidRDefault="00CE1BDB" w:rsidP="00EF49A7">
            <w:pPr>
              <w:jc w:val="right"/>
              <w:rPr>
                <w:rFonts w:cs="Arial"/>
                <w:color w:val="000000"/>
                <w:sz w:val="22"/>
                <w:szCs w:val="22"/>
              </w:rPr>
            </w:pPr>
            <w:r w:rsidRPr="00CB100F">
              <w:rPr>
                <w:rFonts w:cs="Arial"/>
                <w:color w:val="000000"/>
                <w:sz w:val="22"/>
                <w:szCs w:val="22"/>
              </w:rPr>
              <w:t>13,186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4DC2" w14:textId="77777777" w:rsidR="00CE1BDB" w:rsidRPr="00CB100F" w:rsidRDefault="00CE1BDB" w:rsidP="00EF49A7">
            <w:pPr>
              <w:jc w:val="right"/>
              <w:rPr>
                <w:rFonts w:cs="Arial"/>
                <w:color w:val="000000"/>
                <w:sz w:val="22"/>
                <w:szCs w:val="22"/>
              </w:rPr>
            </w:pPr>
            <w:r w:rsidRPr="00CB100F">
              <w:rPr>
                <w:rFonts w:cs="Arial"/>
                <w:color w:val="000000"/>
                <w:sz w:val="22"/>
                <w:szCs w:val="22"/>
              </w:rPr>
              <w:t>5,319</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CBFE" w14:textId="77777777" w:rsidR="00CE1BDB" w:rsidRPr="00CB100F" w:rsidRDefault="00CE1BDB" w:rsidP="00EF49A7">
            <w:pPr>
              <w:jc w:val="right"/>
              <w:rPr>
                <w:rFonts w:cs="Arial"/>
                <w:color w:val="000000"/>
                <w:sz w:val="22"/>
                <w:szCs w:val="22"/>
              </w:rPr>
            </w:pPr>
            <w:r w:rsidRPr="00CB100F">
              <w:rPr>
                <w:rFonts w:cs="Arial"/>
                <w:color w:val="000000"/>
                <w:sz w:val="22"/>
                <w:szCs w:val="22"/>
              </w:rPr>
              <w:t>48,967</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91D0" w14:textId="77777777" w:rsidR="00CE1BDB" w:rsidRPr="00CB100F" w:rsidRDefault="00CE1BDB" w:rsidP="00EF49A7">
            <w:pPr>
              <w:jc w:val="right"/>
              <w:rPr>
                <w:rFonts w:cs="Arial"/>
                <w:color w:val="000000"/>
                <w:sz w:val="22"/>
                <w:szCs w:val="22"/>
              </w:rPr>
            </w:pPr>
            <w:r w:rsidRPr="00CB100F">
              <w:rPr>
                <w:rFonts w:cs="Arial"/>
                <w:color w:val="000000"/>
                <w:sz w:val="22"/>
                <w:szCs w:val="22"/>
              </w:rPr>
              <w:t>119,779</w:t>
            </w:r>
          </w:p>
        </w:tc>
      </w:tr>
      <w:tr w:rsidR="00CE1BDB" w:rsidRPr="00CB100F" w14:paraId="31222767" w14:textId="77777777" w:rsidTr="00CB100F">
        <w:trPr>
          <w:trHeight w:val="300"/>
        </w:trPr>
        <w:tc>
          <w:tcPr>
            <w:tcW w:w="615" w:type="pct"/>
            <w:tcBorders>
              <w:top w:val="single" w:sz="4" w:space="0" w:color="auto"/>
              <w:left w:val="nil"/>
              <w:bottom w:val="single" w:sz="4" w:space="0" w:color="auto"/>
              <w:right w:val="nil"/>
            </w:tcBorders>
            <w:shd w:val="clear" w:color="auto" w:fill="auto"/>
            <w:noWrap/>
            <w:vAlign w:val="bottom"/>
            <w:hideMark/>
          </w:tcPr>
          <w:p w14:paraId="440819A6" w14:textId="77777777" w:rsidR="00CE1BDB" w:rsidRPr="00CB100F" w:rsidRDefault="00CE1BDB" w:rsidP="00EF49A7">
            <w:pPr>
              <w:jc w:val="right"/>
              <w:rPr>
                <w:rFonts w:cs="Arial"/>
                <w:color w:val="000000"/>
                <w:sz w:val="22"/>
                <w:szCs w:val="22"/>
              </w:rPr>
            </w:pPr>
          </w:p>
        </w:tc>
        <w:tc>
          <w:tcPr>
            <w:tcW w:w="540" w:type="pct"/>
            <w:tcBorders>
              <w:top w:val="single" w:sz="4" w:space="0" w:color="auto"/>
              <w:left w:val="nil"/>
              <w:bottom w:val="single" w:sz="4" w:space="0" w:color="auto"/>
              <w:right w:val="nil"/>
            </w:tcBorders>
            <w:shd w:val="clear" w:color="auto" w:fill="auto"/>
            <w:noWrap/>
            <w:vAlign w:val="bottom"/>
            <w:hideMark/>
          </w:tcPr>
          <w:p w14:paraId="05CCD91D" w14:textId="77777777" w:rsidR="00CE1BDB" w:rsidRPr="00CB100F" w:rsidRDefault="00CE1BDB" w:rsidP="00EF49A7">
            <w:pPr>
              <w:rPr>
                <w:rFonts w:cs="Arial"/>
                <w:sz w:val="22"/>
                <w:szCs w:val="22"/>
              </w:rPr>
            </w:pPr>
          </w:p>
        </w:tc>
        <w:tc>
          <w:tcPr>
            <w:tcW w:w="772" w:type="pct"/>
            <w:tcBorders>
              <w:top w:val="single" w:sz="4" w:space="0" w:color="auto"/>
              <w:left w:val="nil"/>
              <w:bottom w:val="single" w:sz="4" w:space="0" w:color="auto"/>
              <w:right w:val="nil"/>
            </w:tcBorders>
            <w:shd w:val="clear" w:color="auto" w:fill="auto"/>
            <w:noWrap/>
            <w:vAlign w:val="bottom"/>
            <w:hideMark/>
          </w:tcPr>
          <w:p w14:paraId="1EB1DEEA" w14:textId="77777777" w:rsidR="00CE1BDB" w:rsidRPr="00CB100F" w:rsidRDefault="00CE1BDB" w:rsidP="00EF49A7">
            <w:pPr>
              <w:rPr>
                <w:rFonts w:cs="Arial"/>
                <w:sz w:val="22"/>
                <w:szCs w:val="22"/>
              </w:rPr>
            </w:pPr>
          </w:p>
        </w:tc>
        <w:tc>
          <w:tcPr>
            <w:tcW w:w="773" w:type="pct"/>
            <w:tcBorders>
              <w:top w:val="single" w:sz="4" w:space="0" w:color="auto"/>
              <w:left w:val="nil"/>
              <w:bottom w:val="single" w:sz="4" w:space="0" w:color="auto"/>
              <w:right w:val="nil"/>
            </w:tcBorders>
            <w:shd w:val="clear" w:color="auto" w:fill="auto"/>
            <w:noWrap/>
            <w:vAlign w:val="bottom"/>
            <w:hideMark/>
          </w:tcPr>
          <w:p w14:paraId="28C18562" w14:textId="77777777" w:rsidR="00CE1BDB" w:rsidRPr="00CB100F" w:rsidRDefault="00CE1BDB" w:rsidP="00EF49A7">
            <w:pPr>
              <w:rPr>
                <w:rFonts w:cs="Arial"/>
                <w:sz w:val="22"/>
                <w:szCs w:val="22"/>
              </w:rPr>
            </w:pPr>
          </w:p>
        </w:tc>
        <w:tc>
          <w:tcPr>
            <w:tcW w:w="745" w:type="pct"/>
            <w:tcBorders>
              <w:top w:val="single" w:sz="4" w:space="0" w:color="auto"/>
              <w:left w:val="nil"/>
              <w:bottom w:val="single" w:sz="4" w:space="0" w:color="auto"/>
              <w:right w:val="nil"/>
            </w:tcBorders>
            <w:shd w:val="clear" w:color="auto" w:fill="auto"/>
            <w:noWrap/>
            <w:vAlign w:val="bottom"/>
            <w:hideMark/>
          </w:tcPr>
          <w:p w14:paraId="2326DA4B" w14:textId="77777777" w:rsidR="00CE1BDB" w:rsidRPr="00CB100F" w:rsidRDefault="00CE1BDB" w:rsidP="00EF49A7">
            <w:pPr>
              <w:rPr>
                <w:rFonts w:cs="Arial"/>
                <w:sz w:val="22"/>
                <w:szCs w:val="22"/>
              </w:rPr>
            </w:pPr>
          </w:p>
        </w:tc>
        <w:tc>
          <w:tcPr>
            <w:tcW w:w="814" w:type="pct"/>
            <w:tcBorders>
              <w:top w:val="single" w:sz="4" w:space="0" w:color="auto"/>
              <w:left w:val="nil"/>
              <w:bottom w:val="single" w:sz="4" w:space="0" w:color="auto"/>
              <w:right w:val="nil"/>
            </w:tcBorders>
            <w:shd w:val="clear" w:color="auto" w:fill="auto"/>
            <w:noWrap/>
            <w:vAlign w:val="bottom"/>
            <w:hideMark/>
          </w:tcPr>
          <w:p w14:paraId="249132FC" w14:textId="77777777" w:rsidR="00CE1BDB" w:rsidRPr="00CB100F" w:rsidRDefault="00CE1BDB" w:rsidP="00EF49A7">
            <w:pPr>
              <w:rPr>
                <w:rFonts w:cs="Arial"/>
                <w:sz w:val="22"/>
                <w:szCs w:val="22"/>
              </w:rPr>
            </w:pPr>
          </w:p>
        </w:tc>
        <w:tc>
          <w:tcPr>
            <w:tcW w:w="741" w:type="pct"/>
            <w:tcBorders>
              <w:top w:val="single" w:sz="4" w:space="0" w:color="auto"/>
              <w:left w:val="nil"/>
              <w:bottom w:val="single" w:sz="4" w:space="0" w:color="auto"/>
              <w:right w:val="nil"/>
            </w:tcBorders>
            <w:shd w:val="clear" w:color="auto" w:fill="auto"/>
            <w:noWrap/>
            <w:vAlign w:val="bottom"/>
            <w:hideMark/>
          </w:tcPr>
          <w:p w14:paraId="715DA8D0" w14:textId="77777777" w:rsidR="00CE1BDB" w:rsidRPr="00CB100F" w:rsidRDefault="00CE1BDB" w:rsidP="00EF49A7">
            <w:pPr>
              <w:rPr>
                <w:rFonts w:cs="Arial"/>
                <w:sz w:val="22"/>
                <w:szCs w:val="22"/>
              </w:rPr>
            </w:pPr>
          </w:p>
        </w:tc>
      </w:tr>
      <w:tr w:rsidR="00CB100F" w:rsidRPr="00CB100F" w14:paraId="3BE459C9"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064E6D5E"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Change 2021-2037</w:t>
            </w:r>
          </w:p>
        </w:tc>
        <w:tc>
          <w:tcPr>
            <w:tcW w:w="540"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09C6658D"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One Person</w:t>
            </w:r>
          </w:p>
        </w:tc>
        <w:tc>
          <w:tcPr>
            <w:tcW w:w="772"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1B3280C1"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1 dependent child</w:t>
            </w:r>
          </w:p>
        </w:tc>
        <w:tc>
          <w:tcPr>
            <w:tcW w:w="773"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7B823E3B"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2 dependent children</w:t>
            </w:r>
          </w:p>
        </w:tc>
        <w:tc>
          <w:tcPr>
            <w:tcW w:w="745"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4E9A60A2"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Household with 3 or more dependent children</w:t>
            </w:r>
          </w:p>
        </w:tc>
        <w:tc>
          <w:tcPr>
            <w:tcW w:w="814"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137A02CB"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Other households with two or more adults</w:t>
            </w:r>
          </w:p>
        </w:tc>
        <w:tc>
          <w:tcPr>
            <w:tcW w:w="741" w:type="pct"/>
            <w:tcBorders>
              <w:top w:val="single" w:sz="4" w:space="0" w:color="auto"/>
              <w:left w:val="single" w:sz="4" w:space="0" w:color="auto"/>
              <w:bottom w:val="single" w:sz="4" w:space="0" w:color="auto"/>
              <w:right w:val="single" w:sz="4" w:space="0" w:color="auto"/>
            </w:tcBorders>
            <w:shd w:val="clear" w:color="auto" w:fill="006666"/>
            <w:noWrap/>
            <w:vAlign w:val="bottom"/>
            <w:hideMark/>
          </w:tcPr>
          <w:p w14:paraId="4AC9D45A" w14:textId="77777777" w:rsidR="00CE1BDB" w:rsidRPr="00CB100F" w:rsidRDefault="00CE1BDB" w:rsidP="00CB100F">
            <w:pPr>
              <w:jc w:val="center"/>
              <w:rPr>
                <w:rFonts w:cs="Arial"/>
                <w:b/>
                <w:bCs/>
                <w:color w:val="FFFFFF" w:themeColor="background1"/>
                <w:sz w:val="22"/>
                <w:szCs w:val="22"/>
              </w:rPr>
            </w:pPr>
            <w:r w:rsidRPr="00CB100F">
              <w:rPr>
                <w:rFonts w:cs="Arial"/>
                <w:b/>
                <w:bCs/>
                <w:color w:val="FFFFFF" w:themeColor="background1"/>
                <w:sz w:val="22"/>
                <w:szCs w:val="22"/>
              </w:rPr>
              <w:t>Total</w:t>
            </w:r>
          </w:p>
        </w:tc>
      </w:tr>
      <w:tr w:rsidR="00CE1BDB" w:rsidRPr="00CB100F" w14:paraId="620B60FE"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54CBC"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15-24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DA488" w14:textId="77777777" w:rsidR="00CE1BDB" w:rsidRPr="00CB100F" w:rsidRDefault="00CE1BDB" w:rsidP="00EF49A7">
            <w:pPr>
              <w:jc w:val="right"/>
              <w:rPr>
                <w:rFonts w:cs="Arial"/>
                <w:color w:val="000000"/>
                <w:sz w:val="22"/>
                <w:szCs w:val="22"/>
              </w:rPr>
            </w:pPr>
            <w:r w:rsidRPr="00CB100F">
              <w:rPr>
                <w:rFonts w:cs="Arial"/>
                <w:color w:val="000000"/>
                <w:sz w:val="22"/>
                <w:szCs w:val="22"/>
              </w:rPr>
              <w:t>79</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DE63F" w14:textId="77777777" w:rsidR="00CE1BDB" w:rsidRPr="00CB100F" w:rsidRDefault="00CE1BDB" w:rsidP="00EF49A7">
            <w:pPr>
              <w:jc w:val="right"/>
              <w:rPr>
                <w:rFonts w:cs="Arial"/>
                <w:color w:val="000000"/>
                <w:sz w:val="22"/>
                <w:szCs w:val="22"/>
              </w:rPr>
            </w:pPr>
            <w:r w:rsidRPr="00CB100F">
              <w:rPr>
                <w:rFonts w:cs="Arial"/>
                <w:color w:val="000000"/>
                <w:sz w:val="22"/>
                <w:szCs w:val="22"/>
              </w:rPr>
              <w:t>125</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EDDC" w14:textId="77777777" w:rsidR="00CE1BDB" w:rsidRPr="00CB100F" w:rsidRDefault="00CE1BDB" w:rsidP="00EF49A7">
            <w:pPr>
              <w:jc w:val="right"/>
              <w:rPr>
                <w:rFonts w:cs="Arial"/>
                <w:color w:val="000000"/>
                <w:sz w:val="22"/>
                <w:szCs w:val="22"/>
              </w:rPr>
            </w:pPr>
            <w:r w:rsidRPr="00CB100F">
              <w:rPr>
                <w:rFonts w:cs="Arial"/>
                <w:color w:val="000000"/>
                <w:sz w:val="22"/>
                <w:szCs w:val="22"/>
              </w:rPr>
              <w:t>69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FC4C7" w14:textId="77777777" w:rsidR="00CE1BDB" w:rsidRPr="00CB100F" w:rsidRDefault="00CE1BDB" w:rsidP="00EF49A7">
            <w:pPr>
              <w:jc w:val="right"/>
              <w:rPr>
                <w:rFonts w:cs="Arial"/>
                <w:color w:val="000000"/>
                <w:sz w:val="22"/>
                <w:szCs w:val="22"/>
              </w:rPr>
            </w:pPr>
            <w:r w:rsidRPr="00CB100F">
              <w:rPr>
                <w:rFonts w:cs="Arial"/>
                <w:color w:val="000000"/>
                <w:sz w:val="22"/>
                <w:szCs w:val="22"/>
              </w:rPr>
              <w:t>27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CAE14" w14:textId="77777777" w:rsidR="00CE1BDB" w:rsidRPr="00CB100F" w:rsidRDefault="00CE1BDB" w:rsidP="00EF49A7">
            <w:pPr>
              <w:jc w:val="right"/>
              <w:rPr>
                <w:rFonts w:cs="Arial"/>
                <w:color w:val="000000"/>
                <w:sz w:val="22"/>
                <w:szCs w:val="22"/>
              </w:rPr>
            </w:pPr>
            <w:r w:rsidRPr="00CB100F">
              <w:rPr>
                <w:rFonts w:cs="Arial"/>
                <w:color w:val="000000"/>
                <w:sz w:val="22"/>
                <w:szCs w:val="22"/>
              </w:rPr>
              <w:t>142</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F206B" w14:textId="77777777" w:rsidR="00CE1BDB" w:rsidRPr="00CB100F" w:rsidRDefault="00CE1BDB" w:rsidP="00EF49A7">
            <w:pPr>
              <w:jc w:val="right"/>
              <w:rPr>
                <w:rFonts w:cs="Arial"/>
                <w:color w:val="000000"/>
                <w:sz w:val="22"/>
                <w:szCs w:val="22"/>
              </w:rPr>
            </w:pPr>
            <w:r w:rsidRPr="00CB100F">
              <w:rPr>
                <w:rFonts w:cs="Arial"/>
                <w:color w:val="000000"/>
                <w:sz w:val="22"/>
                <w:szCs w:val="22"/>
              </w:rPr>
              <w:t>442</w:t>
            </w:r>
          </w:p>
        </w:tc>
      </w:tr>
      <w:tr w:rsidR="00CE1BDB" w:rsidRPr="00CB100F" w14:paraId="0F6E0749"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4CBFC"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25-34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7FFB" w14:textId="77777777" w:rsidR="00CE1BDB" w:rsidRPr="00CB100F" w:rsidRDefault="00CE1BDB" w:rsidP="00EF49A7">
            <w:pPr>
              <w:jc w:val="right"/>
              <w:rPr>
                <w:rFonts w:cs="Arial"/>
                <w:color w:val="000000"/>
                <w:sz w:val="22"/>
                <w:szCs w:val="22"/>
              </w:rPr>
            </w:pPr>
            <w:r w:rsidRPr="00CB100F">
              <w:rPr>
                <w:rFonts w:cs="Arial"/>
                <w:color w:val="000000"/>
                <w:sz w:val="22"/>
                <w:szCs w:val="22"/>
              </w:rPr>
              <w:t>-231</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47635" w14:textId="77777777" w:rsidR="00CE1BDB" w:rsidRPr="00CB100F" w:rsidRDefault="00CE1BDB" w:rsidP="00EF49A7">
            <w:pPr>
              <w:jc w:val="right"/>
              <w:rPr>
                <w:rFonts w:cs="Arial"/>
                <w:color w:val="000000"/>
                <w:sz w:val="22"/>
                <w:szCs w:val="22"/>
              </w:rPr>
            </w:pPr>
            <w:r w:rsidRPr="00CB100F">
              <w:rPr>
                <w:rFonts w:cs="Arial"/>
                <w:color w:val="000000"/>
                <w:sz w:val="22"/>
                <w:szCs w:val="22"/>
              </w:rPr>
              <w:t>-323</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A7AC" w14:textId="77777777" w:rsidR="00CE1BDB" w:rsidRPr="00CB100F" w:rsidRDefault="00CE1BDB" w:rsidP="00EF49A7">
            <w:pPr>
              <w:jc w:val="right"/>
              <w:rPr>
                <w:rFonts w:cs="Arial"/>
                <w:color w:val="000000"/>
                <w:sz w:val="22"/>
                <w:szCs w:val="22"/>
              </w:rPr>
            </w:pPr>
            <w:r w:rsidRPr="00CB100F">
              <w:rPr>
                <w:rFonts w:cs="Arial"/>
                <w:color w:val="000000"/>
                <w:sz w:val="22"/>
                <w:szCs w:val="22"/>
              </w:rPr>
              <w:t>-310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31D9" w14:textId="77777777" w:rsidR="00CE1BDB" w:rsidRPr="00CB100F" w:rsidRDefault="00CE1BDB" w:rsidP="00EF49A7">
            <w:pPr>
              <w:jc w:val="right"/>
              <w:rPr>
                <w:rFonts w:cs="Arial"/>
                <w:color w:val="000000"/>
                <w:sz w:val="22"/>
                <w:szCs w:val="22"/>
              </w:rPr>
            </w:pPr>
            <w:r w:rsidRPr="00CB100F">
              <w:rPr>
                <w:rFonts w:cs="Arial"/>
                <w:color w:val="000000"/>
                <w:sz w:val="22"/>
                <w:szCs w:val="22"/>
              </w:rPr>
              <w:t>-144</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2CCC" w14:textId="77777777" w:rsidR="00CE1BDB" w:rsidRPr="00CB100F" w:rsidRDefault="00CE1BDB" w:rsidP="00EF49A7">
            <w:pPr>
              <w:jc w:val="right"/>
              <w:rPr>
                <w:rFonts w:cs="Arial"/>
                <w:color w:val="000000"/>
                <w:sz w:val="22"/>
                <w:szCs w:val="22"/>
              </w:rPr>
            </w:pPr>
            <w:r w:rsidRPr="00CB100F">
              <w:rPr>
                <w:rFonts w:cs="Arial"/>
                <w:color w:val="000000"/>
                <w:sz w:val="22"/>
                <w:szCs w:val="22"/>
              </w:rPr>
              <w:t>-315</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C5537" w14:textId="77777777" w:rsidR="00CE1BDB" w:rsidRPr="00CB100F" w:rsidRDefault="00CE1BDB" w:rsidP="00EF49A7">
            <w:pPr>
              <w:jc w:val="right"/>
              <w:rPr>
                <w:rFonts w:cs="Arial"/>
                <w:color w:val="000000"/>
                <w:sz w:val="22"/>
                <w:szCs w:val="22"/>
              </w:rPr>
            </w:pPr>
            <w:r w:rsidRPr="00CB100F">
              <w:rPr>
                <w:rFonts w:cs="Arial"/>
                <w:color w:val="000000"/>
                <w:sz w:val="22"/>
                <w:szCs w:val="22"/>
              </w:rPr>
              <w:t>-1,323</w:t>
            </w:r>
          </w:p>
        </w:tc>
      </w:tr>
      <w:tr w:rsidR="00CE1BDB" w:rsidRPr="00CB100F" w14:paraId="39366F4B"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A2901"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35-44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3C8A9" w14:textId="77777777" w:rsidR="00CE1BDB" w:rsidRPr="00CB100F" w:rsidRDefault="00CE1BDB" w:rsidP="00EF49A7">
            <w:pPr>
              <w:jc w:val="right"/>
              <w:rPr>
                <w:rFonts w:cs="Arial"/>
                <w:color w:val="000000"/>
                <w:sz w:val="22"/>
                <w:szCs w:val="22"/>
              </w:rPr>
            </w:pPr>
            <w:r w:rsidRPr="00CB100F">
              <w:rPr>
                <w:rFonts w:cs="Arial"/>
                <w:color w:val="000000"/>
                <w:sz w:val="22"/>
                <w:szCs w:val="22"/>
              </w:rPr>
              <w:t>-41</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9ED5" w14:textId="77777777" w:rsidR="00CE1BDB" w:rsidRPr="00CB100F" w:rsidRDefault="00CE1BDB" w:rsidP="00EF49A7">
            <w:pPr>
              <w:jc w:val="right"/>
              <w:rPr>
                <w:rFonts w:cs="Arial"/>
                <w:color w:val="000000"/>
                <w:sz w:val="22"/>
                <w:szCs w:val="22"/>
              </w:rPr>
            </w:pPr>
            <w:r w:rsidRPr="00CB100F">
              <w:rPr>
                <w:rFonts w:cs="Arial"/>
                <w:color w:val="000000"/>
                <w:sz w:val="22"/>
                <w:szCs w:val="22"/>
              </w:rPr>
              <w:t>-87</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4E5C" w14:textId="77777777" w:rsidR="00CE1BDB" w:rsidRPr="00CB100F" w:rsidRDefault="00CE1BDB" w:rsidP="00EF49A7">
            <w:pPr>
              <w:jc w:val="right"/>
              <w:rPr>
                <w:rFonts w:cs="Arial"/>
                <w:color w:val="000000"/>
                <w:sz w:val="22"/>
                <w:szCs w:val="22"/>
              </w:rPr>
            </w:pPr>
            <w:r w:rsidRPr="00CB100F">
              <w:rPr>
                <w:rFonts w:cs="Arial"/>
                <w:color w:val="000000"/>
                <w:sz w:val="22"/>
                <w:szCs w:val="22"/>
              </w:rPr>
              <w:t>-86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9F85C" w14:textId="77777777" w:rsidR="00CE1BDB" w:rsidRPr="00CB100F" w:rsidRDefault="00CE1BDB" w:rsidP="00EF49A7">
            <w:pPr>
              <w:jc w:val="right"/>
              <w:rPr>
                <w:rFonts w:cs="Arial"/>
                <w:color w:val="000000"/>
                <w:sz w:val="22"/>
                <w:szCs w:val="22"/>
              </w:rPr>
            </w:pPr>
            <w:r w:rsidRPr="00CB100F">
              <w:rPr>
                <w:rFonts w:cs="Arial"/>
                <w:color w:val="000000"/>
                <w:sz w:val="22"/>
                <w:szCs w:val="22"/>
              </w:rPr>
              <w:t>-30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9D290" w14:textId="77777777" w:rsidR="00CE1BDB" w:rsidRPr="00CB100F" w:rsidRDefault="00CE1BDB" w:rsidP="00EF49A7">
            <w:pPr>
              <w:jc w:val="right"/>
              <w:rPr>
                <w:rFonts w:cs="Arial"/>
                <w:color w:val="000000"/>
                <w:sz w:val="22"/>
                <w:szCs w:val="22"/>
              </w:rPr>
            </w:pPr>
            <w:r w:rsidRPr="00CB100F">
              <w:rPr>
                <w:rFonts w:cs="Arial"/>
                <w:color w:val="000000"/>
                <w:sz w:val="22"/>
                <w:szCs w:val="22"/>
              </w:rPr>
              <w:t>-25</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FC2F1" w14:textId="77777777" w:rsidR="00CE1BDB" w:rsidRPr="00CB100F" w:rsidRDefault="00CE1BDB" w:rsidP="00EF49A7">
            <w:pPr>
              <w:jc w:val="right"/>
              <w:rPr>
                <w:rFonts w:cs="Arial"/>
                <w:color w:val="000000"/>
                <w:sz w:val="22"/>
                <w:szCs w:val="22"/>
              </w:rPr>
            </w:pPr>
            <w:r w:rsidRPr="00CB100F">
              <w:rPr>
                <w:rFonts w:cs="Arial"/>
                <w:color w:val="000000"/>
                <w:sz w:val="22"/>
                <w:szCs w:val="22"/>
              </w:rPr>
              <w:t>-269</w:t>
            </w:r>
          </w:p>
        </w:tc>
      </w:tr>
      <w:tr w:rsidR="00CE1BDB" w:rsidRPr="00CB100F" w14:paraId="05966C41"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85E9E"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45-54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2D373" w14:textId="77777777" w:rsidR="00CE1BDB" w:rsidRPr="00CB100F" w:rsidRDefault="00CE1BDB" w:rsidP="00EF49A7">
            <w:pPr>
              <w:jc w:val="right"/>
              <w:rPr>
                <w:rFonts w:cs="Arial"/>
                <w:color w:val="000000"/>
                <w:sz w:val="22"/>
                <w:szCs w:val="22"/>
              </w:rPr>
            </w:pPr>
            <w:r w:rsidRPr="00CB100F">
              <w:rPr>
                <w:rFonts w:cs="Arial"/>
                <w:color w:val="000000"/>
                <w:sz w:val="22"/>
                <w:szCs w:val="22"/>
              </w:rPr>
              <w:t>323</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6CCF3" w14:textId="77777777" w:rsidR="00CE1BDB" w:rsidRPr="00CB100F" w:rsidRDefault="00CE1BDB" w:rsidP="00EF49A7">
            <w:pPr>
              <w:jc w:val="right"/>
              <w:rPr>
                <w:rFonts w:cs="Arial"/>
                <w:color w:val="000000"/>
                <w:sz w:val="22"/>
                <w:szCs w:val="22"/>
              </w:rPr>
            </w:pPr>
            <w:r w:rsidRPr="00CB100F">
              <w:rPr>
                <w:rFonts w:cs="Arial"/>
                <w:color w:val="000000"/>
                <w:sz w:val="22"/>
                <w:szCs w:val="22"/>
              </w:rPr>
              <w:t>347</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16EF4" w14:textId="77777777" w:rsidR="00CE1BDB" w:rsidRPr="00CB100F" w:rsidRDefault="00CE1BDB" w:rsidP="00EF49A7">
            <w:pPr>
              <w:jc w:val="right"/>
              <w:rPr>
                <w:rFonts w:cs="Arial"/>
                <w:color w:val="000000"/>
                <w:sz w:val="22"/>
                <w:szCs w:val="22"/>
              </w:rPr>
            </w:pPr>
            <w:r w:rsidRPr="00CB100F">
              <w:rPr>
                <w:rFonts w:cs="Arial"/>
                <w:color w:val="000000"/>
                <w:sz w:val="22"/>
                <w:szCs w:val="22"/>
              </w:rPr>
              <w:t>321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A56F7" w14:textId="77777777" w:rsidR="00CE1BDB" w:rsidRPr="00CB100F" w:rsidRDefault="00CE1BDB" w:rsidP="00EF49A7">
            <w:pPr>
              <w:jc w:val="right"/>
              <w:rPr>
                <w:rFonts w:cs="Arial"/>
                <w:color w:val="000000"/>
                <w:sz w:val="22"/>
                <w:szCs w:val="22"/>
              </w:rPr>
            </w:pPr>
            <w:r w:rsidRPr="00CB100F">
              <w:rPr>
                <w:rFonts w:cs="Arial"/>
                <w:color w:val="000000"/>
                <w:sz w:val="22"/>
                <w:szCs w:val="22"/>
              </w:rPr>
              <w:t>106</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710C8" w14:textId="77777777" w:rsidR="00CE1BDB" w:rsidRPr="00CB100F" w:rsidRDefault="00CE1BDB" w:rsidP="00EF49A7">
            <w:pPr>
              <w:jc w:val="right"/>
              <w:rPr>
                <w:rFonts w:cs="Arial"/>
                <w:color w:val="000000"/>
                <w:sz w:val="22"/>
                <w:szCs w:val="22"/>
              </w:rPr>
            </w:pPr>
            <w:r w:rsidRPr="00CB100F">
              <w:rPr>
                <w:rFonts w:cs="Arial"/>
                <w:color w:val="000000"/>
                <w:sz w:val="22"/>
                <w:szCs w:val="22"/>
              </w:rPr>
              <w:t>386</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B9455" w14:textId="77777777" w:rsidR="00CE1BDB" w:rsidRPr="00CB100F" w:rsidRDefault="00CE1BDB" w:rsidP="00EF49A7">
            <w:pPr>
              <w:jc w:val="right"/>
              <w:rPr>
                <w:rFonts w:cs="Arial"/>
                <w:color w:val="000000"/>
                <w:sz w:val="22"/>
                <w:szCs w:val="22"/>
              </w:rPr>
            </w:pPr>
            <w:r w:rsidRPr="00CB100F">
              <w:rPr>
                <w:rFonts w:cs="Arial"/>
                <w:color w:val="000000"/>
                <w:sz w:val="22"/>
                <w:szCs w:val="22"/>
              </w:rPr>
              <w:t>1,483</w:t>
            </w:r>
          </w:p>
        </w:tc>
      </w:tr>
      <w:tr w:rsidR="00CE1BDB" w:rsidRPr="00CB100F" w14:paraId="2D6D61BE"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3B840"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55-64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069C2" w14:textId="77777777" w:rsidR="00CE1BDB" w:rsidRPr="00CB100F" w:rsidRDefault="00CE1BDB" w:rsidP="00EF49A7">
            <w:pPr>
              <w:jc w:val="right"/>
              <w:rPr>
                <w:rFonts w:cs="Arial"/>
                <w:color w:val="000000"/>
                <w:sz w:val="22"/>
                <w:szCs w:val="22"/>
              </w:rPr>
            </w:pPr>
            <w:r w:rsidRPr="00CB100F">
              <w:rPr>
                <w:rFonts w:cs="Arial"/>
                <w:color w:val="000000"/>
                <w:sz w:val="22"/>
                <w:szCs w:val="22"/>
              </w:rPr>
              <w:t>-403</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610B7" w14:textId="77777777" w:rsidR="00CE1BDB" w:rsidRPr="00CB100F" w:rsidRDefault="00CE1BDB" w:rsidP="00EF49A7">
            <w:pPr>
              <w:jc w:val="right"/>
              <w:rPr>
                <w:rFonts w:cs="Arial"/>
                <w:color w:val="000000"/>
                <w:sz w:val="22"/>
                <w:szCs w:val="22"/>
              </w:rPr>
            </w:pPr>
            <w:r w:rsidRPr="00CB100F">
              <w:rPr>
                <w:rFonts w:cs="Arial"/>
                <w:color w:val="000000"/>
                <w:sz w:val="22"/>
                <w:szCs w:val="22"/>
              </w:rPr>
              <w:t>-154</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C2322" w14:textId="77777777" w:rsidR="00CE1BDB" w:rsidRPr="00CB100F" w:rsidRDefault="00CE1BDB" w:rsidP="00EF49A7">
            <w:pPr>
              <w:jc w:val="right"/>
              <w:rPr>
                <w:rFonts w:cs="Arial"/>
                <w:color w:val="000000"/>
                <w:sz w:val="22"/>
                <w:szCs w:val="22"/>
              </w:rPr>
            </w:pPr>
            <w:r w:rsidRPr="00CB100F">
              <w:rPr>
                <w:rFonts w:cs="Arial"/>
                <w:color w:val="000000"/>
                <w:sz w:val="22"/>
                <w:szCs w:val="22"/>
              </w:rPr>
              <w:t>-67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A358" w14:textId="77777777" w:rsidR="00CE1BDB" w:rsidRPr="00CB100F" w:rsidRDefault="00CE1BDB" w:rsidP="00EF49A7">
            <w:pPr>
              <w:jc w:val="right"/>
              <w:rPr>
                <w:rFonts w:cs="Arial"/>
                <w:color w:val="000000"/>
                <w:sz w:val="22"/>
                <w:szCs w:val="22"/>
              </w:rPr>
            </w:pPr>
            <w:r w:rsidRPr="00CB100F">
              <w:rPr>
                <w:rFonts w:cs="Arial"/>
                <w:color w:val="000000"/>
                <w:sz w:val="22"/>
                <w:szCs w:val="22"/>
              </w:rPr>
              <w:t>-28</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35890" w14:textId="77777777" w:rsidR="00CE1BDB" w:rsidRPr="00CB100F" w:rsidRDefault="00CE1BDB" w:rsidP="00EF49A7">
            <w:pPr>
              <w:jc w:val="right"/>
              <w:rPr>
                <w:rFonts w:cs="Arial"/>
                <w:color w:val="000000"/>
                <w:sz w:val="22"/>
                <w:szCs w:val="22"/>
              </w:rPr>
            </w:pPr>
            <w:r w:rsidRPr="00CB100F">
              <w:rPr>
                <w:rFonts w:cs="Arial"/>
                <w:color w:val="000000"/>
                <w:sz w:val="22"/>
                <w:szCs w:val="22"/>
              </w:rPr>
              <w:t>-779</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94DE0" w14:textId="77777777" w:rsidR="00CE1BDB" w:rsidRPr="00CB100F" w:rsidRDefault="00CE1BDB" w:rsidP="00EF49A7">
            <w:pPr>
              <w:jc w:val="right"/>
              <w:rPr>
                <w:rFonts w:cs="Arial"/>
                <w:color w:val="000000"/>
                <w:sz w:val="22"/>
                <w:szCs w:val="22"/>
              </w:rPr>
            </w:pPr>
            <w:r w:rsidRPr="00CB100F">
              <w:rPr>
                <w:rFonts w:cs="Arial"/>
                <w:color w:val="000000"/>
                <w:sz w:val="22"/>
                <w:szCs w:val="22"/>
              </w:rPr>
              <w:t>-1,430</w:t>
            </w:r>
          </w:p>
        </w:tc>
      </w:tr>
      <w:tr w:rsidR="00CE1BDB" w:rsidRPr="00CB100F" w14:paraId="2F233F97"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B87EB"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65-74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A30AA" w14:textId="77777777" w:rsidR="00CE1BDB" w:rsidRPr="00CB100F" w:rsidRDefault="00CE1BDB" w:rsidP="00EF49A7">
            <w:pPr>
              <w:jc w:val="right"/>
              <w:rPr>
                <w:rFonts w:cs="Arial"/>
                <w:color w:val="000000"/>
                <w:sz w:val="22"/>
                <w:szCs w:val="22"/>
              </w:rPr>
            </w:pPr>
            <w:r w:rsidRPr="00CB100F">
              <w:rPr>
                <w:rFonts w:cs="Arial"/>
                <w:color w:val="000000"/>
                <w:sz w:val="22"/>
                <w:szCs w:val="22"/>
              </w:rPr>
              <w:t>929</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9D1FB" w14:textId="77777777" w:rsidR="00CE1BDB" w:rsidRPr="00CB100F" w:rsidRDefault="00CE1BDB" w:rsidP="00EF49A7">
            <w:pPr>
              <w:jc w:val="right"/>
              <w:rPr>
                <w:rFonts w:cs="Arial"/>
                <w:color w:val="000000"/>
                <w:sz w:val="22"/>
                <w:szCs w:val="22"/>
              </w:rPr>
            </w:pPr>
            <w:r w:rsidRPr="00CB100F">
              <w:rPr>
                <w:rFonts w:cs="Arial"/>
                <w:color w:val="000000"/>
                <w:sz w:val="22"/>
                <w:szCs w:val="22"/>
              </w:rPr>
              <w:t>33</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97D6D" w14:textId="77777777" w:rsidR="00CE1BDB" w:rsidRPr="00CB100F" w:rsidRDefault="00CE1BDB" w:rsidP="00EF49A7">
            <w:pPr>
              <w:jc w:val="right"/>
              <w:rPr>
                <w:rFonts w:cs="Arial"/>
                <w:color w:val="000000"/>
                <w:sz w:val="22"/>
                <w:szCs w:val="22"/>
              </w:rPr>
            </w:pPr>
            <w:r w:rsidRPr="00CB100F">
              <w:rPr>
                <w:rFonts w:cs="Arial"/>
                <w:color w:val="000000"/>
                <w:sz w:val="22"/>
                <w:szCs w:val="22"/>
              </w:rPr>
              <w:t>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D802A" w14:textId="77777777" w:rsidR="00CE1BDB" w:rsidRPr="00CB100F" w:rsidRDefault="00CE1BDB" w:rsidP="00EF49A7">
            <w:pPr>
              <w:jc w:val="right"/>
              <w:rPr>
                <w:rFonts w:cs="Arial"/>
                <w:color w:val="000000"/>
                <w:sz w:val="22"/>
                <w:szCs w:val="22"/>
              </w:rPr>
            </w:pPr>
            <w:r w:rsidRPr="00CB100F">
              <w:rPr>
                <w:rFonts w:cs="Arial"/>
                <w:color w:val="000000"/>
                <w:sz w:val="22"/>
                <w:szCs w:val="22"/>
              </w:rPr>
              <w:t>2</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A7C44" w14:textId="77777777" w:rsidR="00CE1BDB" w:rsidRPr="00CB100F" w:rsidRDefault="00CE1BDB" w:rsidP="00EF49A7">
            <w:pPr>
              <w:jc w:val="right"/>
              <w:rPr>
                <w:rFonts w:cs="Arial"/>
                <w:color w:val="000000"/>
                <w:sz w:val="22"/>
                <w:szCs w:val="22"/>
              </w:rPr>
            </w:pPr>
            <w:r w:rsidRPr="00CB100F">
              <w:rPr>
                <w:rFonts w:cs="Arial"/>
                <w:color w:val="000000"/>
                <w:sz w:val="22"/>
                <w:szCs w:val="22"/>
              </w:rPr>
              <w:t>1,516</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DE83C" w14:textId="77777777" w:rsidR="00CE1BDB" w:rsidRPr="00CB100F" w:rsidRDefault="00CE1BDB" w:rsidP="00EF49A7">
            <w:pPr>
              <w:jc w:val="right"/>
              <w:rPr>
                <w:rFonts w:cs="Arial"/>
                <w:color w:val="000000"/>
                <w:sz w:val="22"/>
                <w:szCs w:val="22"/>
              </w:rPr>
            </w:pPr>
            <w:r w:rsidRPr="00CB100F">
              <w:rPr>
                <w:rFonts w:cs="Arial"/>
                <w:color w:val="000000"/>
                <w:sz w:val="22"/>
                <w:szCs w:val="22"/>
              </w:rPr>
              <w:t>2,487</w:t>
            </w:r>
          </w:p>
        </w:tc>
      </w:tr>
      <w:tr w:rsidR="00CE1BDB" w:rsidRPr="00CB100F" w14:paraId="67322262"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B4CC2"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75-84</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A490" w14:textId="77777777" w:rsidR="00CE1BDB" w:rsidRPr="00CB100F" w:rsidRDefault="00CE1BDB" w:rsidP="00EF49A7">
            <w:pPr>
              <w:jc w:val="right"/>
              <w:rPr>
                <w:rFonts w:cs="Arial"/>
                <w:color w:val="000000"/>
                <w:sz w:val="22"/>
                <w:szCs w:val="22"/>
              </w:rPr>
            </w:pPr>
            <w:r w:rsidRPr="00CB100F">
              <w:rPr>
                <w:rFonts w:cs="Arial"/>
                <w:color w:val="000000"/>
                <w:sz w:val="22"/>
                <w:szCs w:val="22"/>
              </w:rPr>
              <w:t>1,485</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20C57" w14:textId="77777777" w:rsidR="00CE1BDB" w:rsidRPr="00CB100F" w:rsidRDefault="00CE1BDB" w:rsidP="00EF49A7">
            <w:pPr>
              <w:jc w:val="right"/>
              <w:rPr>
                <w:rFonts w:cs="Arial"/>
                <w:color w:val="000000"/>
                <w:sz w:val="22"/>
                <w:szCs w:val="22"/>
              </w:rPr>
            </w:pPr>
            <w:r w:rsidRPr="00CB100F">
              <w:rPr>
                <w:rFonts w:cs="Arial"/>
                <w:color w:val="000000"/>
                <w:sz w:val="22"/>
                <w:szCs w:val="22"/>
              </w:rPr>
              <w:t>9</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5241" w14:textId="77777777" w:rsidR="00CE1BDB" w:rsidRPr="00CB100F" w:rsidRDefault="00CE1BDB" w:rsidP="00EF49A7">
            <w:pPr>
              <w:jc w:val="right"/>
              <w:rPr>
                <w:rFonts w:cs="Arial"/>
                <w:color w:val="000000"/>
                <w:sz w:val="22"/>
                <w:szCs w:val="22"/>
              </w:rPr>
            </w:pPr>
            <w:r w:rsidRPr="00CB100F">
              <w:rPr>
                <w:rFonts w:cs="Arial"/>
                <w:color w:val="000000"/>
                <w:sz w:val="22"/>
                <w:szCs w:val="22"/>
              </w:rPr>
              <w:t>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499F"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559F0" w14:textId="77777777" w:rsidR="00CE1BDB" w:rsidRPr="00CB100F" w:rsidRDefault="00CE1BDB" w:rsidP="00EF49A7">
            <w:pPr>
              <w:jc w:val="right"/>
              <w:rPr>
                <w:rFonts w:cs="Arial"/>
                <w:color w:val="000000"/>
                <w:sz w:val="22"/>
                <w:szCs w:val="22"/>
              </w:rPr>
            </w:pPr>
            <w:r w:rsidRPr="00CB100F">
              <w:rPr>
                <w:rFonts w:cs="Arial"/>
                <w:color w:val="000000"/>
                <w:sz w:val="22"/>
                <w:szCs w:val="22"/>
              </w:rPr>
              <w:t>1,699</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2BB8" w14:textId="77777777" w:rsidR="00CE1BDB" w:rsidRPr="00CB100F" w:rsidRDefault="00CE1BDB" w:rsidP="00EF49A7">
            <w:pPr>
              <w:jc w:val="right"/>
              <w:rPr>
                <w:rFonts w:cs="Arial"/>
                <w:color w:val="000000"/>
                <w:sz w:val="22"/>
                <w:szCs w:val="22"/>
              </w:rPr>
            </w:pPr>
            <w:r w:rsidRPr="00CB100F">
              <w:rPr>
                <w:rFonts w:cs="Arial"/>
                <w:color w:val="000000"/>
                <w:sz w:val="22"/>
                <w:szCs w:val="22"/>
              </w:rPr>
              <w:t>3,195</w:t>
            </w:r>
          </w:p>
        </w:tc>
      </w:tr>
      <w:tr w:rsidR="00CE1BDB" w:rsidRPr="00CB100F" w14:paraId="2BCB9998" w14:textId="77777777" w:rsidTr="00CB100F">
        <w:trPr>
          <w:trHeight w:val="32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E0310"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85+</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84125" w14:textId="77777777" w:rsidR="00CE1BDB" w:rsidRPr="00CB100F" w:rsidRDefault="00CE1BDB" w:rsidP="00EF49A7">
            <w:pPr>
              <w:jc w:val="right"/>
              <w:rPr>
                <w:rFonts w:cs="Arial"/>
                <w:color w:val="000000"/>
                <w:sz w:val="22"/>
                <w:szCs w:val="22"/>
              </w:rPr>
            </w:pPr>
            <w:r w:rsidRPr="00CB100F">
              <w:rPr>
                <w:rFonts w:cs="Arial"/>
                <w:color w:val="000000"/>
                <w:sz w:val="22"/>
                <w:szCs w:val="22"/>
              </w:rPr>
              <w:t>1,520</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1B75" w14:textId="77777777" w:rsidR="00CE1BDB" w:rsidRPr="00CB100F" w:rsidRDefault="00CE1BDB" w:rsidP="00EF49A7">
            <w:pPr>
              <w:jc w:val="right"/>
              <w:rPr>
                <w:rFonts w:cs="Arial"/>
                <w:color w:val="000000"/>
                <w:sz w:val="22"/>
                <w:szCs w:val="22"/>
              </w:rPr>
            </w:pPr>
            <w:r w:rsidRPr="00CB100F">
              <w:rPr>
                <w:rFonts w:cs="Arial"/>
                <w:color w:val="000000"/>
                <w:sz w:val="22"/>
                <w:szCs w:val="22"/>
              </w:rPr>
              <w:t>9</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22A74"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35A8A"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53508" w14:textId="77777777" w:rsidR="00CE1BDB" w:rsidRPr="00CB100F" w:rsidRDefault="00CE1BDB" w:rsidP="00EF49A7">
            <w:pPr>
              <w:jc w:val="right"/>
              <w:rPr>
                <w:rFonts w:cs="Arial"/>
                <w:color w:val="000000"/>
                <w:sz w:val="22"/>
                <w:szCs w:val="22"/>
              </w:rPr>
            </w:pPr>
            <w:r w:rsidRPr="00CB100F">
              <w:rPr>
                <w:rFonts w:cs="Arial"/>
                <w:color w:val="000000"/>
                <w:sz w:val="22"/>
                <w:szCs w:val="22"/>
              </w:rPr>
              <w:t>926</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1FA9" w14:textId="77777777" w:rsidR="00CE1BDB" w:rsidRPr="00CB100F" w:rsidRDefault="00CE1BDB" w:rsidP="00EF49A7">
            <w:pPr>
              <w:jc w:val="right"/>
              <w:rPr>
                <w:rFonts w:cs="Arial"/>
                <w:color w:val="000000"/>
                <w:sz w:val="22"/>
                <w:szCs w:val="22"/>
              </w:rPr>
            </w:pPr>
            <w:r w:rsidRPr="00CB100F">
              <w:rPr>
                <w:rFonts w:cs="Arial"/>
                <w:color w:val="000000"/>
                <w:sz w:val="22"/>
                <w:szCs w:val="22"/>
              </w:rPr>
              <w:t>2,454</w:t>
            </w:r>
          </w:p>
        </w:tc>
      </w:tr>
      <w:tr w:rsidR="00CE1BDB" w:rsidRPr="00CB100F" w14:paraId="3BEFE73A" w14:textId="77777777" w:rsidTr="00CB100F">
        <w:trPr>
          <w:trHeight w:val="300"/>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03828" w14:textId="77777777" w:rsidR="00CE1BDB" w:rsidRPr="00CB100F" w:rsidRDefault="00CE1BDB" w:rsidP="00EF49A7">
            <w:pPr>
              <w:jc w:val="center"/>
              <w:rPr>
                <w:rFonts w:cs="Arial"/>
                <w:b/>
                <w:bCs/>
                <w:color w:val="000000"/>
                <w:sz w:val="22"/>
                <w:szCs w:val="22"/>
              </w:rPr>
            </w:pPr>
            <w:r w:rsidRPr="00CB100F">
              <w:rPr>
                <w:rFonts w:cs="Arial"/>
                <w:b/>
                <w:bCs/>
                <w:color w:val="000000"/>
                <w:sz w:val="22"/>
                <w:szCs w:val="22"/>
              </w:rPr>
              <w:t>TOTAL</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2B81" w14:textId="77777777" w:rsidR="00CE1BDB" w:rsidRPr="00CB100F" w:rsidRDefault="00CE1BDB" w:rsidP="00EF49A7">
            <w:pPr>
              <w:jc w:val="right"/>
              <w:rPr>
                <w:rFonts w:cs="Arial"/>
                <w:color w:val="000000"/>
                <w:sz w:val="22"/>
                <w:szCs w:val="22"/>
              </w:rPr>
            </w:pPr>
            <w:r w:rsidRPr="00CB100F">
              <w:rPr>
                <w:rFonts w:cs="Arial"/>
                <w:color w:val="000000"/>
                <w:sz w:val="22"/>
                <w:szCs w:val="22"/>
              </w:rPr>
              <w:t>3,661</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CA696" w14:textId="77777777" w:rsidR="00CE1BDB" w:rsidRPr="00CB100F" w:rsidRDefault="00CE1BDB" w:rsidP="00EF49A7">
            <w:pPr>
              <w:jc w:val="right"/>
              <w:rPr>
                <w:rFonts w:cs="Arial"/>
                <w:color w:val="000000"/>
                <w:sz w:val="22"/>
                <w:szCs w:val="22"/>
              </w:rPr>
            </w:pPr>
            <w:r w:rsidRPr="00CB100F">
              <w:rPr>
                <w:rFonts w:cs="Arial"/>
                <w:color w:val="000000"/>
                <w:sz w:val="22"/>
                <w:szCs w:val="22"/>
              </w:rPr>
              <w:t>-41</w:t>
            </w: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C792" w14:textId="77777777" w:rsidR="00CE1BDB" w:rsidRPr="00CB100F" w:rsidRDefault="00CE1BDB" w:rsidP="00EF49A7">
            <w:pPr>
              <w:jc w:val="right"/>
              <w:rPr>
                <w:rFonts w:cs="Arial"/>
                <w:color w:val="000000"/>
                <w:sz w:val="22"/>
                <w:szCs w:val="22"/>
              </w:rPr>
            </w:pPr>
            <w:r w:rsidRPr="00CB100F">
              <w:rPr>
                <w:rFonts w:cs="Arial"/>
                <w:color w:val="000000"/>
                <w:sz w:val="22"/>
                <w:szCs w:val="22"/>
              </w:rPr>
              <w:t>-63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80846" w14:textId="77777777" w:rsidR="00CE1BDB" w:rsidRPr="00CB100F" w:rsidRDefault="00CE1BDB" w:rsidP="00EF49A7">
            <w:pPr>
              <w:jc w:val="right"/>
              <w:rPr>
                <w:rFonts w:cs="Arial"/>
                <w:color w:val="000000"/>
                <w:sz w:val="22"/>
                <w:szCs w:val="22"/>
              </w:rPr>
            </w:pPr>
            <w:r w:rsidRPr="00CB100F">
              <w:rPr>
                <w:rFonts w:cs="Arial"/>
                <w:color w:val="000000"/>
                <w:sz w:val="22"/>
                <w:szCs w:val="22"/>
              </w:rPr>
              <w:t>-67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25646" w14:textId="77777777" w:rsidR="00CE1BDB" w:rsidRPr="00CB100F" w:rsidRDefault="00CE1BDB" w:rsidP="00EF49A7">
            <w:pPr>
              <w:jc w:val="right"/>
              <w:rPr>
                <w:rFonts w:cs="Arial"/>
                <w:color w:val="000000"/>
                <w:sz w:val="22"/>
                <w:szCs w:val="22"/>
              </w:rPr>
            </w:pPr>
            <w:r w:rsidRPr="00CB100F">
              <w:rPr>
                <w:rFonts w:cs="Arial"/>
                <w:color w:val="000000"/>
                <w:sz w:val="22"/>
                <w:szCs w:val="22"/>
              </w:rPr>
              <w:t>3,550</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4842F" w14:textId="77777777" w:rsidR="00CE1BDB" w:rsidRPr="00CB100F" w:rsidRDefault="00CE1BDB" w:rsidP="00EF49A7">
            <w:pPr>
              <w:jc w:val="right"/>
              <w:rPr>
                <w:rFonts w:cs="Arial"/>
                <w:color w:val="000000"/>
                <w:sz w:val="22"/>
                <w:szCs w:val="22"/>
              </w:rPr>
            </w:pPr>
            <w:r w:rsidRPr="00CB100F">
              <w:rPr>
                <w:rFonts w:cs="Arial"/>
                <w:color w:val="000000"/>
                <w:sz w:val="22"/>
                <w:szCs w:val="22"/>
              </w:rPr>
              <w:t>7,039</w:t>
            </w:r>
          </w:p>
        </w:tc>
      </w:tr>
    </w:tbl>
    <w:p w14:paraId="7D8661FA" w14:textId="77777777" w:rsidR="00CE1BDB" w:rsidRPr="00FA4DC7" w:rsidRDefault="00CE1BDB" w:rsidP="00CE1BDB">
      <w:pPr>
        <w:tabs>
          <w:tab w:val="left" w:pos="0"/>
          <w:tab w:val="left" w:pos="709"/>
          <w:tab w:val="left" w:pos="1418"/>
        </w:tabs>
        <w:rPr>
          <w:rFonts w:cs="Arial"/>
        </w:rPr>
      </w:pPr>
      <w:r w:rsidRPr="00FA4DC7">
        <w:rPr>
          <w:rFonts w:cs="Arial"/>
        </w:rPr>
        <w:t>Source: ONS 2018-based household projections</w:t>
      </w:r>
    </w:p>
    <w:p w14:paraId="27699FB8" w14:textId="77777777" w:rsidR="00CE1BDB" w:rsidRPr="00FA4DC7" w:rsidRDefault="00CE1BDB" w:rsidP="00CE1BDB">
      <w:pPr>
        <w:tabs>
          <w:tab w:val="left" w:pos="0"/>
          <w:tab w:val="left" w:pos="709"/>
          <w:tab w:val="left" w:pos="1418"/>
        </w:tabs>
        <w:rPr>
          <w:rFonts w:cs="Arial"/>
          <w:highlight w:val="yellow"/>
        </w:rPr>
      </w:pPr>
    </w:p>
    <w:p w14:paraId="1A211EE7" w14:textId="77777777" w:rsidR="00CE1BDB" w:rsidRPr="00FA4DC7" w:rsidRDefault="00CE1BDB" w:rsidP="00CB100F">
      <w:pPr>
        <w:pStyle w:val="Figureheading0"/>
        <w:tabs>
          <w:tab w:val="left" w:pos="0"/>
          <w:tab w:val="left" w:pos="709"/>
          <w:tab w:val="left" w:pos="1418"/>
        </w:tabs>
        <w:spacing w:after="240"/>
      </w:pPr>
      <w:bookmarkStart w:id="624" w:name="_Toc59204738"/>
      <w:bookmarkStart w:id="625" w:name="_Toc83036150"/>
      <w:r w:rsidRPr="00FA4DC7">
        <w:lastRenderedPageBreak/>
        <w:t>Figure D1</w:t>
      </w:r>
      <w:r w:rsidRPr="00FA4DC7">
        <w:tab/>
        <w:t>Change in HRP age groups 2021-203</w:t>
      </w:r>
      <w:bookmarkEnd w:id="624"/>
      <w:r w:rsidRPr="00FA4DC7">
        <w:t>7</w:t>
      </w:r>
      <w:bookmarkEnd w:id="625"/>
    </w:p>
    <w:p w14:paraId="03AB3B38" w14:textId="77777777" w:rsidR="00CE1BDB" w:rsidRPr="00FA4DC7" w:rsidRDefault="00CE1BDB" w:rsidP="00CE1BDB">
      <w:pPr>
        <w:tabs>
          <w:tab w:val="left" w:pos="0"/>
          <w:tab w:val="left" w:pos="709"/>
          <w:tab w:val="left" w:pos="1418"/>
        </w:tabs>
        <w:rPr>
          <w:rFonts w:cs="Arial"/>
          <w:highlight w:val="yellow"/>
        </w:rPr>
      </w:pPr>
      <w:r w:rsidRPr="00FA4DC7">
        <w:rPr>
          <w:rFonts w:cs="Arial"/>
          <w:noProof/>
        </w:rPr>
        <w:drawing>
          <wp:inline distT="0" distB="0" distL="0" distR="0" wp14:anchorId="2DE0BD1C" wp14:editId="2904D03B">
            <wp:extent cx="5835650" cy="3149600"/>
            <wp:effectExtent l="0" t="0" r="6350" b="0"/>
            <wp:docPr id="9" name="Picture 9" descr="Chart showing change in HRP age groups 2021 -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howing change in HRP age groups 2021 - 2037"/>
                    <pic:cNvPicPr/>
                  </pic:nvPicPr>
                  <pic:blipFill>
                    <a:blip r:embed="rId68"/>
                    <a:stretch>
                      <a:fillRect/>
                    </a:stretch>
                  </pic:blipFill>
                  <pic:spPr>
                    <a:xfrm>
                      <a:off x="0" y="0"/>
                      <a:ext cx="5835650" cy="3149600"/>
                    </a:xfrm>
                    <a:prstGeom prst="rect">
                      <a:avLst/>
                    </a:prstGeom>
                  </pic:spPr>
                </pic:pic>
              </a:graphicData>
            </a:graphic>
          </wp:inline>
        </w:drawing>
      </w:r>
    </w:p>
    <w:p w14:paraId="5B0B88C4" w14:textId="77777777" w:rsidR="00CE1BDB" w:rsidRPr="00CB100F" w:rsidRDefault="00CE1BDB" w:rsidP="00CB100F">
      <w:pPr>
        <w:tabs>
          <w:tab w:val="left" w:pos="0"/>
          <w:tab w:val="left" w:pos="709"/>
          <w:tab w:val="left" w:pos="1418"/>
        </w:tabs>
        <w:spacing w:before="240"/>
        <w:rPr>
          <w:rFonts w:cs="Arial"/>
          <w:sz w:val="22"/>
          <w:szCs w:val="22"/>
        </w:rPr>
      </w:pPr>
      <w:r w:rsidRPr="00CB100F">
        <w:rPr>
          <w:rFonts w:cs="Arial"/>
          <w:sz w:val="22"/>
          <w:szCs w:val="22"/>
        </w:rPr>
        <w:t>Source: 2018-based ONS household projections</w:t>
      </w:r>
    </w:p>
    <w:p w14:paraId="648AB499" w14:textId="77777777" w:rsidR="00CE1BDB" w:rsidRPr="00FA4DC7" w:rsidRDefault="00CE1BDB" w:rsidP="00CE1BDB">
      <w:pPr>
        <w:pStyle w:val="Reporttext"/>
        <w:numPr>
          <w:ilvl w:val="0"/>
          <w:numId w:val="0"/>
        </w:numPr>
        <w:tabs>
          <w:tab w:val="left" w:pos="0"/>
          <w:tab w:val="left" w:pos="709"/>
          <w:tab w:val="left" w:pos="1418"/>
        </w:tabs>
        <w:rPr>
          <w:rFonts w:cs="Arial"/>
        </w:rPr>
      </w:pPr>
    </w:p>
    <w:p w14:paraId="383F32EA" w14:textId="77777777" w:rsidR="00CE1BDB" w:rsidRPr="00FA4DC7" w:rsidRDefault="00CE1BDB" w:rsidP="00CE1BDB">
      <w:pPr>
        <w:pStyle w:val="Maintext"/>
        <w:numPr>
          <w:ilvl w:val="1"/>
          <w:numId w:val="33"/>
        </w:numPr>
        <w:tabs>
          <w:tab w:val="left" w:pos="0"/>
          <w:tab w:val="left" w:pos="1418"/>
        </w:tabs>
        <w:rPr>
          <w:rFonts w:ascii="Arial" w:hAnsi="Arial" w:cs="Arial"/>
        </w:rPr>
        <w:sectPr w:rsidR="00CE1BDB" w:rsidRPr="00FA4DC7" w:rsidSect="00EF49A7">
          <w:pgSz w:w="11906" w:h="16838"/>
          <w:pgMar w:top="1276" w:right="1276" w:bottom="567" w:left="1440" w:header="708" w:footer="715" w:gutter="0"/>
          <w:cols w:space="708"/>
          <w:docGrid w:linePitch="360"/>
        </w:sectPr>
      </w:pPr>
      <w:r w:rsidRPr="00FA4DC7">
        <w:rPr>
          <w:rFonts w:ascii="Arial" w:hAnsi="Arial" w:cs="Arial"/>
        </w:rPr>
        <w:t xml:space="preserve">Table D3 applies household survey data on dwelling occupancy to the demographic profile in 2037. The two right hand columns indicate the likely change in demand for dwelling types and sizes and how this translates to an overall percentage dwelling requirement. </w:t>
      </w:r>
    </w:p>
    <w:tbl>
      <w:tblPr>
        <w:tblW w:w="5000" w:type="pct"/>
        <w:tblLook w:val="04A0" w:firstRow="1" w:lastRow="0" w:firstColumn="1" w:lastColumn="0" w:noHBand="0" w:noVBand="1"/>
      </w:tblPr>
      <w:tblGrid>
        <w:gridCol w:w="4362"/>
        <w:gridCol w:w="1062"/>
        <w:gridCol w:w="1062"/>
        <w:gridCol w:w="1062"/>
        <w:gridCol w:w="1065"/>
        <w:gridCol w:w="1062"/>
        <w:gridCol w:w="1062"/>
        <w:gridCol w:w="1062"/>
        <w:gridCol w:w="1063"/>
        <w:gridCol w:w="1036"/>
        <w:gridCol w:w="1087"/>
      </w:tblGrid>
      <w:tr w:rsidR="00CB100F" w:rsidRPr="00CB100F" w14:paraId="795B0485" w14:textId="77777777" w:rsidTr="00CB100F">
        <w:trPr>
          <w:trHeight w:val="32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006666"/>
            <w:noWrap/>
            <w:vAlign w:val="bottom"/>
          </w:tcPr>
          <w:p w14:paraId="50B636A4" w14:textId="36195B66" w:rsidR="00CB100F" w:rsidRPr="00CB100F" w:rsidRDefault="00CB100F" w:rsidP="00CB100F">
            <w:pPr>
              <w:pStyle w:val="Tableheading1"/>
              <w:rPr>
                <w:rFonts w:cs="Arial"/>
                <w:color w:val="FFFFFF"/>
                <w:szCs w:val="22"/>
              </w:rPr>
            </w:pPr>
            <w:bookmarkStart w:id="626" w:name="_Toc59205118"/>
            <w:bookmarkStart w:id="627" w:name="_Toc83036138"/>
            <w:r w:rsidRPr="00CB100F">
              <w:rPr>
                <w:rFonts w:cs="Arial"/>
                <w:szCs w:val="22"/>
              </w:rPr>
              <w:lastRenderedPageBreak/>
              <w:t>Table D3</w:t>
            </w:r>
            <w:r w:rsidRPr="00CB100F">
              <w:rPr>
                <w:rFonts w:cs="Arial"/>
                <w:szCs w:val="22"/>
              </w:rPr>
              <w:tab/>
              <w:t>Impact of change in households by age group on dwellings occupied</w:t>
            </w:r>
            <w:bookmarkEnd w:id="626"/>
            <w:bookmarkEnd w:id="627"/>
          </w:p>
        </w:tc>
      </w:tr>
      <w:tr w:rsidR="00CB100F" w:rsidRPr="00CB100F" w14:paraId="13A9F9C8" w14:textId="77777777" w:rsidTr="00B35559">
        <w:trPr>
          <w:trHeight w:val="325"/>
        </w:trPr>
        <w:tc>
          <w:tcPr>
            <w:tcW w:w="1330" w:type="pct"/>
            <w:vMerge w:val="restart"/>
            <w:tcBorders>
              <w:top w:val="single" w:sz="4" w:space="0" w:color="000000"/>
              <w:left w:val="single" w:sz="4" w:space="0" w:color="000000"/>
              <w:right w:val="single" w:sz="4" w:space="0" w:color="000000"/>
            </w:tcBorders>
            <w:shd w:val="clear" w:color="auto" w:fill="006666"/>
            <w:noWrap/>
            <w:vAlign w:val="bottom"/>
            <w:hideMark/>
          </w:tcPr>
          <w:p w14:paraId="33C96571" w14:textId="59F23652" w:rsidR="00CB100F" w:rsidRPr="00CB100F" w:rsidRDefault="00CB100F" w:rsidP="00CB100F">
            <w:pPr>
              <w:rPr>
                <w:rFonts w:cs="Arial"/>
                <w:b/>
                <w:bCs/>
                <w:color w:val="FFFFFF"/>
                <w:sz w:val="22"/>
                <w:szCs w:val="22"/>
              </w:rPr>
            </w:pPr>
            <w:r w:rsidRPr="00CB100F">
              <w:rPr>
                <w:rFonts w:cs="Arial"/>
                <w:b/>
                <w:bCs/>
                <w:color w:val="FFFFFF"/>
                <w:sz w:val="22"/>
                <w:szCs w:val="22"/>
              </w:rPr>
              <w:t>Dwelling type and size</w:t>
            </w:r>
          </w:p>
        </w:tc>
        <w:tc>
          <w:tcPr>
            <w:tcW w:w="3670" w:type="pct"/>
            <w:gridSpan w:val="10"/>
            <w:tcBorders>
              <w:top w:val="single" w:sz="4" w:space="0" w:color="000000"/>
              <w:left w:val="single" w:sz="4" w:space="0" w:color="000000"/>
              <w:bottom w:val="single" w:sz="4" w:space="0" w:color="000000"/>
              <w:right w:val="single" w:sz="4" w:space="0" w:color="000000"/>
            </w:tcBorders>
            <w:shd w:val="clear" w:color="auto" w:fill="006666"/>
            <w:noWrap/>
            <w:vAlign w:val="bottom"/>
            <w:hideMark/>
          </w:tcPr>
          <w:p w14:paraId="50457518" w14:textId="77777777" w:rsidR="00CB100F" w:rsidRPr="00CB100F" w:rsidRDefault="00CB100F" w:rsidP="00CB100F">
            <w:pPr>
              <w:jc w:val="center"/>
              <w:rPr>
                <w:rFonts w:cs="Arial"/>
                <w:b/>
                <w:bCs/>
                <w:color w:val="FFFFFF"/>
                <w:sz w:val="22"/>
                <w:szCs w:val="22"/>
              </w:rPr>
            </w:pPr>
            <w:r w:rsidRPr="00CB100F">
              <w:rPr>
                <w:rFonts w:cs="Arial"/>
                <w:b/>
                <w:bCs/>
                <w:color w:val="FFFFFF"/>
                <w:sz w:val="22"/>
                <w:szCs w:val="22"/>
              </w:rPr>
              <w:t>Age group of Household Reference Person</w:t>
            </w:r>
          </w:p>
        </w:tc>
      </w:tr>
      <w:tr w:rsidR="00CB100F" w:rsidRPr="00CB100F" w14:paraId="2F96C8A6" w14:textId="77777777" w:rsidTr="00CB100F">
        <w:trPr>
          <w:trHeight w:val="325"/>
        </w:trPr>
        <w:tc>
          <w:tcPr>
            <w:tcW w:w="1330" w:type="pct"/>
            <w:vMerge/>
            <w:tcBorders>
              <w:left w:val="single" w:sz="4" w:space="0" w:color="000000"/>
              <w:bottom w:val="single" w:sz="4" w:space="0" w:color="000000"/>
              <w:right w:val="single" w:sz="4" w:space="0" w:color="000000"/>
            </w:tcBorders>
            <w:shd w:val="clear" w:color="auto" w:fill="006666"/>
            <w:noWrap/>
            <w:vAlign w:val="bottom"/>
            <w:hideMark/>
          </w:tcPr>
          <w:p w14:paraId="7AE01BE2" w14:textId="7B2552F6" w:rsidR="00CB100F" w:rsidRPr="00CB100F" w:rsidRDefault="00CB100F" w:rsidP="00EF49A7">
            <w:pPr>
              <w:rPr>
                <w:rFonts w:cs="Arial"/>
                <w:b/>
                <w:bCs/>
                <w:color w:val="FFFFFF"/>
                <w:sz w:val="22"/>
                <w:szCs w:val="22"/>
              </w:rPr>
            </w:pPr>
          </w:p>
        </w:tc>
        <w:tc>
          <w:tcPr>
            <w:tcW w:w="367" w:type="pct"/>
            <w:tcBorders>
              <w:top w:val="nil"/>
              <w:left w:val="nil"/>
              <w:bottom w:val="single" w:sz="4" w:space="0" w:color="000000"/>
              <w:right w:val="single" w:sz="4" w:space="0" w:color="000000"/>
            </w:tcBorders>
            <w:shd w:val="clear" w:color="auto" w:fill="006666"/>
            <w:noWrap/>
            <w:vAlign w:val="bottom"/>
            <w:hideMark/>
          </w:tcPr>
          <w:p w14:paraId="029AB015"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15-24</w:t>
            </w:r>
          </w:p>
        </w:tc>
        <w:tc>
          <w:tcPr>
            <w:tcW w:w="367" w:type="pct"/>
            <w:tcBorders>
              <w:top w:val="nil"/>
              <w:left w:val="nil"/>
              <w:bottom w:val="single" w:sz="4" w:space="0" w:color="000000"/>
              <w:right w:val="single" w:sz="4" w:space="0" w:color="000000"/>
            </w:tcBorders>
            <w:shd w:val="clear" w:color="auto" w:fill="006666"/>
            <w:noWrap/>
            <w:vAlign w:val="bottom"/>
            <w:hideMark/>
          </w:tcPr>
          <w:p w14:paraId="0361B63A"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25-34</w:t>
            </w:r>
          </w:p>
        </w:tc>
        <w:tc>
          <w:tcPr>
            <w:tcW w:w="367" w:type="pct"/>
            <w:tcBorders>
              <w:top w:val="nil"/>
              <w:left w:val="nil"/>
              <w:bottom w:val="single" w:sz="4" w:space="0" w:color="000000"/>
              <w:right w:val="single" w:sz="4" w:space="0" w:color="000000"/>
            </w:tcBorders>
            <w:shd w:val="clear" w:color="auto" w:fill="006666"/>
            <w:noWrap/>
            <w:vAlign w:val="bottom"/>
            <w:hideMark/>
          </w:tcPr>
          <w:p w14:paraId="56988312"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35-44</w:t>
            </w:r>
          </w:p>
        </w:tc>
        <w:tc>
          <w:tcPr>
            <w:tcW w:w="368" w:type="pct"/>
            <w:tcBorders>
              <w:top w:val="nil"/>
              <w:left w:val="nil"/>
              <w:bottom w:val="single" w:sz="4" w:space="0" w:color="000000"/>
              <w:right w:val="single" w:sz="4" w:space="0" w:color="000000"/>
            </w:tcBorders>
            <w:shd w:val="clear" w:color="auto" w:fill="006666"/>
            <w:noWrap/>
            <w:vAlign w:val="bottom"/>
            <w:hideMark/>
          </w:tcPr>
          <w:p w14:paraId="33E93C9F"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45-54</w:t>
            </w:r>
          </w:p>
        </w:tc>
        <w:tc>
          <w:tcPr>
            <w:tcW w:w="367" w:type="pct"/>
            <w:tcBorders>
              <w:top w:val="nil"/>
              <w:left w:val="nil"/>
              <w:bottom w:val="single" w:sz="4" w:space="0" w:color="000000"/>
              <w:right w:val="single" w:sz="4" w:space="0" w:color="000000"/>
            </w:tcBorders>
            <w:shd w:val="clear" w:color="auto" w:fill="006666"/>
            <w:noWrap/>
            <w:vAlign w:val="bottom"/>
            <w:hideMark/>
          </w:tcPr>
          <w:p w14:paraId="15C76A51"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55-64</w:t>
            </w:r>
          </w:p>
        </w:tc>
        <w:tc>
          <w:tcPr>
            <w:tcW w:w="367" w:type="pct"/>
            <w:tcBorders>
              <w:top w:val="nil"/>
              <w:left w:val="nil"/>
              <w:bottom w:val="single" w:sz="4" w:space="0" w:color="000000"/>
              <w:right w:val="single" w:sz="4" w:space="0" w:color="000000"/>
            </w:tcBorders>
            <w:shd w:val="clear" w:color="auto" w:fill="006666"/>
            <w:noWrap/>
            <w:vAlign w:val="bottom"/>
            <w:hideMark/>
          </w:tcPr>
          <w:p w14:paraId="1E467501"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65-74</w:t>
            </w:r>
          </w:p>
        </w:tc>
        <w:tc>
          <w:tcPr>
            <w:tcW w:w="367" w:type="pct"/>
            <w:tcBorders>
              <w:top w:val="nil"/>
              <w:left w:val="nil"/>
              <w:bottom w:val="single" w:sz="4" w:space="0" w:color="000000"/>
              <w:right w:val="single" w:sz="4" w:space="0" w:color="000000"/>
            </w:tcBorders>
            <w:shd w:val="clear" w:color="auto" w:fill="006666"/>
            <w:noWrap/>
            <w:vAlign w:val="bottom"/>
            <w:hideMark/>
          </w:tcPr>
          <w:p w14:paraId="10035719"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75-84</w:t>
            </w:r>
          </w:p>
        </w:tc>
        <w:tc>
          <w:tcPr>
            <w:tcW w:w="367" w:type="pct"/>
            <w:tcBorders>
              <w:top w:val="nil"/>
              <w:left w:val="nil"/>
              <w:bottom w:val="single" w:sz="4" w:space="0" w:color="000000"/>
              <w:right w:val="single" w:sz="4" w:space="0" w:color="000000"/>
            </w:tcBorders>
            <w:shd w:val="clear" w:color="auto" w:fill="006666"/>
            <w:noWrap/>
            <w:vAlign w:val="bottom"/>
            <w:hideMark/>
          </w:tcPr>
          <w:p w14:paraId="6B31023E"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85+</w:t>
            </w:r>
          </w:p>
        </w:tc>
        <w:tc>
          <w:tcPr>
            <w:tcW w:w="358" w:type="pct"/>
            <w:tcBorders>
              <w:top w:val="nil"/>
              <w:left w:val="nil"/>
              <w:bottom w:val="single" w:sz="4" w:space="0" w:color="000000"/>
              <w:right w:val="single" w:sz="4" w:space="0" w:color="000000"/>
            </w:tcBorders>
            <w:shd w:val="clear" w:color="auto" w:fill="006666"/>
            <w:noWrap/>
            <w:vAlign w:val="bottom"/>
            <w:hideMark/>
          </w:tcPr>
          <w:p w14:paraId="522FEC26"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TOTAL</w:t>
            </w:r>
          </w:p>
        </w:tc>
        <w:tc>
          <w:tcPr>
            <w:tcW w:w="375" w:type="pct"/>
            <w:tcBorders>
              <w:top w:val="nil"/>
              <w:left w:val="nil"/>
              <w:bottom w:val="single" w:sz="4" w:space="0" w:color="000000"/>
              <w:right w:val="single" w:sz="4" w:space="0" w:color="000000"/>
            </w:tcBorders>
            <w:shd w:val="clear" w:color="auto" w:fill="006666"/>
            <w:noWrap/>
            <w:vAlign w:val="bottom"/>
            <w:hideMark/>
          </w:tcPr>
          <w:p w14:paraId="13834FBD"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w:t>
            </w:r>
          </w:p>
        </w:tc>
      </w:tr>
      <w:tr w:rsidR="00CE1BDB" w:rsidRPr="00CB100F" w14:paraId="7BB286F3"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469C4A9E" w14:textId="77777777" w:rsidR="00CE1BDB" w:rsidRPr="00CB100F" w:rsidRDefault="00CE1BDB" w:rsidP="00EF49A7">
            <w:pPr>
              <w:rPr>
                <w:rFonts w:cs="Arial"/>
                <w:color w:val="000000"/>
                <w:sz w:val="22"/>
                <w:szCs w:val="22"/>
              </w:rPr>
            </w:pPr>
            <w:r w:rsidRPr="00CB100F">
              <w:rPr>
                <w:rFonts w:cs="Arial"/>
                <w:color w:val="000000"/>
                <w:sz w:val="22"/>
                <w:szCs w:val="22"/>
              </w:rPr>
              <w:t>1-bedroom bungalow/level access</w:t>
            </w:r>
          </w:p>
        </w:tc>
        <w:tc>
          <w:tcPr>
            <w:tcW w:w="367" w:type="pct"/>
            <w:tcBorders>
              <w:top w:val="nil"/>
              <w:left w:val="nil"/>
              <w:bottom w:val="single" w:sz="4" w:space="0" w:color="000000"/>
              <w:right w:val="single" w:sz="4" w:space="0" w:color="000000"/>
            </w:tcBorders>
            <w:shd w:val="clear" w:color="auto" w:fill="auto"/>
            <w:noWrap/>
            <w:vAlign w:val="bottom"/>
          </w:tcPr>
          <w:p w14:paraId="74E75FB8" w14:textId="77777777" w:rsidR="00CE1BDB" w:rsidRPr="00CB100F" w:rsidRDefault="00CE1BDB" w:rsidP="00EF49A7">
            <w:pPr>
              <w:jc w:val="right"/>
              <w:rPr>
                <w:rFonts w:cs="Arial"/>
                <w:color w:val="000000"/>
                <w:sz w:val="22"/>
                <w:szCs w:val="22"/>
              </w:rPr>
            </w:pPr>
            <w:r w:rsidRPr="00CB100F">
              <w:rPr>
                <w:rFonts w:cs="Arial"/>
                <w:color w:val="000000"/>
                <w:sz w:val="22"/>
                <w:szCs w:val="22"/>
              </w:rPr>
              <w:t>38</w:t>
            </w:r>
          </w:p>
        </w:tc>
        <w:tc>
          <w:tcPr>
            <w:tcW w:w="367" w:type="pct"/>
            <w:tcBorders>
              <w:top w:val="nil"/>
              <w:left w:val="nil"/>
              <w:bottom w:val="single" w:sz="4" w:space="0" w:color="000000"/>
              <w:right w:val="single" w:sz="4" w:space="0" w:color="000000"/>
            </w:tcBorders>
            <w:shd w:val="clear" w:color="auto" w:fill="auto"/>
            <w:noWrap/>
            <w:vAlign w:val="bottom"/>
          </w:tcPr>
          <w:p w14:paraId="6B500B41" w14:textId="77777777" w:rsidR="00CE1BDB" w:rsidRPr="00CB100F" w:rsidRDefault="00CE1BDB" w:rsidP="00EF49A7">
            <w:pPr>
              <w:jc w:val="right"/>
              <w:rPr>
                <w:rFonts w:cs="Arial"/>
                <w:color w:val="000000"/>
                <w:sz w:val="22"/>
                <w:szCs w:val="22"/>
              </w:rPr>
            </w:pPr>
            <w:r w:rsidRPr="00CB100F">
              <w:rPr>
                <w:rFonts w:cs="Arial"/>
                <w:color w:val="000000"/>
                <w:sz w:val="22"/>
                <w:szCs w:val="22"/>
              </w:rPr>
              <w:t>8</w:t>
            </w:r>
          </w:p>
        </w:tc>
        <w:tc>
          <w:tcPr>
            <w:tcW w:w="367" w:type="pct"/>
            <w:tcBorders>
              <w:top w:val="nil"/>
              <w:left w:val="nil"/>
              <w:bottom w:val="single" w:sz="4" w:space="0" w:color="000000"/>
              <w:right w:val="single" w:sz="4" w:space="0" w:color="000000"/>
            </w:tcBorders>
            <w:shd w:val="clear" w:color="auto" w:fill="auto"/>
            <w:noWrap/>
            <w:vAlign w:val="bottom"/>
          </w:tcPr>
          <w:p w14:paraId="78CCAEBA" w14:textId="77777777" w:rsidR="00CE1BDB" w:rsidRPr="00CB100F" w:rsidRDefault="00CE1BDB" w:rsidP="00EF49A7">
            <w:pPr>
              <w:jc w:val="right"/>
              <w:rPr>
                <w:rFonts w:cs="Arial"/>
                <w:color w:val="000000"/>
                <w:sz w:val="22"/>
                <w:szCs w:val="22"/>
              </w:rPr>
            </w:pPr>
            <w:r w:rsidRPr="00CB100F">
              <w:rPr>
                <w:rFonts w:cs="Arial"/>
                <w:color w:val="000000"/>
                <w:sz w:val="22"/>
                <w:szCs w:val="22"/>
              </w:rPr>
              <w:t>33</w:t>
            </w:r>
          </w:p>
        </w:tc>
        <w:tc>
          <w:tcPr>
            <w:tcW w:w="368" w:type="pct"/>
            <w:tcBorders>
              <w:top w:val="nil"/>
              <w:left w:val="nil"/>
              <w:bottom w:val="single" w:sz="4" w:space="0" w:color="000000"/>
              <w:right w:val="single" w:sz="4" w:space="0" w:color="000000"/>
            </w:tcBorders>
            <w:shd w:val="clear" w:color="auto" w:fill="auto"/>
            <w:noWrap/>
            <w:vAlign w:val="bottom"/>
          </w:tcPr>
          <w:p w14:paraId="5F5807FC" w14:textId="77777777" w:rsidR="00CE1BDB" w:rsidRPr="00CB100F" w:rsidRDefault="00CE1BDB" w:rsidP="00EF49A7">
            <w:pPr>
              <w:jc w:val="right"/>
              <w:rPr>
                <w:rFonts w:cs="Arial"/>
                <w:color w:val="000000"/>
                <w:sz w:val="22"/>
                <w:szCs w:val="22"/>
              </w:rPr>
            </w:pPr>
            <w:r w:rsidRPr="00CB100F">
              <w:rPr>
                <w:rFonts w:cs="Arial"/>
                <w:color w:val="000000"/>
                <w:sz w:val="22"/>
                <w:szCs w:val="22"/>
              </w:rPr>
              <w:t>176</w:t>
            </w:r>
          </w:p>
        </w:tc>
        <w:tc>
          <w:tcPr>
            <w:tcW w:w="367" w:type="pct"/>
            <w:tcBorders>
              <w:top w:val="nil"/>
              <w:left w:val="nil"/>
              <w:bottom w:val="single" w:sz="4" w:space="0" w:color="000000"/>
              <w:right w:val="single" w:sz="4" w:space="0" w:color="000000"/>
            </w:tcBorders>
            <w:shd w:val="clear" w:color="auto" w:fill="auto"/>
            <w:noWrap/>
            <w:vAlign w:val="bottom"/>
          </w:tcPr>
          <w:p w14:paraId="4F373679" w14:textId="77777777" w:rsidR="00CE1BDB" w:rsidRPr="00CB100F" w:rsidRDefault="00CE1BDB" w:rsidP="00EF49A7">
            <w:pPr>
              <w:jc w:val="right"/>
              <w:rPr>
                <w:rFonts w:cs="Arial"/>
                <w:color w:val="000000"/>
                <w:sz w:val="22"/>
                <w:szCs w:val="22"/>
              </w:rPr>
            </w:pPr>
            <w:r w:rsidRPr="00CB100F">
              <w:rPr>
                <w:rFonts w:cs="Arial"/>
                <w:color w:val="000000"/>
                <w:sz w:val="22"/>
                <w:szCs w:val="22"/>
              </w:rPr>
              <w:t>310</w:t>
            </w:r>
          </w:p>
        </w:tc>
        <w:tc>
          <w:tcPr>
            <w:tcW w:w="367" w:type="pct"/>
            <w:tcBorders>
              <w:top w:val="nil"/>
              <w:left w:val="nil"/>
              <w:bottom w:val="single" w:sz="4" w:space="0" w:color="000000"/>
              <w:right w:val="single" w:sz="4" w:space="0" w:color="000000"/>
            </w:tcBorders>
            <w:shd w:val="clear" w:color="auto" w:fill="auto"/>
            <w:noWrap/>
            <w:vAlign w:val="bottom"/>
          </w:tcPr>
          <w:p w14:paraId="14319754" w14:textId="77777777" w:rsidR="00CE1BDB" w:rsidRPr="00CB100F" w:rsidRDefault="00CE1BDB" w:rsidP="00EF49A7">
            <w:pPr>
              <w:jc w:val="right"/>
              <w:rPr>
                <w:rFonts w:cs="Arial"/>
                <w:color w:val="000000"/>
                <w:sz w:val="22"/>
                <w:szCs w:val="22"/>
              </w:rPr>
            </w:pPr>
            <w:r w:rsidRPr="00CB100F">
              <w:rPr>
                <w:rFonts w:cs="Arial"/>
                <w:color w:val="000000"/>
                <w:sz w:val="22"/>
                <w:szCs w:val="22"/>
              </w:rPr>
              <w:t>481</w:t>
            </w:r>
          </w:p>
        </w:tc>
        <w:tc>
          <w:tcPr>
            <w:tcW w:w="367" w:type="pct"/>
            <w:tcBorders>
              <w:top w:val="nil"/>
              <w:left w:val="nil"/>
              <w:bottom w:val="single" w:sz="4" w:space="0" w:color="000000"/>
              <w:right w:val="single" w:sz="4" w:space="0" w:color="000000"/>
            </w:tcBorders>
            <w:shd w:val="clear" w:color="auto" w:fill="auto"/>
            <w:noWrap/>
            <w:vAlign w:val="bottom"/>
          </w:tcPr>
          <w:p w14:paraId="4D871D0C" w14:textId="77777777" w:rsidR="00CE1BDB" w:rsidRPr="00CB100F" w:rsidRDefault="00CE1BDB" w:rsidP="00EF49A7">
            <w:pPr>
              <w:jc w:val="right"/>
              <w:rPr>
                <w:rFonts w:cs="Arial"/>
                <w:color w:val="000000"/>
                <w:sz w:val="22"/>
                <w:szCs w:val="22"/>
              </w:rPr>
            </w:pPr>
            <w:r w:rsidRPr="00CB100F">
              <w:rPr>
                <w:rFonts w:cs="Arial"/>
                <w:color w:val="000000"/>
                <w:sz w:val="22"/>
                <w:szCs w:val="22"/>
              </w:rPr>
              <w:t>538</w:t>
            </w:r>
          </w:p>
        </w:tc>
        <w:tc>
          <w:tcPr>
            <w:tcW w:w="367" w:type="pct"/>
            <w:tcBorders>
              <w:top w:val="nil"/>
              <w:left w:val="nil"/>
              <w:bottom w:val="single" w:sz="4" w:space="0" w:color="000000"/>
              <w:right w:val="single" w:sz="4" w:space="0" w:color="000000"/>
            </w:tcBorders>
            <w:shd w:val="clear" w:color="auto" w:fill="auto"/>
            <w:noWrap/>
            <w:vAlign w:val="bottom"/>
          </w:tcPr>
          <w:p w14:paraId="537243A7" w14:textId="77777777" w:rsidR="00CE1BDB" w:rsidRPr="00CB100F" w:rsidRDefault="00CE1BDB" w:rsidP="00EF49A7">
            <w:pPr>
              <w:jc w:val="right"/>
              <w:rPr>
                <w:rFonts w:cs="Arial"/>
                <w:color w:val="000000"/>
                <w:sz w:val="22"/>
                <w:szCs w:val="22"/>
              </w:rPr>
            </w:pPr>
            <w:r w:rsidRPr="00CB100F">
              <w:rPr>
                <w:rFonts w:cs="Arial"/>
                <w:color w:val="000000"/>
                <w:sz w:val="22"/>
                <w:szCs w:val="22"/>
              </w:rPr>
              <w:t>556</w:t>
            </w:r>
          </w:p>
        </w:tc>
        <w:tc>
          <w:tcPr>
            <w:tcW w:w="358" w:type="pct"/>
            <w:tcBorders>
              <w:top w:val="nil"/>
              <w:left w:val="nil"/>
              <w:bottom w:val="single" w:sz="4" w:space="0" w:color="000000"/>
              <w:right w:val="single" w:sz="4" w:space="0" w:color="000000"/>
            </w:tcBorders>
            <w:shd w:val="clear" w:color="auto" w:fill="auto"/>
            <w:noWrap/>
            <w:vAlign w:val="bottom"/>
          </w:tcPr>
          <w:p w14:paraId="619A45E4" w14:textId="77777777" w:rsidR="00CE1BDB" w:rsidRPr="00CB100F" w:rsidRDefault="00CE1BDB" w:rsidP="00EF49A7">
            <w:pPr>
              <w:jc w:val="right"/>
              <w:rPr>
                <w:rFonts w:cs="Arial"/>
                <w:color w:val="000000"/>
                <w:sz w:val="22"/>
                <w:szCs w:val="22"/>
              </w:rPr>
            </w:pPr>
            <w:r w:rsidRPr="00CB100F">
              <w:rPr>
                <w:rFonts w:cs="Arial"/>
                <w:color w:val="000000"/>
                <w:sz w:val="22"/>
                <w:szCs w:val="22"/>
              </w:rPr>
              <w:t>2,142</w:t>
            </w:r>
          </w:p>
        </w:tc>
        <w:tc>
          <w:tcPr>
            <w:tcW w:w="375" w:type="pct"/>
            <w:tcBorders>
              <w:top w:val="nil"/>
              <w:left w:val="nil"/>
              <w:bottom w:val="single" w:sz="4" w:space="0" w:color="000000"/>
              <w:right w:val="single" w:sz="4" w:space="0" w:color="000000"/>
            </w:tcBorders>
            <w:shd w:val="clear" w:color="auto" w:fill="auto"/>
            <w:noWrap/>
            <w:vAlign w:val="bottom"/>
          </w:tcPr>
          <w:p w14:paraId="76782F11" w14:textId="77777777" w:rsidR="00CE1BDB" w:rsidRPr="00CB100F" w:rsidRDefault="00CE1BDB" w:rsidP="00EF49A7">
            <w:pPr>
              <w:jc w:val="right"/>
              <w:rPr>
                <w:rFonts w:cs="Arial"/>
                <w:color w:val="000000"/>
                <w:sz w:val="22"/>
                <w:szCs w:val="22"/>
              </w:rPr>
            </w:pPr>
            <w:r w:rsidRPr="00CB100F">
              <w:rPr>
                <w:rFonts w:cs="Arial"/>
                <w:color w:val="000000"/>
                <w:sz w:val="22"/>
                <w:szCs w:val="22"/>
              </w:rPr>
              <w:t>1.8</w:t>
            </w:r>
          </w:p>
        </w:tc>
      </w:tr>
      <w:tr w:rsidR="00CE1BDB" w:rsidRPr="00CB100F" w14:paraId="499314E4"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0AF00826" w14:textId="77777777" w:rsidR="00CE1BDB" w:rsidRPr="00CB100F" w:rsidRDefault="00CE1BDB" w:rsidP="00EF49A7">
            <w:pPr>
              <w:rPr>
                <w:rFonts w:cs="Arial"/>
                <w:color w:val="000000"/>
                <w:sz w:val="22"/>
                <w:szCs w:val="22"/>
              </w:rPr>
            </w:pPr>
            <w:r w:rsidRPr="00CB100F">
              <w:rPr>
                <w:rFonts w:cs="Arial"/>
                <w:color w:val="000000"/>
                <w:sz w:val="22"/>
                <w:szCs w:val="22"/>
              </w:rPr>
              <w:t>1-bedroom flat</w:t>
            </w:r>
          </w:p>
        </w:tc>
        <w:tc>
          <w:tcPr>
            <w:tcW w:w="367" w:type="pct"/>
            <w:tcBorders>
              <w:top w:val="nil"/>
              <w:left w:val="nil"/>
              <w:bottom w:val="single" w:sz="4" w:space="0" w:color="000000"/>
              <w:right w:val="single" w:sz="4" w:space="0" w:color="000000"/>
            </w:tcBorders>
            <w:shd w:val="clear" w:color="auto" w:fill="auto"/>
            <w:noWrap/>
            <w:vAlign w:val="bottom"/>
          </w:tcPr>
          <w:p w14:paraId="357554A0" w14:textId="77777777" w:rsidR="00CE1BDB" w:rsidRPr="00CB100F" w:rsidRDefault="00CE1BDB" w:rsidP="00EF49A7">
            <w:pPr>
              <w:jc w:val="right"/>
              <w:rPr>
                <w:rFonts w:cs="Arial"/>
                <w:color w:val="000000"/>
                <w:sz w:val="22"/>
                <w:szCs w:val="22"/>
              </w:rPr>
            </w:pPr>
            <w:r w:rsidRPr="00CB100F">
              <w:rPr>
                <w:rFonts w:cs="Arial"/>
                <w:color w:val="000000"/>
                <w:sz w:val="22"/>
                <w:szCs w:val="22"/>
              </w:rPr>
              <w:t>367</w:t>
            </w:r>
          </w:p>
        </w:tc>
        <w:tc>
          <w:tcPr>
            <w:tcW w:w="367" w:type="pct"/>
            <w:tcBorders>
              <w:top w:val="nil"/>
              <w:left w:val="nil"/>
              <w:bottom w:val="single" w:sz="4" w:space="0" w:color="000000"/>
              <w:right w:val="single" w:sz="4" w:space="0" w:color="000000"/>
            </w:tcBorders>
            <w:shd w:val="clear" w:color="auto" w:fill="auto"/>
            <w:noWrap/>
            <w:vAlign w:val="bottom"/>
          </w:tcPr>
          <w:p w14:paraId="713C4827" w14:textId="77777777" w:rsidR="00CE1BDB" w:rsidRPr="00CB100F" w:rsidRDefault="00CE1BDB" w:rsidP="00EF49A7">
            <w:pPr>
              <w:jc w:val="right"/>
              <w:rPr>
                <w:rFonts w:cs="Arial"/>
                <w:color w:val="000000"/>
                <w:sz w:val="22"/>
                <w:szCs w:val="22"/>
              </w:rPr>
            </w:pPr>
            <w:r w:rsidRPr="00CB100F">
              <w:rPr>
                <w:rFonts w:cs="Arial"/>
                <w:color w:val="000000"/>
                <w:sz w:val="22"/>
                <w:szCs w:val="22"/>
              </w:rPr>
              <w:t>968</w:t>
            </w:r>
          </w:p>
        </w:tc>
        <w:tc>
          <w:tcPr>
            <w:tcW w:w="367" w:type="pct"/>
            <w:tcBorders>
              <w:top w:val="nil"/>
              <w:left w:val="nil"/>
              <w:bottom w:val="single" w:sz="4" w:space="0" w:color="000000"/>
              <w:right w:val="single" w:sz="4" w:space="0" w:color="000000"/>
            </w:tcBorders>
            <w:shd w:val="clear" w:color="auto" w:fill="auto"/>
            <w:noWrap/>
            <w:vAlign w:val="bottom"/>
          </w:tcPr>
          <w:p w14:paraId="30A8EBB1" w14:textId="77777777" w:rsidR="00CE1BDB" w:rsidRPr="00CB100F" w:rsidRDefault="00CE1BDB" w:rsidP="00EF49A7">
            <w:pPr>
              <w:jc w:val="right"/>
              <w:rPr>
                <w:rFonts w:cs="Arial"/>
                <w:color w:val="000000"/>
                <w:sz w:val="22"/>
                <w:szCs w:val="22"/>
              </w:rPr>
            </w:pPr>
            <w:r w:rsidRPr="00CB100F">
              <w:rPr>
                <w:rFonts w:cs="Arial"/>
                <w:color w:val="000000"/>
                <w:sz w:val="22"/>
                <w:szCs w:val="22"/>
              </w:rPr>
              <w:t>619</w:t>
            </w:r>
          </w:p>
        </w:tc>
        <w:tc>
          <w:tcPr>
            <w:tcW w:w="368" w:type="pct"/>
            <w:tcBorders>
              <w:top w:val="nil"/>
              <w:left w:val="nil"/>
              <w:bottom w:val="single" w:sz="4" w:space="0" w:color="000000"/>
              <w:right w:val="single" w:sz="4" w:space="0" w:color="000000"/>
            </w:tcBorders>
            <w:shd w:val="clear" w:color="auto" w:fill="auto"/>
            <w:noWrap/>
            <w:vAlign w:val="bottom"/>
          </w:tcPr>
          <w:p w14:paraId="5B66B1F3" w14:textId="77777777" w:rsidR="00CE1BDB" w:rsidRPr="00CB100F" w:rsidRDefault="00CE1BDB" w:rsidP="00EF49A7">
            <w:pPr>
              <w:jc w:val="right"/>
              <w:rPr>
                <w:rFonts w:cs="Arial"/>
                <w:color w:val="000000"/>
                <w:sz w:val="22"/>
                <w:szCs w:val="22"/>
              </w:rPr>
            </w:pPr>
            <w:r w:rsidRPr="00CB100F">
              <w:rPr>
                <w:rFonts w:cs="Arial"/>
                <w:color w:val="000000"/>
                <w:sz w:val="22"/>
                <w:szCs w:val="22"/>
              </w:rPr>
              <w:t>812</w:t>
            </w:r>
          </w:p>
        </w:tc>
        <w:tc>
          <w:tcPr>
            <w:tcW w:w="367" w:type="pct"/>
            <w:tcBorders>
              <w:top w:val="nil"/>
              <w:left w:val="nil"/>
              <w:bottom w:val="single" w:sz="4" w:space="0" w:color="000000"/>
              <w:right w:val="single" w:sz="4" w:space="0" w:color="000000"/>
            </w:tcBorders>
            <w:shd w:val="clear" w:color="auto" w:fill="auto"/>
            <w:noWrap/>
            <w:vAlign w:val="bottom"/>
          </w:tcPr>
          <w:p w14:paraId="0DC5B084" w14:textId="77777777" w:rsidR="00CE1BDB" w:rsidRPr="00CB100F" w:rsidRDefault="00CE1BDB" w:rsidP="00EF49A7">
            <w:pPr>
              <w:jc w:val="right"/>
              <w:rPr>
                <w:rFonts w:cs="Arial"/>
                <w:color w:val="000000"/>
                <w:sz w:val="22"/>
                <w:szCs w:val="22"/>
              </w:rPr>
            </w:pPr>
            <w:r w:rsidRPr="00CB100F">
              <w:rPr>
                <w:rFonts w:cs="Arial"/>
                <w:color w:val="000000"/>
                <w:sz w:val="22"/>
                <w:szCs w:val="22"/>
              </w:rPr>
              <w:t>712</w:t>
            </w:r>
          </w:p>
        </w:tc>
        <w:tc>
          <w:tcPr>
            <w:tcW w:w="367" w:type="pct"/>
            <w:tcBorders>
              <w:top w:val="nil"/>
              <w:left w:val="nil"/>
              <w:bottom w:val="single" w:sz="4" w:space="0" w:color="000000"/>
              <w:right w:val="single" w:sz="4" w:space="0" w:color="000000"/>
            </w:tcBorders>
            <w:shd w:val="clear" w:color="auto" w:fill="auto"/>
            <w:noWrap/>
            <w:vAlign w:val="bottom"/>
          </w:tcPr>
          <w:p w14:paraId="74116761" w14:textId="77777777" w:rsidR="00CE1BDB" w:rsidRPr="00CB100F" w:rsidRDefault="00CE1BDB" w:rsidP="00EF49A7">
            <w:pPr>
              <w:jc w:val="right"/>
              <w:rPr>
                <w:rFonts w:cs="Arial"/>
                <w:color w:val="000000"/>
                <w:sz w:val="22"/>
                <w:szCs w:val="22"/>
              </w:rPr>
            </w:pPr>
            <w:r w:rsidRPr="00CB100F">
              <w:rPr>
                <w:rFonts w:cs="Arial"/>
                <w:color w:val="000000"/>
                <w:sz w:val="22"/>
                <w:szCs w:val="22"/>
              </w:rPr>
              <w:t>683</w:t>
            </w:r>
          </w:p>
        </w:tc>
        <w:tc>
          <w:tcPr>
            <w:tcW w:w="367" w:type="pct"/>
            <w:tcBorders>
              <w:top w:val="nil"/>
              <w:left w:val="nil"/>
              <w:bottom w:val="single" w:sz="4" w:space="0" w:color="000000"/>
              <w:right w:val="single" w:sz="4" w:space="0" w:color="000000"/>
            </w:tcBorders>
            <w:shd w:val="clear" w:color="auto" w:fill="auto"/>
            <w:noWrap/>
            <w:vAlign w:val="bottom"/>
          </w:tcPr>
          <w:p w14:paraId="5AB7F39D" w14:textId="77777777" w:rsidR="00CE1BDB" w:rsidRPr="00CB100F" w:rsidRDefault="00CE1BDB" w:rsidP="00EF49A7">
            <w:pPr>
              <w:jc w:val="right"/>
              <w:rPr>
                <w:rFonts w:cs="Arial"/>
                <w:color w:val="000000"/>
                <w:sz w:val="22"/>
                <w:szCs w:val="22"/>
              </w:rPr>
            </w:pPr>
            <w:r w:rsidRPr="00CB100F">
              <w:rPr>
                <w:rFonts w:cs="Arial"/>
                <w:color w:val="000000"/>
                <w:sz w:val="22"/>
                <w:szCs w:val="22"/>
              </w:rPr>
              <w:t>692</w:t>
            </w:r>
          </w:p>
        </w:tc>
        <w:tc>
          <w:tcPr>
            <w:tcW w:w="367" w:type="pct"/>
            <w:tcBorders>
              <w:top w:val="nil"/>
              <w:left w:val="nil"/>
              <w:bottom w:val="single" w:sz="4" w:space="0" w:color="000000"/>
              <w:right w:val="single" w:sz="4" w:space="0" w:color="000000"/>
            </w:tcBorders>
            <w:shd w:val="clear" w:color="auto" w:fill="auto"/>
            <w:noWrap/>
            <w:vAlign w:val="bottom"/>
          </w:tcPr>
          <w:p w14:paraId="5E09C625" w14:textId="77777777" w:rsidR="00CE1BDB" w:rsidRPr="00CB100F" w:rsidRDefault="00CE1BDB" w:rsidP="00EF49A7">
            <w:pPr>
              <w:jc w:val="right"/>
              <w:rPr>
                <w:rFonts w:cs="Arial"/>
                <w:color w:val="000000"/>
                <w:sz w:val="22"/>
                <w:szCs w:val="22"/>
              </w:rPr>
            </w:pPr>
            <w:r w:rsidRPr="00CB100F">
              <w:rPr>
                <w:rFonts w:cs="Arial"/>
                <w:color w:val="000000"/>
                <w:sz w:val="22"/>
                <w:szCs w:val="22"/>
              </w:rPr>
              <w:t>139</w:t>
            </w:r>
          </w:p>
        </w:tc>
        <w:tc>
          <w:tcPr>
            <w:tcW w:w="358" w:type="pct"/>
            <w:tcBorders>
              <w:top w:val="nil"/>
              <w:left w:val="nil"/>
              <w:bottom w:val="single" w:sz="4" w:space="0" w:color="000000"/>
              <w:right w:val="single" w:sz="4" w:space="0" w:color="000000"/>
            </w:tcBorders>
            <w:shd w:val="clear" w:color="auto" w:fill="auto"/>
            <w:noWrap/>
            <w:vAlign w:val="bottom"/>
          </w:tcPr>
          <w:p w14:paraId="380359CD" w14:textId="77777777" w:rsidR="00CE1BDB" w:rsidRPr="00CB100F" w:rsidRDefault="00CE1BDB" w:rsidP="00EF49A7">
            <w:pPr>
              <w:jc w:val="right"/>
              <w:rPr>
                <w:rFonts w:cs="Arial"/>
                <w:color w:val="000000"/>
                <w:sz w:val="22"/>
                <w:szCs w:val="22"/>
              </w:rPr>
            </w:pPr>
            <w:r w:rsidRPr="00CB100F">
              <w:rPr>
                <w:rFonts w:cs="Arial"/>
                <w:color w:val="000000"/>
                <w:sz w:val="22"/>
                <w:szCs w:val="22"/>
              </w:rPr>
              <w:t>4,992</w:t>
            </w:r>
          </w:p>
        </w:tc>
        <w:tc>
          <w:tcPr>
            <w:tcW w:w="375" w:type="pct"/>
            <w:tcBorders>
              <w:top w:val="nil"/>
              <w:left w:val="nil"/>
              <w:bottom w:val="single" w:sz="4" w:space="0" w:color="000000"/>
              <w:right w:val="single" w:sz="4" w:space="0" w:color="000000"/>
            </w:tcBorders>
            <w:shd w:val="clear" w:color="auto" w:fill="auto"/>
            <w:noWrap/>
            <w:vAlign w:val="bottom"/>
          </w:tcPr>
          <w:p w14:paraId="7398D793" w14:textId="77777777" w:rsidR="00CE1BDB" w:rsidRPr="00CB100F" w:rsidRDefault="00CE1BDB" w:rsidP="00EF49A7">
            <w:pPr>
              <w:jc w:val="right"/>
              <w:rPr>
                <w:rFonts w:cs="Arial"/>
                <w:color w:val="000000"/>
                <w:sz w:val="22"/>
                <w:szCs w:val="22"/>
              </w:rPr>
            </w:pPr>
            <w:r w:rsidRPr="00CB100F">
              <w:rPr>
                <w:rFonts w:cs="Arial"/>
                <w:color w:val="000000"/>
                <w:sz w:val="22"/>
                <w:szCs w:val="22"/>
              </w:rPr>
              <w:t>4.2</w:t>
            </w:r>
          </w:p>
        </w:tc>
      </w:tr>
      <w:tr w:rsidR="00CE1BDB" w:rsidRPr="00CB100F" w14:paraId="222545E7"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2A955DA6" w14:textId="77777777" w:rsidR="00CE1BDB" w:rsidRPr="00CB100F" w:rsidRDefault="00CE1BDB" w:rsidP="00EF49A7">
            <w:pPr>
              <w:rPr>
                <w:rFonts w:cs="Arial"/>
                <w:color w:val="000000"/>
                <w:sz w:val="22"/>
                <w:szCs w:val="22"/>
              </w:rPr>
            </w:pPr>
            <w:r w:rsidRPr="00CB100F">
              <w:rPr>
                <w:rFonts w:cs="Arial"/>
                <w:color w:val="000000"/>
                <w:sz w:val="22"/>
                <w:szCs w:val="22"/>
              </w:rPr>
              <w:t>1-bedroom house</w:t>
            </w:r>
          </w:p>
        </w:tc>
        <w:tc>
          <w:tcPr>
            <w:tcW w:w="367" w:type="pct"/>
            <w:tcBorders>
              <w:top w:val="nil"/>
              <w:left w:val="nil"/>
              <w:bottom w:val="single" w:sz="4" w:space="0" w:color="000000"/>
              <w:right w:val="single" w:sz="4" w:space="0" w:color="000000"/>
            </w:tcBorders>
            <w:shd w:val="clear" w:color="auto" w:fill="auto"/>
            <w:noWrap/>
            <w:vAlign w:val="bottom"/>
          </w:tcPr>
          <w:p w14:paraId="3F367595" w14:textId="77777777" w:rsidR="00CE1BDB" w:rsidRPr="00CB100F" w:rsidRDefault="00CE1BDB" w:rsidP="00EF49A7">
            <w:pPr>
              <w:jc w:val="right"/>
              <w:rPr>
                <w:rFonts w:cs="Arial"/>
                <w:color w:val="000000"/>
                <w:sz w:val="22"/>
                <w:szCs w:val="22"/>
              </w:rPr>
            </w:pPr>
            <w:r w:rsidRPr="00CB100F">
              <w:rPr>
                <w:rFonts w:cs="Arial"/>
                <w:color w:val="000000"/>
                <w:sz w:val="22"/>
                <w:szCs w:val="22"/>
              </w:rPr>
              <w:t>51</w:t>
            </w:r>
          </w:p>
        </w:tc>
        <w:tc>
          <w:tcPr>
            <w:tcW w:w="367" w:type="pct"/>
            <w:tcBorders>
              <w:top w:val="nil"/>
              <w:left w:val="nil"/>
              <w:bottom w:val="single" w:sz="4" w:space="0" w:color="000000"/>
              <w:right w:val="single" w:sz="4" w:space="0" w:color="000000"/>
            </w:tcBorders>
            <w:shd w:val="clear" w:color="auto" w:fill="auto"/>
            <w:noWrap/>
            <w:vAlign w:val="bottom"/>
          </w:tcPr>
          <w:p w14:paraId="2749AB86" w14:textId="77777777" w:rsidR="00CE1BDB" w:rsidRPr="00CB100F" w:rsidRDefault="00CE1BDB" w:rsidP="00EF49A7">
            <w:pPr>
              <w:jc w:val="right"/>
              <w:rPr>
                <w:rFonts w:cs="Arial"/>
                <w:color w:val="000000"/>
                <w:sz w:val="22"/>
                <w:szCs w:val="22"/>
              </w:rPr>
            </w:pPr>
            <w:r w:rsidRPr="00CB100F">
              <w:rPr>
                <w:rFonts w:cs="Arial"/>
                <w:color w:val="000000"/>
                <w:sz w:val="22"/>
                <w:szCs w:val="22"/>
              </w:rPr>
              <w:t>157</w:t>
            </w:r>
          </w:p>
        </w:tc>
        <w:tc>
          <w:tcPr>
            <w:tcW w:w="367" w:type="pct"/>
            <w:tcBorders>
              <w:top w:val="nil"/>
              <w:left w:val="nil"/>
              <w:bottom w:val="single" w:sz="4" w:space="0" w:color="000000"/>
              <w:right w:val="single" w:sz="4" w:space="0" w:color="000000"/>
            </w:tcBorders>
            <w:shd w:val="clear" w:color="auto" w:fill="auto"/>
            <w:noWrap/>
            <w:vAlign w:val="bottom"/>
          </w:tcPr>
          <w:p w14:paraId="5045F7B7" w14:textId="77777777" w:rsidR="00CE1BDB" w:rsidRPr="00CB100F" w:rsidRDefault="00CE1BDB" w:rsidP="00EF49A7">
            <w:pPr>
              <w:jc w:val="right"/>
              <w:rPr>
                <w:rFonts w:cs="Arial"/>
                <w:color w:val="000000"/>
                <w:sz w:val="22"/>
                <w:szCs w:val="22"/>
              </w:rPr>
            </w:pPr>
            <w:r w:rsidRPr="00CB100F">
              <w:rPr>
                <w:rFonts w:cs="Arial"/>
                <w:color w:val="000000"/>
                <w:sz w:val="22"/>
                <w:szCs w:val="22"/>
              </w:rPr>
              <w:t>144</w:t>
            </w:r>
          </w:p>
        </w:tc>
        <w:tc>
          <w:tcPr>
            <w:tcW w:w="368" w:type="pct"/>
            <w:tcBorders>
              <w:top w:val="nil"/>
              <w:left w:val="nil"/>
              <w:bottom w:val="single" w:sz="4" w:space="0" w:color="000000"/>
              <w:right w:val="single" w:sz="4" w:space="0" w:color="000000"/>
            </w:tcBorders>
            <w:shd w:val="clear" w:color="auto" w:fill="auto"/>
            <w:noWrap/>
            <w:vAlign w:val="bottom"/>
          </w:tcPr>
          <w:p w14:paraId="273CFEA0" w14:textId="77777777" w:rsidR="00CE1BDB" w:rsidRPr="00CB100F" w:rsidRDefault="00CE1BDB" w:rsidP="00EF49A7">
            <w:pPr>
              <w:jc w:val="right"/>
              <w:rPr>
                <w:rFonts w:cs="Arial"/>
                <w:color w:val="000000"/>
                <w:sz w:val="22"/>
                <w:szCs w:val="22"/>
              </w:rPr>
            </w:pPr>
            <w:r w:rsidRPr="00CB100F">
              <w:rPr>
                <w:rFonts w:cs="Arial"/>
                <w:color w:val="000000"/>
                <w:sz w:val="22"/>
                <w:szCs w:val="22"/>
              </w:rPr>
              <w:t>151</w:t>
            </w:r>
          </w:p>
        </w:tc>
        <w:tc>
          <w:tcPr>
            <w:tcW w:w="367" w:type="pct"/>
            <w:tcBorders>
              <w:top w:val="nil"/>
              <w:left w:val="nil"/>
              <w:bottom w:val="single" w:sz="4" w:space="0" w:color="000000"/>
              <w:right w:val="single" w:sz="4" w:space="0" w:color="000000"/>
            </w:tcBorders>
            <w:shd w:val="clear" w:color="auto" w:fill="auto"/>
            <w:noWrap/>
            <w:vAlign w:val="bottom"/>
          </w:tcPr>
          <w:p w14:paraId="6A00FD1D" w14:textId="77777777" w:rsidR="00CE1BDB" w:rsidRPr="00CB100F" w:rsidRDefault="00CE1BDB" w:rsidP="00EF49A7">
            <w:pPr>
              <w:jc w:val="right"/>
              <w:rPr>
                <w:rFonts w:cs="Arial"/>
                <w:color w:val="000000"/>
                <w:sz w:val="22"/>
                <w:szCs w:val="22"/>
              </w:rPr>
            </w:pPr>
            <w:r w:rsidRPr="00CB100F">
              <w:rPr>
                <w:rFonts w:cs="Arial"/>
                <w:color w:val="000000"/>
                <w:sz w:val="22"/>
                <w:szCs w:val="22"/>
              </w:rPr>
              <w:t>156</w:t>
            </w:r>
          </w:p>
        </w:tc>
        <w:tc>
          <w:tcPr>
            <w:tcW w:w="367" w:type="pct"/>
            <w:tcBorders>
              <w:top w:val="nil"/>
              <w:left w:val="nil"/>
              <w:bottom w:val="single" w:sz="4" w:space="0" w:color="000000"/>
              <w:right w:val="single" w:sz="4" w:space="0" w:color="000000"/>
            </w:tcBorders>
            <w:shd w:val="clear" w:color="auto" w:fill="auto"/>
            <w:noWrap/>
            <w:vAlign w:val="bottom"/>
          </w:tcPr>
          <w:p w14:paraId="42FB3C31" w14:textId="77777777" w:rsidR="00CE1BDB" w:rsidRPr="00CB100F" w:rsidRDefault="00CE1BDB" w:rsidP="00EF49A7">
            <w:pPr>
              <w:jc w:val="right"/>
              <w:rPr>
                <w:rFonts w:cs="Arial"/>
                <w:color w:val="000000"/>
                <w:sz w:val="22"/>
                <w:szCs w:val="22"/>
              </w:rPr>
            </w:pPr>
            <w:r w:rsidRPr="00CB100F">
              <w:rPr>
                <w:rFonts w:cs="Arial"/>
                <w:color w:val="000000"/>
                <w:sz w:val="22"/>
                <w:szCs w:val="22"/>
              </w:rPr>
              <w:t>107</w:t>
            </w:r>
          </w:p>
        </w:tc>
        <w:tc>
          <w:tcPr>
            <w:tcW w:w="367" w:type="pct"/>
            <w:tcBorders>
              <w:top w:val="nil"/>
              <w:left w:val="nil"/>
              <w:bottom w:val="single" w:sz="4" w:space="0" w:color="000000"/>
              <w:right w:val="single" w:sz="4" w:space="0" w:color="000000"/>
            </w:tcBorders>
            <w:shd w:val="clear" w:color="auto" w:fill="auto"/>
            <w:noWrap/>
            <w:vAlign w:val="bottom"/>
          </w:tcPr>
          <w:p w14:paraId="3B410AE7" w14:textId="77777777" w:rsidR="00CE1BDB" w:rsidRPr="00CB100F" w:rsidRDefault="00CE1BDB" w:rsidP="00EF49A7">
            <w:pPr>
              <w:jc w:val="right"/>
              <w:rPr>
                <w:rFonts w:cs="Arial"/>
                <w:color w:val="000000"/>
                <w:sz w:val="22"/>
                <w:szCs w:val="22"/>
              </w:rPr>
            </w:pPr>
            <w:r w:rsidRPr="00CB100F">
              <w:rPr>
                <w:rFonts w:cs="Arial"/>
                <w:color w:val="000000"/>
                <w:sz w:val="22"/>
                <w:szCs w:val="22"/>
              </w:rPr>
              <w:t>96</w:t>
            </w:r>
          </w:p>
        </w:tc>
        <w:tc>
          <w:tcPr>
            <w:tcW w:w="367" w:type="pct"/>
            <w:tcBorders>
              <w:top w:val="nil"/>
              <w:left w:val="nil"/>
              <w:bottom w:val="single" w:sz="4" w:space="0" w:color="000000"/>
              <w:right w:val="single" w:sz="4" w:space="0" w:color="000000"/>
            </w:tcBorders>
            <w:shd w:val="clear" w:color="auto" w:fill="auto"/>
            <w:noWrap/>
            <w:vAlign w:val="bottom"/>
          </w:tcPr>
          <w:p w14:paraId="494C175C"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358" w:type="pct"/>
            <w:tcBorders>
              <w:top w:val="nil"/>
              <w:left w:val="nil"/>
              <w:bottom w:val="single" w:sz="4" w:space="0" w:color="000000"/>
              <w:right w:val="single" w:sz="4" w:space="0" w:color="000000"/>
            </w:tcBorders>
            <w:shd w:val="clear" w:color="auto" w:fill="auto"/>
            <w:noWrap/>
            <w:vAlign w:val="bottom"/>
          </w:tcPr>
          <w:p w14:paraId="0728FD4A" w14:textId="77777777" w:rsidR="00CE1BDB" w:rsidRPr="00CB100F" w:rsidRDefault="00CE1BDB" w:rsidP="00EF49A7">
            <w:pPr>
              <w:jc w:val="right"/>
              <w:rPr>
                <w:rFonts w:cs="Arial"/>
                <w:color w:val="000000"/>
                <w:sz w:val="22"/>
                <w:szCs w:val="22"/>
              </w:rPr>
            </w:pPr>
            <w:r w:rsidRPr="00CB100F">
              <w:rPr>
                <w:rFonts w:cs="Arial"/>
                <w:color w:val="000000"/>
                <w:sz w:val="22"/>
                <w:szCs w:val="22"/>
              </w:rPr>
              <w:t>862</w:t>
            </w:r>
          </w:p>
        </w:tc>
        <w:tc>
          <w:tcPr>
            <w:tcW w:w="375" w:type="pct"/>
            <w:tcBorders>
              <w:top w:val="nil"/>
              <w:left w:val="nil"/>
              <w:bottom w:val="single" w:sz="4" w:space="0" w:color="000000"/>
              <w:right w:val="single" w:sz="4" w:space="0" w:color="000000"/>
            </w:tcBorders>
            <w:shd w:val="clear" w:color="auto" w:fill="auto"/>
            <w:noWrap/>
            <w:vAlign w:val="bottom"/>
          </w:tcPr>
          <w:p w14:paraId="4A89C3B1" w14:textId="77777777" w:rsidR="00CE1BDB" w:rsidRPr="00CB100F" w:rsidRDefault="00CE1BDB" w:rsidP="00EF49A7">
            <w:pPr>
              <w:jc w:val="right"/>
              <w:rPr>
                <w:rFonts w:cs="Arial"/>
                <w:color w:val="000000"/>
                <w:sz w:val="22"/>
                <w:szCs w:val="22"/>
              </w:rPr>
            </w:pPr>
            <w:r w:rsidRPr="00CB100F">
              <w:rPr>
                <w:rFonts w:cs="Arial"/>
                <w:color w:val="000000"/>
                <w:sz w:val="22"/>
                <w:szCs w:val="22"/>
              </w:rPr>
              <w:t>0.7</w:t>
            </w:r>
          </w:p>
        </w:tc>
      </w:tr>
      <w:tr w:rsidR="00CE1BDB" w:rsidRPr="00CB100F" w14:paraId="1056FB98"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0AF77847" w14:textId="77777777" w:rsidR="00CE1BDB" w:rsidRPr="00CB100F" w:rsidRDefault="00CE1BDB" w:rsidP="00EF49A7">
            <w:pPr>
              <w:rPr>
                <w:rFonts w:cs="Arial"/>
                <w:color w:val="000000"/>
                <w:sz w:val="22"/>
                <w:szCs w:val="22"/>
              </w:rPr>
            </w:pPr>
            <w:r w:rsidRPr="00CB100F">
              <w:rPr>
                <w:rFonts w:cs="Arial"/>
                <w:color w:val="000000"/>
                <w:sz w:val="22"/>
                <w:szCs w:val="22"/>
              </w:rPr>
              <w:t>1-bedroom other</w:t>
            </w:r>
          </w:p>
        </w:tc>
        <w:tc>
          <w:tcPr>
            <w:tcW w:w="367" w:type="pct"/>
            <w:tcBorders>
              <w:top w:val="nil"/>
              <w:left w:val="nil"/>
              <w:bottom w:val="single" w:sz="4" w:space="0" w:color="000000"/>
              <w:right w:val="single" w:sz="4" w:space="0" w:color="000000"/>
            </w:tcBorders>
            <w:shd w:val="clear" w:color="auto" w:fill="auto"/>
            <w:noWrap/>
            <w:vAlign w:val="bottom"/>
          </w:tcPr>
          <w:p w14:paraId="52CDE899"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367" w:type="pct"/>
            <w:tcBorders>
              <w:top w:val="nil"/>
              <w:left w:val="nil"/>
              <w:bottom w:val="single" w:sz="4" w:space="0" w:color="000000"/>
              <w:right w:val="single" w:sz="4" w:space="0" w:color="000000"/>
            </w:tcBorders>
            <w:shd w:val="clear" w:color="auto" w:fill="auto"/>
            <w:noWrap/>
            <w:vAlign w:val="bottom"/>
          </w:tcPr>
          <w:p w14:paraId="40612740" w14:textId="77777777" w:rsidR="00CE1BDB" w:rsidRPr="00CB100F" w:rsidRDefault="00CE1BDB" w:rsidP="00EF49A7">
            <w:pPr>
              <w:jc w:val="right"/>
              <w:rPr>
                <w:rFonts w:cs="Arial"/>
                <w:color w:val="000000"/>
                <w:sz w:val="22"/>
                <w:szCs w:val="22"/>
              </w:rPr>
            </w:pPr>
            <w:r w:rsidRPr="00CB100F">
              <w:rPr>
                <w:rFonts w:cs="Arial"/>
                <w:color w:val="000000"/>
                <w:sz w:val="22"/>
                <w:szCs w:val="22"/>
              </w:rPr>
              <w:t>12</w:t>
            </w:r>
          </w:p>
        </w:tc>
        <w:tc>
          <w:tcPr>
            <w:tcW w:w="367" w:type="pct"/>
            <w:tcBorders>
              <w:top w:val="nil"/>
              <w:left w:val="nil"/>
              <w:bottom w:val="single" w:sz="4" w:space="0" w:color="000000"/>
              <w:right w:val="single" w:sz="4" w:space="0" w:color="000000"/>
            </w:tcBorders>
            <w:shd w:val="clear" w:color="auto" w:fill="auto"/>
            <w:noWrap/>
            <w:vAlign w:val="bottom"/>
          </w:tcPr>
          <w:p w14:paraId="6A2B8AC7" w14:textId="77777777" w:rsidR="00CE1BDB" w:rsidRPr="00CB100F" w:rsidRDefault="00CE1BDB" w:rsidP="00EF49A7">
            <w:pPr>
              <w:jc w:val="right"/>
              <w:rPr>
                <w:rFonts w:cs="Arial"/>
                <w:color w:val="000000"/>
                <w:sz w:val="22"/>
                <w:szCs w:val="22"/>
              </w:rPr>
            </w:pPr>
            <w:r w:rsidRPr="00CB100F">
              <w:rPr>
                <w:rFonts w:cs="Arial"/>
                <w:color w:val="000000"/>
                <w:sz w:val="22"/>
                <w:szCs w:val="22"/>
              </w:rPr>
              <w:t>27</w:t>
            </w:r>
          </w:p>
        </w:tc>
        <w:tc>
          <w:tcPr>
            <w:tcW w:w="368" w:type="pct"/>
            <w:tcBorders>
              <w:top w:val="nil"/>
              <w:left w:val="nil"/>
              <w:bottom w:val="single" w:sz="4" w:space="0" w:color="000000"/>
              <w:right w:val="single" w:sz="4" w:space="0" w:color="000000"/>
            </w:tcBorders>
            <w:shd w:val="clear" w:color="auto" w:fill="auto"/>
            <w:noWrap/>
            <w:vAlign w:val="bottom"/>
          </w:tcPr>
          <w:p w14:paraId="2377EDE7" w14:textId="77777777" w:rsidR="00CE1BDB" w:rsidRPr="00CB100F" w:rsidRDefault="00CE1BDB" w:rsidP="00EF49A7">
            <w:pPr>
              <w:jc w:val="right"/>
              <w:rPr>
                <w:rFonts w:cs="Arial"/>
                <w:color w:val="000000"/>
                <w:sz w:val="22"/>
                <w:szCs w:val="22"/>
              </w:rPr>
            </w:pPr>
            <w:r w:rsidRPr="00CB100F">
              <w:rPr>
                <w:rFonts w:cs="Arial"/>
                <w:color w:val="000000"/>
                <w:sz w:val="22"/>
                <w:szCs w:val="22"/>
              </w:rPr>
              <w:t>16</w:t>
            </w:r>
          </w:p>
        </w:tc>
        <w:tc>
          <w:tcPr>
            <w:tcW w:w="367" w:type="pct"/>
            <w:tcBorders>
              <w:top w:val="nil"/>
              <w:left w:val="nil"/>
              <w:bottom w:val="single" w:sz="4" w:space="0" w:color="000000"/>
              <w:right w:val="single" w:sz="4" w:space="0" w:color="000000"/>
            </w:tcBorders>
            <w:shd w:val="clear" w:color="auto" w:fill="auto"/>
            <w:noWrap/>
            <w:vAlign w:val="bottom"/>
          </w:tcPr>
          <w:p w14:paraId="4AEE8930" w14:textId="77777777" w:rsidR="00CE1BDB" w:rsidRPr="00CB100F" w:rsidRDefault="00CE1BDB" w:rsidP="00EF49A7">
            <w:pPr>
              <w:jc w:val="right"/>
              <w:rPr>
                <w:rFonts w:cs="Arial"/>
                <w:color w:val="000000"/>
                <w:sz w:val="22"/>
                <w:szCs w:val="22"/>
              </w:rPr>
            </w:pPr>
            <w:r w:rsidRPr="00CB100F">
              <w:rPr>
                <w:rFonts w:cs="Arial"/>
                <w:color w:val="000000"/>
                <w:sz w:val="22"/>
                <w:szCs w:val="22"/>
              </w:rPr>
              <w:t>22</w:t>
            </w:r>
          </w:p>
        </w:tc>
        <w:tc>
          <w:tcPr>
            <w:tcW w:w="367" w:type="pct"/>
            <w:tcBorders>
              <w:top w:val="nil"/>
              <w:left w:val="nil"/>
              <w:bottom w:val="single" w:sz="4" w:space="0" w:color="000000"/>
              <w:right w:val="single" w:sz="4" w:space="0" w:color="000000"/>
            </w:tcBorders>
            <w:shd w:val="clear" w:color="auto" w:fill="auto"/>
            <w:noWrap/>
            <w:vAlign w:val="bottom"/>
          </w:tcPr>
          <w:p w14:paraId="3C11E136" w14:textId="77777777" w:rsidR="00CE1BDB" w:rsidRPr="00CB100F" w:rsidRDefault="00CE1BDB" w:rsidP="00EF49A7">
            <w:pPr>
              <w:jc w:val="right"/>
              <w:rPr>
                <w:rFonts w:cs="Arial"/>
                <w:color w:val="000000"/>
                <w:sz w:val="22"/>
                <w:szCs w:val="22"/>
              </w:rPr>
            </w:pPr>
            <w:r w:rsidRPr="00CB100F">
              <w:rPr>
                <w:rFonts w:cs="Arial"/>
                <w:color w:val="000000"/>
                <w:sz w:val="22"/>
                <w:szCs w:val="22"/>
              </w:rPr>
              <w:t>39</w:t>
            </w:r>
          </w:p>
        </w:tc>
        <w:tc>
          <w:tcPr>
            <w:tcW w:w="367" w:type="pct"/>
            <w:tcBorders>
              <w:top w:val="nil"/>
              <w:left w:val="nil"/>
              <w:bottom w:val="single" w:sz="4" w:space="0" w:color="000000"/>
              <w:right w:val="single" w:sz="4" w:space="0" w:color="000000"/>
            </w:tcBorders>
            <w:shd w:val="clear" w:color="auto" w:fill="auto"/>
            <w:noWrap/>
            <w:vAlign w:val="bottom"/>
          </w:tcPr>
          <w:p w14:paraId="14F9A83D" w14:textId="77777777" w:rsidR="00CE1BDB" w:rsidRPr="00CB100F" w:rsidRDefault="00CE1BDB" w:rsidP="00EF49A7">
            <w:pPr>
              <w:jc w:val="right"/>
              <w:rPr>
                <w:rFonts w:cs="Arial"/>
                <w:color w:val="000000"/>
                <w:sz w:val="22"/>
                <w:szCs w:val="22"/>
              </w:rPr>
            </w:pPr>
            <w:r w:rsidRPr="00CB100F">
              <w:rPr>
                <w:rFonts w:cs="Arial"/>
                <w:color w:val="000000"/>
                <w:sz w:val="22"/>
                <w:szCs w:val="22"/>
              </w:rPr>
              <w:t>44</w:t>
            </w:r>
          </w:p>
        </w:tc>
        <w:tc>
          <w:tcPr>
            <w:tcW w:w="367" w:type="pct"/>
            <w:tcBorders>
              <w:top w:val="nil"/>
              <w:left w:val="nil"/>
              <w:bottom w:val="single" w:sz="4" w:space="0" w:color="000000"/>
              <w:right w:val="single" w:sz="4" w:space="0" w:color="000000"/>
            </w:tcBorders>
            <w:shd w:val="clear" w:color="auto" w:fill="auto"/>
            <w:noWrap/>
            <w:vAlign w:val="bottom"/>
          </w:tcPr>
          <w:p w14:paraId="48B7FAE9"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358" w:type="pct"/>
            <w:tcBorders>
              <w:top w:val="nil"/>
              <w:left w:val="nil"/>
              <w:bottom w:val="single" w:sz="4" w:space="0" w:color="000000"/>
              <w:right w:val="single" w:sz="4" w:space="0" w:color="000000"/>
            </w:tcBorders>
            <w:shd w:val="clear" w:color="auto" w:fill="auto"/>
            <w:noWrap/>
            <w:vAlign w:val="bottom"/>
          </w:tcPr>
          <w:p w14:paraId="552192D0" w14:textId="77777777" w:rsidR="00CE1BDB" w:rsidRPr="00CB100F" w:rsidRDefault="00CE1BDB" w:rsidP="00EF49A7">
            <w:pPr>
              <w:jc w:val="right"/>
              <w:rPr>
                <w:rFonts w:cs="Arial"/>
                <w:color w:val="000000"/>
                <w:sz w:val="22"/>
                <w:szCs w:val="22"/>
              </w:rPr>
            </w:pPr>
            <w:r w:rsidRPr="00CB100F">
              <w:rPr>
                <w:rFonts w:cs="Arial"/>
                <w:color w:val="000000"/>
                <w:sz w:val="22"/>
                <w:szCs w:val="22"/>
              </w:rPr>
              <w:t>159</w:t>
            </w:r>
          </w:p>
        </w:tc>
        <w:tc>
          <w:tcPr>
            <w:tcW w:w="375" w:type="pct"/>
            <w:tcBorders>
              <w:top w:val="nil"/>
              <w:left w:val="nil"/>
              <w:bottom w:val="single" w:sz="4" w:space="0" w:color="000000"/>
              <w:right w:val="single" w:sz="4" w:space="0" w:color="000000"/>
            </w:tcBorders>
            <w:shd w:val="clear" w:color="auto" w:fill="auto"/>
            <w:noWrap/>
            <w:vAlign w:val="bottom"/>
          </w:tcPr>
          <w:p w14:paraId="040A0B0F" w14:textId="77777777" w:rsidR="00CE1BDB" w:rsidRPr="00CB100F" w:rsidRDefault="00CE1BDB" w:rsidP="00EF49A7">
            <w:pPr>
              <w:jc w:val="right"/>
              <w:rPr>
                <w:rFonts w:cs="Arial"/>
                <w:color w:val="000000"/>
                <w:sz w:val="22"/>
                <w:szCs w:val="22"/>
              </w:rPr>
            </w:pPr>
            <w:r w:rsidRPr="00CB100F">
              <w:rPr>
                <w:rFonts w:cs="Arial"/>
                <w:color w:val="000000"/>
                <w:sz w:val="22"/>
                <w:szCs w:val="22"/>
              </w:rPr>
              <w:t>0.1</w:t>
            </w:r>
          </w:p>
        </w:tc>
      </w:tr>
      <w:tr w:rsidR="00CE1BDB" w:rsidRPr="00CB100F" w14:paraId="0A506B76"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73FEB215" w14:textId="77777777" w:rsidR="00CE1BDB" w:rsidRPr="00CB100F" w:rsidRDefault="00CE1BDB" w:rsidP="00EF49A7">
            <w:pPr>
              <w:rPr>
                <w:rFonts w:cs="Arial"/>
                <w:color w:val="000000"/>
                <w:sz w:val="22"/>
                <w:szCs w:val="22"/>
              </w:rPr>
            </w:pPr>
            <w:r w:rsidRPr="00CB100F">
              <w:rPr>
                <w:rFonts w:cs="Arial"/>
                <w:color w:val="000000"/>
                <w:sz w:val="22"/>
                <w:szCs w:val="22"/>
              </w:rPr>
              <w:t>2-bedroom bungalow/level access</w:t>
            </w:r>
          </w:p>
        </w:tc>
        <w:tc>
          <w:tcPr>
            <w:tcW w:w="367" w:type="pct"/>
            <w:tcBorders>
              <w:top w:val="nil"/>
              <w:left w:val="nil"/>
              <w:bottom w:val="single" w:sz="4" w:space="0" w:color="000000"/>
              <w:right w:val="single" w:sz="4" w:space="0" w:color="000000"/>
            </w:tcBorders>
            <w:shd w:val="clear" w:color="auto" w:fill="auto"/>
            <w:noWrap/>
            <w:vAlign w:val="bottom"/>
          </w:tcPr>
          <w:p w14:paraId="0D02D4DB" w14:textId="77777777" w:rsidR="00CE1BDB" w:rsidRPr="00CB100F" w:rsidRDefault="00CE1BDB" w:rsidP="00EF49A7">
            <w:pPr>
              <w:jc w:val="right"/>
              <w:rPr>
                <w:rFonts w:cs="Arial"/>
                <w:color w:val="000000"/>
                <w:sz w:val="22"/>
                <w:szCs w:val="22"/>
              </w:rPr>
            </w:pPr>
            <w:r w:rsidRPr="00CB100F">
              <w:rPr>
                <w:rFonts w:cs="Arial"/>
                <w:color w:val="000000"/>
                <w:sz w:val="22"/>
                <w:szCs w:val="22"/>
              </w:rPr>
              <w:t>32</w:t>
            </w:r>
          </w:p>
        </w:tc>
        <w:tc>
          <w:tcPr>
            <w:tcW w:w="367" w:type="pct"/>
            <w:tcBorders>
              <w:top w:val="nil"/>
              <w:left w:val="nil"/>
              <w:bottom w:val="single" w:sz="4" w:space="0" w:color="000000"/>
              <w:right w:val="single" w:sz="4" w:space="0" w:color="000000"/>
            </w:tcBorders>
            <w:shd w:val="clear" w:color="auto" w:fill="auto"/>
            <w:noWrap/>
            <w:vAlign w:val="bottom"/>
          </w:tcPr>
          <w:p w14:paraId="40AC8789" w14:textId="77777777" w:rsidR="00CE1BDB" w:rsidRPr="00CB100F" w:rsidRDefault="00CE1BDB" w:rsidP="00EF49A7">
            <w:pPr>
              <w:jc w:val="right"/>
              <w:rPr>
                <w:rFonts w:cs="Arial"/>
                <w:color w:val="000000"/>
                <w:sz w:val="22"/>
                <w:szCs w:val="22"/>
              </w:rPr>
            </w:pPr>
            <w:r w:rsidRPr="00CB100F">
              <w:rPr>
                <w:rFonts w:cs="Arial"/>
                <w:color w:val="000000"/>
                <w:sz w:val="22"/>
                <w:szCs w:val="22"/>
              </w:rPr>
              <w:t>169</w:t>
            </w:r>
          </w:p>
        </w:tc>
        <w:tc>
          <w:tcPr>
            <w:tcW w:w="367" w:type="pct"/>
            <w:tcBorders>
              <w:top w:val="nil"/>
              <w:left w:val="nil"/>
              <w:bottom w:val="single" w:sz="4" w:space="0" w:color="000000"/>
              <w:right w:val="single" w:sz="4" w:space="0" w:color="000000"/>
            </w:tcBorders>
            <w:shd w:val="clear" w:color="auto" w:fill="auto"/>
            <w:noWrap/>
            <w:vAlign w:val="bottom"/>
          </w:tcPr>
          <w:p w14:paraId="35D87287" w14:textId="77777777" w:rsidR="00CE1BDB" w:rsidRPr="00CB100F" w:rsidRDefault="00CE1BDB" w:rsidP="00EF49A7">
            <w:pPr>
              <w:jc w:val="right"/>
              <w:rPr>
                <w:rFonts w:cs="Arial"/>
                <w:color w:val="000000"/>
                <w:sz w:val="22"/>
                <w:szCs w:val="22"/>
              </w:rPr>
            </w:pPr>
            <w:r w:rsidRPr="00CB100F">
              <w:rPr>
                <w:rFonts w:cs="Arial"/>
                <w:color w:val="000000"/>
                <w:sz w:val="22"/>
                <w:szCs w:val="22"/>
              </w:rPr>
              <w:t>214</w:t>
            </w:r>
          </w:p>
        </w:tc>
        <w:tc>
          <w:tcPr>
            <w:tcW w:w="368" w:type="pct"/>
            <w:tcBorders>
              <w:top w:val="nil"/>
              <w:left w:val="nil"/>
              <w:bottom w:val="single" w:sz="4" w:space="0" w:color="000000"/>
              <w:right w:val="single" w:sz="4" w:space="0" w:color="000000"/>
            </w:tcBorders>
            <w:shd w:val="clear" w:color="auto" w:fill="auto"/>
            <w:noWrap/>
            <w:vAlign w:val="bottom"/>
          </w:tcPr>
          <w:p w14:paraId="4BAE8420" w14:textId="77777777" w:rsidR="00CE1BDB" w:rsidRPr="00CB100F" w:rsidRDefault="00CE1BDB" w:rsidP="00EF49A7">
            <w:pPr>
              <w:jc w:val="right"/>
              <w:rPr>
                <w:rFonts w:cs="Arial"/>
                <w:color w:val="000000"/>
                <w:sz w:val="22"/>
                <w:szCs w:val="22"/>
              </w:rPr>
            </w:pPr>
            <w:r w:rsidRPr="00CB100F">
              <w:rPr>
                <w:rFonts w:cs="Arial"/>
                <w:color w:val="000000"/>
                <w:sz w:val="22"/>
                <w:szCs w:val="22"/>
              </w:rPr>
              <w:t>475</w:t>
            </w:r>
          </w:p>
        </w:tc>
        <w:tc>
          <w:tcPr>
            <w:tcW w:w="367" w:type="pct"/>
            <w:tcBorders>
              <w:top w:val="nil"/>
              <w:left w:val="nil"/>
              <w:bottom w:val="single" w:sz="4" w:space="0" w:color="000000"/>
              <w:right w:val="single" w:sz="4" w:space="0" w:color="000000"/>
            </w:tcBorders>
            <w:shd w:val="clear" w:color="auto" w:fill="auto"/>
            <w:noWrap/>
            <w:vAlign w:val="bottom"/>
          </w:tcPr>
          <w:p w14:paraId="010FACBA" w14:textId="77777777" w:rsidR="00CE1BDB" w:rsidRPr="00CB100F" w:rsidRDefault="00CE1BDB" w:rsidP="00EF49A7">
            <w:pPr>
              <w:jc w:val="right"/>
              <w:rPr>
                <w:rFonts w:cs="Arial"/>
                <w:color w:val="000000"/>
                <w:sz w:val="22"/>
                <w:szCs w:val="22"/>
              </w:rPr>
            </w:pPr>
            <w:r w:rsidRPr="00CB100F">
              <w:rPr>
                <w:rFonts w:cs="Arial"/>
                <w:color w:val="000000"/>
                <w:sz w:val="22"/>
                <w:szCs w:val="22"/>
              </w:rPr>
              <w:t>923</w:t>
            </w:r>
          </w:p>
        </w:tc>
        <w:tc>
          <w:tcPr>
            <w:tcW w:w="367" w:type="pct"/>
            <w:tcBorders>
              <w:top w:val="nil"/>
              <w:left w:val="nil"/>
              <w:bottom w:val="single" w:sz="4" w:space="0" w:color="000000"/>
              <w:right w:val="single" w:sz="4" w:space="0" w:color="000000"/>
            </w:tcBorders>
            <w:shd w:val="clear" w:color="auto" w:fill="auto"/>
            <w:noWrap/>
            <w:vAlign w:val="bottom"/>
          </w:tcPr>
          <w:p w14:paraId="5161FAAA" w14:textId="77777777" w:rsidR="00CE1BDB" w:rsidRPr="00CB100F" w:rsidRDefault="00CE1BDB" w:rsidP="00EF49A7">
            <w:pPr>
              <w:jc w:val="right"/>
              <w:rPr>
                <w:rFonts w:cs="Arial"/>
                <w:color w:val="000000"/>
                <w:sz w:val="22"/>
                <w:szCs w:val="22"/>
              </w:rPr>
            </w:pPr>
            <w:r w:rsidRPr="00CB100F">
              <w:rPr>
                <w:rFonts w:cs="Arial"/>
                <w:color w:val="000000"/>
                <w:sz w:val="22"/>
                <w:szCs w:val="22"/>
              </w:rPr>
              <w:t>1,511</w:t>
            </w:r>
          </w:p>
        </w:tc>
        <w:tc>
          <w:tcPr>
            <w:tcW w:w="367" w:type="pct"/>
            <w:tcBorders>
              <w:top w:val="nil"/>
              <w:left w:val="nil"/>
              <w:bottom w:val="single" w:sz="4" w:space="0" w:color="000000"/>
              <w:right w:val="single" w:sz="4" w:space="0" w:color="000000"/>
            </w:tcBorders>
            <w:shd w:val="clear" w:color="auto" w:fill="auto"/>
            <w:noWrap/>
            <w:vAlign w:val="bottom"/>
          </w:tcPr>
          <w:p w14:paraId="36DA3436" w14:textId="77777777" w:rsidR="00CE1BDB" w:rsidRPr="00CB100F" w:rsidRDefault="00CE1BDB" w:rsidP="00EF49A7">
            <w:pPr>
              <w:jc w:val="right"/>
              <w:rPr>
                <w:rFonts w:cs="Arial"/>
                <w:color w:val="000000"/>
                <w:sz w:val="22"/>
                <w:szCs w:val="22"/>
              </w:rPr>
            </w:pPr>
            <w:r w:rsidRPr="00CB100F">
              <w:rPr>
                <w:rFonts w:cs="Arial"/>
                <w:color w:val="000000"/>
                <w:sz w:val="22"/>
                <w:szCs w:val="22"/>
              </w:rPr>
              <w:t>1,739</w:t>
            </w:r>
          </w:p>
        </w:tc>
        <w:tc>
          <w:tcPr>
            <w:tcW w:w="367" w:type="pct"/>
            <w:tcBorders>
              <w:top w:val="nil"/>
              <w:left w:val="nil"/>
              <w:bottom w:val="single" w:sz="4" w:space="0" w:color="000000"/>
              <w:right w:val="single" w:sz="4" w:space="0" w:color="000000"/>
            </w:tcBorders>
            <w:shd w:val="clear" w:color="auto" w:fill="auto"/>
            <w:noWrap/>
            <w:vAlign w:val="bottom"/>
          </w:tcPr>
          <w:p w14:paraId="6C11C27F" w14:textId="77777777" w:rsidR="00CE1BDB" w:rsidRPr="00CB100F" w:rsidRDefault="00CE1BDB" w:rsidP="00EF49A7">
            <w:pPr>
              <w:jc w:val="right"/>
              <w:rPr>
                <w:rFonts w:cs="Arial"/>
                <w:color w:val="000000"/>
                <w:sz w:val="22"/>
                <w:szCs w:val="22"/>
              </w:rPr>
            </w:pPr>
            <w:r w:rsidRPr="00CB100F">
              <w:rPr>
                <w:rFonts w:cs="Arial"/>
                <w:color w:val="000000"/>
                <w:sz w:val="22"/>
                <w:szCs w:val="22"/>
              </w:rPr>
              <w:t>2,087</w:t>
            </w:r>
          </w:p>
        </w:tc>
        <w:tc>
          <w:tcPr>
            <w:tcW w:w="358" w:type="pct"/>
            <w:tcBorders>
              <w:top w:val="nil"/>
              <w:left w:val="nil"/>
              <w:bottom w:val="single" w:sz="4" w:space="0" w:color="000000"/>
              <w:right w:val="single" w:sz="4" w:space="0" w:color="000000"/>
            </w:tcBorders>
            <w:shd w:val="clear" w:color="auto" w:fill="auto"/>
            <w:noWrap/>
            <w:vAlign w:val="bottom"/>
          </w:tcPr>
          <w:p w14:paraId="005F7BE6" w14:textId="77777777" w:rsidR="00CE1BDB" w:rsidRPr="00CB100F" w:rsidRDefault="00CE1BDB" w:rsidP="00EF49A7">
            <w:pPr>
              <w:jc w:val="right"/>
              <w:rPr>
                <w:rFonts w:cs="Arial"/>
                <w:color w:val="000000"/>
                <w:sz w:val="22"/>
                <w:szCs w:val="22"/>
              </w:rPr>
            </w:pPr>
            <w:r w:rsidRPr="00CB100F">
              <w:rPr>
                <w:rFonts w:cs="Arial"/>
                <w:color w:val="000000"/>
                <w:sz w:val="22"/>
                <w:szCs w:val="22"/>
              </w:rPr>
              <w:t>7,150</w:t>
            </w:r>
          </w:p>
        </w:tc>
        <w:tc>
          <w:tcPr>
            <w:tcW w:w="375" w:type="pct"/>
            <w:tcBorders>
              <w:top w:val="nil"/>
              <w:left w:val="nil"/>
              <w:bottom w:val="single" w:sz="4" w:space="0" w:color="000000"/>
              <w:right w:val="single" w:sz="4" w:space="0" w:color="000000"/>
            </w:tcBorders>
            <w:shd w:val="clear" w:color="auto" w:fill="auto"/>
            <w:noWrap/>
            <w:vAlign w:val="bottom"/>
          </w:tcPr>
          <w:p w14:paraId="6A20E079" w14:textId="77777777" w:rsidR="00CE1BDB" w:rsidRPr="00CB100F" w:rsidRDefault="00CE1BDB" w:rsidP="00EF49A7">
            <w:pPr>
              <w:jc w:val="right"/>
              <w:rPr>
                <w:rFonts w:cs="Arial"/>
                <w:color w:val="000000"/>
                <w:sz w:val="22"/>
                <w:szCs w:val="22"/>
              </w:rPr>
            </w:pPr>
            <w:r w:rsidRPr="00CB100F">
              <w:rPr>
                <w:rFonts w:cs="Arial"/>
                <w:color w:val="000000"/>
                <w:sz w:val="22"/>
                <w:szCs w:val="22"/>
              </w:rPr>
              <w:t>6.0</w:t>
            </w:r>
          </w:p>
        </w:tc>
      </w:tr>
      <w:tr w:rsidR="00CE1BDB" w:rsidRPr="00CB100F" w14:paraId="0A53CFA1"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4A374623" w14:textId="77777777" w:rsidR="00CE1BDB" w:rsidRPr="00CB100F" w:rsidRDefault="00CE1BDB" w:rsidP="00EF49A7">
            <w:pPr>
              <w:rPr>
                <w:rFonts w:cs="Arial"/>
                <w:color w:val="000000"/>
                <w:sz w:val="22"/>
                <w:szCs w:val="22"/>
              </w:rPr>
            </w:pPr>
            <w:r w:rsidRPr="00CB100F">
              <w:rPr>
                <w:rFonts w:cs="Arial"/>
                <w:color w:val="000000"/>
                <w:sz w:val="22"/>
                <w:szCs w:val="22"/>
              </w:rPr>
              <w:t>2-bedroom flat</w:t>
            </w:r>
          </w:p>
        </w:tc>
        <w:tc>
          <w:tcPr>
            <w:tcW w:w="367" w:type="pct"/>
            <w:tcBorders>
              <w:top w:val="nil"/>
              <w:left w:val="nil"/>
              <w:bottom w:val="single" w:sz="4" w:space="0" w:color="000000"/>
              <w:right w:val="single" w:sz="4" w:space="0" w:color="000000"/>
            </w:tcBorders>
            <w:shd w:val="clear" w:color="auto" w:fill="auto"/>
            <w:noWrap/>
            <w:vAlign w:val="bottom"/>
          </w:tcPr>
          <w:p w14:paraId="458A965D" w14:textId="77777777" w:rsidR="00CE1BDB" w:rsidRPr="00CB100F" w:rsidRDefault="00CE1BDB" w:rsidP="00EF49A7">
            <w:pPr>
              <w:jc w:val="right"/>
              <w:rPr>
                <w:rFonts w:cs="Arial"/>
                <w:color w:val="000000"/>
                <w:sz w:val="22"/>
                <w:szCs w:val="22"/>
              </w:rPr>
            </w:pPr>
            <w:r w:rsidRPr="00CB100F">
              <w:rPr>
                <w:rFonts w:cs="Arial"/>
                <w:color w:val="000000"/>
                <w:sz w:val="22"/>
                <w:szCs w:val="22"/>
              </w:rPr>
              <w:t>511</w:t>
            </w:r>
          </w:p>
        </w:tc>
        <w:tc>
          <w:tcPr>
            <w:tcW w:w="367" w:type="pct"/>
            <w:tcBorders>
              <w:top w:val="nil"/>
              <w:left w:val="nil"/>
              <w:bottom w:val="single" w:sz="4" w:space="0" w:color="000000"/>
              <w:right w:val="single" w:sz="4" w:space="0" w:color="000000"/>
            </w:tcBorders>
            <w:shd w:val="clear" w:color="auto" w:fill="auto"/>
            <w:noWrap/>
            <w:vAlign w:val="bottom"/>
          </w:tcPr>
          <w:p w14:paraId="70B74BF8" w14:textId="77777777" w:rsidR="00CE1BDB" w:rsidRPr="00CB100F" w:rsidRDefault="00CE1BDB" w:rsidP="00EF49A7">
            <w:pPr>
              <w:jc w:val="right"/>
              <w:rPr>
                <w:rFonts w:cs="Arial"/>
                <w:color w:val="000000"/>
                <w:sz w:val="22"/>
                <w:szCs w:val="22"/>
              </w:rPr>
            </w:pPr>
            <w:r w:rsidRPr="00CB100F">
              <w:rPr>
                <w:rFonts w:cs="Arial"/>
                <w:color w:val="000000"/>
                <w:sz w:val="22"/>
                <w:szCs w:val="22"/>
              </w:rPr>
              <w:t>1,303</w:t>
            </w:r>
          </w:p>
        </w:tc>
        <w:tc>
          <w:tcPr>
            <w:tcW w:w="367" w:type="pct"/>
            <w:tcBorders>
              <w:top w:val="nil"/>
              <w:left w:val="nil"/>
              <w:bottom w:val="single" w:sz="4" w:space="0" w:color="000000"/>
              <w:right w:val="single" w:sz="4" w:space="0" w:color="000000"/>
            </w:tcBorders>
            <w:shd w:val="clear" w:color="auto" w:fill="auto"/>
            <w:noWrap/>
            <w:vAlign w:val="bottom"/>
          </w:tcPr>
          <w:p w14:paraId="42EA4F4C" w14:textId="77777777" w:rsidR="00CE1BDB" w:rsidRPr="00CB100F" w:rsidRDefault="00CE1BDB" w:rsidP="00EF49A7">
            <w:pPr>
              <w:jc w:val="right"/>
              <w:rPr>
                <w:rFonts w:cs="Arial"/>
                <w:color w:val="000000"/>
                <w:sz w:val="22"/>
                <w:szCs w:val="22"/>
              </w:rPr>
            </w:pPr>
            <w:r w:rsidRPr="00CB100F">
              <w:rPr>
                <w:rFonts w:cs="Arial"/>
                <w:color w:val="000000"/>
                <w:sz w:val="22"/>
                <w:szCs w:val="22"/>
              </w:rPr>
              <w:t>884</w:t>
            </w:r>
          </w:p>
        </w:tc>
        <w:tc>
          <w:tcPr>
            <w:tcW w:w="368" w:type="pct"/>
            <w:tcBorders>
              <w:top w:val="nil"/>
              <w:left w:val="nil"/>
              <w:bottom w:val="single" w:sz="4" w:space="0" w:color="000000"/>
              <w:right w:val="single" w:sz="4" w:space="0" w:color="000000"/>
            </w:tcBorders>
            <w:shd w:val="clear" w:color="auto" w:fill="auto"/>
            <w:noWrap/>
            <w:vAlign w:val="bottom"/>
          </w:tcPr>
          <w:p w14:paraId="31F0E729" w14:textId="77777777" w:rsidR="00CE1BDB" w:rsidRPr="00CB100F" w:rsidRDefault="00CE1BDB" w:rsidP="00EF49A7">
            <w:pPr>
              <w:jc w:val="right"/>
              <w:rPr>
                <w:rFonts w:cs="Arial"/>
                <w:color w:val="000000"/>
                <w:sz w:val="22"/>
                <w:szCs w:val="22"/>
              </w:rPr>
            </w:pPr>
            <w:r w:rsidRPr="00CB100F">
              <w:rPr>
                <w:rFonts w:cs="Arial"/>
                <w:color w:val="000000"/>
                <w:sz w:val="22"/>
                <w:szCs w:val="22"/>
              </w:rPr>
              <w:t>815</w:t>
            </w:r>
          </w:p>
        </w:tc>
        <w:tc>
          <w:tcPr>
            <w:tcW w:w="367" w:type="pct"/>
            <w:tcBorders>
              <w:top w:val="nil"/>
              <w:left w:val="nil"/>
              <w:bottom w:val="single" w:sz="4" w:space="0" w:color="000000"/>
              <w:right w:val="single" w:sz="4" w:space="0" w:color="000000"/>
            </w:tcBorders>
            <w:shd w:val="clear" w:color="auto" w:fill="auto"/>
            <w:noWrap/>
            <w:vAlign w:val="bottom"/>
          </w:tcPr>
          <w:p w14:paraId="01E0CD7D" w14:textId="77777777" w:rsidR="00CE1BDB" w:rsidRPr="00CB100F" w:rsidRDefault="00CE1BDB" w:rsidP="00EF49A7">
            <w:pPr>
              <w:jc w:val="right"/>
              <w:rPr>
                <w:rFonts w:cs="Arial"/>
                <w:color w:val="000000"/>
                <w:sz w:val="22"/>
                <w:szCs w:val="22"/>
              </w:rPr>
            </w:pPr>
            <w:r w:rsidRPr="00CB100F">
              <w:rPr>
                <w:rFonts w:cs="Arial"/>
                <w:color w:val="000000"/>
                <w:sz w:val="22"/>
                <w:szCs w:val="22"/>
              </w:rPr>
              <w:t>752</w:t>
            </w:r>
          </w:p>
        </w:tc>
        <w:tc>
          <w:tcPr>
            <w:tcW w:w="367" w:type="pct"/>
            <w:tcBorders>
              <w:top w:val="nil"/>
              <w:left w:val="nil"/>
              <w:bottom w:val="single" w:sz="4" w:space="0" w:color="000000"/>
              <w:right w:val="single" w:sz="4" w:space="0" w:color="000000"/>
            </w:tcBorders>
            <w:shd w:val="clear" w:color="auto" w:fill="auto"/>
            <w:noWrap/>
            <w:vAlign w:val="bottom"/>
          </w:tcPr>
          <w:p w14:paraId="2837F3BA" w14:textId="77777777" w:rsidR="00CE1BDB" w:rsidRPr="00CB100F" w:rsidRDefault="00CE1BDB" w:rsidP="00EF49A7">
            <w:pPr>
              <w:jc w:val="right"/>
              <w:rPr>
                <w:rFonts w:cs="Arial"/>
                <w:color w:val="000000"/>
                <w:sz w:val="22"/>
                <w:szCs w:val="22"/>
              </w:rPr>
            </w:pPr>
            <w:r w:rsidRPr="00CB100F">
              <w:rPr>
                <w:rFonts w:cs="Arial"/>
                <w:color w:val="000000"/>
                <w:sz w:val="22"/>
                <w:szCs w:val="22"/>
              </w:rPr>
              <w:t>704</w:t>
            </w:r>
          </w:p>
        </w:tc>
        <w:tc>
          <w:tcPr>
            <w:tcW w:w="367" w:type="pct"/>
            <w:tcBorders>
              <w:top w:val="nil"/>
              <w:left w:val="nil"/>
              <w:bottom w:val="single" w:sz="4" w:space="0" w:color="000000"/>
              <w:right w:val="single" w:sz="4" w:space="0" w:color="000000"/>
            </w:tcBorders>
            <w:shd w:val="clear" w:color="auto" w:fill="auto"/>
            <w:noWrap/>
            <w:vAlign w:val="bottom"/>
          </w:tcPr>
          <w:p w14:paraId="058DECB6" w14:textId="77777777" w:rsidR="00CE1BDB" w:rsidRPr="00CB100F" w:rsidRDefault="00CE1BDB" w:rsidP="00EF49A7">
            <w:pPr>
              <w:jc w:val="right"/>
              <w:rPr>
                <w:rFonts w:cs="Arial"/>
                <w:color w:val="000000"/>
                <w:sz w:val="22"/>
                <w:szCs w:val="22"/>
              </w:rPr>
            </w:pPr>
            <w:r w:rsidRPr="00CB100F">
              <w:rPr>
                <w:rFonts w:cs="Arial"/>
                <w:color w:val="000000"/>
                <w:sz w:val="22"/>
                <w:szCs w:val="22"/>
              </w:rPr>
              <w:t>741</w:t>
            </w:r>
          </w:p>
        </w:tc>
        <w:tc>
          <w:tcPr>
            <w:tcW w:w="367" w:type="pct"/>
            <w:tcBorders>
              <w:top w:val="nil"/>
              <w:left w:val="nil"/>
              <w:bottom w:val="single" w:sz="4" w:space="0" w:color="000000"/>
              <w:right w:val="single" w:sz="4" w:space="0" w:color="000000"/>
            </w:tcBorders>
            <w:shd w:val="clear" w:color="auto" w:fill="auto"/>
            <w:noWrap/>
            <w:vAlign w:val="bottom"/>
          </w:tcPr>
          <w:p w14:paraId="30BEA6D5" w14:textId="77777777" w:rsidR="00CE1BDB" w:rsidRPr="00CB100F" w:rsidRDefault="00CE1BDB" w:rsidP="00EF49A7">
            <w:pPr>
              <w:jc w:val="right"/>
              <w:rPr>
                <w:rFonts w:cs="Arial"/>
                <w:color w:val="000000"/>
                <w:sz w:val="22"/>
                <w:szCs w:val="22"/>
              </w:rPr>
            </w:pPr>
            <w:r w:rsidRPr="00CB100F">
              <w:rPr>
                <w:rFonts w:cs="Arial"/>
                <w:color w:val="000000"/>
                <w:sz w:val="22"/>
                <w:szCs w:val="22"/>
              </w:rPr>
              <w:t>278</w:t>
            </w:r>
          </w:p>
        </w:tc>
        <w:tc>
          <w:tcPr>
            <w:tcW w:w="358" w:type="pct"/>
            <w:tcBorders>
              <w:top w:val="nil"/>
              <w:left w:val="nil"/>
              <w:bottom w:val="single" w:sz="4" w:space="0" w:color="000000"/>
              <w:right w:val="single" w:sz="4" w:space="0" w:color="000000"/>
            </w:tcBorders>
            <w:shd w:val="clear" w:color="auto" w:fill="auto"/>
            <w:noWrap/>
            <w:vAlign w:val="bottom"/>
          </w:tcPr>
          <w:p w14:paraId="1D13135F" w14:textId="77777777" w:rsidR="00CE1BDB" w:rsidRPr="00CB100F" w:rsidRDefault="00CE1BDB" w:rsidP="00EF49A7">
            <w:pPr>
              <w:jc w:val="right"/>
              <w:rPr>
                <w:rFonts w:cs="Arial"/>
                <w:color w:val="000000"/>
                <w:sz w:val="22"/>
                <w:szCs w:val="22"/>
              </w:rPr>
            </w:pPr>
            <w:r w:rsidRPr="00CB100F">
              <w:rPr>
                <w:rFonts w:cs="Arial"/>
                <w:color w:val="000000"/>
                <w:sz w:val="22"/>
                <w:szCs w:val="22"/>
              </w:rPr>
              <w:t>5,987</w:t>
            </w:r>
          </w:p>
        </w:tc>
        <w:tc>
          <w:tcPr>
            <w:tcW w:w="375" w:type="pct"/>
            <w:tcBorders>
              <w:top w:val="nil"/>
              <w:left w:val="nil"/>
              <w:bottom w:val="single" w:sz="4" w:space="0" w:color="000000"/>
              <w:right w:val="single" w:sz="4" w:space="0" w:color="000000"/>
            </w:tcBorders>
            <w:shd w:val="clear" w:color="auto" w:fill="auto"/>
            <w:noWrap/>
            <w:vAlign w:val="bottom"/>
          </w:tcPr>
          <w:p w14:paraId="7FDADCC1" w14:textId="77777777" w:rsidR="00CE1BDB" w:rsidRPr="00CB100F" w:rsidRDefault="00CE1BDB" w:rsidP="00EF49A7">
            <w:pPr>
              <w:jc w:val="right"/>
              <w:rPr>
                <w:rFonts w:cs="Arial"/>
                <w:color w:val="000000"/>
                <w:sz w:val="22"/>
                <w:szCs w:val="22"/>
              </w:rPr>
            </w:pPr>
            <w:r w:rsidRPr="00CB100F">
              <w:rPr>
                <w:rFonts w:cs="Arial"/>
                <w:color w:val="000000"/>
                <w:sz w:val="22"/>
                <w:szCs w:val="22"/>
              </w:rPr>
              <w:t>5.0</w:t>
            </w:r>
          </w:p>
        </w:tc>
      </w:tr>
      <w:tr w:rsidR="00CE1BDB" w:rsidRPr="00CB100F" w14:paraId="6DAB461F"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4C50FC2D" w14:textId="77777777" w:rsidR="00CE1BDB" w:rsidRPr="00CB100F" w:rsidRDefault="00CE1BDB" w:rsidP="00EF49A7">
            <w:pPr>
              <w:rPr>
                <w:rFonts w:cs="Arial"/>
                <w:color w:val="000000"/>
                <w:sz w:val="22"/>
                <w:szCs w:val="22"/>
              </w:rPr>
            </w:pPr>
            <w:r w:rsidRPr="00CB100F">
              <w:rPr>
                <w:rFonts w:cs="Arial"/>
                <w:color w:val="000000"/>
                <w:sz w:val="22"/>
                <w:szCs w:val="22"/>
              </w:rPr>
              <w:t>2-bedroom house</w:t>
            </w:r>
          </w:p>
        </w:tc>
        <w:tc>
          <w:tcPr>
            <w:tcW w:w="367" w:type="pct"/>
            <w:tcBorders>
              <w:top w:val="nil"/>
              <w:left w:val="nil"/>
              <w:bottom w:val="single" w:sz="4" w:space="0" w:color="000000"/>
              <w:right w:val="single" w:sz="4" w:space="0" w:color="000000"/>
            </w:tcBorders>
            <w:shd w:val="clear" w:color="auto" w:fill="auto"/>
            <w:noWrap/>
            <w:vAlign w:val="bottom"/>
          </w:tcPr>
          <w:p w14:paraId="59E71606" w14:textId="77777777" w:rsidR="00CE1BDB" w:rsidRPr="00CB100F" w:rsidRDefault="00CE1BDB" w:rsidP="00EF49A7">
            <w:pPr>
              <w:jc w:val="right"/>
              <w:rPr>
                <w:rFonts w:cs="Arial"/>
                <w:color w:val="000000"/>
                <w:sz w:val="22"/>
                <w:szCs w:val="22"/>
              </w:rPr>
            </w:pPr>
            <w:r w:rsidRPr="00CB100F">
              <w:rPr>
                <w:rFonts w:cs="Arial"/>
                <w:color w:val="000000"/>
                <w:sz w:val="22"/>
                <w:szCs w:val="22"/>
              </w:rPr>
              <w:t>1,176</w:t>
            </w:r>
          </w:p>
        </w:tc>
        <w:tc>
          <w:tcPr>
            <w:tcW w:w="367" w:type="pct"/>
            <w:tcBorders>
              <w:top w:val="nil"/>
              <w:left w:val="nil"/>
              <w:bottom w:val="single" w:sz="4" w:space="0" w:color="000000"/>
              <w:right w:val="single" w:sz="4" w:space="0" w:color="000000"/>
            </w:tcBorders>
            <w:shd w:val="clear" w:color="auto" w:fill="auto"/>
            <w:noWrap/>
            <w:vAlign w:val="bottom"/>
          </w:tcPr>
          <w:p w14:paraId="1144CF8E" w14:textId="77777777" w:rsidR="00CE1BDB" w:rsidRPr="00CB100F" w:rsidRDefault="00CE1BDB" w:rsidP="00EF49A7">
            <w:pPr>
              <w:jc w:val="right"/>
              <w:rPr>
                <w:rFonts w:cs="Arial"/>
                <w:color w:val="000000"/>
                <w:sz w:val="22"/>
                <w:szCs w:val="22"/>
              </w:rPr>
            </w:pPr>
            <w:r w:rsidRPr="00CB100F">
              <w:rPr>
                <w:rFonts w:cs="Arial"/>
                <w:color w:val="000000"/>
                <w:sz w:val="22"/>
                <w:szCs w:val="22"/>
              </w:rPr>
              <w:t>3,266</w:t>
            </w:r>
          </w:p>
        </w:tc>
        <w:tc>
          <w:tcPr>
            <w:tcW w:w="367" w:type="pct"/>
            <w:tcBorders>
              <w:top w:val="nil"/>
              <w:left w:val="nil"/>
              <w:bottom w:val="single" w:sz="4" w:space="0" w:color="000000"/>
              <w:right w:val="single" w:sz="4" w:space="0" w:color="000000"/>
            </w:tcBorders>
            <w:shd w:val="clear" w:color="auto" w:fill="auto"/>
            <w:noWrap/>
            <w:vAlign w:val="bottom"/>
          </w:tcPr>
          <w:p w14:paraId="17DB393B" w14:textId="77777777" w:rsidR="00CE1BDB" w:rsidRPr="00CB100F" w:rsidRDefault="00CE1BDB" w:rsidP="00EF49A7">
            <w:pPr>
              <w:jc w:val="right"/>
              <w:rPr>
                <w:rFonts w:cs="Arial"/>
                <w:color w:val="000000"/>
                <w:sz w:val="22"/>
                <w:szCs w:val="22"/>
              </w:rPr>
            </w:pPr>
            <w:r w:rsidRPr="00CB100F">
              <w:rPr>
                <w:rFonts w:cs="Arial"/>
                <w:color w:val="000000"/>
                <w:sz w:val="22"/>
                <w:szCs w:val="22"/>
              </w:rPr>
              <w:t>2,889</w:t>
            </w:r>
          </w:p>
        </w:tc>
        <w:tc>
          <w:tcPr>
            <w:tcW w:w="368" w:type="pct"/>
            <w:tcBorders>
              <w:top w:val="nil"/>
              <w:left w:val="nil"/>
              <w:bottom w:val="single" w:sz="4" w:space="0" w:color="000000"/>
              <w:right w:val="single" w:sz="4" w:space="0" w:color="000000"/>
            </w:tcBorders>
            <w:shd w:val="clear" w:color="auto" w:fill="auto"/>
            <w:noWrap/>
            <w:vAlign w:val="bottom"/>
          </w:tcPr>
          <w:p w14:paraId="502F3A37" w14:textId="77777777" w:rsidR="00CE1BDB" w:rsidRPr="00CB100F" w:rsidRDefault="00CE1BDB" w:rsidP="00EF49A7">
            <w:pPr>
              <w:jc w:val="right"/>
              <w:rPr>
                <w:rFonts w:cs="Arial"/>
                <w:color w:val="000000"/>
                <w:sz w:val="22"/>
                <w:szCs w:val="22"/>
              </w:rPr>
            </w:pPr>
            <w:r w:rsidRPr="00CB100F">
              <w:rPr>
                <w:rFonts w:cs="Arial"/>
                <w:color w:val="000000"/>
                <w:sz w:val="22"/>
                <w:szCs w:val="22"/>
              </w:rPr>
              <w:t>3,119</w:t>
            </w:r>
          </w:p>
        </w:tc>
        <w:tc>
          <w:tcPr>
            <w:tcW w:w="367" w:type="pct"/>
            <w:tcBorders>
              <w:top w:val="nil"/>
              <w:left w:val="nil"/>
              <w:bottom w:val="single" w:sz="4" w:space="0" w:color="000000"/>
              <w:right w:val="single" w:sz="4" w:space="0" w:color="000000"/>
            </w:tcBorders>
            <w:shd w:val="clear" w:color="auto" w:fill="auto"/>
            <w:noWrap/>
            <w:vAlign w:val="bottom"/>
          </w:tcPr>
          <w:p w14:paraId="3ED92925" w14:textId="77777777" w:rsidR="00CE1BDB" w:rsidRPr="00CB100F" w:rsidRDefault="00CE1BDB" w:rsidP="00EF49A7">
            <w:pPr>
              <w:jc w:val="right"/>
              <w:rPr>
                <w:rFonts w:cs="Arial"/>
                <w:color w:val="000000"/>
                <w:sz w:val="22"/>
                <w:szCs w:val="22"/>
              </w:rPr>
            </w:pPr>
            <w:r w:rsidRPr="00CB100F">
              <w:rPr>
                <w:rFonts w:cs="Arial"/>
                <w:color w:val="000000"/>
                <w:sz w:val="22"/>
                <w:szCs w:val="22"/>
              </w:rPr>
              <w:t>2,417</w:t>
            </w:r>
          </w:p>
        </w:tc>
        <w:tc>
          <w:tcPr>
            <w:tcW w:w="367" w:type="pct"/>
            <w:tcBorders>
              <w:top w:val="nil"/>
              <w:left w:val="nil"/>
              <w:bottom w:val="single" w:sz="4" w:space="0" w:color="000000"/>
              <w:right w:val="single" w:sz="4" w:space="0" w:color="000000"/>
            </w:tcBorders>
            <w:shd w:val="clear" w:color="auto" w:fill="auto"/>
            <w:noWrap/>
            <w:vAlign w:val="bottom"/>
          </w:tcPr>
          <w:p w14:paraId="2C0C5020" w14:textId="77777777" w:rsidR="00CE1BDB" w:rsidRPr="00CB100F" w:rsidRDefault="00CE1BDB" w:rsidP="00EF49A7">
            <w:pPr>
              <w:jc w:val="right"/>
              <w:rPr>
                <w:rFonts w:cs="Arial"/>
                <w:color w:val="000000"/>
                <w:sz w:val="22"/>
                <w:szCs w:val="22"/>
              </w:rPr>
            </w:pPr>
            <w:r w:rsidRPr="00CB100F">
              <w:rPr>
                <w:rFonts w:cs="Arial"/>
                <w:color w:val="000000"/>
                <w:sz w:val="22"/>
                <w:szCs w:val="22"/>
              </w:rPr>
              <w:t>2,042</w:t>
            </w:r>
          </w:p>
        </w:tc>
        <w:tc>
          <w:tcPr>
            <w:tcW w:w="367" w:type="pct"/>
            <w:tcBorders>
              <w:top w:val="nil"/>
              <w:left w:val="nil"/>
              <w:bottom w:val="single" w:sz="4" w:space="0" w:color="000000"/>
              <w:right w:val="single" w:sz="4" w:space="0" w:color="000000"/>
            </w:tcBorders>
            <w:shd w:val="clear" w:color="auto" w:fill="auto"/>
            <w:noWrap/>
            <w:vAlign w:val="bottom"/>
          </w:tcPr>
          <w:p w14:paraId="6F6AB3BD" w14:textId="77777777" w:rsidR="00CE1BDB" w:rsidRPr="00CB100F" w:rsidRDefault="00CE1BDB" w:rsidP="00EF49A7">
            <w:pPr>
              <w:jc w:val="right"/>
              <w:rPr>
                <w:rFonts w:cs="Arial"/>
                <w:color w:val="000000"/>
                <w:sz w:val="22"/>
                <w:szCs w:val="22"/>
              </w:rPr>
            </w:pPr>
            <w:r w:rsidRPr="00CB100F">
              <w:rPr>
                <w:rFonts w:cs="Arial"/>
                <w:color w:val="000000"/>
                <w:sz w:val="22"/>
                <w:szCs w:val="22"/>
              </w:rPr>
              <w:t>1,624</w:t>
            </w:r>
          </w:p>
        </w:tc>
        <w:tc>
          <w:tcPr>
            <w:tcW w:w="367" w:type="pct"/>
            <w:tcBorders>
              <w:top w:val="nil"/>
              <w:left w:val="nil"/>
              <w:bottom w:val="single" w:sz="4" w:space="0" w:color="000000"/>
              <w:right w:val="single" w:sz="4" w:space="0" w:color="000000"/>
            </w:tcBorders>
            <w:shd w:val="clear" w:color="auto" w:fill="auto"/>
            <w:noWrap/>
            <w:vAlign w:val="bottom"/>
          </w:tcPr>
          <w:p w14:paraId="6B7E4AE0" w14:textId="77777777" w:rsidR="00CE1BDB" w:rsidRPr="00CB100F" w:rsidRDefault="00CE1BDB" w:rsidP="00EF49A7">
            <w:pPr>
              <w:jc w:val="right"/>
              <w:rPr>
                <w:rFonts w:cs="Arial"/>
                <w:color w:val="000000"/>
                <w:sz w:val="22"/>
                <w:szCs w:val="22"/>
              </w:rPr>
            </w:pPr>
            <w:r w:rsidRPr="00CB100F">
              <w:rPr>
                <w:rFonts w:cs="Arial"/>
                <w:color w:val="000000"/>
                <w:sz w:val="22"/>
                <w:szCs w:val="22"/>
              </w:rPr>
              <w:t>835</w:t>
            </w:r>
          </w:p>
        </w:tc>
        <w:tc>
          <w:tcPr>
            <w:tcW w:w="358" w:type="pct"/>
            <w:tcBorders>
              <w:top w:val="nil"/>
              <w:left w:val="nil"/>
              <w:bottom w:val="single" w:sz="4" w:space="0" w:color="000000"/>
              <w:right w:val="single" w:sz="4" w:space="0" w:color="000000"/>
            </w:tcBorders>
            <w:shd w:val="clear" w:color="auto" w:fill="auto"/>
            <w:noWrap/>
            <w:vAlign w:val="bottom"/>
          </w:tcPr>
          <w:p w14:paraId="670B5EE5" w14:textId="77777777" w:rsidR="00CE1BDB" w:rsidRPr="00CB100F" w:rsidRDefault="00CE1BDB" w:rsidP="00EF49A7">
            <w:pPr>
              <w:jc w:val="right"/>
              <w:rPr>
                <w:rFonts w:cs="Arial"/>
                <w:color w:val="000000"/>
                <w:sz w:val="22"/>
                <w:szCs w:val="22"/>
              </w:rPr>
            </w:pPr>
            <w:r w:rsidRPr="00CB100F">
              <w:rPr>
                <w:rFonts w:cs="Arial"/>
                <w:color w:val="000000"/>
                <w:sz w:val="22"/>
                <w:szCs w:val="22"/>
              </w:rPr>
              <w:t>17,368</w:t>
            </w:r>
          </w:p>
        </w:tc>
        <w:tc>
          <w:tcPr>
            <w:tcW w:w="375" w:type="pct"/>
            <w:tcBorders>
              <w:top w:val="nil"/>
              <w:left w:val="nil"/>
              <w:bottom w:val="single" w:sz="4" w:space="0" w:color="000000"/>
              <w:right w:val="single" w:sz="4" w:space="0" w:color="000000"/>
            </w:tcBorders>
            <w:shd w:val="clear" w:color="auto" w:fill="auto"/>
            <w:noWrap/>
            <w:vAlign w:val="bottom"/>
          </w:tcPr>
          <w:p w14:paraId="3A446A35" w14:textId="77777777" w:rsidR="00CE1BDB" w:rsidRPr="00CB100F" w:rsidRDefault="00CE1BDB" w:rsidP="00EF49A7">
            <w:pPr>
              <w:jc w:val="right"/>
              <w:rPr>
                <w:rFonts w:cs="Arial"/>
                <w:color w:val="000000"/>
                <w:sz w:val="22"/>
                <w:szCs w:val="22"/>
              </w:rPr>
            </w:pPr>
            <w:r w:rsidRPr="00CB100F">
              <w:rPr>
                <w:rFonts w:cs="Arial"/>
                <w:color w:val="000000"/>
                <w:sz w:val="22"/>
                <w:szCs w:val="22"/>
              </w:rPr>
              <w:t>14.5</w:t>
            </w:r>
          </w:p>
        </w:tc>
      </w:tr>
      <w:tr w:rsidR="00CE1BDB" w:rsidRPr="00CB100F" w14:paraId="3C12BA6D"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5EAE0F6B" w14:textId="77777777" w:rsidR="00CE1BDB" w:rsidRPr="00CB100F" w:rsidRDefault="00CE1BDB" w:rsidP="00EF49A7">
            <w:pPr>
              <w:rPr>
                <w:rFonts w:cs="Arial"/>
                <w:color w:val="000000"/>
                <w:sz w:val="22"/>
                <w:szCs w:val="22"/>
              </w:rPr>
            </w:pPr>
            <w:r w:rsidRPr="00CB100F">
              <w:rPr>
                <w:rFonts w:cs="Arial"/>
                <w:color w:val="000000"/>
                <w:sz w:val="22"/>
                <w:szCs w:val="22"/>
              </w:rPr>
              <w:t>2-bedroom other</w:t>
            </w:r>
          </w:p>
        </w:tc>
        <w:tc>
          <w:tcPr>
            <w:tcW w:w="367" w:type="pct"/>
            <w:tcBorders>
              <w:top w:val="nil"/>
              <w:left w:val="nil"/>
              <w:bottom w:val="single" w:sz="4" w:space="0" w:color="000000"/>
              <w:right w:val="single" w:sz="4" w:space="0" w:color="000000"/>
            </w:tcBorders>
            <w:shd w:val="clear" w:color="auto" w:fill="auto"/>
            <w:noWrap/>
            <w:vAlign w:val="bottom"/>
          </w:tcPr>
          <w:p w14:paraId="569254F6" w14:textId="77777777" w:rsidR="00CE1BDB" w:rsidRPr="00CB100F" w:rsidRDefault="00CE1BDB" w:rsidP="00EF49A7">
            <w:pPr>
              <w:jc w:val="right"/>
              <w:rPr>
                <w:rFonts w:cs="Arial"/>
                <w:color w:val="000000"/>
                <w:sz w:val="22"/>
                <w:szCs w:val="22"/>
              </w:rPr>
            </w:pPr>
            <w:r w:rsidRPr="00CB100F">
              <w:rPr>
                <w:rFonts w:cs="Arial"/>
                <w:color w:val="000000"/>
                <w:sz w:val="22"/>
                <w:szCs w:val="22"/>
              </w:rPr>
              <w:t>9</w:t>
            </w:r>
          </w:p>
        </w:tc>
        <w:tc>
          <w:tcPr>
            <w:tcW w:w="367" w:type="pct"/>
            <w:tcBorders>
              <w:top w:val="nil"/>
              <w:left w:val="nil"/>
              <w:bottom w:val="single" w:sz="4" w:space="0" w:color="000000"/>
              <w:right w:val="single" w:sz="4" w:space="0" w:color="000000"/>
            </w:tcBorders>
            <w:shd w:val="clear" w:color="auto" w:fill="auto"/>
            <w:noWrap/>
            <w:vAlign w:val="bottom"/>
          </w:tcPr>
          <w:p w14:paraId="46D23A15" w14:textId="77777777" w:rsidR="00CE1BDB" w:rsidRPr="00CB100F" w:rsidRDefault="00CE1BDB" w:rsidP="00EF49A7">
            <w:pPr>
              <w:jc w:val="right"/>
              <w:rPr>
                <w:rFonts w:cs="Arial"/>
                <w:color w:val="000000"/>
                <w:sz w:val="22"/>
                <w:szCs w:val="22"/>
              </w:rPr>
            </w:pPr>
            <w:r w:rsidRPr="00CB100F">
              <w:rPr>
                <w:rFonts w:cs="Arial"/>
                <w:color w:val="000000"/>
                <w:sz w:val="22"/>
                <w:szCs w:val="22"/>
              </w:rPr>
              <w:t>28</w:t>
            </w:r>
          </w:p>
        </w:tc>
        <w:tc>
          <w:tcPr>
            <w:tcW w:w="367" w:type="pct"/>
            <w:tcBorders>
              <w:top w:val="nil"/>
              <w:left w:val="nil"/>
              <w:bottom w:val="single" w:sz="4" w:space="0" w:color="000000"/>
              <w:right w:val="single" w:sz="4" w:space="0" w:color="000000"/>
            </w:tcBorders>
            <w:shd w:val="clear" w:color="auto" w:fill="auto"/>
            <w:noWrap/>
            <w:vAlign w:val="bottom"/>
          </w:tcPr>
          <w:p w14:paraId="0A0B13DF" w14:textId="77777777" w:rsidR="00CE1BDB" w:rsidRPr="00CB100F" w:rsidRDefault="00CE1BDB" w:rsidP="00EF49A7">
            <w:pPr>
              <w:jc w:val="right"/>
              <w:rPr>
                <w:rFonts w:cs="Arial"/>
                <w:color w:val="000000"/>
                <w:sz w:val="22"/>
                <w:szCs w:val="22"/>
              </w:rPr>
            </w:pPr>
            <w:r w:rsidRPr="00CB100F">
              <w:rPr>
                <w:rFonts w:cs="Arial"/>
                <w:color w:val="000000"/>
                <w:sz w:val="22"/>
                <w:szCs w:val="22"/>
              </w:rPr>
              <w:t>17</w:t>
            </w:r>
          </w:p>
        </w:tc>
        <w:tc>
          <w:tcPr>
            <w:tcW w:w="368" w:type="pct"/>
            <w:tcBorders>
              <w:top w:val="nil"/>
              <w:left w:val="nil"/>
              <w:bottom w:val="single" w:sz="4" w:space="0" w:color="000000"/>
              <w:right w:val="single" w:sz="4" w:space="0" w:color="000000"/>
            </w:tcBorders>
            <w:shd w:val="clear" w:color="auto" w:fill="auto"/>
            <w:noWrap/>
            <w:vAlign w:val="bottom"/>
          </w:tcPr>
          <w:p w14:paraId="6605F620" w14:textId="77777777" w:rsidR="00CE1BDB" w:rsidRPr="00CB100F" w:rsidRDefault="00CE1BDB" w:rsidP="00EF49A7">
            <w:pPr>
              <w:jc w:val="right"/>
              <w:rPr>
                <w:rFonts w:cs="Arial"/>
                <w:color w:val="000000"/>
                <w:sz w:val="22"/>
                <w:szCs w:val="22"/>
              </w:rPr>
            </w:pPr>
            <w:r w:rsidRPr="00CB100F">
              <w:rPr>
                <w:rFonts w:cs="Arial"/>
                <w:color w:val="000000"/>
                <w:sz w:val="22"/>
                <w:szCs w:val="22"/>
              </w:rPr>
              <w:t>52</w:t>
            </w:r>
          </w:p>
        </w:tc>
        <w:tc>
          <w:tcPr>
            <w:tcW w:w="367" w:type="pct"/>
            <w:tcBorders>
              <w:top w:val="nil"/>
              <w:left w:val="nil"/>
              <w:bottom w:val="single" w:sz="4" w:space="0" w:color="000000"/>
              <w:right w:val="single" w:sz="4" w:space="0" w:color="000000"/>
            </w:tcBorders>
            <w:shd w:val="clear" w:color="auto" w:fill="auto"/>
            <w:noWrap/>
            <w:vAlign w:val="bottom"/>
          </w:tcPr>
          <w:p w14:paraId="0DC01899" w14:textId="77777777" w:rsidR="00CE1BDB" w:rsidRPr="00CB100F" w:rsidRDefault="00CE1BDB" w:rsidP="00EF49A7">
            <w:pPr>
              <w:jc w:val="right"/>
              <w:rPr>
                <w:rFonts w:cs="Arial"/>
                <w:color w:val="000000"/>
                <w:sz w:val="22"/>
                <w:szCs w:val="22"/>
              </w:rPr>
            </w:pPr>
            <w:r w:rsidRPr="00CB100F">
              <w:rPr>
                <w:rFonts w:cs="Arial"/>
                <w:color w:val="000000"/>
                <w:sz w:val="22"/>
                <w:szCs w:val="22"/>
              </w:rPr>
              <w:t>51</w:t>
            </w:r>
          </w:p>
        </w:tc>
        <w:tc>
          <w:tcPr>
            <w:tcW w:w="367" w:type="pct"/>
            <w:tcBorders>
              <w:top w:val="nil"/>
              <w:left w:val="nil"/>
              <w:bottom w:val="single" w:sz="4" w:space="0" w:color="000000"/>
              <w:right w:val="single" w:sz="4" w:space="0" w:color="000000"/>
            </w:tcBorders>
            <w:shd w:val="clear" w:color="auto" w:fill="auto"/>
            <w:noWrap/>
            <w:vAlign w:val="bottom"/>
          </w:tcPr>
          <w:p w14:paraId="1D7C596F" w14:textId="77777777" w:rsidR="00CE1BDB" w:rsidRPr="00CB100F" w:rsidRDefault="00CE1BDB" w:rsidP="00EF49A7">
            <w:pPr>
              <w:jc w:val="right"/>
              <w:rPr>
                <w:rFonts w:cs="Arial"/>
                <w:color w:val="000000"/>
                <w:sz w:val="22"/>
                <w:szCs w:val="22"/>
              </w:rPr>
            </w:pPr>
            <w:r w:rsidRPr="00CB100F">
              <w:rPr>
                <w:rFonts w:cs="Arial"/>
                <w:color w:val="000000"/>
                <w:sz w:val="22"/>
                <w:szCs w:val="22"/>
              </w:rPr>
              <w:t>105</w:t>
            </w:r>
          </w:p>
        </w:tc>
        <w:tc>
          <w:tcPr>
            <w:tcW w:w="367" w:type="pct"/>
            <w:tcBorders>
              <w:top w:val="nil"/>
              <w:left w:val="nil"/>
              <w:bottom w:val="single" w:sz="4" w:space="0" w:color="000000"/>
              <w:right w:val="single" w:sz="4" w:space="0" w:color="000000"/>
            </w:tcBorders>
            <w:shd w:val="clear" w:color="auto" w:fill="auto"/>
            <w:noWrap/>
            <w:vAlign w:val="bottom"/>
          </w:tcPr>
          <w:p w14:paraId="467FC579" w14:textId="77777777" w:rsidR="00CE1BDB" w:rsidRPr="00CB100F" w:rsidRDefault="00CE1BDB" w:rsidP="00EF49A7">
            <w:pPr>
              <w:jc w:val="right"/>
              <w:rPr>
                <w:rFonts w:cs="Arial"/>
                <w:color w:val="000000"/>
                <w:sz w:val="22"/>
                <w:szCs w:val="22"/>
              </w:rPr>
            </w:pPr>
            <w:r w:rsidRPr="00CB100F">
              <w:rPr>
                <w:rFonts w:cs="Arial"/>
                <w:color w:val="000000"/>
                <w:sz w:val="22"/>
                <w:szCs w:val="22"/>
              </w:rPr>
              <w:t>91</w:t>
            </w:r>
          </w:p>
        </w:tc>
        <w:tc>
          <w:tcPr>
            <w:tcW w:w="367" w:type="pct"/>
            <w:tcBorders>
              <w:top w:val="nil"/>
              <w:left w:val="nil"/>
              <w:bottom w:val="single" w:sz="4" w:space="0" w:color="000000"/>
              <w:right w:val="single" w:sz="4" w:space="0" w:color="000000"/>
            </w:tcBorders>
            <w:shd w:val="clear" w:color="auto" w:fill="auto"/>
            <w:noWrap/>
            <w:vAlign w:val="bottom"/>
          </w:tcPr>
          <w:p w14:paraId="2EC79E1B"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358" w:type="pct"/>
            <w:tcBorders>
              <w:top w:val="nil"/>
              <w:left w:val="nil"/>
              <w:bottom w:val="single" w:sz="4" w:space="0" w:color="000000"/>
              <w:right w:val="single" w:sz="4" w:space="0" w:color="000000"/>
            </w:tcBorders>
            <w:shd w:val="clear" w:color="auto" w:fill="auto"/>
            <w:noWrap/>
            <w:vAlign w:val="bottom"/>
          </w:tcPr>
          <w:p w14:paraId="3B0941E8" w14:textId="77777777" w:rsidR="00CE1BDB" w:rsidRPr="00CB100F" w:rsidRDefault="00CE1BDB" w:rsidP="00EF49A7">
            <w:pPr>
              <w:jc w:val="right"/>
              <w:rPr>
                <w:rFonts w:cs="Arial"/>
                <w:color w:val="000000"/>
                <w:sz w:val="22"/>
                <w:szCs w:val="22"/>
              </w:rPr>
            </w:pPr>
            <w:r w:rsidRPr="00CB100F">
              <w:rPr>
                <w:rFonts w:cs="Arial"/>
                <w:color w:val="000000"/>
                <w:sz w:val="22"/>
                <w:szCs w:val="22"/>
              </w:rPr>
              <w:t>352</w:t>
            </w:r>
          </w:p>
        </w:tc>
        <w:tc>
          <w:tcPr>
            <w:tcW w:w="375" w:type="pct"/>
            <w:tcBorders>
              <w:top w:val="nil"/>
              <w:left w:val="nil"/>
              <w:bottom w:val="single" w:sz="4" w:space="0" w:color="000000"/>
              <w:right w:val="single" w:sz="4" w:space="0" w:color="000000"/>
            </w:tcBorders>
            <w:shd w:val="clear" w:color="auto" w:fill="auto"/>
            <w:noWrap/>
            <w:vAlign w:val="bottom"/>
          </w:tcPr>
          <w:p w14:paraId="6D3241C9" w14:textId="77777777" w:rsidR="00CE1BDB" w:rsidRPr="00CB100F" w:rsidRDefault="00CE1BDB" w:rsidP="00EF49A7">
            <w:pPr>
              <w:jc w:val="right"/>
              <w:rPr>
                <w:rFonts w:cs="Arial"/>
                <w:color w:val="000000"/>
                <w:sz w:val="22"/>
                <w:szCs w:val="22"/>
              </w:rPr>
            </w:pPr>
            <w:r w:rsidRPr="00CB100F">
              <w:rPr>
                <w:rFonts w:cs="Arial"/>
                <w:color w:val="000000"/>
                <w:sz w:val="22"/>
                <w:szCs w:val="22"/>
              </w:rPr>
              <w:t>0.3</w:t>
            </w:r>
          </w:p>
        </w:tc>
      </w:tr>
      <w:tr w:rsidR="00CE1BDB" w:rsidRPr="00CB100F" w14:paraId="035F57E6"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3586AB8F" w14:textId="77777777" w:rsidR="00CE1BDB" w:rsidRPr="00CB100F" w:rsidRDefault="00CE1BDB" w:rsidP="00EF49A7">
            <w:pPr>
              <w:rPr>
                <w:rFonts w:cs="Arial"/>
                <w:color w:val="000000"/>
                <w:sz w:val="22"/>
                <w:szCs w:val="22"/>
              </w:rPr>
            </w:pPr>
            <w:r w:rsidRPr="00CB100F">
              <w:rPr>
                <w:rFonts w:cs="Arial"/>
                <w:color w:val="000000"/>
                <w:sz w:val="22"/>
                <w:szCs w:val="22"/>
              </w:rPr>
              <w:t>3-bedroom house</w:t>
            </w:r>
          </w:p>
        </w:tc>
        <w:tc>
          <w:tcPr>
            <w:tcW w:w="367" w:type="pct"/>
            <w:tcBorders>
              <w:top w:val="nil"/>
              <w:left w:val="nil"/>
              <w:bottom w:val="single" w:sz="4" w:space="0" w:color="000000"/>
              <w:right w:val="single" w:sz="4" w:space="0" w:color="000000"/>
            </w:tcBorders>
            <w:shd w:val="clear" w:color="auto" w:fill="auto"/>
            <w:noWrap/>
            <w:vAlign w:val="bottom"/>
          </w:tcPr>
          <w:p w14:paraId="0A705D20" w14:textId="77777777" w:rsidR="00CE1BDB" w:rsidRPr="00CB100F" w:rsidRDefault="00CE1BDB" w:rsidP="00EF49A7">
            <w:pPr>
              <w:jc w:val="right"/>
              <w:rPr>
                <w:rFonts w:cs="Arial"/>
                <w:color w:val="000000"/>
                <w:sz w:val="22"/>
                <w:szCs w:val="22"/>
              </w:rPr>
            </w:pPr>
            <w:r w:rsidRPr="00CB100F">
              <w:rPr>
                <w:rFonts w:cs="Arial"/>
                <w:color w:val="000000"/>
                <w:sz w:val="22"/>
                <w:szCs w:val="22"/>
              </w:rPr>
              <w:t>1,033</w:t>
            </w:r>
          </w:p>
        </w:tc>
        <w:tc>
          <w:tcPr>
            <w:tcW w:w="367" w:type="pct"/>
            <w:tcBorders>
              <w:top w:val="nil"/>
              <w:left w:val="nil"/>
              <w:bottom w:val="single" w:sz="4" w:space="0" w:color="000000"/>
              <w:right w:val="single" w:sz="4" w:space="0" w:color="000000"/>
            </w:tcBorders>
            <w:shd w:val="clear" w:color="auto" w:fill="auto"/>
            <w:noWrap/>
            <w:vAlign w:val="bottom"/>
          </w:tcPr>
          <w:p w14:paraId="13B155BE" w14:textId="77777777" w:rsidR="00CE1BDB" w:rsidRPr="00CB100F" w:rsidRDefault="00CE1BDB" w:rsidP="00EF49A7">
            <w:pPr>
              <w:jc w:val="right"/>
              <w:rPr>
                <w:rFonts w:cs="Arial"/>
                <w:color w:val="000000"/>
                <w:sz w:val="22"/>
                <w:szCs w:val="22"/>
              </w:rPr>
            </w:pPr>
            <w:r w:rsidRPr="00CB100F">
              <w:rPr>
                <w:rFonts w:cs="Arial"/>
                <w:color w:val="000000"/>
                <w:sz w:val="22"/>
                <w:szCs w:val="22"/>
              </w:rPr>
              <w:t>6,297</w:t>
            </w:r>
          </w:p>
        </w:tc>
        <w:tc>
          <w:tcPr>
            <w:tcW w:w="367" w:type="pct"/>
            <w:tcBorders>
              <w:top w:val="nil"/>
              <w:left w:val="nil"/>
              <w:bottom w:val="single" w:sz="4" w:space="0" w:color="000000"/>
              <w:right w:val="single" w:sz="4" w:space="0" w:color="000000"/>
            </w:tcBorders>
            <w:shd w:val="clear" w:color="auto" w:fill="auto"/>
            <w:noWrap/>
            <w:vAlign w:val="bottom"/>
          </w:tcPr>
          <w:p w14:paraId="15330795" w14:textId="77777777" w:rsidR="00CE1BDB" w:rsidRPr="00CB100F" w:rsidRDefault="00CE1BDB" w:rsidP="00EF49A7">
            <w:pPr>
              <w:jc w:val="right"/>
              <w:rPr>
                <w:rFonts w:cs="Arial"/>
                <w:color w:val="000000"/>
                <w:sz w:val="22"/>
                <w:szCs w:val="22"/>
              </w:rPr>
            </w:pPr>
            <w:r w:rsidRPr="00CB100F">
              <w:rPr>
                <w:rFonts w:cs="Arial"/>
                <w:color w:val="000000"/>
                <w:sz w:val="22"/>
                <w:szCs w:val="22"/>
              </w:rPr>
              <w:t>8,910</w:t>
            </w:r>
          </w:p>
        </w:tc>
        <w:tc>
          <w:tcPr>
            <w:tcW w:w="368" w:type="pct"/>
            <w:tcBorders>
              <w:top w:val="nil"/>
              <w:left w:val="nil"/>
              <w:bottom w:val="single" w:sz="4" w:space="0" w:color="000000"/>
              <w:right w:val="single" w:sz="4" w:space="0" w:color="000000"/>
            </w:tcBorders>
            <w:shd w:val="clear" w:color="auto" w:fill="auto"/>
            <w:noWrap/>
            <w:vAlign w:val="bottom"/>
          </w:tcPr>
          <w:p w14:paraId="61B6A363" w14:textId="77777777" w:rsidR="00CE1BDB" w:rsidRPr="00CB100F" w:rsidRDefault="00CE1BDB" w:rsidP="00EF49A7">
            <w:pPr>
              <w:jc w:val="right"/>
              <w:rPr>
                <w:rFonts w:cs="Arial"/>
                <w:color w:val="000000"/>
                <w:sz w:val="22"/>
                <w:szCs w:val="22"/>
              </w:rPr>
            </w:pPr>
            <w:r w:rsidRPr="00CB100F">
              <w:rPr>
                <w:rFonts w:cs="Arial"/>
                <w:color w:val="000000"/>
                <w:sz w:val="22"/>
                <w:szCs w:val="22"/>
              </w:rPr>
              <w:t>9,277</w:t>
            </w:r>
          </w:p>
        </w:tc>
        <w:tc>
          <w:tcPr>
            <w:tcW w:w="367" w:type="pct"/>
            <w:tcBorders>
              <w:top w:val="nil"/>
              <w:left w:val="nil"/>
              <w:bottom w:val="single" w:sz="4" w:space="0" w:color="000000"/>
              <w:right w:val="single" w:sz="4" w:space="0" w:color="000000"/>
            </w:tcBorders>
            <w:shd w:val="clear" w:color="auto" w:fill="auto"/>
            <w:noWrap/>
            <w:vAlign w:val="bottom"/>
          </w:tcPr>
          <w:p w14:paraId="36A6F903" w14:textId="77777777" w:rsidR="00CE1BDB" w:rsidRPr="00CB100F" w:rsidRDefault="00CE1BDB" w:rsidP="00EF49A7">
            <w:pPr>
              <w:jc w:val="right"/>
              <w:rPr>
                <w:rFonts w:cs="Arial"/>
                <w:color w:val="000000"/>
                <w:sz w:val="22"/>
                <w:szCs w:val="22"/>
              </w:rPr>
            </w:pPr>
            <w:r w:rsidRPr="00CB100F">
              <w:rPr>
                <w:rFonts w:cs="Arial"/>
                <w:color w:val="000000"/>
                <w:sz w:val="22"/>
                <w:szCs w:val="22"/>
              </w:rPr>
              <w:t>7,286</w:t>
            </w:r>
          </w:p>
        </w:tc>
        <w:tc>
          <w:tcPr>
            <w:tcW w:w="367" w:type="pct"/>
            <w:tcBorders>
              <w:top w:val="nil"/>
              <w:left w:val="nil"/>
              <w:bottom w:val="single" w:sz="4" w:space="0" w:color="000000"/>
              <w:right w:val="single" w:sz="4" w:space="0" w:color="000000"/>
            </w:tcBorders>
            <w:shd w:val="clear" w:color="auto" w:fill="auto"/>
            <w:noWrap/>
            <w:vAlign w:val="bottom"/>
          </w:tcPr>
          <w:p w14:paraId="3EABBF15" w14:textId="77777777" w:rsidR="00CE1BDB" w:rsidRPr="00CB100F" w:rsidRDefault="00CE1BDB" w:rsidP="00EF49A7">
            <w:pPr>
              <w:jc w:val="right"/>
              <w:rPr>
                <w:rFonts w:cs="Arial"/>
                <w:color w:val="000000"/>
                <w:sz w:val="22"/>
                <w:szCs w:val="22"/>
              </w:rPr>
            </w:pPr>
            <w:r w:rsidRPr="00CB100F">
              <w:rPr>
                <w:rFonts w:cs="Arial"/>
                <w:color w:val="000000"/>
                <w:sz w:val="22"/>
                <w:szCs w:val="22"/>
              </w:rPr>
              <w:t>6,477</w:t>
            </w:r>
          </w:p>
        </w:tc>
        <w:tc>
          <w:tcPr>
            <w:tcW w:w="367" w:type="pct"/>
            <w:tcBorders>
              <w:top w:val="nil"/>
              <w:left w:val="nil"/>
              <w:bottom w:val="single" w:sz="4" w:space="0" w:color="000000"/>
              <w:right w:val="single" w:sz="4" w:space="0" w:color="000000"/>
            </w:tcBorders>
            <w:shd w:val="clear" w:color="auto" w:fill="auto"/>
            <w:noWrap/>
            <w:vAlign w:val="bottom"/>
          </w:tcPr>
          <w:p w14:paraId="5DCE5E0C" w14:textId="77777777" w:rsidR="00CE1BDB" w:rsidRPr="00CB100F" w:rsidRDefault="00CE1BDB" w:rsidP="00EF49A7">
            <w:pPr>
              <w:jc w:val="right"/>
              <w:rPr>
                <w:rFonts w:cs="Arial"/>
                <w:color w:val="000000"/>
                <w:sz w:val="22"/>
                <w:szCs w:val="22"/>
              </w:rPr>
            </w:pPr>
            <w:r w:rsidRPr="00CB100F">
              <w:rPr>
                <w:rFonts w:cs="Arial"/>
                <w:color w:val="000000"/>
                <w:sz w:val="22"/>
                <w:szCs w:val="22"/>
              </w:rPr>
              <w:t>4,880</w:t>
            </w:r>
          </w:p>
        </w:tc>
        <w:tc>
          <w:tcPr>
            <w:tcW w:w="367" w:type="pct"/>
            <w:tcBorders>
              <w:top w:val="nil"/>
              <w:left w:val="nil"/>
              <w:bottom w:val="single" w:sz="4" w:space="0" w:color="000000"/>
              <w:right w:val="single" w:sz="4" w:space="0" w:color="000000"/>
            </w:tcBorders>
            <w:shd w:val="clear" w:color="auto" w:fill="auto"/>
            <w:noWrap/>
            <w:vAlign w:val="bottom"/>
          </w:tcPr>
          <w:p w14:paraId="50FACEE5" w14:textId="77777777" w:rsidR="00CE1BDB" w:rsidRPr="00CB100F" w:rsidRDefault="00CE1BDB" w:rsidP="00EF49A7">
            <w:pPr>
              <w:jc w:val="right"/>
              <w:rPr>
                <w:rFonts w:cs="Arial"/>
                <w:color w:val="000000"/>
                <w:sz w:val="22"/>
                <w:szCs w:val="22"/>
              </w:rPr>
            </w:pPr>
            <w:r w:rsidRPr="00CB100F">
              <w:rPr>
                <w:rFonts w:cs="Arial"/>
                <w:color w:val="000000"/>
                <w:sz w:val="22"/>
                <w:szCs w:val="22"/>
              </w:rPr>
              <w:t>1,391</w:t>
            </w:r>
          </w:p>
        </w:tc>
        <w:tc>
          <w:tcPr>
            <w:tcW w:w="358" w:type="pct"/>
            <w:tcBorders>
              <w:top w:val="nil"/>
              <w:left w:val="nil"/>
              <w:bottom w:val="single" w:sz="4" w:space="0" w:color="000000"/>
              <w:right w:val="single" w:sz="4" w:space="0" w:color="000000"/>
            </w:tcBorders>
            <w:shd w:val="clear" w:color="auto" w:fill="auto"/>
            <w:noWrap/>
            <w:vAlign w:val="bottom"/>
          </w:tcPr>
          <w:p w14:paraId="40E00D8B" w14:textId="77777777" w:rsidR="00CE1BDB" w:rsidRPr="00CB100F" w:rsidRDefault="00CE1BDB" w:rsidP="00EF49A7">
            <w:pPr>
              <w:jc w:val="right"/>
              <w:rPr>
                <w:rFonts w:cs="Arial"/>
                <w:color w:val="000000"/>
                <w:sz w:val="22"/>
                <w:szCs w:val="22"/>
              </w:rPr>
            </w:pPr>
            <w:r w:rsidRPr="00CB100F">
              <w:rPr>
                <w:rFonts w:cs="Arial"/>
                <w:color w:val="000000"/>
                <w:sz w:val="22"/>
                <w:szCs w:val="22"/>
              </w:rPr>
              <w:t>45,550</w:t>
            </w:r>
          </w:p>
        </w:tc>
        <w:tc>
          <w:tcPr>
            <w:tcW w:w="375" w:type="pct"/>
            <w:tcBorders>
              <w:top w:val="nil"/>
              <w:left w:val="nil"/>
              <w:bottom w:val="single" w:sz="4" w:space="0" w:color="000000"/>
              <w:right w:val="single" w:sz="4" w:space="0" w:color="000000"/>
            </w:tcBorders>
            <w:shd w:val="clear" w:color="auto" w:fill="auto"/>
            <w:noWrap/>
            <w:vAlign w:val="bottom"/>
          </w:tcPr>
          <w:p w14:paraId="6E746BFA" w14:textId="77777777" w:rsidR="00CE1BDB" w:rsidRPr="00CB100F" w:rsidRDefault="00CE1BDB" w:rsidP="00EF49A7">
            <w:pPr>
              <w:jc w:val="right"/>
              <w:rPr>
                <w:rFonts w:cs="Arial"/>
                <w:color w:val="000000"/>
                <w:sz w:val="22"/>
                <w:szCs w:val="22"/>
              </w:rPr>
            </w:pPr>
            <w:r w:rsidRPr="00CB100F">
              <w:rPr>
                <w:rFonts w:cs="Arial"/>
                <w:color w:val="000000"/>
                <w:sz w:val="22"/>
                <w:szCs w:val="22"/>
              </w:rPr>
              <w:t>38.0</w:t>
            </w:r>
          </w:p>
        </w:tc>
      </w:tr>
      <w:tr w:rsidR="00CE1BDB" w:rsidRPr="00CB100F" w14:paraId="1062A977"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7BBBD29D" w14:textId="77777777" w:rsidR="00CE1BDB" w:rsidRPr="00CB100F" w:rsidRDefault="00CE1BDB" w:rsidP="00EF49A7">
            <w:pPr>
              <w:rPr>
                <w:rFonts w:cs="Arial"/>
                <w:color w:val="000000"/>
                <w:sz w:val="22"/>
                <w:szCs w:val="22"/>
              </w:rPr>
            </w:pPr>
            <w:r w:rsidRPr="00CB100F">
              <w:rPr>
                <w:rFonts w:cs="Arial"/>
                <w:color w:val="000000"/>
                <w:sz w:val="22"/>
                <w:szCs w:val="22"/>
              </w:rPr>
              <w:t>3 or more-bedroom bungalow/level access</w:t>
            </w:r>
          </w:p>
        </w:tc>
        <w:tc>
          <w:tcPr>
            <w:tcW w:w="367" w:type="pct"/>
            <w:tcBorders>
              <w:top w:val="nil"/>
              <w:left w:val="nil"/>
              <w:bottom w:val="single" w:sz="4" w:space="0" w:color="000000"/>
              <w:right w:val="single" w:sz="4" w:space="0" w:color="000000"/>
            </w:tcBorders>
            <w:shd w:val="clear" w:color="auto" w:fill="auto"/>
            <w:noWrap/>
            <w:vAlign w:val="bottom"/>
          </w:tcPr>
          <w:p w14:paraId="6F8BDCD9" w14:textId="77777777" w:rsidR="00CE1BDB" w:rsidRPr="00CB100F" w:rsidRDefault="00CE1BDB" w:rsidP="00EF49A7">
            <w:pPr>
              <w:jc w:val="right"/>
              <w:rPr>
                <w:rFonts w:cs="Arial"/>
                <w:color w:val="000000"/>
                <w:sz w:val="22"/>
                <w:szCs w:val="22"/>
              </w:rPr>
            </w:pPr>
            <w:r w:rsidRPr="00CB100F">
              <w:rPr>
                <w:rFonts w:cs="Arial"/>
                <w:color w:val="000000"/>
                <w:sz w:val="22"/>
                <w:szCs w:val="22"/>
              </w:rPr>
              <w:t>42</w:t>
            </w:r>
          </w:p>
        </w:tc>
        <w:tc>
          <w:tcPr>
            <w:tcW w:w="367" w:type="pct"/>
            <w:tcBorders>
              <w:top w:val="nil"/>
              <w:left w:val="nil"/>
              <w:bottom w:val="single" w:sz="4" w:space="0" w:color="000000"/>
              <w:right w:val="single" w:sz="4" w:space="0" w:color="000000"/>
            </w:tcBorders>
            <w:shd w:val="clear" w:color="auto" w:fill="auto"/>
            <w:noWrap/>
            <w:vAlign w:val="bottom"/>
          </w:tcPr>
          <w:p w14:paraId="63A46EEF" w14:textId="77777777" w:rsidR="00CE1BDB" w:rsidRPr="00CB100F" w:rsidRDefault="00CE1BDB" w:rsidP="00EF49A7">
            <w:pPr>
              <w:jc w:val="right"/>
              <w:rPr>
                <w:rFonts w:cs="Arial"/>
                <w:color w:val="000000"/>
                <w:sz w:val="22"/>
                <w:szCs w:val="22"/>
              </w:rPr>
            </w:pPr>
            <w:r w:rsidRPr="00CB100F">
              <w:rPr>
                <w:rFonts w:cs="Arial"/>
                <w:color w:val="000000"/>
                <w:sz w:val="22"/>
                <w:szCs w:val="22"/>
              </w:rPr>
              <w:t>118</w:t>
            </w:r>
          </w:p>
        </w:tc>
        <w:tc>
          <w:tcPr>
            <w:tcW w:w="367" w:type="pct"/>
            <w:tcBorders>
              <w:top w:val="nil"/>
              <w:left w:val="nil"/>
              <w:bottom w:val="single" w:sz="4" w:space="0" w:color="000000"/>
              <w:right w:val="single" w:sz="4" w:space="0" w:color="000000"/>
            </w:tcBorders>
            <w:shd w:val="clear" w:color="auto" w:fill="auto"/>
            <w:noWrap/>
            <w:vAlign w:val="bottom"/>
          </w:tcPr>
          <w:p w14:paraId="3640BBA3" w14:textId="77777777" w:rsidR="00CE1BDB" w:rsidRPr="00CB100F" w:rsidRDefault="00CE1BDB" w:rsidP="00EF49A7">
            <w:pPr>
              <w:jc w:val="right"/>
              <w:rPr>
                <w:rFonts w:cs="Arial"/>
                <w:color w:val="000000"/>
                <w:sz w:val="22"/>
                <w:szCs w:val="22"/>
              </w:rPr>
            </w:pPr>
            <w:r w:rsidRPr="00CB100F">
              <w:rPr>
                <w:rFonts w:cs="Arial"/>
                <w:color w:val="000000"/>
                <w:sz w:val="22"/>
                <w:szCs w:val="22"/>
              </w:rPr>
              <w:t>94</w:t>
            </w:r>
          </w:p>
        </w:tc>
        <w:tc>
          <w:tcPr>
            <w:tcW w:w="368" w:type="pct"/>
            <w:tcBorders>
              <w:top w:val="nil"/>
              <w:left w:val="nil"/>
              <w:bottom w:val="single" w:sz="4" w:space="0" w:color="000000"/>
              <w:right w:val="single" w:sz="4" w:space="0" w:color="000000"/>
            </w:tcBorders>
            <w:shd w:val="clear" w:color="auto" w:fill="auto"/>
            <w:noWrap/>
            <w:vAlign w:val="bottom"/>
          </w:tcPr>
          <w:p w14:paraId="6C6B3CDF" w14:textId="77777777" w:rsidR="00CE1BDB" w:rsidRPr="00CB100F" w:rsidRDefault="00CE1BDB" w:rsidP="00EF49A7">
            <w:pPr>
              <w:jc w:val="right"/>
              <w:rPr>
                <w:rFonts w:cs="Arial"/>
                <w:color w:val="000000"/>
                <w:sz w:val="22"/>
                <w:szCs w:val="22"/>
              </w:rPr>
            </w:pPr>
            <w:r w:rsidRPr="00CB100F">
              <w:rPr>
                <w:rFonts w:cs="Arial"/>
                <w:color w:val="000000"/>
                <w:sz w:val="22"/>
                <w:szCs w:val="22"/>
              </w:rPr>
              <w:t>664</w:t>
            </w:r>
          </w:p>
        </w:tc>
        <w:tc>
          <w:tcPr>
            <w:tcW w:w="367" w:type="pct"/>
            <w:tcBorders>
              <w:top w:val="nil"/>
              <w:left w:val="nil"/>
              <w:bottom w:val="single" w:sz="4" w:space="0" w:color="000000"/>
              <w:right w:val="single" w:sz="4" w:space="0" w:color="000000"/>
            </w:tcBorders>
            <w:shd w:val="clear" w:color="auto" w:fill="auto"/>
            <w:noWrap/>
            <w:vAlign w:val="bottom"/>
          </w:tcPr>
          <w:p w14:paraId="690B1CFD" w14:textId="77777777" w:rsidR="00CE1BDB" w:rsidRPr="00CB100F" w:rsidRDefault="00CE1BDB" w:rsidP="00EF49A7">
            <w:pPr>
              <w:jc w:val="right"/>
              <w:rPr>
                <w:rFonts w:cs="Arial"/>
                <w:color w:val="000000"/>
                <w:sz w:val="22"/>
                <w:szCs w:val="22"/>
              </w:rPr>
            </w:pPr>
            <w:r w:rsidRPr="00CB100F">
              <w:rPr>
                <w:rFonts w:cs="Arial"/>
                <w:color w:val="000000"/>
                <w:sz w:val="22"/>
                <w:szCs w:val="22"/>
              </w:rPr>
              <w:t>886</w:t>
            </w:r>
          </w:p>
        </w:tc>
        <w:tc>
          <w:tcPr>
            <w:tcW w:w="367" w:type="pct"/>
            <w:tcBorders>
              <w:top w:val="nil"/>
              <w:left w:val="nil"/>
              <w:bottom w:val="single" w:sz="4" w:space="0" w:color="000000"/>
              <w:right w:val="single" w:sz="4" w:space="0" w:color="000000"/>
            </w:tcBorders>
            <w:shd w:val="clear" w:color="auto" w:fill="auto"/>
            <w:noWrap/>
            <w:vAlign w:val="bottom"/>
          </w:tcPr>
          <w:p w14:paraId="6A63F7FD" w14:textId="77777777" w:rsidR="00CE1BDB" w:rsidRPr="00CB100F" w:rsidRDefault="00CE1BDB" w:rsidP="00EF49A7">
            <w:pPr>
              <w:jc w:val="right"/>
              <w:rPr>
                <w:rFonts w:cs="Arial"/>
                <w:color w:val="000000"/>
                <w:sz w:val="22"/>
                <w:szCs w:val="22"/>
              </w:rPr>
            </w:pPr>
            <w:r w:rsidRPr="00CB100F">
              <w:rPr>
                <w:rFonts w:cs="Arial"/>
                <w:color w:val="000000"/>
                <w:sz w:val="22"/>
                <w:szCs w:val="22"/>
              </w:rPr>
              <w:t>1,273</w:t>
            </w:r>
          </w:p>
        </w:tc>
        <w:tc>
          <w:tcPr>
            <w:tcW w:w="367" w:type="pct"/>
            <w:tcBorders>
              <w:top w:val="nil"/>
              <w:left w:val="nil"/>
              <w:bottom w:val="single" w:sz="4" w:space="0" w:color="000000"/>
              <w:right w:val="single" w:sz="4" w:space="0" w:color="000000"/>
            </w:tcBorders>
            <w:shd w:val="clear" w:color="auto" w:fill="auto"/>
            <w:noWrap/>
            <w:vAlign w:val="bottom"/>
          </w:tcPr>
          <w:p w14:paraId="182D9C33" w14:textId="77777777" w:rsidR="00CE1BDB" w:rsidRPr="00CB100F" w:rsidRDefault="00CE1BDB" w:rsidP="00EF49A7">
            <w:pPr>
              <w:jc w:val="right"/>
              <w:rPr>
                <w:rFonts w:cs="Arial"/>
                <w:color w:val="000000"/>
                <w:sz w:val="22"/>
                <w:szCs w:val="22"/>
              </w:rPr>
            </w:pPr>
            <w:r w:rsidRPr="00CB100F">
              <w:rPr>
                <w:rFonts w:cs="Arial"/>
                <w:color w:val="000000"/>
                <w:sz w:val="22"/>
                <w:szCs w:val="22"/>
              </w:rPr>
              <w:t>1,361</w:t>
            </w:r>
          </w:p>
        </w:tc>
        <w:tc>
          <w:tcPr>
            <w:tcW w:w="367" w:type="pct"/>
            <w:tcBorders>
              <w:top w:val="nil"/>
              <w:left w:val="nil"/>
              <w:bottom w:val="single" w:sz="4" w:space="0" w:color="000000"/>
              <w:right w:val="single" w:sz="4" w:space="0" w:color="000000"/>
            </w:tcBorders>
            <w:shd w:val="clear" w:color="auto" w:fill="auto"/>
            <w:noWrap/>
            <w:vAlign w:val="bottom"/>
          </w:tcPr>
          <w:p w14:paraId="28CE0A99" w14:textId="77777777" w:rsidR="00CE1BDB" w:rsidRPr="00CB100F" w:rsidRDefault="00CE1BDB" w:rsidP="00EF49A7">
            <w:pPr>
              <w:jc w:val="right"/>
              <w:rPr>
                <w:rFonts w:cs="Arial"/>
                <w:color w:val="000000"/>
                <w:sz w:val="22"/>
                <w:szCs w:val="22"/>
              </w:rPr>
            </w:pPr>
            <w:r w:rsidRPr="00CB100F">
              <w:rPr>
                <w:rFonts w:cs="Arial"/>
                <w:color w:val="000000"/>
                <w:sz w:val="22"/>
                <w:szCs w:val="22"/>
              </w:rPr>
              <w:t>974</w:t>
            </w:r>
          </w:p>
        </w:tc>
        <w:tc>
          <w:tcPr>
            <w:tcW w:w="358" w:type="pct"/>
            <w:tcBorders>
              <w:top w:val="nil"/>
              <w:left w:val="nil"/>
              <w:bottom w:val="single" w:sz="4" w:space="0" w:color="000000"/>
              <w:right w:val="single" w:sz="4" w:space="0" w:color="000000"/>
            </w:tcBorders>
            <w:shd w:val="clear" w:color="auto" w:fill="auto"/>
            <w:noWrap/>
            <w:vAlign w:val="bottom"/>
          </w:tcPr>
          <w:p w14:paraId="037960A9" w14:textId="77777777" w:rsidR="00CE1BDB" w:rsidRPr="00CB100F" w:rsidRDefault="00CE1BDB" w:rsidP="00EF49A7">
            <w:pPr>
              <w:jc w:val="right"/>
              <w:rPr>
                <w:rFonts w:cs="Arial"/>
                <w:color w:val="000000"/>
                <w:sz w:val="22"/>
                <w:szCs w:val="22"/>
              </w:rPr>
            </w:pPr>
            <w:r w:rsidRPr="00CB100F">
              <w:rPr>
                <w:rFonts w:cs="Arial"/>
                <w:color w:val="000000"/>
                <w:sz w:val="22"/>
                <w:szCs w:val="22"/>
              </w:rPr>
              <w:t>5,412</w:t>
            </w:r>
          </w:p>
        </w:tc>
        <w:tc>
          <w:tcPr>
            <w:tcW w:w="375" w:type="pct"/>
            <w:tcBorders>
              <w:top w:val="nil"/>
              <w:left w:val="nil"/>
              <w:bottom w:val="single" w:sz="4" w:space="0" w:color="000000"/>
              <w:right w:val="single" w:sz="4" w:space="0" w:color="000000"/>
            </w:tcBorders>
            <w:shd w:val="clear" w:color="auto" w:fill="auto"/>
            <w:noWrap/>
            <w:vAlign w:val="bottom"/>
          </w:tcPr>
          <w:p w14:paraId="627DD509" w14:textId="77777777" w:rsidR="00CE1BDB" w:rsidRPr="00CB100F" w:rsidRDefault="00CE1BDB" w:rsidP="00EF49A7">
            <w:pPr>
              <w:jc w:val="right"/>
              <w:rPr>
                <w:rFonts w:cs="Arial"/>
                <w:color w:val="000000"/>
                <w:sz w:val="22"/>
                <w:szCs w:val="22"/>
              </w:rPr>
            </w:pPr>
            <w:r w:rsidRPr="00CB100F">
              <w:rPr>
                <w:rFonts w:cs="Arial"/>
                <w:color w:val="000000"/>
                <w:sz w:val="22"/>
                <w:szCs w:val="22"/>
              </w:rPr>
              <w:t>4.5</w:t>
            </w:r>
          </w:p>
        </w:tc>
      </w:tr>
      <w:tr w:rsidR="00CE1BDB" w:rsidRPr="00CB100F" w14:paraId="14A4839E"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340C02FD" w14:textId="77777777" w:rsidR="00CE1BDB" w:rsidRPr="00CB100F" w:rsidRDefault="00CE1BDB" w:rsidP="00EF49A7">
            <w:pPr>
              <w:rPr>
                <w:rFonts w:cs="Arial"/>
                <w:color w:val="000000"/>
                <w:sz w:val="22"/>
                <w:szCs w:val="22"/>
              </w:rPr>
            </w:pPr>
            <w:r w:rsidRPr="00CB100F">
              <w:rPr>
                <w:rFonts w:cs="Arial"/>
                <w:color w:val="000000"/>
                <w:sz w:val="22"/>
                <w:szCs w:val="22"/>
              </w:rPr>
              <w:t>3 or more-bedroom flat</w:t>
            </w:r>
          </w:p>
        </w:tc>
        <w:tc>
          <w:tcPr>
            <w:tcW w:w="367" w:type="pct"/>
            <w:tcBorders>
              <w:top w:val="nil"/>
              <w:left w:val="nil"/>
              <w:bottom w:val="single" w:sz="4" w:space="0" w:color="000000"/>
              <w:right w:val="single" w:sz="4" w:space="0" w:color="000000"/>
            </w:tcBorders>
            <w:shd w:val="clear" w:color="auto" w:fill="auto"/>
            <w:noWrap/>
            <w:vAlign w:val="bottom"/>
          </w:tcPr>
          <w:p w14:paraId="4BDB65B2" w14:textId="77777777" w:rsidR="00CE1BDB" w:rsidRPr="00CB100F" w:rsidRDefault="00CE1BDB" w:rsidP="00EF49A7">
            <w:pPr>
              <w:jc w:val="right"/>
              <w:rPr>
                <w:rFonts w:cs="Arial"/>
                <w:color w:val="000000"/>
                <w:sz w:val="22"/>
                <w:szCs w:val="22"/>
              </w:rPr>
            </w:pPr>
            <w:r w:rsidRPr="00CB100F">
              <w:rPr>
                <w:rFonts w:cs="Arial"/>
                <w:color w:val="000000"/>
                <w:sz w:val="22"/>
                <w:szCs w:val="22"/>
              </w:rPr>
              <w:t>49</w:t>
            </w:r>
          </w:p>
        </w:tc>
        <w:tc>
          <w:tcPr>
            <w:tcW w:w="367" w:type="pct"/>
            <w:tcBorders>
              <w:top w:val="nil"/>
              <w:left w:val="nil"/>
              <w:bottom w:val="single" w:sz="4" w:space="0" w:color="000000"/>
              <w:right w:val="single" w:sz="4" w:space="0" w:color="000000"/>
            </w:tcBorders>
            <w:shd w:val="clear" w:color="auto" w:fill="auto"/>
            <w:noWrap/>
            <w:vAlign w:val="bottom"/>
          </w:tcPr>
          <w:p w14:paraId="3AD949F0" w14:textId="77777777" w:rsidR="00CE1BDB" w:rsidRPr="00CB100F" w:rsidRDefault="00CE1BDB" w:rsidP="00EF49A7">
            <w:pPr>
              <w:jc w:val="right"/>
              <w:rPr>
                <w:rFonts w:cs="Arial"/>
                <w:color w:val="000000"/>
                <w:sz w:val="22"/>
                <w:szCs w:val="22"/>
              </w:rPr>
            </w:pPr>
            <w:r w:rsidRPr="00CB100F">
              <w:rPr>
                <w:rFonts w:cs="Arial"/>
                <w:color w:val="000000"/>
                <w:sz w:val="22"/>
                <w:szCs w:val="22"/>
              </w:rPr>
              <w:t>83</w:t>
            </w:r>
          </w:p>
        </w:tc>
        <w:tc>
          <w:tcPr>
            <w:tcW w:w="367" w:type="pct"/>
            <w:tcBorders>
              <w:top w:val="nil"/>
              <w:left w:val="nil"/>
              <w:bottom w:val="single" w:sz="4" w:space="0" w:color="000000"/>
              <w:right w:val="single" w:sz="4" w:space="0" w:color="000000"/>
            </w:tcBorders>
            <w:shd w:val="clear" w:color="auto" w:fill="auto"/>
            <w:noWrap/>
            <w:vAlign w:val="bottom"/>
          </w:tcPr>
          <w:p w14:paraId="3CF641B9" w14:textId="77777777" w:rsidR="00CE1BDB" w:rsidRPr="00CB100F" w:rsidRDefault="00CE1BDB" w:rsidP="00EF49A7">
            <w:pPr>
              <w:jc w:val="right"/>
              <w:rPr>
                <w:rFonts w:cs="Arial"/>
                <w:color w:val="000000"/>
                <w:sz w:val="22"/>
                <w:szCs w:val="22"/>
              </w:rPr>
            </w:pPr>
            <w:r w:rsidRPr="00CB100F">
              <w:rPr>
                <w:rFonts w:cs="Arial"/>
                <w:color w:val="000000"/>
                <w:sz w:val="22"/>
                <w:szCs w:val="22"/>
              </w:rPr>
              <w:t>161</w:t>
            </w:r>
          </w:p>
        </w:tc>
        <w:tc>
          <w:tcPr>
            <w:tcW w:w="368" w:type="pct"/>
            <w:tcBorders>
              <w:top w:val="nil"/>
              <w:left w:val="nil"/>
              <w:bottom w:val="single" w:sz="4" w:space="0" w:color="000000"/>
              <w:right w:val="single" w:sz="4" w:space="0" w:color="000000"/>
            </w:tcBorders>
            <w:shd w:val="clear" w:color="auto" w:fill="auto"/>
            <w:noWrap/>
            <w:vAlign w:val="bottom"/>
          </w:tcPr>
          <w:p w14:paraId="4E441F43" w14:textId="77777777" w:rsidR="00CE1BDB" w:rsidRPr="00CB100F" w:rsidRDefault="00CE1BDB" w:rsidP="00EF49A7">
            <w:pPr>
              <w:jc w:val="right"/>
              <w:rPr>
                <w:rFonts w:cs="Arial"/>
                <w:color w:val="000000"/>
                <w:sz w:val="22"/>
                <w:szCs w:val="22"/>
              </w:rPr>
            </w:pPr>
            <w:r w:rsidRPr="00CB100F">
              <w:rPr>
                <w:rFonts w:cs="Arial"/>
                <w:color w:val="000000"/>
                <w:sz w:val="22"/>
                <w:szCs w:val="22"/>
              </w:rPr>
              <w:t>130</w:t>
            </w:r>
          </w:p>
        </w:tc>
        <w:tc>
          <w:tcPr>
            <w:tcW w:w="367" w:type="pct"/>
            <w:tcBorders>
              <w:top w:val="nil"/>
              <w:left w:val="nil"/>
              <w:bottom w:val="single" w:sz="4" w:space="0" w:color="000000"/>
              <w:right w:val="single" w:sz="4" w:space="0" w:color="000000"/>
            </w:tcBorders>
            <w:shd w:val="clear" w:color="auto" w:fill="auto"/>
            <w:noWrap/>
            <w:vAlign w:val="bottom"/>
          </w:tcPr>
          <w:p w14:paraId="26702B01" w14:textId="77777777" w:rsidR="00CE1BDB" w:rsidRPr="00CB100F" w:rsidRDefault="00CE1BDB" w:rsidP="00EF49A7">
            <w:pPr>
              <w:jc w:val="right"/>
              <w:rPr>
                <w:rFonts w:cs="Arial"/>
                <w:color w:val="000000"/>
                <w:sz w:val="22"/>
                <w:szCs w:val="22"/>
              </w:rPr>
            </w:pPr>
            <w:r w:rsidRPr="00CB100F">
              <w:rPr>
                <w:rFonts w:cs="Arial"/>
                <w:color w:val="000000"/>
                <w:sz w:val="22"/>
                <w:szCs w:val="22"/>
              </w:rPr>
              <w:t>97</w:t>
            </w:r>
          </w:p>
        </w:tc>
        <w:tc>
          <w:tcPr>
            <w:tcW w:w="367" w:type="pct"/>
            <w:tcBorders>
              <w:top w:val="nil"/>
              <w:left w:val="nil"/>
              <w:bottom w:val="single" w:sz="4" w:space="0" w:color="000000"/>
              <w:right w:val="single" w:sz="4" w:space="0" w:color="000000"/>
            </w:tcBorders>
            <w:shd w:val="clear" w:color="auto" w:fill="auto"/>
            <w:noWrap/>
            <w:vAlign w:val="bottom"/>
          </w:tcPr>
          <w:p w14:paraId="382E7ACA" w14:textId="77777777" w:rsidR="00CE1BDB" w:rsidRPr="00CB100F" w:rsidRDefault="00CE1BDB" w:rsidP="00EF49A7">
            <w:pPr>
              <w:jc w:val="right"/>
              <w:rPr>
                <w:rFonts w:cs="Arial"/>
                <w:color w:val="000000"/>
                <w:sz w:val="22"/>
                <w:szCs w:val="22"/>
              </w:rPr>
            </w:pPr>
            <w:r w:rsidRPr="00CB100F">
              <w:rPr>
                <w:rFonts w:cs="Arial"/>
                <w:color w:val="000000"/>
                <w:sz w:val="22"/>
                <w:szCs w:val="22"/>
              </w:rPr>
              <w:t>99</w:t>
            </w:r>
          </w:p>
        </w:tc>
        <w:tc>
          <w:tcPr>
            <w:tcW w:w="367" w:type="pct"/>
            <w:tcBorders>
              <w:top w:val="nil"/>
              <w:left w:val="nil"/>
              <w:bottom w:val="single" w:sz="4" w:space="0" w:color="000000"/>
              <w:right w:val="single" w:sz="4" w:space="0" w:color="000000"/>
            </w:tcBorders>
            <w:shd w:val="clear" w:color="auto" w:fill="auto"/>
            <w:noWrap/>
            <w:vAlign w:val="bottom"/>
          </w:tcPr>
          <w:p w14:paraId="6A295E6A" w14:textId="77777777" w:rsidR="00CE1BDB" w:rsidRPr="00CB100F" w:rsidRDefault="00CE1BDB" w:rsidP="00EF49A7">
            <w:pPr>
              <w:jc w:val="right"/>
              <w:rPr>
                <w:rFonts w:cs="Arial"/>
                <w:color w:val="000000"/>
                <w:sz w:val="22"/>
                <w:szCs w:val="22"/>
              </w:rPr>
            </w:pPr>
            <w:r w:rsidRPr="00CB100F">
              <w:rPr>
                <w:rFonts w:cs="Arial"/>
                <w:color w:val="000000"/>
                <w:sz w:val="22"/>
                <w:szCs w:val="22"/>
              </w:rPr>
              <w:t>84</w:t>
            </w:r>
          </w:p>
        </w:tc>
        <w:tc>
          <w:tcPr>
            <w:tcW w:w="367" w:type="pct"/>
            <w:tcBorders>
              <w:top w:val="nil"/>
              <w:left w:val="nil"/>
              <w:bottom w:val="single" w:sz="4" w:space="0" w:color="000000"/>
              <w:right w:val="single" w:sz="4" w:space="0" w:color="000000"/>
            </w:tcBorders>
            <w:shd w:val="clear" w:color="auto" w:fill="auto"/>
            <w:noWrap/>
            <w:vAlign w:val="bottom"/>
          </w:tcPr>
          <w:p w14:paraId="5017E9D7"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358" w:type="pct"/>
            <w:tcBorders>
              <w:top w:val="nil"/>
              <w:left w:val="nil"/>
              <w:bottom w:val="single" w:sz="4" w:space="0" w:color="000000"/>
              <w:right w:val="single" w:sz="4" w:space="0" w:color="000000"/>
            </w:tcBorders>
            <w:shd w:val="clear" w:color="auto" w:fill="auto"/>
            <w:noWrap/>
            <w:vAlign w:val="bottom"/>
          </w:tcPr>
          <w:p w14:paraId="4072B512" w14:textId="77777777" w:rsidR="00CE1BDB" w:rsidRPr="00CB100F" w:rsidRDefault="00CE1BDB" w:rsidP="00EF49A7">
            <w:pPr>
              <w:jc w:val="right"/>
              <w:rPr>
                <w:rFonts w:cs="Arial"/>
                <w:color w:val="000000"/>
                <w:sz w:val="22"/>
                <w:szCs w:val="22"/>
              </w:rPr>
            </w:pPr>
            <w:r w:rsidRPr="00CB100F">
              <w:rPr>
                <w:rFonts w:cs="Arial"/>
                <w:color w:val="000000"/>
                <w:sz w:val="22"/>
                <w:szCs w:val="22"/>
              </w:rPr>
              <w:t>702</w:t>
            </w:r>
          </w:p>
        </w:tc>
        <w:tc>
          <w:tcPr>
            <w:tcW w:w="375" w:type="pct"/>
            <w:tcBorders>
              <w:top w:val="nil"/>
              <w:left w:val="nil"/>
              <w:bottom w:val="single" w:sz="4" w:space="0" w:color="000000"/>
              <w:right w:val="single" w:sz="4" w:space="0" w:color="000000"/>
            </w:tcBorders>
            <w:shd w:val="clear" w:color="auto" w:fill="auto"/>
            <w:noWrap/>
            <w:vAlign w:val="bottom"/>
          </w:tcPr>
          <w:p w14:paraId="0B9956D3" w14:textId="77777777" w:rsidR="00CE1BDB" w:rsidRPr="00CB100F" w:rsidRDefault="00CE1BDB" w:rsidP="00EF49A7">
            <w:pPr>
              <w:jc w:val="right"/>
              <w:rPr>
                <w:rFonts w:cs="Arial"/>
                <w:color w:val="000000"/>
                <w:sz w:val="22"/>
                <w:szCs w:val="22"/>
              </w:rPr>
            </w:pPr>
            <w:r w:rsidRPr="00CB100F">
              <w:rPr>
                <w:rFonts w:cs="Arial"/>
                <w:color w:val="000000"/>
                <w:sz w:val="22"/>
                <w:szCs w:val="22"/>
              </w:rPr>
              <w:t>0.6</w:t>
            </w:r>
          </w:p>
        </w:tc>
      </w:tr>
      <w:tr w:rsidR="00CE1BDB" w:rsidRPr="00CB100F" w14:paraId="3A01E809"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065A0943" w14:textId="77777777" w:rsidR="00CE1BDB" w:rsidRPr="00CB100F" w:rsidRDefault="00CE1BDB" w:rsidP="00EF49A7">
            <w:pPr>
              <w:rPr>
                <w:rFonts w:cs="Arial"/>
                <w:color w:val="000000"/>
                <w:sz w:val="22"/>
                <w:szCs w:val="22"/>
              </w:rPr>
            </w:pPr>
            <w:r w:rsidRPr="00CB100F">
              <w:rPr>
                <w:rFonts w:cs="Arial"/>
                <w:color w:val="000000"/>
                <w:sz w:val="22"/>
                <w:szCs w:val="22"/>
              </w:rPr>
              <w:t>3 or more-bedroom other</w:t>
            </w:r>
          </w:p>
        </w:tc>
        <w:tc>
          <w:tcPr>
            <w:tcW w:w="367" w:type="pct"/>
            <w:tcBorders>
              <w:top w:val="nil"/>
              <w:left w:val="nil"/>
              <w:bottom w:val="single" w:sz="4" w:space="0" w:color="000000"/>
              <w:right w:val="single" w:sz="4" w:space="0" w:color="000000"/>
            </w:tcBorders>
            <w:shd w:val="clear" w:color="auto" w:fill="auto"/>
            <w:noWrap/>
            <w:vAlign w:val="bottom"/>
          </w:tcPr>
          <w:p w14:paraId="4722000B" w14:textId="77777777" w:rsidR="00CE1BDB" w:rsidRPr="00CB100F" w:rsidRDefault="00CE1BDB" w:rsidP="00EF49A7">
            <w:pPr>
              <w:jc w:val="right"/>
              <w:rPr>
                <w:rFonts w:cs="Arial"/>
                <w:color w:val="000000"/>
                <w:sz w:val="22"/>
                <w:szCs w:val="22"/>
              </w:rPr>
            </w:pPr>
            <w:r w:rsidRPr="00CB100F">
              <w:rPr>
                <w:rFonts w:cs="Arial"/>
                <w:color w:val="000000"/>
                <w:sz w:val="22"/>
                <w:szCs w:val="22"/>
              </w:rPr>
              <w:t>38</w:t>
            </w:r>
          </w:p>
        </w:tc>
        <w:tc>
          <w:tcPr>
            <w:tcW w:w="367" w:type="pct"/>
            <w:tcBorders>
              <w:top w:val="nil"/>
              <w:left w:val="nil"/>
              <w:bottom w:val="single" w:sz="4" w:space="0" w:color="000000"/>
              <w:right w:val="single" w:sz="4" w:space="0" w:color="000000"/>
            </w:tcBorders>
            <w:shd w:val="clear" w:color="auto" w:fill="auto"/>
            <w:noWrap/>
            <w:vAlign w:val="bottom"/>
          </w:tcPr>
          <w:p w14:paraId="7E688261" w14:textId="77777777" w:rsidR="00CE1BDB" w:rsidRPr="00CB100F" w:rsidRDefault="00CE1BDB" w:rsidP="00EF49A7">
            <w:pPr>
              <w:jc w:val="right"/>
              <w:rPr>
                <w:rFonts w:cs="Arial"/>
                <w:color w:val="000000"/>
                <w:sz w:val="22"/>
                <w:szCs w:val="22"/>
              </w:rPr>
            </w:pPr>
            <w:r w:rsidRPr="00CB100F">
              <w:rPr>
                <w:rFonts w:cs="Arial"/>
                <w:color w:val="000000"/>
                <w:sz w:val="22"/>
                <w:szCs w:val="22"/>
              </w:rPr>
              <w:t>20</w:t>
            </w:r>
          </w:p>
        </w:tc>
        <w:tc>
          <w:tcPr>
            <w:tcW w:w="367" w:type="pct"/>
            <w:tcBorders>
              <w:top w:val="nil"/>
              <w:left w:val="nil"/>
              <w:bottom w:val="single" w:sz="4" w:space="0" w:color="000000"/>
              <w:right w:val="single" w:sz="4" w:space="0" w:color="000000"/>
            </w:tcBorders>
            <w:shd w:val="clear" w:color="auto" w:fill="auto"/>
            <w:noWrap/>
            <w:vAlign w:val="bottom"/>
          </w:tcPr>
          <w:p w14:paraId="0A5EC205" w14:textId="77777777" w:rsidR="00CE1BDB" w:rsidRPr="00CB100F" w:rsidRDefault="00CE1BDB" w:rsidP="00EF49A7">
            <w:pPr>
              <w:jc w:val="right"/>
              <w:rPr>
                <w:rFonts w:cs="Arial"/>
                <w:color w:val="000000"/>
                <w:sz w:val="22"/>
                <w:szCs w:val="22"/>
              </w:rPr>
            </w:pPr>
            <w:r w:rsidRPr="00CB100F">
              <w:rPr>
                <w:rFonts w:cs="Arial"/>
                <w:color w:val="000000"/>
                <w:sz w:val="22"/>
                <w:szCs w:val="22"/>
              </w:rPr>
              <w:t>27</w:t>
            </w:r>
          </w:p>
        </w:tc>
        <w:tc>
          <w:tcPr>
            <w:tcW w:w="368" w:type="pct"/>
            <w:tcBorders>
              <w:top w:val="nil"/>
              <w:left w:val="nil"/>
              <w:bottom w:val="single" w:sz="4" w:space="0" w:color="000000"/>
              <w:right w:val="single" w:sz="4" w:space="0" w:color="000000"/>
            </w:tcBorders>
            <w:shd w:val="clear" w:color="auto" w:fill="auto"/>
            <w:noWrap/>
            <w:vAlign w:val="bottom"/>
          </w:tcPr>
          <w:p w14:paraId="7045FA2D" w14:textId="77777777" w:rsidR="00CE1BDB" w:rsidRPr="00CB100F" w:rsidRDefault="00CE1BDB" w:rsidP="00EF49A7">
            <w:pPr>
              <w:jc w:val="right"/>
              <w:rPr>
                <w:rFonts w:cs="Arial"/>
                <w:color w:val="000000"/>
                <w:sz w:val="22"/>
                <w:szCs w:val="22"/>
              </w:rPr>
            </w:pPr>
            <w:r w:rsidRPr="00CB100F">
              <w:rPr>
                <w:rFonts w:cs="Arial"/>
                <w:color w:val="000000"/>
                <w:sz w:val="22"/>
                <w:szCs w:val="22"/>
              </w:rPr>
              <w:t>73</w:t>
            </w:r>
          </w:p>
        </w:tc>
        <w:tc>
          <w:tcPr>
            <w:tcW w:w="367" w:type="pct"/>
            <w:tcBorders>
              <w:top w:val="nil"/>
              <w:left w:val="nil"/>
              <w:bottom w:val="single" w:sz="4" w:space="0" w:color="000000"/>
              <w:right w:val="single" w:sz="4" w:space="0" w:color="000000"/>
            </w:tcBorders>
            <w:shd w:val="clear" w:color="auto" w:fill="auto"/>
            <w:noWrap/>
            <w:vAlign w:val="bottom"/>
          </w:tcPr>
          <w:p w14:paraId="479B91AC" w14:textId="77777777" w:rsidR="00CE1BDB" w:rsidRPr="00CB100F" w:rsidRDefault="00CE1BDB" w:rsidP="00EF49A7">
            <w:pPr>
              <w:jc w:val="right"/>
              <w:rPr>
                <w:rFonts w:cs="Arial"/>
                <w:color w:val="000000"/>
                <w:sz w:val="22"/>
                <w:szCs w:val="22"/>
              </w:rPr>
            </w:pPr>
            <w:r w:rsidRPr="00CB100F">
              <w:rPr>
                <w:rFonts w:cs="Arial"/>
                <w:color w:val="000000"/>
                <w:sz w:val="22"/>
                <w:szCs w:val="22"/>
              </w:rPr>
              <w:t>73</w:t>
            </w:r>
          </w:p>
        </w:tc>
        <w:tc>
          <w:tcPr>
            <w:tcW w:w="367" w:type="pct"/>
            <w:tcBorders>
              <w:top w:val="nil"/>
              <w:left w:val="nil"/>
              <w:bottom w:val="single" w:sz="4" w:space="0" w:color="000000"/>
              <w:right w:val="single" w:sz="4" w:space="0" w:color="000000"/>
            </w:tcBorders>
            <w:shd w:val="clear" w:color="auto" w:fill="auto"/>
            <w:noWrap/>
            <w:vAlign w:val="bottom"/>
          </w:tcPr>
          <w:p w14:paraId="3630611B" w14:textId="77777777" w:rsidR="00CE1BDB" w:rsidRPr="00CB100F" w:rsidRDefault="00CE1BDB" w:rsidP="00EF49A7">
            <w:pPr>
              <w:jc w:val="right"/>
              <w:rPr>
                <w:rFonts w:cs="Arial"/>
                <w:color w:val="000000"/>
                <w:sz w:val="22"/>
                <w:szCs w:val="22"/>
              </w:rPr>
            </w:pPr>
            <w:r w:rsidRPr="00CB100F">
              <w:rPr>
                <w:rFonts w:cs="Arial"/>
                <w:color w:val="000000"/>
                <w:sz w:val="22"/>
                <w:szCs w:val="22"/>
              </w:rPr>
              <w:t>33</w:t>
            </w:r>
          </w:p>
        </w:tc>
        <w:tc>
          <w:tcPr>
            <w:tcW w:w="367" w:type="pct"/>
            <w:tcBorders>
              <w:top w:val="nil"/>
              <w:left w:val="nil"/>
              <w:bottom w:val="single" w:sz="4" w:space="0" w:color="000000"/>
              <w:right w:val="single" w:sz="4" w:space="0" w:color="000000"/>
            </w:tcBorders>
            <w:shd w:val="clear" w:color="auto" w:fill="auto"/>
            <w:noWrap/>
            <w:vAlign w:val="bottom"/>
          </w:tcPr>
          <w:p w14:paraId="790A18AE" w14:textId="77777777" w:rsidR="00CE1BDB" w:rsidRPr="00CB100F" w:rsidRDefault="00CE1BDB" w:rsidP="00EF49A7">
            <w:pPr>
              <w:jc w:val="right"/>
              <w:rPr>
                <w:rFonts w:cs="Arial"/>
                <w:color w:val="000000"/>
                <w:sz w:val="22"/>
                <w:szCs w:val="22"/>
              </w:rPr>
            </w:pPr>
            <w:r w:rsidRPr="00CB100F">
              <w:rPr>
                <w:rFonts w:cs="Arial"/>
                <w:color w:val="000000"/>
                <w:sz w:val="22"/>
                <w:szCs w:val="22"/>
              </w:rPr>
              <w:t>54</w:t>
            </w:r>
          </w:p>
        </w:tc>
        <w:tc>
          <w:tcPr>
            <w:tcW w:w="367" w:type="pct"/>
            <w:tcBorders>
              <w:top w:val="nil"/>
              <w:left w:val="nil"/>
              <w:bottom w:val="single" w:sz="4" w:space="0" w:color="000000"/>
              <w:right w:val="single" w:sz="4" w:space="0" w:color="000000"/>
            </w:tcBorders>
            <w:shd w:val="clear" w:color="auto" w:fill="auto"/>
            <w:noWrap/>
            <w:vAlign w:val="bottom"/>
          </w:tcPr>
          <w:p w14:paraId="1361BD2E" w14:textId="77777777" w:rsidR="00CE1BDB" w:rsidRPr="00CB100F" w:rsidRDefault="00CE1BDB" w:rsidP="00EF49A7">
            <w:pPr>
              <w:jc w:val="right"/>
              <w:rPr>
                <w:rFonts w:cs="Arial"/>
                <w:color w:val="000000"/>
                <w:sz w:val="22"/>
                <w:szCs w:val="22"/>
              </w:rPr>
            </w:pPr>
            <w:r w:rsidRPr="00CB100F">
              <w:rPr>
                <w:rFonts w:cs="Arial"/>
                <w:color w:val="000000"/>
                <w:sz w:val="22"/>
                <w:szCs w:val="22"/>
              </w:rPr>
              <w:t>0</w:t>
            </w:r>
          </w:p>
        </w:tc>
        <w:tc>
          <w:tcPr>
            <w:tcW w:w="358" w:type="pct"/>
            <w:tcBorders>
              <w:top w:val="nil"/>
              <w:left w:val="nil"/>
              <w:bottom w:val="single" w:sz="4" w:space="0" w:color="000000"/>
              <w:right w:val="single" w:sz="4" w:space="0" w:color="000000"/>
            </w:tcBorders>
            <w:shd w:val="clear" w:color="auto" w:fill="auto"/>
            <w:noWrap/>
            <w:vAlign w:val="bottom"/>
          </w:tcPr>
          <w:p w14:paraId="27A34BD4" w14:textId="77777777" w:rsidR="00CE1BDB" w:rsidRPr="00CB100F" w:rsidRDefault="00CE1BDB" w:rsidP="00EF49A7">
            <w:pPr>
              <w:jc w:val="right"/>
              <w:rPr>
                <w:rFonts w:cs="Arial"/>
                <w:color w:val="000000"/>
                <w:sz w:val="22"/>
                <w:szCs w:val="22"/>
              </w:rPr>
            </w:pPr>
            <w:r w:rsidRPr="00CB100F">
              <w:rPr>
                <w:rFonts w:cs="Arial"/>
                <w:color w:val="000000"/>
                <w:sz w:val="22"/>
                <w:szCs w:val="22"/>
              </w:rPr>
              <w:t>317</w:t>
            </w:r>
          </w:p>
        </w:tc>
        <w:tc>
          <w:tcPr>
            <w:tcW w:w="375" w:type="pct"/>
            <w:tcBorders>
              <w:top w:val="nil"/>
              <w:left w:val="nil"/>
              <w:bottom w:val="single" w:sz="4" w:space="0" w:color="000000"/>
              <w:right w:val="single" w:sz="4" w:space="0" w:color="000000"/>
            </w:tcBorders>
            <w:shd w:val="clear" w:color="auto" w:fill="auto"/>
            <w:noWrap/>
            <w:vAlign w:val="bottom"/>
          </w:tcPr>
          <w:p w14:paraId="3EA0CDBF" w14:textId="77777777" w:rsidR="00CE1BDB" w:rsidRPr="00CB100F" w:rsidRDefault="00CE1BDB" w:rsidP="00EF49A7">
            <w:pPr>
              <w:jc w:val="right"/>
              <w:rPr>
                <w:rFonts w:cs="Arial"/>
                <w:color w:val="000000"/>
                <w:sz w:val="22"/>
                <w:szCs w:val="22"/>
              </w:rPr>
            </w:pPr>
            <w:r w:rsidRPr="00CB100F">
              <w:rPr>
                <w:rFonts w:cs="Arial"/>
                <w:color w:val="000000"/>
                <w:sz w:val="22"/>
                <w:szCs w:val="22"/>
              </w:rPr>
              <w:t>0.3</w:t>
            </w:r>
          </w:p>
        </w:tc>
      </w:tr>
      <w:tr w:rsidR="00CE1BDB" w:rsidRPr="00CB100F" w14:paraId="21542785"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762F7E54" w14:textId="77777777" w:rsidR="00CE1BDB" w:rsidRPr="00CB100F" w:rsidRDefault="00CE1BDB" w:rsidP="00EF49A7">
            <w:pPr>
              <w:rPr>
                <w:rFonts w:cs="Arial"/>
                <w:color w:val="000000"/>
                <w:sz w:val="22"/>
                <w:szCs w:val="22"/>
              </w:rPr>
            </w:pPr>
            <w:r w:rsidRPr="00CB100F">
              <w:rPr>
                <w:rFonts w:cs="Arial"/>
                <w:color w:val="000000"/>
                <w:sz w:val="22"/>
                <w:szCs w:val="22"/>
              </w:rPr>
              <w:t>4 or more-bedroom house</w:t>
            </w:r>
          </w:p>
        </w:tc>
        <w:tc>
          <w:tcPr>
            <w:tcW w:w="367" w:type="pct"/>
            <w:tcBorders>
              <w:top w:val="nil"/>
              <w:left w:val="nil"/>
              <w:bottom w:val="single" w:sz="4" w:space="0" w:color="000000"/>
              <w:right w:val="single" w:sz="4" w:space="0" w:color="000000"/>
            </w:tcBorders>
            <w:shd w:val="clear" w:color="auto" w:fill="auto"/>
            <w:noWrap/>
            <w:vAlign w:val="bottom"/>
          </w:tcPr>
          <w:p w14:paraId="170E4D49" w14:textId="77777777" w:rsidR="00CE1BDB" w:rsidRPr="00CB100F" w:rsidRDefault="00CE1BDB" w:rsidP="00EF49A7">
            <w:pPr>
              <w:jc w:val="right"/>
              <w:rPr>
                <w:rFonts w:cs="Arial"/>
                <w:color w:val="000000"/>
                <w:sz w:val="22"/>
                <w:szCs w:val="22"/>
              </w:rPr>
            </w:pPr>
            <w:r w:rsidRPr="00CB100F">
              <w:rPr>
                <w:rFonts w:cs="Arial"/>
                <w:color w:val="000000"/>
                <w:sz w:val="22"/>
                <w:szCs w:val="22"/>
              </w:rPr>
              <w:t>168</w:t>
            </w:r>
          </w:p>
        </w:tc>
        <w:tc>
          <w:tcPr>
            <w:tcW w:w="367" w:type="pct"/>
            <w:tcBorders>
              <w:top w:val="nil"/>
              <w:left w:val="nil"/>
              <w:bottom w:val="single" w:sz="4" w:space="0" w:color="000000"/>
              <w:right w:val="single" w:sz="4" w:space="0" w:color="000000"/>
            </w:tcBorders>
            <w:shd w:val="clear" w:color="auto" w:fill="auto"/>
            <w:noWrap/>
            <w:vAlign w:val="bottom"/>
          </w:tcPr>
          <w:p w14:paraId="1AB7AB3C" w14:textId="77777777" w:rsidR="00CE1BDB" w:rsidRPr="00CB100F" w:rsidRDefault="00CE1BDB" w:rsidP="00EF49A7">
            <w:pPr>
              <w:jc w:val="right"/>
              <w:rPr>
                <w:rFonts w:cs="Arial"/>
                <w:color w:val="000000"/>
                <w:sz w:val="22"/>
                <w:szCs w:val="22"/>
              </w:rPr>
            </w:pPr>
            <w:r w:rsidRPr="00CB100F">
              <w:rPr>
                <w:rFonts w:cs="Arial"/>
                <w:color w:val="000000"/>
                <w:sz w:val="22"/>
                <w:szCs w:val="22"/>
              </w:rPr>
              <w:t>1,724</w:t>
            </w:r>
          </w:p>
        </w:tc>
        <w:tc>
          <w:tcPr>
            <w:tcW w:w="367" w:type="pct"/>
            <w:tcBorders>
              <w:top w:val="nil"/>
              <w:left w:val="nil"/>
              <w:bottom w:val="single" w:sz="4" w:space="0" w:color="000000"/>
              <w:right w:val="single" w:sz="4" w:space="0" w:color="000000"/>
            </w:tcBorders>
            <w:shd w:val="clear" w:color="auto" w:fill="auto"/>
            <w:noWrap/>
            <w:vAlign w:val="bottom"/>
          </w:tcPr>
          <w:p w14:paraId="1330DBBD" w14:textId="77777777" w:rsidR="00CE1BDB" w:rsidRPr="00CB100F" w:rsidRDefault="00CE1BDB" w:rsidP="00EF49A7">
            <w:pPr>
              <w:jc w:val="right"/>
              <w:rPr>
                <w:rFonts w:cs="Arial"/>
                <w:color w:val="000000"/>
                <w:sz w:val="22"/>
                <w:szCs w:val="22"/>
              </w:rPr>
            </w:pPr>
            <w:r w:rsidRPr="00CB100F">
              <w:rPr>
                <w:rFonts w:cs="Arial"/>
                <w:color w:val="000000"/>
                <w:sz w:val="22"/>
                <w:szCs w:val="22"/>
              </w:rPr>
              <w:t>6,360</w:t>
            </w:r>
          </w:p>
        </w:tc>
        <w:tc>
          <w:tcPr>
            <w:tcW w:w="368" w:type="pct"/>
            <w:tcBorders>
              <w:top w:val="nil"/>
              <w:left w:val="nil"/>
              <w:bottom w:val="single" w:sz="4" w:space="0" w:color="000000"/>
              <w:right w:val="single" w:sz="4" w:space="0" w:color="000000"/>
            </w:tcBorders>
            <w:shd w:val="clear" w:color="auto" w:fill="auto"/>
            <w:noWrap/>
            <w:vAlign w:val="bottom"/>
          </w:tcPr>
          <w:p w14:paraId="546AAB50" w14:textId="77777777" w:rsidR="00CE1BDB" w:rsidRPr="00CB100F" w:rsidRDefault="00CE1BDB" w:rsidP="00EF49A7">
            <w:pPr>
              <w:jc w:val="right"/>
              <w:rPr>
                <w:rFonts w:cs="Arial"/>
                <w:color w:val="000000"/>
                <w:sz w:val="22"/>
                <w:szCs w:val="22"/>
              </w:rPr>
            </w:pPr>
            <w:r w:rsidRPr="00CB100F">
              <w:rPr>
                <w:rFonts w:cs="Arial"/>
                <w:color w:val="000000"/>
                <w:sz w:val="22"/>
                <w:szCs w:val="22"/>
              </w:rPr>
              <w:t>8,221</w:t>
            </w:r>
          </w:p>
        </w:tc>
        <w:tc>
          <w:tcPr>
            <w:tcW w:w="367" w:type="pct"/>
            <w:tcBorders>
              <w:top w:val="nil"/>
              <w:left w:val="nil"/>
              <w:bottom w:val="single" w:sz="4" w:space="0" w:color="000000"/>
              <w:right w:val="single" w:sz="4" w:space="0" w:color="000000"/>
            </w:tcBorders>
            <w:shd w:val="clear" w:color="auto" w:fill="auto"/>
            <w:noWrap/>
            <w:vAlign w:val="bottom"/>
          </w:tcPr>
          <w:p w14:paraId="1B3B0B1C" w14:textId="77777777" w:rsidR="00CE1BDB" w:rsidRPr="00CB100F" w:rsidRDefault="00CE1BDB" w:rsidP="00EF49A7">
            <w:pPr>
              <w:jc w:val="right"/>
              <w:rPr>
                <w:rFonts w:cs="Arial"/>
                <w:color w:val="000000"/>
                <w:sz w:val="22"/>
                <w:szCs w:val="22"/>
              </w:rPr>
            </w:pPr>
            <w:r w:rsidRPr="00CB100F">
              <w:rPr>
                <w:rFonts w:cs="Arial"/>
                <w:color w:val="000000"/>
                <w:sz w:val="22"/>
                <w:szCs w:val="22"/>
              </w:rPr>
              <w:t>5,619</w:t>
            </w:r>
          </w:p>
        </w:tc>
        <w:tc>
          <w:tcPr>
            <w:tcW w:w="367" w:type="pct"/>
            <w:tcBorders>
              <w:top w:val="nil"/>
              <w:left w:val="nil"/>
              <w:bottom w:val="single" w:sz="4" w:space="0" w:color="000000"/>
              <w:right w:val="single" w:sz="4" w:space="0" w:color="000000"/>
            </w:tcBorders>
            <w:shd w:val="clear" w:color="auto" w:fill="auto"/>
            <w:noWrap/>
            <w:vAlign w:val="bottom"/>
          </w:tcPr>
          <w:p w14:paraId="4325EBFE" w14:textId="77777777" w:rsidR="00CE1BDB" w:rsidRPr="00CB100F" w:rsidRDefault="00CE1BDB" w:rsidP="00EF49A7">
            <w:pPr>
              <w:jc w:val="right"/>
              <w:rPr>
                <w:rFonts w:cs="Arial"/>
                <w:color w:val="000000"/>
                <w:sz w:val="22"/>
                <w:szCs w:val="22"/>
              </w:rPr>
            </w:pPr>
            <w:r w:rsidRPr="00CB100F">
              <w:rPr>
                <w:rFonts w:cs="Arial"/>
                <w:color w:val="000000"/>
                <w:sz w:val="22"/>
                <w:szCs w:val="22"/>
              </w:rPr>
              <w:t>4,032</w:t>
            </w:r>
          </w:p>
        </w:tc>
        <w:tc>
          <w:tcPr>
            <w:tcW w:w="367" w:type="pct"/>
            <w:tcBorders>
              <w:top w:val="nil"/>
              <w:left w:val="nil"/>
              <w:bottom w:val="single" w:sz="4" w:space="0" w:color="000000"/>
              <w:right w:val="single" w:sz="4" w:space="0" w:color="000000"/>
            </w:tcBorders>
            <w:shd w:val="clear" w:color="auto" w:fill="auto"/>
            <w:noWrap/>
            <w:vAlign w:val="bottom"/>
          </w:tcPr>
          <w:p w14:paraId="20DB394E" w14:textId="77777777" w:rsidR="00CE1BDB" w:rsidRPr="00CB100F" w:rsidRDefault="00CE1BDB" w:rsidP="00EF49A7">
            <w:pPr>
              <w:jc w:val="right"/>
              <w:rPr>
                <w:rFonts w:cs="Arial"/>
                <w:color w:val="000000"/>
                <w:sz w:val="22"/>
                <w:szCs w:val="22"/>
              </w:rPr>
            </w:pPr>
            <w:r w:rsidRPr="00CB100F">
              <w:rPr>
                <w:rFonts w:cs="Arial"/>
                <w:color w:val="000000"/>
                <w:sz w:val="22"/>
                <w:szCs w:val="22"/>
              </w:rPr>
              <w:t>2,385</w:t>
            </w:r>
          </w:p>
        </w:tc>
        <w:tc>
          <w:tcPr>
            <w:tcW w:w="367" w:type="pct"/>
            <w:tcBorders>
              <w:top w:val="nil"/>
              <w:left w:val="nil"/>
              <w:bottom w:val="single" w:sz="4" w:space="0" w:color="000000"/>
              <w:right w:val="single" w:sz="4" w:space="0" w:color="000000"/>
            </w:tcBorders>
            <w:shd w:val="clear" w:color="auto" w:fill="auto"/>
            <w:noWrap/>
            <w:vAlign w:val="bottom"/>
          </w:tcPr>
          <w:p w14:paraId="15322A7F" w14:textId="77777777" w:rsidR="00CE1BDB" w:rsidRPr="00CB100F" w:rsidRDefault="00CE1BDB" w:rsidP="00EF49A7">
            <w:pPr>
              <w:jc w:val="right"/>
              <w:rPr>
                <w:rFonts w:cs="Arial"/>
                <w:color w:val="000000"/>
                <w:sz w:val="22"/>
                <w:szCs w:val="22"/>
              </w:rPr>
            </w:pPr>
            <w:r w:rsidRPr="00CB100F">
              <w:rPr>
                <w:rFonts w:cs="Arial"/>
                <w:color w:val="000000"/>
                <w:sz w:val="22"/>
                <w:szCs w:val="22"/>
              </w:rPr>
              <w:t>278</w:t>
            </w:r>
          </w:p>
        </w:tc>
        <w:tc>
          <w:tcPr>
            <w:tcW w:w="358" w:type="pct"/>
            <w:tcBorders>
              <w:top w:val="nil"/>
              <w:left w:val="nil"/>
              <w:bottom w:val="single" w:sz="4" w:space="0" w:color="000000"/>
              <w:right w:val="single" w:sz="4" w:space="0" w:color="000000"/>
            </w:tcBorders>
            <w:shd w:val="clear" w:color="auto" w:fill="auto"/>
            <w:noWrap/>
            <w:vAlign w:val="bottom"/>
          </w:tcPr>
          <w:p w14:paraId="409516B7" w14:textId="77777777" w:rsidR="00CE1BDB" w:rsidRPr="00CB100F" w:rsidRDefault="00CE1BDB" w:rsidP="00EF49A7">
            <w:pPr>
              <w:jc w:val="right"/>
              <w:rPr>
                <w:rFonts w:cs="Arial"/>
                <w:color w:val="000000"/>
                <w:sz w:val="22"/>
                <w:szCs w:val="22"/>
              </w:rPr>
            </w:pPr>
            <w:r w:rsidRPr="00CB100F">
              <w:rPr>
                <w:rFonts w:cs="Arial"/>
                <w:color w:val="000000"/>
                <w:sz w:val="22"/>
                <w:szCs w:val="22"/>
              </w:rPr>
              <w:t>28,786</w:t>
            </w:r>
          </w:p>
        </w:tc>
        <w:tc>
          <w:tcPr>
            <w:tcW w:w="375" w:type="pct"/>
            <w:tcBorders>
              <w:top w:val="nil"/>
              <w:left w:val="nil"/>
              <w:bottom w:val="single" w:sz="4" w:space="0" w:color="000000"/>
              <w:right w:val="single" w:sz="4" w:space="0" w:color="000000"/>
            </w:tcBorders>
            <w:shd w:val="clear" w:color="auto" w:fill="auto"/>
            <w:noWrap/>
            <w:vAlign w:val="bottom"/>
          </w:tcPr>
          <w:p w14:paraId="32953662" w14:textId="77777777" w:rsidR="00CE1BDB" w:rsidRPr="00CB100F" w:rsidRDefault="00CE1BDB" w:rsidP="00EF49A7">
            <w:pPr>
              <w:jc w:val="right"/>
              <w:rPr>
                <w:rFonts w:cs="Arial"/>
                <w:color w:val="000000"/>
                <w:sz w:val="22"/>
                <w:szCs w:val="22"/>
              </w:rPr>
            </w:pPr>
            <w:r w:rsidRPr="00CB100F">
              <w:rPr>
                <w:rFonts w:cs="Arial"/>
                <w:color w:val="000000"/>
                <w:sz w:val="22"/>
                <w:szCs w:val="22"/>
              </w:rPr>
              <w:t>24.0</w:t>
            </w:r>
          </w:p>
        </w:tc>
      </w:tr>
      <w:tr w:rsidR="00CE1BDB" w:rsidRPr="00CB100F" w14:paraId="004C8FC7" w14:textId="77777777" w:rsidTr="00CB100F">
        <w:trPr>
          <w:trHeight w:val="347"/>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347CCB98" w14:textId="77777777" w:rsidR="00CE1BDB" w:rsidRPr="00CB100F" w:rsidRDefault="00CE1BDB" w:rsidP="00EF49A7">
            <w:pPr>
              <w:rPr>
                <w:rFonts w:cs="Arial"/>
                <w:color w:val="000000"/>
                <w:sz w:val="22"/>
                <w:szCs w:val="22"/>
              </w:rPr>
            </w:pPr>
            <w:r w:rsidRPr="00CB100F">
              <w:rPr>
                <w:rFonts w:cs="Arial"/>
                <w:color w:val="000000"/>
                <w:sz w:val="22"/>
                <w:szCs w:val="22"/>
              </w:rPr>
              <w:t>Total</w:t>
            </w:r>
          </w:p>
        </w:tc>
        <w:tc>
          <w:tcPr>
            <w:tcW w:w="367" w:type="pct"/>
            <w:tcBorders>
              <w:top w:val="nil"/>
              <w:left w:val="nil"/>
              <w:bottom w:val="single" w:sz="4" w:space="0" w:color="000000"/>
              <w:right w:val="single" w:sz="4" w:space="0" w:color="000000"/>
            </w:tcBorders>
            <w:shd w:val="clear" w:color="auto" w:fill="auto"/>
            <w:noWrap/>
            <w:vAlign w:val="bottom"/>
          </w:tcPr>
          <w:p w14:paraId="329B5B7D" w14:textId="77777777" w:rsidR="00CE1BDB" w:rsidRPr="00CB100F" w:rsidRDefault="00CE1BDB" w:rsidP="00EF49A7">
            <w:pPr>
              <w:jc w:val="right"/>
              <w:rPr>
                <w:rFonts w:cs="Arial"/>
                <w:color w:val="000000"/>
                <w:sz w:val="22"/>
                <w:szCs w:val="22"/>
              </w:rPr>
            </w:pPr>
            <w:r w:rsidRPr="00CB100F">
              <w:rPr>
                <w:rFonts w:cs="Arial"/>
                <w:color w:val="000000"/>
                <w:sz w:val="22"/>
                <w:szCs w:val="22"/>
              </w:rPr>
              <w:t>3,512</w:t>
            </w:r>
          </w:p>
        </w:tc>
        <w:tc>
          <w:tcPr>
            <w:tcW w:w="367" w:type="pct"/>
            <w:tcBorders>
              <w:top w:val="nil"/>
              <w:left w:val="nil"/>
              <w:bottom w:val="single" w:sz="4" w:space="0" w:color="000000"/>
              <w:right w:val="single" w:sz="4" w:space="0" w:color="000000"/>
            </w:tcBorders>
            <w:shd w:val="clear" w:color="auto" w:fill="auto"/>
            <w:noWrap/>
            <w:vAlign w:val="bottom"/>
          </w:tcPr>
          <w:p w14:paraId="0D119903" w14:textId="77777777" w:rsidR="00CE1BDB" w:rsidRPr="00CB100F" w:rsidRDefault="00CE1BDB" w:rsidP="00EF49A7">
            <w:pPr>
              <w:jc w:val="right"/>
              <w:rPr>
                <w:rFonts w:cs="Arial"/>
                <w:color w:val="000000"/>
                <w:sz w:val="22"/>
                <w:szCs w:val="22"/>
              </w:rPr>
            </w:pPr>
            <w:r w:rsidRPr="00CB100F">
              <w:rPr>
                <w:rFonts w:cs="Arial"/>
                <w:color w:val="000000"/>
                <w:sz w:val="22"/>
                <w:szCs w:val="22"/>
              </w:rPr>
              <w:t>14,151</w:t>
            </w:r>
          </w:p>
        </w:tc>
        <w:tc>
          <w:tcPr>
            <w:tcW w:w="367" w:type="pct"/>
            <w:tcBorders>
              <w:top w:val="nil"/>
              <w:left w:val="nil"/>
              <w:bottom w:val="single" w:sz="4" w:space="0" w:color="000000"/>
              <w:right w:val="single" w:sz="4" w:space="0" w:color="000000"/>
            </w:tcBorders>
            <w:shd w:val="clear" w:color="auto" w:fill="auto"/>
            <w:noWrap/>
            <w:vAlign w:val="bottom"/>
          </w:tcPr>
          <w:p w14:paraId="7727D051" w14:textId="77777777" w:rsidR="00CE1BDB" w:rsidRPr="00CB100F" w:rsidRDefault="00CE1BDB" w:rsidP="00EF49A7">
            <w:pPr>
              <w:jc w:val="right"/>
              <w:rPr>
                <w:rFonts w:cs="Arial"/>
                <w:color w:val="000000"/>
                <w:sz w:val="22"/>
                <w:szCs w:val="22"/>
              </w:rPr>
            </w:pPr>
            <w:r w:rsidRPr="00CB100F">
              <w:rPr>
                <w:rFonts w:cs="Arial"/>
                <w:color w:val="000000"/>
                <w:sz w:val="22"/>
                <w:szCs w:val="22"/>
              </w:rPr>
              <w:t>20,378</w:t>
            </w:r>
          </w:p>
        </w:tc>
        <w:tc>
          <w:tcPr>
            <w:tcW w:w="368" w:type="pct"/>
            <w:tcBorders>
              <w:top w:val="nil"/>
              <w:left w:val="nil"/>
              <w:bottom w:val="single" w:sz="4" w:space="0" w:color="000000"/>
              <w:right w:val="single" w:sz="4" w:space="0" w:color="000000"/>
            </w:tcBorders>
            <w:shd w:val="clear" w:color="auto" w:fill="auto"/>
            <w:noWrap/>
            <w:vAlign w:val="bottom"/>
          </w:tcPr>
          <w:p w14:paraId="4D6FB786" w14:textId="77777777" w:rsidR="00CE1BDB" w:rsidRPr="00CB100F" w:rsidRDefault="00CE1BDB" w:rsidP="00EF49A7">
            <w:pPr>
              <w:jc w:val="right"/>
              <w:rPr>
                <w:rFonts w:cs="Arial"/>
                <w:color w:val="000000"/>
                <w:sz w:val="22"/>
                <w:szCs w:val="22"/>
              </w:rPr>
            </w:pPr>
            <w:r w:rsidRPr="00CB100F">
              <w:rPr>
                <w:rFonts w:cs="Arial"/>
                <w:color w:val="000000"/>
                <w:sz w:val="22"/>
                <w:szCs w:val="22"/>
              </w:rPr>
              <w:t>23,980</w:t>
            </w:r>
          </w:p>
        </w:tc>
        <w:tc>
          <w:tcPr>
            <w:tcW w:w="367" w:type="pct"/>
            <w:tcBorders>
              <w:top w:val="nil"/>
              <w:left w:val="nil"/>
              <w:bottom w:val="single" w:sz="4" w:space="0" w:color="000000"/>
              <w:right w:val="single" w:sz="4" w:space="0" w:color="000000"/>
            </w:tcBorders>
            <w:shd w:val="clear" w:color="auto" w:fill="auto"/>
            <w:noWrap/>
            <w:vAlign w:val="bottom"/>
          </w:tcPr>
          <w:p w14:paraId="51E07282" w14:textId="77777777" w:rsidR="00CE1BDB" w:rsidRPr="00CB100F" w:rsidRDefault="00CE1BDB" w:rsidP="00EF49A7">
            <w:pPr>
              <w:jc w:val="right"/>
              <w:rPr>
                <w:rFonts w:cs="Arial"/>
                <w:color w:val="000000"/>
                <w:sz w:val="22"/>
                <w:szCs w:val="22"/>
              </w:rPr>
            </w:pPr>
            <w:r w:rsidRPr="00CB100F">
              <w:rPr>
                <w:rFonts w:cs="Arial"/>
                <w:color w:val="000000"/>
                <w:sz w:val="22"/>
                <w:szCs w:val="22"/>
              </w:rPr>
              <w:t>19,302</w:t>
            </w:r>
          </w:p>
        </w:tc>
        <w:tc>
          <w:tcPr>
            <w:tcW w:w="367" w:type="pct"/>
            <w:tcBorders>
              <w:top w:val="nil"/>
              <w:left w:val="nil"/>
              <w:bottom w:val="single" w:sz="4" w:space="0" w:color="000000"/>
              <w:right w:val="single" w:sz="4" w:space="0" w:color="000000"/>
            </w:tcBorders>
            <w:shd w:val="clear" w:color="auto" w:fill="auto"/>
            <w:noWrap/>
            <w:vAlign w:val="bottom"/>
          </w:tcPr>
          <w:p w14:paraId="2A95D579" w14:textId="77777777" w:rsidR="00CE1BDB" w:rsidRPr="00CB100F" w:rsidRDefault="00CE1BDB" w:rsidP="00EF49A7">
            <w:pPr>
              <w:jc w:val="right"/>
              <w:rPr>
                <w:rFonts w:cs="Arial"/>
                <w:color w:val="000000"/>
                <w:sz w:val="22"/>
                <w:szCs w:val="22"/>
              </w:rPr>
            </w:pPr>
            <w:r w:rsidRPr="00CB100F">
              <w:rPr>
                <w:rFonts w:cs="Arial"/>
                <w:color w:val="000000"/>
                <w:sz w:val="22"/>
                <w:szCs w:val="22"/>
              </w:rPr>
              <w:t>17,586</w:t>
            </w:r>
          </w:p>
        </w:tc>
        <w:tc>
          <w:tcPr>
            <w:tcW w:w="367" w:type="pct"/>
            <w:tcBorders>
              <w:top w:val="nil"/>
              <w:left w:val="nil"/>
              <w:bottom w:val="single" w:sz="4" w:space="0" w:color="000000"/>
              <w:right w:val="single" w:sz="4" w:space="0" w:color="000000"/>
            </w:tcBorders>
            <w:shd w:val="clear" w:color="auto" w:fill="auto"/>
            <w:noWrap/>
            <w:vAlign w:val="bottom"/>
          </w:tcPr>
          <w:p w14:paraId="512B3A2E" w14:textId="77777777" w:rsidR="00CE1BDB" w:rsidRPr="00CB100F" w:rsidRDefault="00CE1BDB" w:rsidP="00EF49A7">
            <w:pPr>
              <w:jc w:val="right"/>
              <w:rPr>
                <w:rFonts w:cs="Arial"/>
                <w:color w:val="000000"/>
                <w:sz w:val="22"/>
                <w:szCs w:val="22"/>
              </w:rPr>
            </w:pPr>
            <w:r w:rsidRPr="00CB100F">
              <w:rPr>
                <w:rFonts w:cs="Arial"/>
                <w:color w:val="000000"/>
                <w:sz w:val="22"/>
                <w:szCs w:val="22"/>
              </w:rPr>
              <w:t>14,330</w:t>
            </w:r>
          </w:p>
        </w:tc>
        <w:tc>
          <w:tcPr>
            <w:tcW w:w="367" w:type="pct"/>
            <w:tcBorders>
              <w:top w:val="nil"/>
              <w:left w:val="nil"/>
              <w:bottom w:val="single" w:sz="4" w:space="0" w:color="000000"/>
              <w:right w:val="single" w:sz="4" w:space="0" w:color="000000"/>
            </w:tcBorders>
            <w:shd w:val="clear" w:color="auto" w:fill="auto"/>
            <w:noWrap/>
            <w:vAlign w:val="bottom"/>
          </w:tcPr>
          <w:p w14:paraId="0263CB89" w14:textId="77777777" w:rsidR="00CE1BDB" w:rsidRPr="00CB100F" w:rsidRDefault="00CE1BDB" w:rsidP="00EF49A7">
            <w:pPr>
              <w:jc w:val="right"/>
              <w:rPr>
                <w:rFonts w:cs="Arial"/>
                <w:color w:val="000000"/>
                <w:sz w:val="22"/>
                <w:szCs w:val="22"/>
              </w:rPr>
            </w:pPr>
            <w:r w:rsidRPr="00CB100F">
              <w:rPr>
                <w:rFonts w:cs="Arial"/>
                <w:color w:val="000000"/>
                <w:sz w:val="22"/>
                <w:szCs w:val="22"/>
              </w:rPr>
              <w:t>6,538</w:t>
            </w:r>
          </w:p>
        </w:tc>
        <w:tc>
          <w:tcPr>
            <w:tcW w:w="358" w:type="pct"/>
            <w:tcBorders>
              <w:top w:val="nil"/>
              <w:left w:val="nil"/>
              <w:bottom w:val="single" w:sz="4" w:space="0" w:color="000000"/>
              <w:right w:val="single" w:sz="4" w:space="0" w:color="000000"/>
            </w:tcBorders>
            <w:shd w:val="clear" w:color="auto" w:fill="auto"/>
            <w:noWrap/>
            <w:vAlign w:val="bottom"/>
          </w:tcPr>
          <w:p w14:paraId="4983EB8F" w14:textId="77777777" w:rsidR="00CE1BDB" w:rsidRPr="00CB100F" w:rsidRDefault="00CE1BDB" w:rsidP="00EF49A7">
            <w:pPr>
              <w:jc w:val="right"/>
              <w:rPr>
                <w:rFonts w:cs="Arial"/>
                <w:color w:val="000000"/>
                <w:sz w:val="22"/>
                <w:szCs w:val="22"/>
              </w:rPr>
            </w:pPr>
            <w:r w:rsidRPr="00CB100F">
              <w:rPr>
                <w:rFonts w:cs="Arial"/>
                <w:color w:val="000000"/>
                <w:sz w:val="22"/>
                <w:szCs w:val="22"/>
              </w:rPr>
              <w:t>119,779</w:t>
            </w:r>
          </w:p>
        </w:tc>
        <w:tc>
          <w:tcPr>
            <w:tcW w:w="375" w:type="pct"/>
            <w:tcBorders>
              <w:top w:val="nil"/>
              <w:left w:val="nil"/>
              <w:bottom w:val="single" w:sz="4" w:space="0" w:color="000000"/>
              <w:right w:val="single" w:sz="4" w:space="0" w:color="000000"/>
            </w:tcBorders>
            <w:shd w:val="clear" w:color="auto" w:fill="auto"/>
            <w:noWrap/>
            <w:vAlign w:val="bottom"/>
          </w:tcPr>
          <w:p w14:paraId="64F0ADE8" w14:textId="77777777" w:rsidR="00CE1BDB" w:rsidRPr="00CB100F" w:rsidRDefault="00CE1BDB" w:rsidP="00EF49A7">
            <w:pPr>
              <w:jc w:val="right"/>
              <w:rPr>
                <w:rFonts w:cs="Arial"/>
                <w:color w:val="000000"/>
                <w:sz w:val="22"/>
                <w:szCs w:val="22"/>
              </w:rPr>
            </w:pPr>
            <w:r w:rsidRPr="00CB100F">
              <w:rPr>
                <w:rFonts w:cs="Arial"/>
                <w:color w:val="000000"/>
                <w:sz w:val="22"/>
                <w:szCs w:val="22"/>
              </w:rPr>
              <w:t>100.0</w:t>
            </w:r>
          </w:p>
        </w:tc>
      </w:tr>
      <w:tr w:rsidR="00CB100F" w:rsidRPr="00CB100F" w14:paraId="745BE848" w14:textId="77777777" w:rsidTr="001302D0">
        <w:trPr>
          <w:trHeight w:val="325"/>
        </w:trPr>
        <w:tc>
          <w:tcPr>
            <w:tcW w:w="1330" w:type="pct"/>
            <w:vMerge w:val="restart"/>
            <w:tcBorders>
              <w:top w:val="nil"/>
              <w:left w:val="single" w:sz="4" w:space="0" w:color="000000"/>
              <w:right w:val="single" w:sz="4" w:space="0" w:color="000000"/>
            </w:tcBorders>
            <w:shd w:val="clear" w:color="auto" w:fill="006666"/>
            <w:noWrap/>
            <w:vAlign w:val="bottom"/>
            <w:hideMark/>
          </w:tcPr>
          <w:p w14:paraId="14346763" w14:textId="4F3BD9A8" w:rsidR="00CB100F" w:rsidRPr="00CB100F" w:rsidRDefault="00CB100F" w:rsidP="00CB100F">
            <w:pPr>
              <w:rPr>
                <w:rFonts w:cs="Arial"/>
                <w:b/>
                <w:bCs/>
                <w:color w:val="FFFFFF"/>
                <w:sz w:val="22"/>
                <w:szCs w:val="22"/>
              </w:rPr>
            </w:pPr>
            <w:r w:rsidRPr="00CB100F">
              <w:rPr>
                <w:rFonts w:cs="Arial"/>
                <w:b/>
                <w:bCs/>
                <w:color w:val="FFFFFF"/>
                <w:sz w:val="22"/>
                <w:szCs w:val="22"/>
              </w:rPr>
              <w:t>Number of bedrooms</w:t>
            </w:r>
          </w:p>
        </w:tc>
        <w:tc>
          <w:tcPr>
            <w:tcW w:w="3670" w:type="pct"/>
            <w:gridSpan w:val="10"/>
            <w:tcBorders>
              <w:top w:val="single" w:sz="4" w:space="0" w:color="000000"/>
              <w:left w:val="single" w:sz="4" w:space="0" w:color="000000"/>
              <w:bottom w:val="single" w:sz="4" w:space="0" w:color="000000"/>
              <w:right w:val="single" w:sz="4" w:space="0" w:color="000000"/>
            </w:tcBorders>
            <w:shd w:val="clear" w:color="auto" w:fill="006666"/>
            <w:noWrap/>
            <w:vAlign w:val="bottom"/>
            <w:hideMark/>
          </w:tcPr>
          <w:p w14:paraId="396F0D3E" w14:textId="77777777" w:rsidR="00CB100F" w:rsidRPr="00CB100F" w:rsidRDefault="00CB100F" w:rsidP="00CB100F">
            <w:pPr>
              <w:jc w:val="center"/>
              <w:rPr>
                <w:rFonts w:cs="Arial"/>
                <w:b/>
                <w:bCs/>
                <w:color w:val="FFFFFF"/>
                <w:sz w:val="22"/>
                <w:szCs w:val="22"/>
              </w:rPr>
            </w:pPr>
            <w:r w:rsidRPr="00CB100F">
              <w:rPr>
                <w:rFonts w:cs="Arial"/>
                <w:b/>
                <w:bCs/>
                <w:color w:val="FFFFFF"/>
                <w:sz w:val="22"/>
                <w:szCs w:val="22"/>
              </w:rPr>
              <w:t>Age group of Household Reference Person</w:t>
            </w:r>
          </w:p>
        </w:tc>
      </w:tr>
      <w:tr w:rsidR="00CB100F" w:rsidRPr="00CB100F" w14:paraId="5976FE56" w14:textId="77777777" w:rsidTr="001302D0">
        <w:trPr>
          <w:trHeight w:val="325"/>
        </w:trPr>
        <w:tc>
          <w:tcPr>
            <w:tcW w:w="1330" w:type="pct"/>
            <w:vMerge/>
            <w:tcBorders>
              <w:left w:val="single" w:sz="4" w:space="0" w:color="000000"/>
              <w:bottom w:val="single" w:sz="4" w:space="0" w:color="000000"/>
              <w:right w:val="single" w:sz="4" w:space="0" w:color="000000"/>
            </w:tcBorders>
            <w:shd w:val="clear" w:color="auto" w:fill="006666"/>
            <w:noWrap/>
            <w:vAlign w:val="bottom"/>
            <w:hideMark/>
          </w:tcPr>
          <w:p w14:paraId="04EAFFA1" w14:textId="6D412A72" w:rsidR="00CB100F" w:rsidRPr="00CB100F" w:rsidRDefault="00CB100F" w:rsidP="00EF49A7">
            <w:pPr>
              <w:rPr>
                <w:rFonts w:cs="Arial"/>
                <w:b/>
                <w:bCs/>
                <w:color w:val="FFFFFF"/>
                <w:sz w:val="22"/>
                <w:szCs w:val="22"/>
              </w:rPr>
            </w:pPr>
          </w:p>
        </w:tc>
        <w:tc>
          <w:tcPr>
            <w:tcW w:w="367" w:type="pct"/>
            <w:tcBorders>
              <w:top w:val="nil"/>
              <w:left w:val="nil"/>
              <w:bottom w:val="single" w:sz="4" w:space="0" w:color="000000"/>
              <w:right w:val="single" w:sz="4" w:space="0" w:color="000000"/>
            </w:tcBorders>
            <w:shd w:val="clear" w:color="auto" w:fill="006666"/>
            <w:noWrap/>
            <w:vAlign w:val="bottom"/>
            <w:hideMark/>
          </w:tcPr>
          <w:p w14:paraId="465D8580"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15-24</w:t>
            </w:r>
          </w:p>
        </w:tc>
        <w:tc>
          <w:tcPr>
            <w:tcW w:w="367" w:type="pct"/>
            <w:tcBorders>
              <w:top w:val="nil"/>
              <w:left w:val="nil"/>
              <w:bottom w:val="single" w:sz="4" w:space="0" w:color="000000"/>
              <w:right w:val="single" w:sz="4" w:space="0" w:color="000000"/>
            </w:tcBorders>
            <w:shd w:val="clear" w:color="auto" w:fill="006666"/>
            <w:noWrap/>
            <w:vAlign w:val="bottom"/>
            <w:hideMark/>
          </w:tcPr>
          <w:p w14:paraId="0CD75A51"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25-34</w:t>
            </w:r>
          </w:p>
        </w:tc>
        <w:tc>
          <w:tcPr>
            <w:tcW w:w="367" w:type="pct"/>
            <w:tcBorders>
              <w:top w:val="nil"/>
              <w:left w:val="nil"/>
              <w:bottom w:val="single" w:sz="4" w:space="0" w:color="000000"/>
              <w:right w:val="single" w:sz="4" w:space="0" w:color="000000"/>
            </w:tcBorders>
            <w:shd w:val="clear" w:color="auto" w:fill="006666"/>
            <w:noWrap/>
            <w:vAlign w:val="bottom"/>
            <w:hideMark/>
          </w:tcPr>
          <w:p w14:paraId="3CB08E99"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35-44</w:t>
            </w:r>
          </w:p>
        </w:tc>
        <w:tc>
          <w:tcPr>
            <w:tcW w:w="368" w:type="pct"/>
            <w:tcBorders>
              <w:top w:val="nil"/>
              <w:left w:val="nil"/>
              <w:bottom w:val="single" w:sz="4" w:space="0" w:color="000000"/>
              <w:right w:val="single" w:sz="4" w:space="0" w:color="000000"/>
            </w:tcBorders>
            <w:shd w:val="clear" w:color="auto" w:fill="006666"/>
            <w:noWrap/>
            <w:vAlign w:val="bottom"/>
            <w:hideMark/>
          </w:tcPr>
          <w:p w14:paraId="5C5B4DC2"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45-54</w:t>
            </w:r>
          </w:p>
        </w:tc>
        <w:tc>
          <w:tcPr>
            <w:tcW w:w="367" w:type="pct"/>
            <w:tcBorders>
              <w:top w:val="nil"/>
              <w:left w:val="nil"/>
              <w:bottom w:val="single" w:sz="4" w:space="0" w:color="000000"/>
              <w:right w:val="single" w:sz="4" w:space="0" w:color="000000"/>
            </w:tcBorders>
            <w:shd w:val="clear" w:color="auto" w:fill="006666"/>
            <w:noWrap/>
            <w:vAlign w:val="bottom"/>
            <w:hideMark/>
          </w:tcPr>
          <w:p w14:paraId="35C304F0"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55-64</w:t>
            </w:r>
          </w:p>
        </w:tc>
        <w:tc>
          <w:tcPr>
            <w:tcW w:w="367" w:type="pct"/>
            <w:tcBorders>
              <w:top w:val="nil"/>
              <w:left w:val="nil"/>
              <w:bottom w:val="single" w:sz="4" w:space="0" w:color="000000"/>
              <w:right w:val="single" w:sz="4" w:space="0" w:color="000000"/>
            </w:tcBorders>
            <w:shd w:val="clear" w:color="auto" w:fill="006666"/>
            <w:noWrap/>
            <w:vAlign w:val="bottom"/>
            <w:hideMark/>
          </w:tcPr>
          <w:p w14:paraId="15A12F86"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65-74</w:t>
            </w:r>
          </w:p>
        </w:tc>
        <w:tc>
          <w:tcPr>
            <w:tcW w:w="367" w:type="pct"/>
            <w:tcBorders>
              <w:top w:val="nil"/>
              <w:left w:val="nil"/>
              <w:bottom w:val="single" w:sz="4" w:space="0" w:color="000000"/>
              <w:right w:val="single" w:sz="4" w:space="0" w:color="000000"/>
            </w:tcBorders>
            <w:shd w:val="clear" w:color="auto" w:fill="006666"/>
            <w:noWrap/>
            <w:vAlign w:val="bottom"/>
            <w:hideMark/>
          </w:tcPr>
          <w:p w14:paraId="63A8F454"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75-84</w:t>
            </w:r>
          </w:p>
        </w:tc>
        <w:tc>
          <w:tcPr>
            <w:tcW w:w="367" w:type="pct"/>
            <w:tcBorders>
              <w:top w:val="nil"/>
              <w:left w:val="nil"/>
              <w:bottom w:val="single" w:sz="4" w:space="0" w:color="000000"/>
              <w:right w:val="single" w:sz="4" w:space="0" w:color="000000"/>
            </w:tcBorders>
            <w:shd w:val="clear" w:color="auto" w:fill="006666"/>
            <w:noWrap/>
            <w:vAlign w:val="bottom"/>
            <w:hideMark/>
          </w:tcPr>
          <w:p w14:paraId="63B233BF"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85+</w:t>
            </w:r>
          </w:p>
        </w:tc>
        <w:tc>
          <w:tcPr>
            <w:tcW w:w="358" w:type="pct"/>
            <w:tcBorders>
              <w:top w:val="nil"/>
              <w:left w:val="nil"/>
              <w:bottom w:val="single" w:sz="4" w:space="0" w:color="000000"/>
              <w:right w:val="single" w:sz="4" w:space="0" w:color="000000"/>
            </w:tcBorders>
            <w:shd w:val="clear" w:color="auto" w:fill="006666"/>
            <w:noWrap/>
            <w:vAlign w:val="bottom"/>
            <w:hideMark/>
          </w:tcPr>
          <w:p w14:paraId="4678228B"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TOTAL</w:t>
            </w:r>
          </w:p>
        </w:tc>
        <w:tc>
          <w:tcPr>
            <w:tcW w:w="375" w:type="pct"/>
            <w:tcBorders>
              <w:top w:val="nil"/>
              <w:left w:val="nil"/>
              <w:bottom w:val="single" w:sz="4" w:space="0" w:color="000000"/>
              <w:right w:val="single" w:sz="4" w:space="0" w:color="000000"/>
            </w:tcBorders>
            <w:shd w:val="clear" w:color="auto" w:fill="006666"/>
            <w:noWrap/>
            <w:vAlign w:val="bottom"/>
            <w:hideMark/>
          </w:tcPr>
          <w:p w14:paraId="09D20784" w14:textId="77777777" w:rsidR="00CB100F" w:rsidRPr="00CB100F" w:rsidRDefault="00CB100F" w:rsidP="00EF49A7">
            <w:pPr>
              <w:jc w:val="center"/>
              <w:rPr>
                <w:rFonts w:cs="Arial"/>
                <w:b/>
                <w:bCs/>
                <w:color w:val="FFFFFF"/>
                <w:sz w:val="22"/>
                <w:szCs w:val="22"/>
              </w:rPr>
            </w:pPr>
            <w:r w:rsidRPr="00CB100F">
              <w:rPr>
                <w:rFonts w:cs="Arial"/>
                <w:b/>
                <w:bCs/>
                <w:color w:val="FFFFFF"/>
                <w:sz w:val="22"/>
                <w:szCs w:val="22"/>
              </w:rPr>
              <w:t>%</w:t>
            </w:r>
          </w:p>
        </w:tc>
      </w:tr>
      <w:tr w:rsidR="00CE1BDB" w:rsidRPr="00CB100F" w14:paraId="2395C6F0"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4508099A" w14:textId="77777777" w:rsidR="00CE1BDB" w:rsidRPr="00CB100F" w:rsidRDefault="00CE1BDB" w:rsidP="00EF49A7">
            <w:pPr>
              <w:rPr>
                <w:rFonts w:cs="Arial"/>
                <w:color w:val="000000"/>
                <w:sz w:val="22"/>
                <w:szCs w:val="22"/>
              </w:rPr>
            </w:pPr>
            <w:r w:rsidRPr="00CB100F">
              <w:rPr>
                <w:rFonts w:cs="Arial"/>
                <w:color w:val="000000"/>
                <w:sz w:val="22"/>
                <w:szCs w:val="22"/>
              </w:rPr>
              <w:t>1</w:t>
            </w:r>
          </w:p>
        </w:tc>
        <w:tc>
          <w:tcPr>
            <w:tcW w:w="367" w:type="pct"/>
            <w:tcBorders>
              <w:top w:val="nil"/>
              <w:left w:val="nil"/>
              <w:bottom w:val="single" w:sz="4" w:space="0" w:color="000000"/>
              <w:right w:val="single" w:sz="4" w:space="0" w:color="000000"/>
            </w:tcBorders>
            <w:shd w:val="clear" w:color="auto" w:fill="auto"/>
            <w:noWrap/>
            <w:vAlign w:val="center"/>
          </w:tcPr>
          <w:p w14:paraId="6065230C" w14:textId="77777777" w:rsidR="00CE1BDB" w:rsidRPr="00CB100F" w:rsidRDefault="00CE1BDB" w:rsidP="00EF49A7">
            <w:pPr>
              <w:jc w:val="right"/>
              <w:rPr>
                <w:rFonts w:cs="Arial"/>
                <w:color w:val="000000"/>
                <w:sz w:val="22"/>
                <w:szCs w:val="22"/>
              </w:rPr>
            </w:pPr>
            <w:r w:rsidRPr="00CB100F">
              <w:rPr>
                <w:rFonts w:cs="Arial"/>
                <w:color w:val="000000"/>
                <w:sz w:val="22"/>
                <w:szCs w:val="22"/>
              </w:rPr>
              <w:t>455</w:t>
            </w:r>
          </w:p>
        </w:tc>
        <w:tc>
          <w:tcPr>
            <w:tcW w:w="367" w:type="pct"/>
            <w:tcBorders>
              <w:top w:val="nil"/>
              <w:left w:val="nil"/>
              <w:bottom w:val="single" w:sz="4" w:space="0" w:color="000000"/>
              <w:right w:val="single" w:sz="4" w:space="0" w:color="000000"/>
            </w:tcBorders>
            <w:shd w:val="clear" w:color="auto" w:fill="auto"/>
            <w:noWrap/>
            <w:vAlign w:val="center"/>
          </w:tcPr>
          <w:p w14:paraId="22FE75DA" w14:textId="77777777" w:rsidR="00CE1BDB" w:rsidRPr="00CB100F" w:rsidRDefault="00CE1BDB" w:rsidP="00EF49A7">
            <w:pPr>
              <w:jc w:val="right"/>
              <w:rPr>
                <w:rFonts w:cs="Arial"/>
                <w:color w:val="000000"/>
                <w:sz w:val="22"/>
                <w:szCs w:val="22"/>
              </w:rPr>
            </w:pPr>
            <w:r w:rsidRPr="00CB100F">
              <w:rPr>
                <w:rFonts w:cs="Arial"/>
                <w:color w:val="000000"/>
                <w:sz w:val="22"/>
                <w:szCs w:val="22"/>
              </w:rPr>
              <w:t>1,145</w:t>
            </w:r>
          </w:p>
        </w:tc>
        <w:tc>
          <w:tcPr>
            <w:tcW w:w="367" w:type="pct"/>
            <w:tcBorders>
              <w:top w:val="nil"/>
              <w:left w:val="nil"/>
              <w:bottom w:val="single" w:sz="4" w:space="0" w:color="000000"/>
              <w:right w:val="single" w:sz="4" w:space="0" w:color="000000"/>
            </w:tcBorders>
            <w:shd w:val="clear" w:color="auto" w:fill="auto"/>
            <w:noWrap/>
            <w:vAlign w:val="center"/>
          </w:tcPr>
          <w:p w14:paraId="16FBF4A7" w14:textId="77777777" w:rsidR="00CE1BDB" w:rsidRPr="00CB100F" w:rsidRDefault="00CE1BDB" w:rsidP="00EF49A7">
            <w:pPr>
              <w:jc w:val="right"/>
              <w:rPr>
                <w:rFonts w:cs="Arial"/>
                <w:color w:val="000000"/>
                <w:sz w:val="22"/>
                <w:szCs w:val="22"/>
              </w:rPr>
            </w:pPr>
            <w:r w:rsidRPr="00CB100F">
              <w:rPr>
                <w:rFonts w:cs="Arial"/>
                <w:color w:val="000000"/>
                <w:sz w:val="22"/>
                <w:szCs w:val="22"/>
              </w:rPr>
              <w:t>823</w:t>
            </w:r>
          </w:p>
        </w:tc>
        <w:tc>
          <w:tcPr>
            <w:tcW w:w="368" w:type="pct"/>
            <w:tcBorders>
              <w:top w:val="nil"/>
              <w:left w:val="nil"/>
              <w:bottom w:val="single" w:sz="4" w:space="0" w:color="000000"/>
              <w:right w:val="single" w:sz="4" w:space="0" w:color="000000"/>
            </w:tcBorders>
            <w:shd w:val="clear" w:color="auto" w:fill="auto"/>
            <w:noWrap/>
            <w:vAlign w:val="center"/>
          </w:tcPr>
          <w:p w14:paraId="5AE576F2" w14:textId="77777777" w:rsidR="00CE1BDB" w:rsidRPr="00CB100F" w:rsidRDefault="00CE1BDB" w:rsidP="00EF49A7">
            <w:pPr>
              <w:jc w:val="right"/>
              <w:rPr>
                <w:rFonts w:cs="Arial"/>
                <w:color w:val="000000"/>
                <w:sz w:val="22"/>
                <w:szCs w:val="22"/>
              </w:rPr>
            </w:pPr>
            <w:r w:rsidRPr="00CB100F">
              <w:rPr>
                <w:rFonts w:cs="Arial"/>
                <w:color w:val="000000"/>
                <w:sz w:val="22"/>
                <w:szCs w:val="22"/>
              </w:rPr>
              <w:t>1,155</w:t>
            </w:r>
          </w:p>
        </w:tc>
        <w:tc>
          <w:tcPr>
            <w:tcW w:w="367" w:type="pct"/>
            <w:tcBorders>
              <w:top w:val="nil"/>
              <w:left w:val="nil"/>
              <w:bottom w:val="single" w:sz="4" w:space="0" w:color="000000"/>
              <w:right w:val="single" w:sz="4" w:space="0" w:color="000000"/>
            </w:tcBorders>
            <w:shd w:val="clear" w:color="auto" w:fill="auto"/>
            <w:noWrap/>
            <w:vAlign w:val="center"/>
          </w:tcPr>
          <w:p w14:paraId="3010F84F" w14:textId="77777777" w:rsidR="00CE1BDB" w:rsidRPr="00CB100F" w:rsidRDefault="00CE1BDB" w:rsidP="00EF49A7">
            <w:pPr>
              <w:jc w:val="right"/>
              <w:rPr>
                <w:rFonts w:cs="Arial"/>
                <w:color w:val="000000"/>
                <w:sz w:val="22"/>
                <w:szCs w:val="22"/>
              </w:rPr>
            </w:pPr>
            <w:r w:rsidRPr="00CB100F">
              <w:rPr>
                <w:rFonts w:cs="Arial"/>
                <w:color w:val="000000"/>
                <w:sz w:val="22"/>
                <w:szCs w:val="22"/>
              </w:rPr>
              <w:t>1,199</w:t>
            </w:r>
          </w:p>
        </w:tc>
        <w:tc>
          <w:tcPr>
            <w:tcW w:w="367" w:type="pct"/>
            <w:tcBorders>
              <w:top w:val="nil"/>
              <w:left w:val="nil"/>
              <w:bottom w:val="single" w:sz="4" w:space="0" w:color="000000"/>
              <w:right w:val="single" w:sz="4" w:space="0" w:color="000000"/>
            </w:tcBorders>
            <w:shd w:val="clear" w:color="auto" w:fill="auto"/>
            <w:noWrap/>
            <w:vAlign w:val="center"/>
          </w:tcPr>
          <w:p w14:paraId="1612B2BD" w14:textId="77777777" w:rsidR="00CE1BDB" w:rsidRPr="00CB100F" w:rsidRDefault="00CE1BDB" w:rsidP="00EF49A7">
            <w:pPr>
              <w:jc w:val="right"/>
              <w:rPr>
                <w:rFonts w:cs="Arial"/>
                <w:color w:val="000000"/>
                <w:sz w:val="22"/>
                <w:szCs w:val="22"/>
              </w:rPr>
            </w:pPr>
            <w:r w:rsidRPr="00CB100F">
              <w:rPr>
                <w:rFonts w:cs="Arial"/>
                <w:color w:val="000000"/>
                <w:sz w:val="22"/>
                <w:szCs w:val="22"/>
              </w:rPr>
              <w:t>1,311</w:t>
            </w:r>
          </w:p>
        </w:tc>
        <w:tc>
          <w:tcPr>
            <w:tcW w:w="367" w:type="pct"/>
            <w:tcBorders>
              <w:top w:val="nil"/>
              <w:left w:val="nil"/>
              <w:bottom w:val="single" w:sz="4" w:space="0" w:color="000000"/>
              <w:right w:val="single" w:sz="4" w:space="0" w:color="000000"/>
            </w:tcBorders>
            <w:shd w:val="clear" w:color="auto" w:fill="auto"/>
            <w:noWrap/>
            <w:vAlign w:val="center"/>
          </w:tcPr>
          <w:p w14:paraId="665FAD70" w14:textId="77777777" w:rsidR="00CE1BDB" w:rsidRPr="00CB100F" w:rsidRDefault="00CE1BDB" w:rsidP="00EF49A7">
            <w:pPr>
              <w:jc w:val="right"/>
              <w:rPr>
                <w:rFonts w:cs="Arial"/>
                <w:color w:val="000000"/>
                <w:sz w:val="22"/>
                <w:szCs w:val="22"/>
              </w:rPr>
            </w:pPr>
            <w:r w:rsidRPr="00CB100F">
              <w:rPr>
                <w:rFonts w:cs="Arial"/>
                <w:color w:val="000000"/>
                <w:sz w:val="22"/>
                <w:szCs w:val="22"/>
              </w:rPr>
              <w:t>1,371</w:t>
            </w:r>
          </w:p>
        </w:tc>
        <w:tc>
          <w:tcPr>
            <w:tcW w:w="367" w:type="pct"/>
            <w:tcBorders>
              <w:top w:val="nil"/>
              <w:left w:val="nil"/>
              <w:bottom w:val="single" w:sz="4" w:space="0" w:color="000000"/>
              <w:right w:val="single" w:sz="4" w:space="0" w:color="000000"/>
            </w:tcBorders>
            <w:shd w:val="clear" w:color="auto" w:fill="auto"/>
            <w:noWrap/>
            <w:vAlign w:val="center"/>
          </w:tcPr>
          <w:p w14:paraId="7F8D850A" w14:textId="77777777" w:rsidR="00CE1BDB" w:rsidRPr="00CB100F" w:rsidRDefault="00CE1BDB" w:rsidP="00EF49A7">
            <w:pPr>
              <w:jc w:val="right"/>
              <w:rPr>
                <w:rFonts w:cs="Arial"/>
                <w:color w:val="000000"/>
                <w:sz w:val="22"/>
                <w:szCs w:val="22"/>
              </w:rPr>
            </w:pPr>
            <w:r w:rsidRPr="00CB100F">
              <w:rPr>
                <w:rFonts w:cs="Arial"/>
                <w:color w:val="000000"/>
                <w:sz w:val="22"/>
                <w:szCs w:val="22"/>
              </w:rPr>
              <w:t>696</w:t>
            </w:r>
          </w:p>
        </w:tc>
        <w:tc>
          <w:tcPr>
            <w:tcW w:w="358" w:type="pct"/>
            <w:tcBorders>
              <w:top w:val="nil"/>
              <w:left w:val="nil"/>
              <w:bottom w:val="single" w:sz="4" w:space="0" w:color="000000"/>
              <w:right w:val="single" w:sz="4" w:space="0" w:color="000000"/>
            </w:tcBorders>
            <w:shd w:val="clear" w:color="auto" w:fill="auto"/>
            <w:noWrap/>
            <w:vAlign w:val="center"/>
          </w:tcPr>
          <w:p w14:paraId="7335CB4A" w14:textId="77777777" w:rsidR="00CE1BDB" w:rsidRPr="00CB100F" w:rsidRDefault="00CE1BDB" w:rsidP="00EF49A7">
            <w:pPr>
              <w:jc w:val="right"/>
              <w:rPr>
                <w:rFonts w:cs="Arial"/>
                <w:color w:val="000000"/>
                <w:sz w:val="22"/>
                <w:szCs w:val="22"/>
              </w:rPr>
            </w:pPr>
            <w:r w:rsidRPr="00CB100F">
              <w:rPr>
                <w:rFonts w:cs="Arial"/>
                <w:color w:val="000000"/>
                <w:sz w:val="22"/>
                <w:szCs w:val="22"/>
              </w:rPr>
              <w:t>8,155</w:t>
            </w:r>
          </w:p>
        </w:tc>
        <w:tc>
          <w:tcPr>
            <w:tcW w:w="375" w:type="pct"/>
            <w:tcBorders>
              <w:top w:val="nil"/>
              <w:left w:val="nil"/>
              <w:bottom w:val="single" w:sz="4" w:space="0" w:color="000000"/>
              <w:right w:val="single" w:sz="4" w:space="0" w:color="000000"/>
            </w:tcBorders>
            <w:shd w:val="clear" w:color="auto" w:fill="auto"/>
            <w:noWrap/>
            <w:vAlign w:val="center"/>
          </w:tcPr>
          <w:p w14:paraId="71C4BD0E" w14:textId="77777777" w:rsidR="00CE1BDB" w:rsidRPr="00CB100F" w:rsidRDefault="00CE1BDB" w:rsidP="00EF49A7">
            <w:pPr>
              <w:jc w:val="right"/>
              <w:rPr>
                <w:rFonts w:cs="Arial"/>
                <w:color w:val="000000"/>
                <w:sz w:val="22"/>
                <w:szCs w:val="22"/>
              </w:rPr>
            </w:pPr>
            <w:r w:rsidRPr="00CB100F">
              <w:rPr>
                <w:rFonts w:cs="Arial"/>
                <w:color w:val="000000"/>
                <w:sz w:val="22"/>
                <w:szCs w:val="22"/>
              </w:rPr>
              <w:t>6.8</w:t>
            </w:r>
          </w:p>
        </w:tc>
      </w:tr>
      <w:tr w:rsidR="00CE1BDB" w:rsidRPr="00CB100F" w14:paraId="2B270A47"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43FD9A9D" w14:textId="77777777" w:rsidR="00CE1BDB" w:rsidRPr="00CB100F" w:rsidRDefault="00CE1BDB" w:rsidP="00EF49A7">
            <w:pPr>
              <w:rPr>
                <w:rFonts w:cs="Arial"/>
                <w:color w:val="000000"/>
                <w:sz w:val="22"/>
                <w:szCs w:val="22"/>
              </w:rPr>
            </w:pPr>
            <w:r w:rsidRPr="00CB100F">
              <w:rPr>
                <w:rFonts w:cs="Arial"/>
                <w:color w:val="000000"/>
                <w:sz w:val="22"/>
                <w:szCs w:val="22"/>
              </w:rPr>
              <w:t>2</w:t>
            </w:r>
          </w:p>
        </w:tc>
        <w:tc>
          <w:tcPr>
            <w:tcW w:w="367" w:type="pct"/>
            <w:tcBorders>
              <w:top w:val="nil"/>
              <w:left w:val="nil"/>
              <w:bottom w:val="single" w:sz="4" w:space="0" w:color="000000"/>
              <w:right w:val="single" w:sz="4" w:space="0" w:color="000000"/>
            </w:tcBorders>
            <w:shd w:val="clear" w:color="auto" w:fill="auto"/>
            <w:noWrap/>
            <w:vAlign w:val="center"/>
          </w:tcPr>
          <w:p w14:paraId="73214010" w14:textId="77777777" w:rsidR="00CE1BDB" w:rsidRPr="00CB100F" w:rsidRDefault="00CE1BDB" w:rsidP="00EF49A7">
            <w:pPr>
              <w:jc w:val="right"/>
              <w:rPr>
                <w:rFonts w:cs="Arial"/>
                <w:color w:val="000000"/>
                <w:sz w:val="22"/>
                <w:szCs w:val="22"/>
              </w:rPr>
            </w:pPr>
            <w:r w:rsidRPr="00CB100F">
              <w:rPr>
                <w:rFonts w:cs="Arial"/>
                <w:color w:val="000000"/>
                <w:sz w:val="22"/>
                <w:szCs w:val="22"/>
              </w:rPr>
              <w:t>1,728</w:t>
            </w:r>
          </w:p>
        </w:tc>
        <w:tc>
          <w:tcPr>
            <w:tcW w:w="367" w:type="pct"/>
            <w:tcBorders>
              <w:top w:val="nil"/>
              <w:left w:val="nil"/>
              <w:bottom w:val="single" w:sz="4" w:space="0" w:color="000000"/>
              <w:right w:val="single" w:sz="4" w:space="0" w:color="000000"/>
            </w:tcBorders>
            <w:shd w:val="clear" w:color="auto" w:fill="auto"/>
            <w:noWrap/>
            <w:vAlign w:val="center"/>
          </w:tcPr>
          <w:p w14:paraId="5DA3AD82" w14:textId="77777777" w:rsidR="00CE1BDB" w:rsidRPr="00CB100F" w:rsidRDefault="00CE1BDB" w:rsidP="00EF49A7">
            <w:pPr>
              <w:jc w:val="right"/>
              <w:rPr>
                <w:rFonts w:cs="Arial"/>
                <w:color w:val="000000"/>
                <w:sz w:val="22"/>
                <w:szCs w:val="22"/>
              </w:rPr>
            </w:pPr>
            <w:r w:rsidRPr="00CB100F">
              <w:rPr>
                <w:rFonts w:cs="Arial"/>
                <w:color w:val="000000"/>
                <w:sz w:val="22"/>
                <w:szCs w:val="22"/>
              </w:rPr>
              <w:t>4,766</w:t>
            </w:r>
          </w:p>
        </w:tc>
        <w:tc>
          <w:tcPr>
            <w:tcW w:w="367" w:type="pct"/>
            <w:tcBorders>
              <w:top w:val="nil"/>
              <w:left w:val="nil"/>
              <w:bottom w:val="single" w:sz="4" w:space="0" w:color="000000"/>
              <w:right w:val="single" w:sz="4" w:space="0" w:color="000000"/>
            </w:tcBorders>
            <w:shd w:val="clear" w:color="auto" w:fill="auto"/>
            <w:noWrap/>
            <w:vAlign w:val="center"/>
          </w:tcPr>
          <w:p w14:paraId="6B442C44" w14:textId="77777777" w:rsidR="00CE1BDB" w:rsidRPr="00CB100F" w:rsidRDefault="00CE1BDB" w:rsidP="00EF49A7">
            <w:pPr>
              <w:jc w:val="right"/>
              <w:rPr>
                <w:rFonts w:cs="Arial"/>
                <w:color w:val="000000"/>
                <w:sz w:val="22"/>
                <w:szCs w:val="22"/>
              </w:rPr>
            </w:pPr>
            <w:r w:rsidRPr="00CB100F">
              <w:rPr>
                <w:rFonts w:cs="Arial"/>
                <w:color w:val="000000"/>
                <w:sz w:val="22"/>
                <w:szCs w:val="22"/>
              </w:rPr>
              <w:t>4,003</w:t>
            </w:r>
          </w:p>
        </w:tc>
        <w:tc>
          <w:tcPr>
            <w:tcW w:w="368" w:type="pct"/>
            <w:tcBorders>
              <w:top w:val="nil"/>
              <w:left w:val="nil"/>
              <w:bottom w:val="single" w:sz="4" w:space="0" w:color="000000"/>
              <w:right w:val="single" w:sz="4" w:space="0" w:color="000000"/>
            </w:tcBorders>
            <w:shd w:val="clear" w:color="auto" w:fill="auto"/>
            <w:noWrap/>
            <w:vAlign w:val="center"/>
          </w:tcPr>
          <w:p w14:paraId="316316F4" w14:textId="77777777" w:rsidR="00CE1BDB" w:rsidRPr="00CB100F" w:rsidRDefault="00CE1BDB" w:rsidP="00EF49A7">
            <w:pPr>
              <w:jc w:val="right"/>
              <w:rPr>
                <w:rFonts w:cs="Arial"/>
                <w:color w:val="000000"/>
                <w:sz w:val="22"/>
                <w:szCs w:val="22"/>
              </w:rPr>
            </w:pPr>
            <w:r w:rsidRPr="00CB100F">
              <w:rPr>
                <w:rFonts w:cs="Arial"/>
                <w:color w:val="000000"/>
                <w:sz w:val="22"/>
                <w:szCs w:val="22"/>
              </w:rPr>
              <w:t>4,461</w:t>
            </w:r>
          </w:p>
        </w:tc>
        <w:tc>
          <w:tcPr>
            <w:tcW w:w="367" w:type="pct"/>
            <w:tcBorders>
              <w:top w:val="nil"/>
              <w:left w:val="nil"/>
              <w:bottom w:val="single" w:sz="4" w:space="0" w:color="000000"/>
              <w:right w:val="single" w:sz="4" w:space="0" w:color="000000"/>
            </w:tcBorders>
            <w:shd w:val="clear" w:color="auto" w:fill="auto"/>
            <w:noWrap/>
            <w:vAlign w:val="center"/>
          </w:tcPr>
          <w:p w14:paraId="417457FF" w14:textId="77777777" w:rsidR="00CE1BDB" w:rsidRPr="00CB100F" w:rsidRDefault="00CE1BDB" w:rsidP="00EF49A7">
            <w:pPr>
              <w:jc w:val="right"/>
              <w:rPr>
                <w:rFonts w:cs="Arial"/>
                <w:color w:val="000000"/>
                <w:sz w:val="22"/>
                <w:szCs w:val="22"/>
              </w:rPr>
            </w:pPr>
            <w:r w:rsidRPr="00CB100F">
              <w:rPr>
                <w:rFonts w:cs="Arial"/>
                <w:color w:val="000000"/>
                <w:sz w:val="22"/>
                <w:szCs w:val="22"/>
              </w:rPr>
              <w:t>4,143</w:t>
            </w:r>
          </w:p>
        </w:tc>
        <w:tc>
          <w:tcPr>
            <w:tcW w:w="367" w:type="pct"/>
            <w:tcBorders>
              <w:top w:val="nil"/>
              <w:left w:val="nil"/>
              <w:bottom w:val="single" w:sz="4" w:space="0" w:color="000000"/>
              <w:right w:val="single" w:sz="4" w:space="0" w:color="000000"/>
            </w:tcBorders>
            <w:shd w:val="clear" w:color="auto" w:fill="auto"/>
            <w:noWrap/>
            <w:vAlign w:val="center"/>
          </w:tcPr>
          <w:p w14:paraId="2760A4CF" w14:textId="77777777" w:rsidR="00CE1BDB" w:rsidRPr="00CB100F" w:rsidRDefault="00CE1BDB" w:rsidP="00EF49A7">
            <w:pPr>
              <w:jc w:val="right"/>
              <w:rPr>
                <w:rFonts w:cs="Arial"/>
                <w:color w:val="000000"/>
                <w:sz w:val="22"/>
                <w:szCs w:val="22"/>
              </w:rPr>
            </w:pPr>
            <w:r w:rsidRPr="00CB100F">
              <w:rPr>
                <w:rFonts w:cs="Arial"/>
                <w:color w:val="000000"/>
                <w:sz w:val="22"/>
                <w:szCs w:val="22"/>
              </w:rPr>
              <w:t>4,361</w:t>
            </w:r>
          </w:p>
        </w:tc>
        <w:tc>
          <w:tcPr>
            <w:tcW w:w="367" w:type="pct"/>
            <w:tcBorders>
              <w:top w:val="nil"/>
              <w:left w:val="nil"/>
              <w:bottom w:val="single" w:sz="4" w:space="0" w:color="000000"/>
              <w:right w:val="single" w:sz="4" w:space="0" w:color="000000"/>
            </w:tcBorders>
            <w:shd w:val="clear" w:color="auto" w:fill="auto"/>
            <w:noWrap/>
            <w:vAlign w:val="center"/>
          </w:tcPr>
          <w:p w14:paraId="419F6481" w14:textId="77777777" w:rsidR="00CE1BDB" w:rsidRPr="00CB100F" w:rsidRDefault="00CE1BDB" w:rsidP="00EF49A7">
            <w:pPr>
              <w:jc w:val="right"/>
              <w:rPr>
                <w:rFonts w:cs="Arial"/>
                <w:color w:val="000000"/>
                <w:sz w:val="22"/>
                <w:szCs w:val="22"/>
              </w:rPr>
            </w:pPr>
            <w:r w:rsidRPr="00CB100F">
              <w:rPr>
                <w:rFonts w:cs="Arial"/>
                <w:color w:val="000000"/>
                <w:sz w:val="22"/>
                <w:szCs w:val="22"/>
              </w:rPr>
              <w:t>4,195</w:t>
            </w:r>
          </w:p>
        </w:tc>
        <w:tc>
          <w:tcPr>
            <w:tcW w:w="367" w:type="pct"/>
            <w:tcBorders>
              <w:top w:val="nil"/>
              <w:left w:val="nil"/>
              <w:bottom w:val="single" w:sz="4" w:space="0" w:color="000000"/>
              <w:right w:val="single" w:sz="4" w:space="0" w:color="000000"/>
            </w:tcBorders>
            <w:shd w:val="clear" w:color="auto" w:fill="auto"/>
            <w:noWrap/>
            <w:vAlign w:val="center"/>
          </w:tcPr>
          <w:p w14:paraId="1ADF7165" w14:textId="77777777" w:rsidR="00CE1BDB" w:rsidRPr="00CB100F" w:rsidRDefault="00CE1BDB" w:rsidP="00EF49A7">
            <w:pPr>
              <w:jc w:val="right"/>
              <w:rPr>
                <w:rFonts w:cs="Arial"/>
                <w:color w:val="000000"/>
                <w:sz w:val="22"/>
                <w:szCs w:val="22"/>
              </w:rPr>
            </w:pPr>
            <w:r w:rsidRPr="00CB100F">
              <w:rPr>
                <w:rFonts w:cs="Arial"/>
                <w:color w:val="000000"/>
                <w:sz w:val="22"/>
                <w:szCs w:val="22"/>
              </w:rPr>
              <w:t>3,200</w:t>
            </w:r>
          </w:p>
        </w:tc>
        <w:tc>
          <w:tcPr>
            <w:tcW w:w="358" w:type="pct"/>
            <w:tcBorders>
              <w:top w:val="nil"/>
              <w:left w:val="nil"/>
              <w:bottom w:val="single" w:sz="4" w:space="0" w:color="000000"/>
              <w:right w:val="single" w:sz="4" w:space="0" w:color="000000"/>
            </w:tcBorders>
            <w:shd w:val="clear" w:color="auto" w:fill="auto"/>
            <w:noWrap/>
            <w:vAlign w:val="center"/>
          </w:tcPr>
          <w:p w14:paraId="090E02F1" w14:textId="77777777" w:rsidR="00CE1BDB" w:rsidRPr="00CB100F" w:rsidRDefault="00CE1BDB" w:rsidP="00EF49A7">
            <w:pPr>
              <w:jc w:val="right"/>
              <w:rPr>
                <w:rFonts w:cs="Arial"/>
                <w:color w:val="000000"/>
                <w:sz w:val="22"/>
                <w:szCs w:val="22"/>
              </w:rPr>
            </w:pPr>
            <w:r w:rsidRPr="00CB100F">
              <w:rPr>
                <w:rFonts w:cs="Arial"/>
                <w:color w:val="000000"/>
                <w:sz w:val="22"/>
                <w:szCs w:val="22"/>
              </w:rPr>
              <w:t>30,856</w:t>
            </w:r>
          </w:p>
        </w:tc>
        <w:tc>
          <w:tcPr>
            <w:tcW w:w="375" w:type="pct"/>
            <w:tcBorders>
              <w:top w:val="nil"/>
              <w:left w:val="nil"/>
              <w:bottom w:val="single" w:sz="4" w:space="0" w:color="000000"/>
              <w:right w:val="single" w:sz="4" w:space="0" w:color="000000"/>
            </w:tcBorders>
            <w:shd w:val="clear" w:color="auto" w:fill="auto"/>
            <w:noWrap/>
            <w:vAlign w:val="center"/>
          </w:tcPr>
          <w:p w14:paraId="79938375" w14:textId="77777777" w:rsidR="00CE1BDB" w:rsidRPr="00CB100F" w:rsidRDefault="00CE1BDB" w:rsidP="00EF49A7">
            <w:pPr>
              <w:jc w:val="right"/>
              <w:rPr>
                <w:rFonts w:cs="Arial"/>
                <w:color w:val="000000"/>
                <w:sz w:val="22"/>
                <w:szCs w:val="22"/>
              </w:rPr>
            </w:pPr>
            <w:r w:rsidRPr="00CB100F">
              <w:rPr>
                <w:rFonts w:cs="Arial"/>
                <w:color w:val="000000"/>
                <w:sz w:val="22"/>
                <w:szCs w:val="22"/>
              </w:rPr>
              <w:t>25.8</w:t>
            </w:r>
          </w:p>
        </w:tc>
      </w:tr>
      <w:tr w:rsidR="00CE1BDB" w:rsidRPr="00CB100F" w14:paraId="6AFA8FD8"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13C2197E" w14:textId="77777777" w:rsidR="00CE1BDB" w:rsidRPr="00CB100F" w:rsidRDefault="00CE1BDB" w:rsidP="00EF49A7">
            <w:pPr>
              <w:rPr>
                <w:rFonts w:cs="Arial"/>
                <w:color w:val="000000"/>
                <w:sz w:val="22"/>
                <w:szCs w:val="22"/>
              </w:rPr>
            </w:pPr>
            <w:r w:rsidRPr="00CB100F">
              <w:rPr>
                <w:rFonts w:cs="Arial"/>
                <w:color w:val="000000"/>
                <w:sz w:val="22"/>
                <w:szCs w:val="22"/>
              </w:rPr>
              <w:t>3</w:t>
            </w:r>
          </w:p>
        </w:tc>
        <w:tc>
          <w:tcPr>
            <w:tcW w:w="367" w:type="pct"/>
            <w:tcBorders>
              <w:top w:val="nil"/>
              <w:left w:val="nil"/>
              <w:bottom w:val="single" w:sz="4" w:space="0" w:color="000000"/>
              <w:right w:val="single" w:sz="4" w:space="0" w:color="000000"/>
            </w:tcBorders>
            <w:shd w:val="clear" w:color="auto" w:fill="auto"/>
            <w:noWrap/>
            <w:vAlign w:val="center"/>
          </w:tcPr>
          <w:p w14:paraId="1858A622" w14:textId="77777777" w:rsidR="00CE1BDB" w:rsidRPr="00CB100F" w:rsidRDefault="00CE1BDB" w:rsidP="00EF49A7">
            <w:pPr>
              <w:jc w:val="right"/>
              <w:rPr>
                <w:rFonts w:cs="Arial"/>
                <w:color w:val="000000"/>
                <w:sz w:val="22"/>
                <w:szCs w:val="22"/>
              </w:rPr>
            </w:pPr>
            <w:r w:rsidRPr="00CB100F">
              <w:rPr>
                <w:rFonts w:cs="Arial"/>
                <w:color w:val="000000"/>
                <w:sz w:val="22"/>
                <w:szCs w:val="22"/>
              </w:rPr>
              <w:t>1,161</w:t>
            </w:r>
          </w:p>
        </w:tc>
        <w:tc>
          <w:tcPr>
            <w:tcW w:w="367" w:type="pct"/>
            <w:tcBorders>
              <w:top w:val="nil"/>
              <w:left w:val="nil"/>
              <w:bottom w:val="single" w:sz="4" w:space="0" w:color="000000"/>
              <w:right w:val="single" w:sz="4" w:space="0" w:color="000000"/>
            </w:tcBorders>
            <w:shd w:val="clear" w:color="auto" w:fill="auto"/>
            <w:noWrap/>
            <w:vAlign w:val="center"/>
          </w:tcPr>
          <w:p w14:paraId="1BEA120A" w14:textId="77777777" w:rsidR="00CE1BDB" w:rsidRPr="00CB100F" w:rsidRDefault="00CE1BDB" w:rsidP="00EF49A7">
            <w:pPr>
              <w:jc w:val="right"/>
              <w:rPr>
                <w:rFonts w:cs="Arial"/>
                <w:color w:val="000000"/>
                <w:sz w:val="22"/>
                <w:szCs w:val="22"/>
              </w:rPr>
            </w:pPr>
            <w:r w:rsidRPr="00CB100F">
              <w:rPr>
                <w:rFonts w:cs="Arial"/>
                <w:color w:val="000000"/>
                <w:sz w:val="22"/>
                <w:szCs w:val="22"/>
              </w:rPr>
              <w:t>6,517</w:t>
            </w:r>
          </w:p>
        </w:tc>
        <w:tc>
          <w:tcPr>
            <w:tcW w:w="367" w:type="pct"/>
            <w:tcBorders>
              <w:top w:val="nil"/>
              <w:left w:val="nil"/>
              <w:bottom w:val="single" w:sz="4" w:space="0" w:color="000000"/>
              <w:right w:val="single" w:sz="4" w:space="0" w:color="000000"/>
            </w:tcBorders>
            <w:shd w:val="clear" w:color="auto" w:fill="auto"/>
            <w:noWrap/>
            <w:vAlign w:val="center"/>
          </w:tcPr>
          <w:p w14:paraId="7DC2B922" w14:textId="77777777" w:rsidR="00CE1BDB" w:rsidRPr="00CB100F" w:rsidRDefault="00CE1BDB" w:rsidP="00EF49A7">
            <w:pPr>
              <w:jc w:val="right"/>
              <w:rPr>
                <w:rFonts w:cs="Arial"/>
                <w:color w:val="000000"/>
                <w:sz w:val="22"/>
                <w:szCs w:val="22"/>
              </w:rPr>
            </w:pPr>
            <w:r w:rsidRPr="00CB100F">
              <w:rPr>
                <w:rFonts w:cs="Arial"/>
                <w:color w:val="000000"/>
                <w:sz w:val="22"/>
                <w:szCs w:val="22"/>
              </w:rPr>
              <w:t>9,191</w:t>
            </w:r>
          </w:p>
        </w:tc>
        <w:tc>
          <w:tcPr>
            <w:tcW w:w="368" w:type="pct"/>
            <w:tcBorders>
              <w:top w:val="nil"/>
              <w:left w:val="nil"/>
              <w:bottom w:val="single" w:sz="4" w:space="0" w:color="000000"/>
              <w:right w:val="single" w:sz="4" w:space="0" w:color="000000"/>
            </w:tcBorders>
            <w:shd w:val="clear" w:color="auto" w:fill="auto"/>
            <w:noWrap/>
            <w:vAlign w:val="center"/>
          </w:tcPr>
          <w:p w14:paraId="324553B3" w14:textId="77777777" w:rsidR="00CE1BDB" w:rsidRPr="00CB100F" w:rsidRDefault="00CE1BDB" w:rsidP="00EF49A7">
            <w:pPr>
              <w:jc w:val="right"/>
              <w:rPr>
                <w:rFonts w:cs="Arial"/>
                <w:color w:val="000000"/>
                <w:sz w:val="22"/>
                <w:szCs w:val="22"/>
              </w:rPr>
            </w:pPr>
            <w:r w:rsidRPr="00CB100F">
              <w:rPr>
                <w:rFonts w:cs="Arial"/>
                <w:color w:val="000000"/>
                <w:sz w:val="22"/>
                <w:szCs w:val="22"/>
              </w:rPr>
              <w:t>10,144</w:t>
            </w:r>
          </w:p>
        </w:tc>
        <w:tc>
          <w:tcPr>
            <w:tcW w:w="367" w:type="pct"/>
            <w:tcBorders>
              <w:top w:val="nil"/>
              <w:left w:val="nil"/>
              <w:bottom w:val="single" w:sz="4" w:space="0" w:color="000000"/>
              <w:right w:val="single" w:sz="4" w:space="0" w:color="000000"/>
            </w:tcBorders>
            <w:shd w:val="clear" w:color="auto" w:fill="auto"/>
            <w:noWrap/>
            <w:vAlign w:val="center"/>
          </w:tcPr>
          <w:p w14:paraId="28A8C7BB" w14:textId="77777777" w:rsidR="00CE1BDB" w:rsidRPr="00CB100F" w:rsidRDefault="00CE1BDB" w:rsidP="00EF49A7">
            <w:pPr>
              <w:jc w:val="right"/>
              <w:rPr>
                <w:rFonts w:cs="Arial"/>
                <w:color w:val="000000"/>
                <w:sz w:val="22"/>
                <w:szCs w:val="22"/>
              </w:rPr>
            </w:pPr>
            <w:r w:rsidRPr="00CB100F">
              <w:rPr>
                <w:rFonts w:cs="Arial"/>
                <w:color w:val="000000"/>
                <w:sz w:val="22"/>
                <w:szCs w:val="22"/>
              </w:rPr>
              <w:t>8,341</w:t>
            </w:r>
          </w:p>
        </w:tc>
        <w:tc>
          <w:tcPr>
            <w:tcW w:w="367" w:type="pct"/>
            <w:tcBorders>
              <w:top w:val="nil"/>
              <w:left w:val="nil"/>
              <w:bottom w:val="single" w:sz="4" w:space="0" w:color="000000"/>
              <w:right w:val="single" w:sz="4" w:space="0" w:color="000000"/>
            </w:tcBorders>
            <w:shd w:val="clear" w:color="auto" w:fill="auto"/>
            <w:noWrap/>
            <w:vAlign w:val="center"/>
          </w:tcPr>
          <w:p w14:paraId="6E031245" w14:textId="77777777" w:rsidR="00CE1BDB" w:rsidRPr="00CB100F" w:rsidRDefault="00CE1BDB" w:rsidP="00EF49A7">
            <w:pPr>
              <w:jc w:val="right"/>
              <w:rPr>
                <w:rFonts w:cs="Arial"/>
                <w:color w:val="000000"/>
                <w:sz w:val="22"/>
                <w:szCs w:val="22"/>
              </w:rPr>
            </w:pPr>
            <w:r w:rsidRPr="00CB100F">
              <w:rPr>
                <w:rFonts w:cs="Arial"/>
                <w:color w:val="000000"/>
                <w:sz w:val="22"/>
                <w:szCs w:val="22"/>
              </w:rPr>
              <w:t>7,882</w:t>
            </w:r>
          </w:p>
        </w:tc>
        <w:tc>
          <w:tcPr>
            <w:tcW w:w="367" w:type="pct"/>
            <w:tcBorders>
              <w:top w:val="nil"/>
              <w:left w:val="nil"/>
              <w:bottom w:val="single" w:sz="4" w:space="0" w:color="000000"/>
              <w:right w:val="single" w:sz="4" w:space="0" w:color="000000"/>
            </w:tcBorders>
            <w:shd w:val="clear" w:color="auto" w:fill="auto"/>
            <w:noWrap/>
            <w:vAlign w:val="center"/>
          </w:tcPr>
          <w:p w14:paraId="06E0C9E5" w14:textId="77777777" w:rsidR="00CE1BDB" w:rsidRPr="00CB100F" w:rsidRDefault="00CE1BDB" w:rsidP="00EF49A7">
            <w:pPr>
              <w:jc w:val="right"/>
              <w:rPr>
                <w:rFonts w:cs="Arial"/>
                <w:color w:val="000000"/>
                <w:sz w:val="22"/>
                <w:szCs w:val="22"/>
              </w:rPr>
            </w:pPr>
            <w:r w:rsidRPr="00CB100F">
              <w:rPr>
                <w:rFonts w:cs="Arial"/>
                <w:color w:val="000000"/>
                <w:sz w:val="22"/>
                <w:szCs w:val="22"/>
              </w:rPr>
              <w:t>6,379</w:t>
            </w:r>
          </w:p>
        </w:tc>
        <w:tc>
          <w:tcPr>
            <w:tcW w:w="367" w:type="pct"/>
            <w:tcBorders>
              <w:top w:val="nil"/>
              <w:left w:val="nil"/>
              <w:bottom w:val="single" w:sz="4" w:space="0" w:color="000000"/>
              <w:right w:val="single" w:sz="4" w:space="0" w:color="000000"/>
            </w:tcBorders>
            <w:shd w:val="clear" w:color="auto" w:fill="auto"/>
            <w:noWrap/>
            <w:vAlign w:val="center"/>
          </w:tcPr>
          <w:p w14:paraId="78AE0E29" w14:textId="77777777" w:rsidR="00CE1BDB" w:rsidRPr="00CB100F" w:rsidRDefault="00CE1BDB" w:rsidP="00EF49A7">
            <w:pPr>
              <w:jc w:val="right"/>
              <w:rPr>
                <w:rFonts w:cs="Arial"/>
                <w:color w:val="000000"/>
                <w:sz w:val="22"/>
                <w:szCs w:val="22"/>
              </w:rPr>
            </w:pPr>
            <w:r w:rsidRPr="00CB100F">
              <w:rPr>
                <w:rFonts w:cs="Arial"/>
                <w:color w:val="000000"/>
                <w:sz w:val="22"/>
                <w:szCs w:val="22"/>
              </w:rPr>
              <w:t>2,365</w:t>
            </w:r>
          </w:p>
        </w:tc>
        <w:tc>
          <w:tcPr>
            <w:tcW w:w="358" w:type="pct"/>
            <w:tcBorders>
              <w:top w:val="nil"/>
              <w:left w:val="nil"/>
              <w:bottom w:val="single" w:sz="4" w:space="0" w:color="000000"/>
              <w:right w:val="single" w:sz="4" w:space="0" w:color="000000"/>
            </w:tcBorders>
            <w:shd w:val="clear" w:color="auto" w:fill="auto"/>
            <w:noWrap/>
            <w:vAlign w:val="center"/>
          </w:tcPr>
          <w:p w14:paraId="48622F09" w14:textId="77777777" w:rsidR="00CE1BDB" w:rsidRPr="00CB100F" w:rsidRDefault="00CE1BDB" w:rsidP="00EF49A7">
            <w:pPr>
              <w:jc w:val="right"/>
              <w:rPr>
                <w:rFonts w:cs="Arial"/>
                <w:color w:val="000000"/>
                <w:sz w:val="22"/>
                <w:szCs w:val="22"/>
              </w:rPr>
            </w:pPr>
            <w:r w:rsidRPr="00CB100F">
              <w:rPr>
                <w:rFonts w:cs="Arial"/>
                <w:color w:val="000000"/>
                <w:sz w:val="22"/>
                <w:szCs w:val="22"/>
              </w:rPr>
              <w:t>51,981</w:t>
            </w:r>
          </w:p>
        </w:tc>
        <w:tc>
          <w:tcPr>
            <w:tcW w:w="375" w:type="pct"/>
            <w:tcBorders>
              <w:top w:val="nil"/>
              <w:left w:val="nil"/>
              <w:bottom w:val="single" w:sz="4" w:space="0" w:color="000000"/>
              <w:right w:val="single" w:sz="4" w:space="0" w:color="000000"/>
            </w:tcBorders>
            <w:shd w:val="clear" w:color="auto" w:fill="auto"/>
            <w:noWrap/>
            <w:vAlign w:val="center"/>
          </w:tcPr>
          <w:p w14:paraId="79B334B9" w14:textId="77777777" w:rsidR="00CE1BDB" w:rsidRPr="00CB100F" w:rsidRDefault="00CE1BDB" w:rsidP="00EF49A7">
            <w:pPr>
              <w:jc w:val="right"/>
              <w:rPr>
                <w:rFonts w:cs="Arial"/>
                <w:color w:val="000000"/>
                <w:sz w:val="22"/>
                <w:szCs w:val="22"/>
              </w:rPr>
            </w:pPr>
            <w:r w:rsidRPr="00CB100F">
              <w:rPr>
                <w:rFonts w:cs="Arial"/>
                <w:color w:val="000000"/>
                <w:sz w:val="22"/>
                <w:szCs w:val="22"/>
              </w:rPr>
              <w:t>43.4</w:t>
            </w:r>
          </w:p>
        </w:tc>
      </w:tr>
      <w:tr w:rsidR="00CE1BDB" w:rsidRPr="00CB100F" w14:paraId="7DA290EC" w14:textId="77777777" w:rsidTr="00CB100F">
        <w:trPr>
          <w:trHeight w:val="325"/>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296D4E60" w14:textId="77777777" w:rsidR="00CE1BDB" w:rsidRPr="00CB100F" w:rsidRDefault="00CE1BDB" w:rsidP="00EF49A7">
            <w:pPr>
              <w:rPr>
                <w:rFonts w:cs="Arial"/>
                <w:color w:val="000000"/>
                <w:sz w:val="22"/>
                <w:szCs w:val="22"/>
              </w:rPr>
            </w:pPr>
            <w:r w:rsidRPr="00CB100F">
              <w:rPr>
                <w:rFonts w:cs="Arial"/>
                <w:color w:val="000000"/>
                <w:sz w:val="22"/>
                <w:szCs w:val="22"/>
              </w:rPr>
              <w:t>4 or more</w:t>
            </w:r>
          </w:p>
        </w:tc>
        <w:tc>
          <w:tcPr>
            <w:tcW w:w="367" w:type="pct"/>
            <w:tcBorders>
              <w:top w:val="nil"/>
              <w:left w:val="nil"/>
              <w:bottom w:val="single" w:sz="4" w:space="0" w:color="000000"/>
              <w:right w:val="single" w:sz="4" w:space="0" w:color="000000"/>
            </w:tcBorders>
            <w:shd w:val="clear" w:color="auto" w:fill="auto"/>
            <w:noWrap/>
            <w:vAlign w:val="center"/>
          </w:tcPr>
          <w:p w14:paraId="61648AEB" w14:textId="77777777" w:rsidR="00CE1BDB" w:rsidRPr="00CB100F" w:rsidRDefault="00CE1BDB" w:rsidP="00EF49A7">
            <w:pPr>
              <w:jc w:val="right"/>
              <w:rPr>
                <w:rFonts w:cs="Arial"/>
                <w:color w:val="000000"/>
                <w:sz w:val="22"/>
                <w:szCs w:val="22"/>
              </w:rPr>
            </w:pPr>
            <w:r w:rsidRPr="00CB100F">
              <w:rPr>
                <w:rFonts w:cs="Arial"/>
                <w:color w:val="000000"/>
                <w:sz w:val="22"/>
                <w:szCs w:val="22"/>
              </w:rPr>
              <w:t>168</w:t>
            </w:r>
          </w:p>
        </w:tc>
        <w:tc>
          <w:tcPr>
            <w:tcW w:w="367" w:type="pct"/>
            <w:tcBorders>
              <w:top w:val="nil"/>
              <w:left w:val="nil"/>
              <w:bottom w:val="single" w:sz="4" w:space="0" w:color="000000"/>
              <w:right w:val="single" w:sz="4" w:space="0" w:color="000000"/>
            </w:tcBorders>
            <w:shd w:val="clear" w:color="auto" w:fill="auto"/>
            <w:noWrap/>
            <w:vAlign w:val="center"/>
          </w:tcPr>
          <w:p w14:paraId="6932559A" w14:textId="77777777" w:rsidR="00CE1BDB" w:rsidRPr="00CB100F" w:rsidRDefault="00CE1BDB" w:rsidP="00EF49A7">
            <w:pPr>
              <w:jc w:val="right"/>
              <w:rPr>
                <w:rFonts w:cs="Arial"/>
                <w:color w:val="000000"/>
                <w:sz w:val="22"/>
                <w:szCs w:val="22"/>
              </w:rPr>
            </w:pPr>
            <w:r w:rsidRPr="00CB100F">
              <w:rPr>
                <w:rFonts w:cs="Arial"/>
                <w:color w:val="000000"/>
                <w:sz w:val="22"/>
                <w:szCs w:val="22"/>
              </w:rPr>
              <w:t>1,724</w:t>
            </w:r>
          </w:p>
        </w:tc>
        <w:tc>
          <w:tcPr>
            <w:tcW w:w="367" w:type="pct"/>
            <w:tcBorders>
              <w:top w:val="nil"/>
              <w:left w:val="nil"/>
              <w:bottom w:val="single" w:sz="4" w:space="0" w:color="000000"/>
              <w:right w:val="single" w:sz="4" w:space="0" w:color="000000"/>
            </w:tcBorders>
            <w:shd w:val="clear" w:color="auto" w:fill="auto"/>
            <w:noWrap/>
            <w:vAlign w:val="center"/>
          </w:tcPr>
          <w:p w14:paraId="4B0AD4EE" w14:textId="77777777" w:rsidR="00CE1BDB" w:rsidRPr="00CB100F" w:rsidRDefault="00CE1BDB" w:rsidP="00EF49A7">
            <w:pPr>
              <w:jc w:val="right"/>
              <w:rPr>
                <w:rFonts w:cs="Arial"/>
                <w:color w:val="000000"/>
                <w:sz w:val="22"/>
                <w:szCs w:val="22"/>
              </w:rPr>
            </w:pPr>
            <w:r w:rsidRPr="00CB100F">
              <w:rPr>
                <w:rFonts w:cs="Arial"/>
                <w:color w:val="000000"/>
                <w:sz w:val="22"/>
                <w:szCs w:val="22"/>
              </w:rPr>
              <w:t>6,360</w:t>
            </w:r>
          </w:p>
        </w:tc>
        <w:tc>
          <w:tcPr>
            <w:tcW w:w="368" w:type="pct"/>
            <w:tcBorders>
              <w:top w:val="nil"/>
              <w:left w:val="nil"/>
              <w:bottom w:val="single" w:sz="4" w:space="0" w:color="000000"/>
              <w:right w:val="single" w:sz="4" w:space="0" w:color="000000"/>
            </w:tcBorders>
            <w:shd w:val="clear" w:color="auto" w:fill="auto"/>
            <w:noWrap/>
            <w:vAlign w:val="center"/>
          </w:tcPr>
          <w:p w14:paraId="79977C15" w14:textId="77777777" w:rsidR="00CE1BDB" w:rsidRPr="00CB100F" w:rsidRDefault="00CE1BDB" w:rsidP="00EF49A7">
            <w:pPr>
              <w:jc w:val="right"/>
              <w:rPr>
                <w:rFonts w:cs="Arial"/>
                <w:color w:val="000000"/>
                <w:sz w:val="22"/>
                <w:szCs w:val="22"/>
              </w:rPr>
            </w:pPr>
            <w:r w:rsidRPr="00CB100F">
              <w:rPr>
                <w:rFonts w:cs="Arial"/>
                <w:color w:val="000000"/>
                <w:sz w:val="22"/>
                <w:szCs w:val="22"/>
              </w:rPr>
              <w:t>8,221</w:t>
            </w:r>
          </w:p>
        </w:tc>
        <w:tc>
          <w:tcPr>
            <w:tcW w:w="367" w:type="pct"/>
            <w:tcBorders>
              <w:top w:val="nil"/>
              <w:left w:val="nil"/>
              <w:bottom w:val="single" w:sz="4" w:space="0" w:color="000000"/>
              <w:right w:val="single" w:sz="4" w:space="0" w:color="000000"/>
            </w:tcBorders>
            <w:shd w:val="clear" w:color="auto" w:fill="auto"/>
            <w:noWrap/>
            <w:vAlign w:val="center"/>
          </w:tcPr>
          <w:p w14:paraId="438038BA" w14:textId="77777777" w:rsidR="00CE1BDB" w:rsidRPr="00CB100F" w:rsidRDefault="00CE1BDB" w:rsidP="00EF49A7">
            <w:pPr>
              <w:jc w:val="right"/>
              <w:rPr>
                <w:rFonts w:cs="Arial"/>
                <w:color w:val="000000"/>
                <w:sz w:val="22"/>
                <w:szCs w:val="22"/>
              </w:rPr>
            </w:pPr>
            <w:r w:rsidRPr="00CB100F">
              <w:rPr>
                <w:rFonts w:cs="Arial"/>
                <w:color w:val="000000"/>
                <w:sz w:val="22"/>
                <w:szCs w:val="22"/>
              </w:rPr>
              <w:t>5,619</w:t>
            </w:r>
          </w:p>
        </w:tc>
        <w:tc>
          <w:tcPr>
            <w:tcW w:w="367" w:type="pct"/>
            <w:tcBorders>
              <w:top w:val="nil"/>
              <w:left w:val="nil"/>
              <w:bottom w:val="single" w:sz="4" w:space="0" w:color="000000"/>
              <w:right w:val="single" w:sz="4" w:space="0" w:color="000000"/>
            </w:tcBorders>
            <w:shd w:val="clear" w:color="auto" w:fill="auto"/>
            <w:noWrap/>
            <w:vAlign w:val="center"/>
          </w:tcPr>
          <w:p w14:paraId="290CFE3B" w14:textId="77777777" w:rsidR="00CE1BDB" w:rsidRPr="00CB100F" w:rsidRDefault="00CE1BDB" w:rsidP="00EF49A7">
            <w:pPr>
              <w:jc w:val="right"/>
              <w:rPr>
                <w:rFonts w:cs="Arial"/>
                <w:color w:val="000000"/>
                <w:sz w:val="22"/>
                <w:szCs w:val="22"/>
              </w:rPr>
            </w:pPr>
            <w:r w:rsidRPr="00CB100F">
              <w:rPr>
                <w:rFonts w:cs="Arial"/>
                <w:color w:val="000000"/>
                <w:sz w:val="22"/>
                <w:szCs w:val="22"/>
              </w:rPr>
              <w:t>4,032</w:t>
            </w:r>
          </w:p>
        </w:tc>
        <w:tc>
          <w:tcPr>
            <w:tcW w:w="367" w:type="pct"/>
            <w:tcBorders>
              <w:top w:val="nil"/>
              <w:left w:val="nil"/>
              <w:bottom w:val="single" w:sz="4" w:space="0" w:color="000000"/>
              <w:right w:val="single" w:sz="4" w:space="0" w:color="000000"/>
            </w:tcBorders>
            <w:shd w:val="clear" w:color="auto" w:fill="auto"/>
            <w:noWrap/>
            <w:vAlign w:val="center"/>
          </w:tcPr>
          <w:p w14:paraId="7281DBEC" w14:textId="77777777" w:rsidR="00CE1BDB" w:rsidRPr="00CB100F" w:rsidRDefault="00CE1BDB" w:rsidP="00EF49A7">
            <w:pPr>
              <w:jc w:val="right"/>
              <w:rPr>
                <w:rFonts w:cs="Arial"/>
                <w:color w:val="000000"/>
                <w:sz w:val="22"/>
                <w:szCs w:val="22"/>
              </w:rPr>
            </w:pPr>
            <w:r w:rsidRPr="00CB100F">
              <w:rPr>
                <w:rFonts w:cs="Arial"/>
                <w:color w:val="000000"/>
                <w:sz w:val="22"/>
                <w:szCs w:val="22"/>
              </w:rPr>
              <w:t>2,385</w:t>
            </w:r>
          </w:p>
        </w:tc>
        <w:tc>
          <w:tcPr>
            <w:tcW w:w="367" w:type="pct"/>
            <w:tcBorders>
              <w:top w:val="nil"/>
              <w:left w:val="nil"/>
              <w:bottom w:val="single" w:sz="4" w:space="0" w:color="000000"/>
              <w:right w:val="single" w:sz="4" w:space="0" w:color="000000"/>
            </w:tcBorders>
            <w:shd w:val="clear" w:color="auto" w:fill="auto"/>
            <w:noWrap/>
            <w:vAlign w:val="center"/>
          </w:tcPr>
          <w:p w14:paraId="7ADED94D" w14:textId="77777777" w:rsidR="00CE1BDB" w:rsidRPr="00CB100F" w:rsidRDefault="00CE1BDB" w:rsidP="00EF49A7">
            <w:pPr>
              <w:jc w:val="right"/>
              <w:rPr>
                <w:rFonts w:cs="Arial"/>
                <w:color w:val="000000"/>
                <w:sz w:val="22"/>
                <w:szCs w:val="22"/>
              </w:rPr>
            </w:pPr>
            <w:r w:rsidRPr="00CB100F">
              <w:rPr>
                <w:rFonts w:cs="Arial"/>
                <w:color w:val="000000"/>
                <w:sz w:val="22"/>
                <w:szCs w:val="22"/>
              </w:rPr>
              <w:t>278</w:t>
            </w:r>
          </w:p>
        </w:tc>
        <w:tc>
          <w:tcPr>
            <w:tcW w:w="358" w:type="pct"/>
            <w:tcBorders>
              <w:top w:val="nil"/>
              <w:left w:val="nil"/>
              <w:bottom w:val="single" w:sz="4" w:space="0" w:color="000000"/>
              <w:right w:val="single" w:sz="4" w:space="0" w:color="000000"/>
            </w:tcBorders>
            <w:shd w:val="clear" w:color="auto" w:fill="auto"/>
            <w:noWrap/>
            <w:vAlign w:val="center"/>
          </w:tcPr>
          <w:p w14:paraId="524366D1" w14:textId="77777777" w:rsidR="00CE1BDB" w:rsidRPr="00CB100F" w:rsidRDefault="00CE1BDB" w:rsidP="00EF49A7">
            <w:pPr>
              <w:jc w:val="right"/>
              <w:rPr>
                <w:rFonts w:cs="Arial"/>
                <w:color w:val="000000"/>
                <w:sz w:val="22"/>
                <w:szCs w:val="22"/>
              </w:rPr>
            </w:pPr>
            <w:r w:rsidRPr="00CB100F">
              <w:rPr>
                <w:rFonts w:cs="Arial"/>
                <w:color w:val="000000"/>
                <w:sz w:val="22"/>
                <w:szCs w:val="22"/>
              </w:rPr>
              <w:t>28,786</w:t>
            </w:r>
          </w:p>
        </w:tc>
        <w:tc>
          <w:tcPr>
            <w:tcW w:w="375" w:type="pct"/>
            <w:tcBorders>
              <w:top w:val="nil"/>
              <w:left w:val="nil"/>
              <w:bottom w:val="single" w:sz="4" w:space="0" w:color="000000"/>
              <w:right w:val="single" w:sz="4" w:space="0" w:color="000000"/>
            </w:tcBorders>
            <w:shd w:val="clear" w:color="auto" w:fill="auto"/>
            <w:noWrap/>
            <w:vAlign w:val="center"/>
          </w:tcPr>
          <w:p w14:paraId="7ECC45E6" w14:textId="77777777" w:rsidR="00CE1BDB" w:rsidRPr="00CB100F" w:rsidRDefault="00CE1BDB" w:rsidP="00EF49A7">
            <w:pPr>
              <w:jc w:val="right"/>
              <w:rPr>
                <w:rFonts w:cs="Arial"/>
                <w:color w:val="000000"/>
                <w:sz w:val="22"/>
                <w:szCs w:val="22"/>
              </w:rPr>
            </w:pPr>
            <w:r w:rsidRPr="00CB100F">
              <w:rPr>
                <w:rFonts w:cs="Arial"/>
                <w:color w:val="000000"/>
                <w:sz w:val="22"/>
                <w:szCs w:val="22"/>
              </w:rPr>
              <w:t>24.0</w:t>
            </w:r>
          </w:p>
        </w:tc>
      </w:tr>
      <w:tr w:rsidR="00CE1BDB" w:rsidRPr="00CB100F" w14:paraId="075825D7" w14:textId="77777777" w:rsidTr="00CB100F">
        <w:trPr>
          <w:trHeight w:val="347"/>
        </w:trPr>
        <w:tc>
          <w:tcPr>
            <w:tcW w:w="1330" w:type="pct"/>
            <w:tcBorders>
              <w:top w:val="nil"/>
              <w:left w:val="single" w:sz="4" w:space="0" w:color="000000"/>
              <w:bottom w:val="single" w:sz="4" w:space="0" w:color="000000"/>
              <w:right w:val="single" w:sz="4" w:space="0" w:color="000000"/>
            </w:tcBorders>
            <w:shd w:val="clear" w:color="auto" w:fill="auto"/>
            <w:noWrap/>
            <w:vAlign w:val="bottom"/>
            <w:hideMark/>
          </w:tcPr>
          <w:p w14:paraId="609E9E0D" w14:textId="77777777" w:rsidR="00CE1BDB" w:rsidRPr="00CB100F" w:rsidRDefault="00CE1BDB" w:rsidP="00EF49A7">
            <w:pPr>
              <w:rPr>
                <w:rFonts w:cs="Arial"/>
                <w:color w:val="000000"/>
                <w:sz w:val="22"/>
                <w:szCs w:val="22"/>
              </w:rPr>
            </w:pPr>
            <w:r w:rsidRPr="00CB100F">
              <w:rPr>
                <w:rFonts w:cs="Arial"/>
                <w:color w:val="000000"/>
                <w:sz w:val="22"/>
                <w:szCs w:val="22"/>
              </w:rPr>
              <w:t>Total</w:t>
            </w:r>
          </w:p>
        </w:tc>
        <w:tc>
          <w:tcPr>
            <w:tcW w:w="367" w:type="pct"/>
            <w:tcBorders>
              <w:top w:val="nil"/>
              <w:left w:val="nil"/>
              <w:bottom w:val="single" w:sz="4" w:space="0" w:color="000000"/>
              <w:right w:val="single" w:sz="4" w:space="0" w:color="000000"/>
            </w:tcBorders>
            <w:shd w:val="clear" w:color="auto" w:fill="auto"/>
            <w:noWrap/>
            <w:vAlign w:val="center"/>
          </w:tcPr>
          <w:p w14:paraId="40223D5A" w14:textId="77777777" w:rsidR="00CE1BDB" w:rsidRPr="00CB100F" w:rsidRDefault="00CE1BDB" w:rsidP="00EF49A7">
            <w:pPr>
              <w:jc w:val="right"/>
              <w:rPr>
                <w:rFonts w:cs="Arial"/>
                <w:color w:val="000000"/>
                <w:sz w:val="22"/>
                <w:szCs w:val="22"/>
              </w:rPr>
            </w:pPr>
            <w:r w:rsidRPr="00CB100F">
              <w:rPr>
                <w:rFonts w:cs="Arial"/>
                <w:color w:val="000000"/>
                <w:sz w:val="22"/>
                <w:szCs w:val="22"/>
              </w:rPr>
              <w:t>3,512</w:t>
            </w:r>
          </w:p>
        </w:tc>
        <w:tc>
          <w:tcPr>
            <w:tcW w:w="367" w:type="pct"/>
            <w:tcBorders>
              <w:top w:val="nil"/>
              <w:left w:val="nil"/>
              <w:bottom w:val="single" w:sz="4" w:space="0" w:color="000000"/>
              <w:right w:val="single" w:sz="4" w:space="0" w:color="000000"/>
            </w:tcBorders>
            <w:shd w:val="clear" w:color="auto" w:fill="auto"/>
            <w:noWrap/>
            <w:vAlign w:val="center"/>
          </w:tcPr>
          <w:p w14:paraId="7C987D5C" w14:textId="77777777" w:rsidR="00CE1BDB" w:rsidRPr="00CB100F" w:rsidRDefault="00CE1BDB" w:rsidP="00EF49A7">
            <w:pPr>
              <w:jc w:val="right"/>
              <w:rPr>
                <w:rFonts w:cs="Arial"/>
                <w:color w:val="000000"/>
                <w:sz w:val="22"/>
                <w:szCs w:val="22"/>
              </w:rPr>
            </w:pPr>
            <w:r w:rsidRPr="00CB100F">
              <w:rPr>
                <w:rFonts w:cs="Arial"/>
                <w:color w:val="000000"/>
                <w:sz w:val="22"/>
                <w:szCs w:val="22"/>
              </w:rPr>
              <w:t>14,151</w:t>
            </w:r>
          </w:p>
        </w:tc>
        <w:tc>
          <w:tcPr>
            <w:tcW w:w="367" w:type="pct"/>
            <w:tcBorders>
              <w:top w:val="nil"/>
              <w:left w:val="nil"/>
              <w:bottom w:val="single" w:sz="4" w:space="0" w:color="000000"/>
              <w:right w:val="single" w:sz="4" w:space="0" w:color="000000"/>
            </w:tcBorders>
            <w:shd w:val="clear" w:color="auto" w:fill="auto"/>
            <w:noWrap/>
            <w:vAlign w:val="center"/>
          </w:tcPr>
          <w:p w14:paraId="010E2032" w14:textId="77777777" w:rsidR="00CE1BDB" w:rsidRPr="00CB100F" w:rsidRDefault="00CE1BDB" w:rsidP="00EF49A7">
            <w:pPr>
              <w:jc w:val="right"/>
              <w:rPr>
                <w:rFonts w:cs="Arial"/>
                <w:color w:val="000000"/>
                <w:sz w:val="22"/>
                <w:szCs w:val="22"/>
              </w:rPr>
            </w:pPr>
            <w:r w:rsidRPr="00CB100F">
              <w:rPr>
                <w:rFonts w:cs="Arial"/>
                <w:color w:val="000000"/>
                <w:sz w:val="22"/>
                <w:szCs w:val="22"/>
              </w:rPr>
              <w:t>20,378</w:t>
            </w:r>
          </w:p>
        </w:tc>
        <w:tc>
          <w:tcPr>
            <w:tcW w:w="368" w:type="pct"/>
            <w:tcBorders>
              <w:top w:val="nil"/>
              <w:left w:val="nil"/>
              <w:bottom w:val="single" w:sz="4" w:space="0" w:color="000000"/>
              <w:right w:val="single" w:sz="4" w:space="0" w:color="000000"/>
            </w:tcBorders>
            <w:shd w:val="clear" w:color="auto" w:fill="auto"/>
            <w:noWrap/>
            <w:vAlign w:val="center"/>
          </w:tcPr>
          <w:p w14:paraId="15F5D5B0" w14:textId="77777777" w:rsidR="00CE1BDB" w:rsidRPr="00CB100F" w:rsidRDefault="00CE1BDB" w:rsidP="00EF49A7">
            <w:pPr>
              <w:jc w:val="right"/>
              <w:rPr>
                <w:rFonts w:cs="Arial"/>
                <w:color w:val="000000"/>
                <w:sz w:val="22"/>
                <w:szCs w:val="22"/>
              </w:rPr>
            </w:pPr>
            <w:r w:rsidRPr="00CB100F">
              <w:rPr>
                <w:rFonts w:cs="Arial"/>
                <w:color w:val="000000"/>
                <w:sz w:val="22"/>
                <w:szCs w:val="22"/>
              </w:rPr>
              <w:t>23,980</w:t>
            </w:r>
          </w:p>
        </w:tc>
        <w:tc>
          <w:tcPr>
            <w:tcW w:w="367" w:type="pct"/>
            <w:tcBorders>
              <w:top w:val="nil"/>
              <w:left w:val="nil"/>
              <w:bottom w:val="single" w:sz="4" w:space="0" w:color="000000"/>
              <w:right w:val="single" w:sz="4" w:space="0" w:color="000000"/>
            </w:tcBorders>
            <w:shd w:val="clear" w:color="auto" w:fill="auto"/>
            <w:noWrap/>
            <w:vAlign w:val="center"/>
          </w:tcPr>
          <w:p w14:paraId="13138B45" w14:textId="77777777" w:rsidR="00CE1BDB" w:rsidRPr="00CB100F" w:rsidRDefault="00CE1BDB" w:rsidP="00EF49A7">
            <w:pPr>
              <w:jc w:val="right"/>
              <w:rPr>
                <w:rFonts w:cs="Arial"/>
                <w:color w:val="000000"/>
                <w:sz w:val="22"/>
                <w:szCs w:val="22"/>
              </w:rPr>
            </w:pPr>
            <w:r w:rsidRPr="00CB100F">
              <w:rPr>
                <w:rFonts w:cs="Arial"/>
                <w:color w:val="000000"/>
                <w:sz w:val="22"/>
                <w:szCs w:val="22"/>
              </w:rPr>
              <w:t>19,302</w:t>
            </w:r>
          </w:p>
        </w:tc>
        <w:tc>
          <w:tcPr>
            <w:tcW w:w="367" w:type="pct"/>
            <w:tcBorders>
              <w:top w:val="nil"/>
              <w:left w:val="nil"/>
              <w:bottom w:val="single" w:sz="4" w:space="0" w:color="000000"/>
              <w:right w:val="single" w:sz="4" w:space="0" w:color="000000"/>
            </w:tcBorders>
            <w:shd w:val="clear" w:color="auto" w:fill="auto"/>
            <w:noWrap/>
            <w:vAlign w:val="center"/>
          </w:tcPr>
          <w:p w14:paraId="6FD29C3C" w14:textId="77777777" w:rsidR="00CE1BDB" w:rsidRPr="00CB100F" w:rsidRDefault="00CE1BDB" w:rsidP="00EF49A7">
            <w:pPr>
              <w:jc w:val="right"/>
              <w:rPr>
                <w:rFonts w:cs="Arial"/>
                <w:color w:val="000000"/>
                <w:sz w:val="22"/>
                <w:szCs w:val="22"/>
              </w:rPr>
            </w:pPr>
            <w:r w:rsidRPr="00CB100F">
              <w:rPr>
                <w:rFonts w:cs="Arial"/>
                <w:color w:val="000000"/>
                <w:sz w:val="22"/>
                <w:szCs w:val="22"/>
              </w:rPr>
              <w:t>17,586</w:t>
            </w:r>
          </w:p>
        </w:tc>
        <w:tc>
          <w:tcPr>
            <w:tcW w:w="367" w:type="pct"/>
            <w:tcBorders>
              <w:top w:val="nil"/>
              <w:left w:val="nil"/>
              <w:bottom w:val="single" w:sz="4" w:space="0" w:color="000000"/>
              <w:right w:val="single" w:sz="4" w:space="0" w:color="000000"/>
            </w:tcBorders>
            <w:shd w:val="clear" w:color="auto" w:fill="auto"/>
            <w:noWrap/>
            <w:vAlign w:val="center"/>
          </w:tcPr>
          <w:p w14:paraId="7DC09AE6" w14:textId="77777777" w:rsidR="00CE1BDB" w:rsidRPr="00CB100F" w:rsidRDefault="00CE1BDB" w:rsidP="00EF49A7">
            <w:pPr>
              <w:jc w:val="right"/>
              <w:rPr>
                <w:rFonts w:cs="Arial"/>
                <w:color w:val="000000"/>
                <w:sz w:val="22"/>
                <w:szCs w:val="22"/>
              </w:rPr>
            </w:pPr>
            <w:r w:rsidRPr="00CB100F">
              <w:rPr>
                <w:rFonts w:cs="Arial"/>
                <w:color w:val="000000"/>
                <w:sz w:val="22"/>
                <w:szCs w:val="22"/>
              </w:rPr>
              <w:t>14,330</w:t>
            </w:r>
          </w:p>
        </w:tc>
        <w:tc>
          <w:tcPr>
            <w:tcW w:w="367" w:type="pct"/>
            <w:tcBorders>
              <w:top w:val="nil"/>
              <w:left w:val="nil"/>
              <w:bottom w:val="single" w:sz="4" w:space="0" w:color="000000"/>
              <w:right w:val="single" w:sz="4" w:space="0" w:color="000000"/>
            </w:tcBorders>
            <w:shd w:val="clear" w:color="auto" w:fill="auto"/>
            <w:noWrap/>
            <w:vAlign w:val="center"/>
          </w:tcPr>
          <w:p w14:paraId="61035DC4" w14:textId="77777777" w:rsidR="00CE1BDB" w:rsidRPr="00CB100F" w:rsidRDefault="00CE1BDB" w:rsidP="00EF49A7">
            <w:pPr>
              <w:jc w:val="right"/>
              <w:rPr>
                <w:rFonts w:cs="Arial"/>
                <w:color w:val="000000"/>
                <w:sz w:val="22"/>
                <w:szCs w:val="22"/>
              </w:rPr>
            </w:pPr>
            <w:r w:rsidRPr="00CB100F">
              <w:rPr>
                <w:rFonts w:cs="Arial"/>
                <w:color w:val="000000"/>
                <w:sz w:val="22"/>
                <w:szCs w:val="22"/>
              </w:rPr>
              <w:t>6,538</w:t>
            </w:r>
          </w:p>
        </w:tc>
        <w:tc>
          <w:tcPr>
            <w:tcW w:w="358" w:type="pct"/>
            <w:tcBorders>
              <w:top w:val="nil"/>
              <w:left w:val="nil"/>
              <w:bottom w:val="single" w:sz="4" w:space="0" w:color="000000"/>
              <w:right w:val="single" w:sz="4" w:space="0" w:color="000000"/>
            </w:tcBorders>
            <w:shd w:val="clear" w:color="auto" w:fill="auto"/>
            <w:noWrap/>
            <w:vAlign w:val="center"/>
          </w:tcPr>
          <w:p w14:paraId="59311DEA" w14:textId="77777777" w:rsidR="00CE1BDB" w:rsidRPr="00CB100F" w:rsidRDefault="00CE1BDB" w:rsidP="00EF49A7">
            <w:pPr>
              <w:jc w:val="right"/>
              <w:rPr>
                <w:rFonts w:cs="Arial"/>
                <w:color w:val="000000"/>
                <w:sz w:val="22"/>
                <w:szCs w:val="22"/>
              </w:rPr>
            </w:pPr>
            <w:r w:rsidRPr="00CB100F">
              <w:rPr>
                <w:rFonts w:cs="Arial"/>
                <w:color w:val="000000"/>
                <w:sz w:val="22"/>
                <w:szCs w:val="22"/>
              </w:rPr>
              <w:t>119,779</w:t>
            </w:r>
          </w:p>
        </w:tc>
        <w:tc>
          <w:tcPr>
            <w:tcW w:w="375" w:type="pct"/>
            <w:tcBorders>
              <w:top w:val="nil"/>
              <w:left w:val="nil"/>
              <w:bottom w:val="single" w:sz="4" w:space="0" w:color="000000"/>
              <w:right w:val="single" w:sz="4" w:space="0" w:color="000000"/>
            </w:tcBorders>
            <w:shd w:val="clear" w:color="auto" w:fill="auto"/>
            <w:noWrap/>
            <w:vAlign w:val="center"/>
          </w:tcPr>
          <w:p w14:paraId="4C55818F" w14:textId="77777777" w:rsidR="00CE1BDB" w:rsidRPr="00CB100F" w:rsidRDefault="00CE1BDB" w:rsidP="00EF49A7">
            <w:pPr>
              <w:jc w:val="right"/>
              <w:rPr>
                <w:rFonts w:cs="Arial"/>
                <w:color w:val="000000"/>
                <w:sz w:val="22"/>
                <w:szCs w:val="22"/>
              </w:rPr>
            </w:pPr>
            <w:r w:rsidRPr="00CB100F">
              <w:rPr>
                <w:rFonts w:cs="Arial"/>
                <w:color w:val="000000"/>
                <w:sz w:val="22"/>
                <w:szCs w:val="22"/>
              </w:rPr>
              <w:t>100.0</w:t>
            </w:r>
          </w:p>
        </w:tc>
      </w:tr>
    </w:tbl>
    <w:p w14:paraId="5BB0693E" w14:textId="77777777" w:rsidR="00CE1BDB" w:rsidRPr="00CB100F" w:rsidRDefault="00CE1BDB" w:rsidP="00CE1BDB">
      <w:pPr>
        <w:tabs>
          <w:tab w:val="left" w:pos="0"/>
          <w:tab w:val="left" w:pos="709"/>
          <w:tab w:val="left" w:pos="1418"/>
        </w:tabs>
        <w:rPr>
          <w:rFonts w:cs="Arial"/>
          <w:sz w:val="22"/>
          <w:szCs w:val="28"/>
          <w:highlight w:val="yellow"/>
        </w:rPr>
        <w:sectPr w:rsidR="00CE1BDB" w:rsidRPr="00CB100F" w:rsidSect="00EF49A7">
          <w:pgSz w:w="16838" w:h="11906" w:orient="landscape"/>
          <w:pgMar w:top="996" w:right="567" w:bottom="1440" w:left="1276" w:header="708" w:footer="715" w:gutter="0"/>
          <w:cols w:space="708"/>
          <w:docGrid w:linePitch="360"/>
        </w:sectPr>
      </w:pPr>
      <w:r w:rsidRPr="00CB100F">
        <w:rPr>
          <w:rFonts w:cs="Arial"/>
          <w:sz w:val="22"/>
          <w:szCs w:val="28"/>
        </w:rPr>
        <w:t>Note totals by age group may vary slightly due to rounding errors; Source: ONS 2018-based household projections and arc4 national database</w:t>
      </w:r>
    </w:p>
    <w:p w14:paraId="504E2662" w14:textId="77777777" w:rsidR="00CE1BDB" w:rsidRPr="00FA4DC7" w:rsidRDefault="00CE1BDB" w:rsidP="00CE1BDB">
      <w:pPr>
        <w:pStyle w:val="Maintext"/>
        <w:numPr>
          <w:ilvl w:val="1"/>
          <w:numId w:val="33"/>
        </w:numPr>
        <w:tabs>
          <w:tab w:val="left" w:pos="0"/>
          <w:tab w:val="left" w:pos="1418"/>
        </w:tabs>
        <w:rPr>
          <w:rFonts w:ascii="Arial" w:hAnsi="Arial" w:cs="Arial"/>
        </w:rPr>
      </w:pPr>
      <w:bookmarkStart w:id="628" w:name="_Toc19198557"/>
      <w:bookmarkStart w:id="629" w:name="_Toc55856219"/>
      <w:bookmarkStart w:id="630" w:name="_Toc56426642"/>
      <w:bookmarkStart w:id="631" w:name="_Toc56502868"/>
      <w:bookmarkStart w:id="632" w:name="_Toc59204547"/>
      <w:bookmarkStart w:id="633" w:name="_Toc70614018"/>
      <w:r w:rsidRPr="00FA4DC7">
        <w:rPr>
          <w:rFonts w:ascii="Arial" w:hAnsi="Arial" w:cs="Arial"/>
        </w:rPr>
        <w:lastRenderedPageBreak/>
        <w:t xml:space="preserve">In order to support the council’s growth and regeneration policies, a further scenario has been developed which takes into specific account the needs of younger people (households with a household reference person aged under 35). Including this in analysis also ensures that new development can help to address the suppression of household formation by providing appropriate accommodation for younger households. </w:t>
      </w:r>
    </w:p>
    <w:p w14:paraId="612364C7"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Table D4 sets out the demographic baseline and alternative under 35 </w:t>
      </w:r>
      <w:proofErr w:type="gramStart"/>
      <w:r w:rsidRPr="00FA4DC7">
        <w:rPr>
          <w:rFonts w:ascii="Arial" w:hAnsi="Arial" w:cs="Arial"/>
        </w:rPr>
        <w:t>scenario</w:t>
      </w:r>
      <w:proofErr w:type="gramEnd"/>
      <w:r w:rsidRPr="00FA4DC7">
        <w:rPr>
          <w:rFonts w:ascii="Arial" w:hAnsi="Arial" w:cs="Arial"/>
        </w:rPr>
        <w:t xml:space="preserve">. </w:t>
      </w:r>
    </w:p>
    <w:p w14:paraId="25DE04B4" w14:textId="77777777" w:rsidR="00CE1BDB" w:rsidRPr="00FA4DC7" w:rsidRDefault="00CE1BDB" w:rsidP="00CE1BDB">
      <w:pPr>
        <w:pStyle w:val="Maintext"/>
        <w:numPr>
          <w:ilvl w:val="0"/>
          <w:numId w:val="0"/>
        </w:numPr>
        <w:tabs>
          <w:tab w:val="left" w:pos="0"/>
          <w:tab w:val="left" w:pos="1418"/>
        </w:tabs>
        <w:ind w:left="709"/>
        <w:rPr>
          <w:rFonts w:ascii="Arial" w:hAnsi="Arial" w:cs="Arial"/>
        </w:rPr>
      </w:pPr>
    </w:p>
    <w:tbl>
      <w:tblPr>
        <w:tblW w:w="5000" w:type="pct"/>
        <w:tblLook w:val="04A0" w:firstRow="1" w:lastRow="0" w:firstColumn="1" w:lastColumn="0" w:noHBand="0" w:noVBand="1"/>
      </w:tblPr>
      <w:tblGrid>
        <w:gridCol w:w="3109"/>
        <w:gridCol w:w="1984"/>
        <w:gridCol w:w="1880"/>
        <w:gridCol w:w="2197"/>
      </w:tblGrid>
      <w:tr w:rsidR="00CE1BDB" w:rsidRPr="00CB100F" w14:paraId="0160FCE7" w14:textId="77777777" w:rsidTr="00CB100F">
        <w:tc>
          <w:tcPr>
            <w:tcW w:w="5000" w:type="pct"/>
            <w:gridSpan w:val="4"/>
            <w:tcBorders>
              <w:top w:val="single" w:sz="8" w:space="0" w:color="auto"/>
              <w:left w:val="single" w:sz="8" w:space="0" w:color="auto"/>
              <w:bottom w:val="single" w:sz="4" w:space="0" w:color="auto"/>
              <w:right w:val="single" w:sz="8" w:space="0" w:color="auto"/>
            </w:tcBorders>
            <w:shd w:val="clear" w:color="auto" w:fill="006666"/>
            <w:noWrap/>
            <w:vAlign w:val="center"/>
          </w:tcPr>
          <w:p w14:paraId="51674222" w14:textId="77777777" w:rsidR="00CE1BDB" w:rsidRPr="00CB100F" w:rsidRDefault="00CE1BDB" w:rsidP="00CB100F">
            <w:pPr>
              <w:pStyle w:val="Tableheading1"/>
              <w:rPr>
                <w:color w:val="000000"/>
              </w:rPr>
            </w:pPr>
            <w:bookmarkStart w:id="634" w:name="_Toc83036139"/>
            <w:r w:rsidRPr="00CB100F">
              <w:t>Table D4</w:t>
            </w:r>
            <w:r w:rsidRPr="00CB100F">
              <w:tab/>
              <w:t>Dwelling type and size outcomes under alternative scenarios</w:t>
            </w:r>
            <w:bookmarkEnd w:id="634"/>
          </w:p>
        </w:tc>
      </w:tr>
      <w:tr w:rsidR="00CB100F" w:rsidRPr="00CB100F" w14:paraId="78B4586E" w14:textId="77777777" w:rsidTr="00CB100F">
        <w:tc>
          <w:tcPr>
            <w:tcW w:w="1695" w:type="pct"/>
            <w:vMerge w:val="restart"/>
            <w:tcBorders>
              <w:top w:val="single" w:sz="8" w:space="0" w:color="auto"/>
              <w:left w:val="single" w:sz="8" w:space="0" w:color="auto"/>
              <w:right w:val="single" w:sz="4" w:space="0" w:color="auto"/>
            </w:tcBorders>
            <w:shd w:val="clear" w:color="auto" w:fill="006666"/>
            <w:noWrap/>
            <w:vAlign w:val="center"/>
            <w:hideMark/>
          </w:tcPr>
          <w:p w14:paraId="00D2E8A3" w14:textId="1C4F49B3" w:rsidR="00CB100F" w:rsidRPr="00CB100F" w:rsidRDefault="00CB100F" w:rsidP="00CB100F">
            <w:pPr>
              <w:spacing w:before="20" w:after="20"/>
              <w:rPr>
                <w:rFonts w:cs="Arial"/>
                <w:b/>
                <w:bCs/>
                <w:color w:val="FFFFFF"/>
                <w:sz w:val="22"/>
                <w:szCs w:val="22"/>
              </w:rPr>
            </w:pPr>
            <w:r w:rsidRPr="00CB100F">
              <w:rPr>
                <w:rFonts w:cs="Arial"/>
                <w:b/>
                <w:bCs/>
                <w:color w:val="FFFFFF"/>
                <w:sz w:val="22"/>
                <w:szCs w:val="22"/>
              </w:rPr>
              <w:t>Dwelling type and size</w:t>
            </w:r>
          </w:p>
        </w:tc>
        <w:tc>
          <w:tcPr>
            <w:tcW w:w="3305" w:type="pct"/>
            <w:gridSpan w:val="3"/>
            <w:tcBorders>
              <w:top w:val="single" w:sz="8" w:space="0" w:color="auto"/>
              <w:left w:val="nil"/>
              <w:bottom w:val="single" w:sz="4" w:space="0" w:color="auto"/>
              <w:right w:val="single" w:sz="8" w:space="0" w:color="auto"/>
            </w:tcBorders>
            <w:shd w:val="clear" w:color="auto" w:fill="006666"/>
            <w:noWrap/>
            <w:vAlign w:val="center"/>
            <w:hideMark/>
          </w:tcPr>
          <w:p w14:paraId="3DF19A2C" w14:textId="730C76CE" w:rsidR="00CB100F" w:rsidRPr="00CB100F" w:rsidRDefault="00CB100F" w:rsidP="00CB100F">
            <w:pPr>
              <w:spacing w:before="20" w:after="20"/>
              <w:jc w:val="center"/>
              <w:rPr>
                <w:rFonts w:cs="Arial"/>
                <w:color w:val="000000"/>
                <w:sz w:val="22"/>
                <w:szCs w:val="22"/>
              </w:rPr>
            </w:pPr>
            <w:r w:rsidRPr="00CB100F">
              <w:rPr>
                <w:rFonts w:cs="Arial"/>
                <w:b/>
                <w:bCs/>
                <w:color w:val="FFFFFF"/>
                <w:sz w:val="22"/>
                <w:szCs w:val="22"/>
              </w:rPr>
              <w:t>Scenario</w:t>
            </w:r>
          </w:p>
        </w:tc>
      </w:tr>
      <w:tr w:rsidR="00CB100F" w:rsidRPr="00CB100F" w14:paraId="0BF639F9" w14:textId="77777777" w:rsidTr="00CB100F">
        <w:tc>
          <w:tcPr>
            <w:tcW w:w="1695" w:type="pct"/>
            <w:vMerge/>
            <w:tcBorders>
              <w:left w:val="single" w:sz="8" w:space="0" w:color="auto"/>
              <w:bottom w:val="single" w:sz="4" w:space="0" w:color="auto"/>
              <w:right w:val="single" w:sz="4" w:space="0" w:color="auto"/>
            </w:tcBorders>
            <w:shd w:val="clear" w:color="auto" w:fill="006666"/>
            <w:noWrap/>
            <w:vAlign w:val="bottom"/>
            <w:hideMark/>
          </w:tcPr>
          <w:p w14:paraId="39B17AFC" w14:textId="12496461" w:rsidR="00CB100F" w:rsidRPr="00CB100F" w:rsidRDefault="00CB100F" w:rsidP="00CB100F">
            <w:pPr>
              <w:spacing w:before="20" w:after="20"/>
              <w:rPr>
                <w:rFonts w:cs="Arial"/>
                <w:color w:val="000000"/>
                <w:sz w:val="22"/>
                <w:szCs w:val="22"/>
              </w:rPr>
            </w:pPr>
          </w:p>
        </w:tc>
        <w:tc>
          <w:tcPr>
            <w:tcW w:w="1082" w:type="pct"/>
            <w:tcBorders>
              <w:top w:val="nil"/>
              <w:left w:val="nil"/>
              <w:bottom w:val="single" w:sz="4" w:space="0" w:color="auto"/>
              <w:right w:val="single" w:sz="4" w:space="0" w:color="auto"/>
            </w:tcBorders>
            <w:shd w:val="clear" w:color="auto" w:fill="006666"/>
            <w:vAlign w:val="bottom"/>
            <w:hideMark/>
          </w:tcPr>
          <w:p w14:paraId="68C7D54F" w14:textId="77777777" w:rsidR="00CB100F" w:rsidRPr="00CB100F" w:rsidRDefault="00CB100F" w:rsidP="00CB100F">
            <w:pPr>
              <w:spacing w:before="20" w:after="20"/>
              <w:jc w:val="center"/>
              <w:rPr>
                <w:rFonts w:cs="Arial"/>
                <w:b/>
                <w:bCs/>
                <w:color w:val="FFFFFF"/>
                <w:sz w:val="22"/>
                <w:szCs w:val="22"/>
              </w:rPr>
            </w:pPr>
            <w:r w:rsidRPr="00CB100F">
              <w:rPr>
                <w:rFonts w:cs="Arial"/>
                <w:b/>
                <w:bCs/>
                <w:color w:val="FFFFFF"/>
                <w:sz w:val="22"/>
                <w:szCs w:val="22"/>
              </w:rPr>
              <w:t>Demographic scenario</w:t>
            </w:r>
          </w:p>
        </w:tc>
        <w:tc>
          <w:tcPr>
            <w:tcW w:w="1025" w:type="pct"/>
            <w:tcBorders>
              <w:top w:val="nil"/>
              <w:left w:val="nil"/>
              <w:bottom w:val="single" w:sz="4" w:space="0" w:color="auto"/>
              <w:right w:val="single" w:sz="4" w:space="0" w:color="auto"/>
            </w:tcBorders>
            <w:shd w:val="clear" w:color="auto" w:fill="006666"/>
            <w:vAlign w:val="bottom"/>
            <w:hideMark/>
          </w:tcPr>
          <w:p w14:paraId="554F27A4" w14:textId="77777777" w:rsidR="00CB100F" w:rsidRPr="00CB100F" w:rsidRDefault="00CB100F" w:rsidP="00CB100F">
            <w:pPr>
              <w:spacing w:before="20" w:after="20"/>
              <w:jc w:val="center"/>
              <w:rPr>
                <w:rFonts w:cs="Arial"/>
                <w:b/>
                <w:bCs/>
                <w:color w:val="FFFFFF"/>
                <w:sz w:val="22"/>
                <w:szCs w:val="22"/>
              </w:rPr>
            </w:pPr>
            <w:r w:rsidRPr="00CB100F">
              <w:rPr>
                <w:rFonts w:cs="Arial"/>
                <w:b/>
                <w:bCs/>
                <w:color w:val="FFFFFF"/>
                <w:sz w:val="22"/>
                <w:szCs w:val="22"/>
              </w:rPr>
              <w:t>Under 35 dwelling mix</w:t>
            </w:r>
          </w:p>
        </w:tc>
        <w:tc>
          <w:tcPr>
            <w:tcW w:w="1198" w:type="pct"/>
            <w:tcBorders>
              <w:top w:val="nil"/>
              <w:left w:val="nil"/>
              <w:bottom w:val="single" w:sz="4" w:space="0" w:color="auto"/>
              <w:right w:val="single" w:sz="8" w:space="0" w:color="auto"/>
            </w:tcBorders>
            <w:shd w:val="clear" w:color="auto" w:fill="006666"/>
            <w:vAlign w:val="bottom"/>
            <w:hideMark/>
          </w:tcPr>
          <w:p w14:paraId="58B0A6A7" w14:textId="77777777" w:rsidR="00CB100F" w:rsidRPr="00CB100F" w:rsidRDefault="00CB100F" w:rsidP="00CB100F">
            <w:pPr>
              <w:spacing w:before="20" w:after="20"/>
              <w:jc w:val="center"/>
              <w:rPr>
                <w:rFonts w:cs="Arial"/>
                <w:b/>
                <w:bCs/>
                <w:color w:val="FFFFFF"/>
                <w:sz w:val="22"/>
                <w:szCs w:val="22"/>
              </w:rPr>
            </w:pPr>
            <w:r w:rsidRPr="00CB100F">
              <w:rPr>
                <w:rFonts w:cs="Arial"/>
                <w:b/>
                <w:bCs/>
                <w:color w:val="FFFFFF"/>
                <w:sz w:val="22"/>
                <w:szCs w:val="22"/>
              </w:rPr>
              <w:t>Blended scenario (Demographic and under 35)</w:t>
            </w:r>
          </w:p>
        </w:tc>
      </w:tr>
      <w:tr w:rsidR="00397A58" w:rsidRPr="00CB100F" w14:paraId="200E5F37"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001ACF1E" w14:textId="77777777" w:rsidR="00397A58" w:rsidRPr="00CB100F" w:rsidRDefault="00397A58" w:rsidP="00CB100F">
            <w:pPr>
              <w:spacing w:before="20" w:after="20"/>
              <w:rPr>
                <w:rFonts w:cs="Arial"/>
                <w:color w:val="000000"/>
                <w:sz w:val="22"/>
                <w:szCs w:val="22"/>
              </w:rPr>
            </w:pPr>
            <w:proofErr w:type="gramStart"/>
            <w:r w:rsidRPr="00CB100F">
              <w:rPr>
                <w:rFonts w:cs="Arial"/>
                <w:color w:val="000000"/>
                <w:sz w:val="22"/>
                <w:szCs w:val="22"/>
              </w:rPr>
              <w:t>1 or 2 bedroom</w:t>
            </w:r>
            <w:proofErr w:type="gramEnd"/>
            <w:r w:rsidRPr="00CB100F">
              <w:rPr>
                <w:rFonts w:cs="Arial"/>
                <w:color w:val="000000"/>
                <w:sz w:val="22"/>
                <w:szCs w:val="22"/>
              </w:rPr>
              <w:t xml:space="preserve"> house</w:t>
            </w:r>
          </w:p>
        </w:tc>
        <w:tc>
          <w:tcPr>
            <w:tcW w:w="1082" w:type="pct"/>
            <w:tcBorders>
              <w:top w:val="nil"/>
              <w:left w:val="nil"/>
              <w:bottom w:val="single" w:sz="4" w:space="0" w:color="auto"/>
              <w:right w:val="single" w:sz="4" w:space="0" w:color="auto"/>
            </w:tcBorders>
            <w:shd w:val="clear" w:color="auto" w:fill="auto"/>
            <w:noWrap/>
            <w:vAlign w:val="bottom"/>
            <w:hideMark/>
          </w:tcPr>
          <w:p w14:paraId="1F885438" w14:textId="501D8D98"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0.8%</w:t>
            </w:r>
          </w:p>
        </w:tc>
        <w:tc>
          <w:tcPr>
            <w:tcW w:w="1025" w:type="pct"/>
            <w:tcBorders>
              <w:top w:val="nil"/>
              <w:left w:val="nil"/>
              <w:bottom w:val="single" w:sz="4" w:space="0" w:color="auto"/>
              <w:right w:val="single" w:sz="4" w:space="0" w:color="auto"/>
            </w:tcBorders>
            <w:shd w:val="clear" w:color="auto" w:fill="auto"/>
            <w:noWrap/>
            <w:vAlign w:val="bottom"/>
            <w:hideMark/>
          </w:tcPr>
          <w:p w14:paraId="4C13A32A" w14:textId="0F3604F4"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1.2%</w:t>
            </w:r>
          </w:p>
        </w:tc>
        <w:tc>
          <w:tcPr>
            <w:tcW w:w="1198" w:type="pct"/>
            <w:tcBorders>
              <w:top w:val="nil"/>
              <w:left w:val="nil"/>
              <w:bottom w:val="single" w:sz="4" w:space="0" w:color="auto"/>
              <w:right w:val="single" w:sz="8" w:space="0" w:color="auto"/>
            </w:tcBorders>
            <w:shd w:val="clear" w:color="auto" w:fill="auto"/>
            <w:noWrap/>
            <w:vAlign w:val="bottom"/>
            <w:hideMark/>
          </w:tcPr>
          <w:p w14:paraId="28675AAD" w14:textId="1C3DD39F"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1.0%</w:t>
            </w:r>
          </w:p>
        </w:tc>
      </w:tr>
      <w:tr w:rsidR="00397A58" w:rsidRPr="00CB100F" w14:paraId="1C2DB06C"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tcPr>
          <w:p w14:paraId="57F23551" w14:textId="73126484" w:rsidR="00397A58" w:rsidRPr="00CB100F" w:rsidRDefault="00397A58" w:rsidP="00CB100F">
            <w:pPr>
              <w:spacing w:before="20" w:after="20"/>
              <w:rPr>
                <w:rFonts w:cs="Arial"/>
                <w:color w:val="000000"/>
                <w:sz w:val="22"/>
                <w:szCs w:val="22"/>
              </w:rPr>
            </w:pPr>
            <w:proofErr w:type="gramStart"/>
            <w:r w:rsidRPr="00CB100F">
              <w:rPr>
                <w:rFonts w:cs="Arial"/>
                <w:color w:val="000000"/>
                <w:sz w:val="22"/>
                <w:szCs w:val="22"/>
              </w:rPr>
              <w:t>2 bedroom</w:t>
            </w:r>
            <w:proofErr w:type="gramEnd"/>
            <w:r w:rsidRPr="00CB100F">
              <w:rPr>
                <w:rFonts w:cs="Arial"/>
                <w:color w:val="000000"/>
                <w:sz w:val="22"/>
                <w:szCs w:val="22"/>
              </w:rPr>
              <w:t xml:space="preserve"> house</w:t>
            </w:r>
          </w:p>
        </w:tc>
        <w:tc>
          <w:tcPr>
            <w:tcW w:w="1082" w:type="pct"/>
            <w:tcBorders>
              <w:top w:val="nil"/>
              <w:left w:val="nil"/>
              <w:bottom w:val="single" w:sz="4" w:space="0" w:color="auto"/>
              <w:right w:val="single" w:sz="4" w:space="0" w:color="auto"/>
            </w:tcBorders>
            <w:shd w:val="clear" w:color="auto" w:fill="auto"/>
            <w:noWrap/>
            <w:vAlign w:val="bottom"/>
          </w:tcPr>
          <w:p w14:paraId="01F440AB" w14:textId="0AEC44B8"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15.3%</w:t>
            </w:r>
          </w:p>
        </w:tc>
        <w:tc>
          <w:tcPr>
            <w:tcW w:w="1025" w:type="pct"/>
            <w:tcBorders>
              <w:top w:val="nil"/>
              <w:left w:val="nil"/>
              <w:bottom w:val="single" w:sz="4" w:space="0" w:color="auto"/>
              <w:right w:val="single" w:sz="4" w:space="0" w:color="auto"/>
            </w:tcBorders>
            <w:shd w:val="clear" w:color="auto" w:fill="auto"/>
            <w:noWrap/>
            <w:vAlign w:val="bottom"/>
          </w:tcPr>
          <w:p w14:paraId="1261843D" w14:textId="25150509"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25.2%</w:t>
            </w:r>
          </w:p>
        </w:tc>
        <w:tc>
          <w:tcPr>
            <w:tcW w:w="1198" w:type="pct"/>
            <w:tcBorders>
              <w:top w:val="nil"/>
              <w:left w:val="nil"/>
              <w:bottom w:val="single" w:sz="4" w:space="0" w:color="auto"/>
              <w:right w:val="single" w:sz="8" w:space="0" w:color="auto"/>
            </w:tcBorders>
            <w:shd w:val="clear" w:color="auto" w:fill="auto"/>
            <w:noWrap/>
            <w:vAlign w:val="bottom"/>
          </w:tcPr>
          <w:p w14:paraId="421AE0C5" w14:textId="326EFAF8"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20.3%</w:t>
            </w:r>
          </w:p>
        </w:tc>
      </w:tr>
      <w:tr w:rsidR="00CE1BDB" w:rsidRPr="00CB100F" w14:paraId="3B3213C1"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62677594"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3 bedroom</w:t>
            </w:r>
            <w:proofErr w:type="gramEnd"/>
            <w:r w:rsidRPr="00CB100F">
              <w:rPr>
                <w:rFonts w:cs="Arial"/>
                <w:color w:val="000000"/>
                <w:sz w:val="22"/>
                <w:szCs w:val="22"/>
              </w:rPr>
              <w:t xml:space="preserve"> house</w:t>
            </w:r>
          </w:p>
        </w:tc>
        <w:tc>
          <w:tcPr>
            <w:tcW w:w="1082" w:type="pct"/>
            <w:tcBorders>
              <w:top w:val="nil"/>
              <w:left w:val="nil"/>
              <w:bottom w:val="single" w:sz="4" w:space="0" w:color="auto"/>
              <w:right w:val="single" w:sz="4" w:space="0" w:color="auto"/>
            </w:tcBorders>
            <w:shd w:val="clear" w:color="auto" w:fill="auto"/>
            <w:noWrap/>
            <w:vAlign w:val="bottom"/>
            <w:hideMark/>
          </w:tcPr>
          <w:p w14:paraId="36169C3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37.7%</w:t>
            </w:r>
          </w:p>
        </w:tc>
        <w:tc>
          <w:tcPr>
            <w:tcW w:w="1025" w:type="pct"/>
            <w:tcBorders>
              <w:top w:val="nil"/>
              <w:left w:val="nil"/>
              <w:bottom w:val="single" w:sz="4" w:space="0" w:color="auto"/>
              <w:right w:val="single" w:sz="4" w:space="0" w:color="auto"/>
            </w:tcBorders>
            <w:shd w:val="clear" w:color="auto" w:fill="auto"/>
            <w:noWrap/>
            <w:vAlign w:val="bottom"/>
            <w:hideMark/>
          </w:tcPr>
          <w:p w14:paraId="1C74921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41.5%</w:t>
            </w:r>
          </w:p>
        </w:tc>
        <w:tc>
          <w:tcPr>
            <w:tcW w:w="1198" w:type="pct"/>
            <w:tcBorders>
              <w:top w:val="nil"/>
              <w:left w:val="nil"/>
              <w:bottom w:val="single" w:sz="4" w:space="0" w:color="auto"/>
              <w:right w:val="single" w:sz="8" w:space="0" w:color="auto"/>
            </w:tcBorders>
            <w:shd w:val="clear" w:color="auto" w:fill="auto"/>
            <w:noWrap/>
            <w:vAlign w:val="bottom"/>
            <w:hideMark/>
          </w:tcPr>
          <w:p w14:paraId="3F159CE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39.6%</w:t>
            </w:r>
          </w:p>
        </w:tc>
      </w:tr>
      <w:tr w:rsidR="00CE1BDB" w:rsidRPr="00CB100F" w14:paraId="276FA4F0"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0B2C9CEC"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4 or more bedroom</w:t>
            </w:r>
            <w:proofErr w:type="gramEnd"/>
            <w:r w:rsidRPr="00CB100F">
              <w:rPr>
                <w:rFonts w:cs="Arial"/>
                <w:color w:val="000000"/>
                <w:sz w:val="22"/>
                <w:szCs w:val="22"/>
              </w:rPr>
              <w:t xml:space="preserve"> house</w:t>
            </w:r>
          </w:p>
        </w:tc>
        <w:tc>
          <w:tcPr>
            <w:tcW w:w="1082" w:type="pct"/>
            <w:tcBorders>
              <w:top w:val="nil"/>
              <w:left w:val="nil"/>
              <w:bottom w:val="single" w:sz="4" w:space="0" w:color="auto"/>
              <w:right w:val="single" w:sz="4" w:space="0" w:color="auto"/>
            </w:tcBorders>
            <w:shd w:val="clear" w:color="auto" w:fill="auto"/>
            <w:noWrap/>
            <w:vAlign w:val="bottom"/>
            <w:hideMark/>
          </w:tcPr>
          <w:p w14:paraId="498CB9F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22.6%</w:t>
            </w:r>
          </w:p>
        </w:tc>
        <w:tc>
          <w:tcPr>
            <w:tcW w:w="1025" w:type="pct"/>
            <w:tcBorders>
              <w:top w:val="nil"/>
              <w:left w:val="nil"/>
              <w:bottom w:val="single" w:sz="4" w:space="0" w:color="auto"/>
              <w:right w:val="single" w:sz="4" w:space="0" w:color="auto"/>
            </w:tcBorders>
            <w:shd w:val="clear" w:color="auto" w:fill="auto"/>
            <w:noWrap/>
            <w:vAlign w:val="bottom"/>
            <w:hideMark/>
          </w:tcPr>
          <w:p w14:paraId="36C7F7D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10.7%</w:t>
            </w:r>
          </w:p>
        </w:tc>
        <w:tc>
          <w:tcPr>
            <w:tcW w:w="1198" w:type="pct"/>
            <w:tcBorders>
              <w:top w:val="nil"/>
              <w:left w:val="nil"/>
              <w:bottom w:val="single" w:sz="4" w:space="0" w:color="auto"/>
              <w:right w:val="single" w:sz="8" w:space="0" w:color="auto"/>
            </w:tcBorders>
            <w:shd w:val="clear" w:color="auto" w:fill="auto"/>
            <w:noWrap/>
            <w:vAlign w:val="bottom"/>
            <w:hideMark/>
          </w:tcPr>
          <w:p w14:paraId="307C30F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16.7%</w:t>
            </w:r>
          </w:p>
        </w:tc>
      </w:tr>
      <w:tr w:rsidR="00CE1BDB" w:rsidRPr="00CB100F" w14:paraId="2B19662A"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011754EC"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1 bedroom flat</w:t>
            </w:r>
          </w:p>
        </w:tc>
        <w:tc>
          <w:tcPr>
            <w:tcW w:w="1082" w:type="pct"/>
            <w:tcBorders>
              <w:top w:val="nil"/>
              <w:left w:val="nil"/>
              <w:bottom w:val="single" w:sz="4" w:space="0" w:color="auto"/>
              <w:right w:val="single" w:sz="4" w:space="0" w:color="auto"/>
            </w:tcBorders>
            <w:shd w:val="clear" w:color="auto" w:fill="auto"/>
            <w:noWrap/>
            <w:vAlign w:val="bottom"/>
            <w:hideMark/>
          </w:tcPr>
          <w:p w14:paraId="77218B04"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4.7%</w:t>
            </w:r>
          </w:p>
        </w:tc>
        <w:tc>
          <w:tcPr>
            <w:tcW w:w="1025" w:type="pct"/>
            <w:tcBorders>
              <w:top w:val="nil"/>
              <w:left w:val="nil"/>
              <w:bottom w:val="single" w:sz="4" w:space="0" w:color="auto"/>
              <w:right w:val="single" w:sz="4" w:space="0" w:color="auto"/>
            </w:tcBorders>
            <w:shd w:val="clear" w:color="auto" w:fill="auto"/>
            <w:noWrap/>
            <w:vAlign w:val="bottom"/>
            <w:hideMark/>
          </w:tcPr>
          <w:p w14:paraId="5CDF1BE1"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7.6%</w:t>
            </w:r>
          </w:p>
        </w:tc>
        <w:tc>
          <w:tcPr>
            <w:tcW w:w="1198" w:type="pct"/>
            <w:tcBorders>
              <w:top w:val="nil"/>
              <w:left w:val="nil"/>
              <w:bottom w:val="single" w:sz="4" w:space="0" w:color="auto"/>
              <w:right w:val="single" w:sz="8" w:space="0" w:color="auto"/>
            </w:tcBorders>
            <w:shd w:val="clear" w:color="auto" w:fill="auto"/>
            <w:noWrap/>
            <w:vAlign w:val="bottom"/>
            <w:hideMark/>
          </w:tcPr>
          <w:p w14:paraId="763D5CAE"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6.1%</w:t>
            </w:r>
          </w:p>
        </w:tc>
      </w:tr>
      <w:tr w:rsidR="00CE1BDB" w:rsidRPr="00CB100F" w14:paraId="403B3D47"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087122EB"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2 or more bedroom flat</w:t>
            </w:r>
          </w:p>
        </w:tc>
        <w:tc>
          <w:tcPr>
            <w:tcW w:w="1082" w:type="pct"/>
            <w:tcBorders>
              <w:top w:val="nil"/>
              <w:left w:val="nil"/>
              <w:bottom w:val="single" w:sz="4" w:space="0" w:color="auto"/>
              <w:right w:val="single" w:sz="4" w:space="0" w:color="auto"/>
            </w:tcBorders>
            <w:shd w:val="clear" w:color="auto" w:fill="auto"/>
            <w:noWrap/>
            <w:vAlign w:val="bottom"/>
            <w:hideMark/>
          </w:tcPr>
          <w:p w14:paraId="775533A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5.9%</w:t>
            </w:r>
          </w:p>
        </w:tc>
        <w:tc>
          <w:tcPr>
            <w:tcW w:w="1025" w:type="pct"/>
            <w:tcBorders>
              <w:top w:val="nil"/>
              <w:left w:val="nil"/>
              <w:bottom w:val="single" w:sz="4" w:space="0" w:color="auto"/>
              <w:right w:val="single" w:sz="4" w:space="0" w:color="auto"/>
            </w:tcBorders>
            <w:shd w:val="clear" w:color="auto" w:fill="auto"/>
            <w:noWrap/>
            <w:vAlign w:val="bottom"/>
            <w:hideMark/>
          </w:tcPr>
          <w:p w14:paraId="1AACC81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11.0%</w:t>
            </w:r>
          </w:p>
        </w:tc>
        <w:tc>
          <w:tcPr>
            <w:tcW w:w="1198" w:type="pct"/>
            <w:tcBorders>
              <w:top w:val="nil"/>
              <w:left w:val="nil"/>
              <w:bottom w:val="single" w:sz="4" w:space="0" w:color="auto"/>
              <w:right w:val="single" w:sz="8" w:space="0" w:color="auto"/>
            </w:tcBorders>
            <w:shd w:val="clear" w:color="auto" w:fill="auto"/>
            <w:noWrap/>
            <w:vAlign w:val="bottom"/>
            <w:hideMark/>
          </w:tcPr>
          <w:p w14:paraId="7186175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8.5%</w:t>
            </w:r>
          </w:p>
        </w:tc>
      </w:tr>
      <w:tr w:rsidR="00CE1BDB" w:rsidRPr="00CB100F" w14:paraId="532E5959"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3BAA9540"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1 bedroom bungalow</w:t>
            </w:r>
          </w:p>
        </w:tc>
        <w:tc>
          <w:tcPr>
            <w:tcW w:w="1082" w:type="pct"/>
            <w:tcBorders>
              <w:top w:val="nil"/>
              <w:left w:val="nil"/>
              <w:bottom w:val="single" w:sz="4" w:space="0" w:color="auto"/>
              <w:right w:val="single" w:sz="4" w:space="0" w:color="auto"/>
            </w:tcBorders>
            <w:shd w:val="clear" w:color="auto" w:fill="auto"/>
            <w:noWrap/>
            <w:vAlign w:val="bottom"/>
            <w:hideMark/>
          </w:tcPr>
          <w:p w14:paraId="1A2C848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1.9%</w:t>
            </w:r>
          </w:p>
        </w:tc>
        <w:tc>
          <w:tcPr>
            <w:tcW w:w="1025" w:type="pct"/>
            <w:tcBorders>
              <w:top w:val="nil"/>
              <w:left w:val="nil"/>
              <w:bottom w:val="single" w:sz="4" w:space="0" w:color="auto"/>
              <w:right w:val="single" w:sz="4" w:space="0" w:color="auto"/>
            </w:tcBorders>
            <w:shd w:val="clear" w:color="auto" w:fill="auto"/>
            <w:noWrap/>
            <w:vAlign w:val="bottom"/>
            <w:hideMark/>
          </w:tcPr>
          <w:p w14:paraId="38E5057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0.3%</w:t>
            </w:r>
          </w:p>
        </w:tc>
        <w:tc>
          <w:tcPr>
            <w:tcW w:w="1198" w:type="pct"/>
            <w:tcBorders>
              <w:top w:val="nil"/>
              <w:left w:val="nil"/>
              <w:bottom w:val="single" w:sz="4" w:space="0" w:color="auto"/>
              <w:right w:val="single" w:sz="8" w:space="0" w:color="auto"/>
            </w:tcBorders>
            <w:shd w:val="clear" w:color="auto" w:fill="auto"/>
            <w:noWrap/>
            <w:vAlign w:val="bottom"/>
            <w:hideMark/>
          </w:tcPr>
          <w:p w14:paraId="450E5DB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1.1%</w:t>
            </w:r>
          </w:p>
        </w:tc>
      </w:tr>
      <w:tr w:rsidR="00CE1BDB" w:rsidRPr="00CB100F" w14:paraId="58A6937B"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34268EB0"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2 bedroom</w:t>
            </w:r>
            <w:proofErr w:type="gramEnd"/>
            <w:r w:rsidRPr="00CB100F">
              <w:rPr>
                <w:rFonts w:cs="Arial"/>
                <w:color w:val="000000"/>
                <w:sz w:val="22"/>
                <w:szCs w:val="22"/>
              </w:rPr>
              <w:t xml:space="preserve"> bungalow</w:t>
            </w:r>
          </w:p>
        </w:tc>
        <w:tc>
          <w:tcPr>
            <w:tcW w:w="1082" w:type="pct"/>
            <w:tcBorders>
              <w:top w:val="nil"/>
              <w:left w:val="nil"/>
              <w:bottom w:val="single" w:sz="4" w:space="0" w:color="auto"/>
              <w:right w:val="single" w:sz="4" w:space="0" w:color="auto"/>
            </w:tcBorders>
            <w:shd w:val="clear" w:color="auto" w:fill="auto"/>
            <w:noWrap/>
            <w:vAlign w:val="bottom"/>
            <w:hideMark/>
          </w:tcPr>
          <w:p w14:paraId="463CCA3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6.0%</w:t>
            </w:r>
          </w:p>
        </w:tc>
        <w:tc>
          <w:tcPr>
            <w:tcW w:w="1025" w:type="pct"/>
            <w:tcBorders>
              <w:top w:val="nil"/>
              <w:left w:val="nil"/>
              <w:bottom w:val="single" w:sz="4" w:space="0" w:color="auto"/>
              <w:right w:val="single" w:sz="4" w:space="0" w:color="auto"/>
            </w:tcBorders>
            <w:shd w:val="clear" w:color="auto" w:fill="auto"/>
            <w:noWrap/>
            <w:vAlign w:val="bottom"/>
            <w:hideMark/>
          </w:tcPr>
          <w:p w14:paraId="2527208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1.1%</w:t>
            </w:r>
          </w:p>
        </w:tc>
        <w:tc>
          <w:tcPr>
            <w:tcW w:w="1198" w:type="pct"/>
            <w:tcBorders>
              <w:top w:val="nil"/>
              <w:left w:val="nil"/>
              <w:bottom w:val="single" w:sz="4" w:space="0" w:color="auto"/>
              <w:right w:val="single" w:sz="8" w:space="0" w:color="auto"/>
            </w:tcBorders>
            <w:shd w:val="clear" w:color="auto" w:fill="auto"/>
            <w:noWrap/>
            <w:vAlign w:val="bottom"/>
            <w:hideMark/>
          </w:tcPr>
          <w:p w14:paraId="6917FF3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3.5%</w:t>
            </w:r>
          </w:p>
        </w:tc>
      </w:tr>
      <w:tr w:rsidR="00CE1BDB" w:rsidRPr="00CB100F" w14:paraId="33EDEB8A"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0974BFDC"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3 or more bedroom</w:t>
            </w:r>
            <w:proofErr w:type="gramEnd"/>
            <w:r w:rsidRPr="00CB100F">
              <w:rPr>
                <w:rFonts w:cs="Arial"/>
                <w:color w:val="000000"/>
                <w:sz w:val="22"/>
                <w:szCs w:val="22"/>
              </w:rPr>
              <w:t xml:space="preserve"> bungalow</w:t>
            </w:r>
          </w:p>
        </w:tc>
        <w:tc>
          <w:tcPr>
            <w:tcW w:w="1082" w:type="pct"/>
            <w:tcBorders>
              <w:top w:val="nil"/>
              <w:left w:val="nil"/>
              <w:bottom w:val="single" w:sz="4" w:space="0" w:color="auto"/>
              <w:right w:val="single" w:sz="4" w:space="0" w:color="auto"/>
            </w:tcBorders>
            <w:shd w:val="clear" w:color="auto" w:fill="auto"/>
            <w:noWrap/>
            <w:vAlign w:val="bottom"/>
            <w:hideMark/>
          </w:tcPr>
          <w:p w14:paraId="5EF11D2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4.4%</w:t>
            </w:r>
          </w:p>
        </w:tc>
        <w:tc>
          <w:tcPr>
            <w:tcW w:w="1025" w:type="pct"/>
            <w:tcBorders>
              <w:top w:val="nil"/>
              <w:left w:val="nil"/>
              <w:bottom w:val="single" w:sz="4" w:space="0" w:color="auto"/>
              <w:right w:val="single" w:sz="4" w:space="0" w:color="auto"/>
            </w:tcBorders>
            <w:shd w:val="clear" w:color="auto" w:fill="auto"/>
            <w:noWrap/>
            <w:vAlign w:val="bottom"/>
            <w:hideMark/>
          </w:tcPr>
          <w:p w14:paraId="62F8773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0.9%</w:t>
            </w:r>
          </w:p>
        </w:tc>
        <w:tc>
          <w:tcPr>
            <w:tcW w:w="1198" w:type="pct"/>
            <w:tcBorders>
              <w:top w:val="nil"/>
              <w:left w:val="nil"/>
              <w:bottom w:val="single" w:sz="4" w:space="0" w:color="auto"/>
              <w:right w:val="single" w:sz="8" w:space="0" w:color="auto"/>
            </w:tcBorders>
            <w:shd w:val="clear" w:color="auto" w:fill="auto"/>
            <w:noWrap/>
            <w:vAlign w:val="bottom"/>
            <w:hideMark/>
          </w:tcPr>
          <w:p w14:paraId="7103A56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2.7%</w:t>
            </w:r>
          </w:p>
        </w:tc>
      </w:tr>
      <w:tr w:rsidR="00CE1BDB" w:rsidRPr="00CB100F" w14:paraId="295E901E"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4971D5BD"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Other</w:t>
            </w:r>
          </w:p>
        </w:tc>
        <w:tc>
          <w:tcPr>
            <w:tcW w:w="1082" w:type="pct"/>
            <w:tcBorders>
              <w:top w:val="nil"/>
              <w:left w:val="nil"/>
              <w:bottom w:val="single" w:sz="4" w:space="0" w:color="auto"/>
              <w:right w:val="single" w:sz="4" w:space="0" w:color="auto"/>
            </w:tcBorders>
            <w:shd w:val="clear" w:color="auto" w:fill="auto"/>
            <w:noWrap/>
            <w:vAlign w:val="bottom"/>
            <w:hideMark/>
          </w:tcPr>
          <w:p w14:paraId="2F218DE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0.7%</w:t>
            </w:r>
          </w:p>
        </w:tc>
        <w:tc>
          <w:tcPr>
            <w:tcW w:w="1025" w:type="pct"/>
            <w:tcBorders>
              <w:top w:val="nil"/>
              <w:left w:val="nil"/>
              <w:bottom w:val="single" w:sz="4" w:space="0" w:color="auto"/>
              <w:right w:val="single" w:sz="4" w:space="0" w:color="auto"/>
            </w:tcBorders>
            <w:shd w:val="clear" w:color="auto" w:fill="auto"/>
            <w:noWrap/>
            <w:vAlign w:val="bottom"/>
            <w:hideMark/>
          </w:tcPr>
          <w:p w14:paraId="354C9887"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0.6%</w:t>
            </w:r>
          </w:p>
        </w:tc>
        <w:tc>
          <w:tcPr>
            <w:tcW w:w="1198" w:type="pct"/>
            <w:tcBorders>
              <w:top w:val="nil"/>
              <w:left w:val="nil"/>
              <w:bottom w:val="single" w:sz="4" w:space="0" w:color="auto"/>
              <w:right w:val="single" w:sz="8" w:space="0" w:color="auto"/>
            </w:tcBorders>
            <w:shd w:val="clear" w:color="auto" w:fill="auto"/>
            <w:noWrap/>
            <w:vAlign w:val="bottom"/>
            <w:hideMark/>
          </w:tcPr>
          <w:p w14:paraId="568437D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0.7%</w:t>
            </w:r>
          </w:p>
        </w:tc>
      </w:tr>
      <w:tr w:rsidR="00CE1BDB" w:rsidRPr="00CB100F" w14:paraId="0CD93EFE"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bottom"/>
            <w:hideMark/>
          </w:tcPr>
          <w:p w14:paraId="2BCB890B"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TOTAL</w:t>
            </w:r>
          </w:p>
        </w:tc>
        <w:tc>
          <w:tcPr>
            <w:tcW w:w="1082" w:type="pct"/>
            <w:tcBorders>
              <w:top w:val="nil"/>
              <w:left w:val="nil"/>
              <w:bottom w:val="single" w:sz="4" w:space="0" w:color="auto"/>
              <w:right w:val="single" w:sz="4" w:space="0" w:color="auto"/>
            </w:tcBorders>
            <w:shd w:val="clear" w:color="auto" w:fill="auto"/>
            <w:noWrap/>
            <w:vAlign w:val="bottom"/>
            <w:hideMark/>
          </w:tcPr>
          <w:p w14:paraId="3A55430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1025" w:type="pct"/>
            <w:tcBorders>
              <w:top w:val="nil"/>
              <w:left w:val="nil"/>
              <w:bottom w:val="single" w:sz="4" w:space="0" w:color="auto"/>
              <w:right w:val="single" w:sz="4" w:space="0" w:color="auto"/>
            </w:tcBorders>
            <w:shd w:val="clear" w:color="auto" w:fill="auto"/>
            <w:noWrap/>
            <w:vAlign w:val="bottom"/>
            <w:hideMark/>
          </w:tcPr>
          <w:p w14:paraId="73F99A84"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1198" w:type="pct"/>
            <w:tcBorders>
              <w:top w:val="nil"/>
              <w:left w:val="nil"/>
              <w:bottom w:val="single" w:sz="4" w:space="0" w:color="auto"/>
              <w:right w:val="single" w:sz="8" w:space="0" w:color="auto"/>
            </w:tcBorders>
            <w:shd w:val="clear" w:color="auto" w:fill="auto"/>
            <w:noWrap/>
            <w:vAlign w:val="bottom"/>
            <w:hideMark/>
          </w:tcPr>
          <w:p w14:paraId="49A9A98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r>
      <w:tr w:rsidR="00CE1BDB" w:rsidRPr="00CB100F" w14:paraId="67D656C4" w14:textId="77777777" w:rsidTr="00CB100F">
        <w:tc>
          <w:tcPr>
            <w:tcW w:w="1695" w:type="pct"/>
            <w:tcBorders>
              <w:top w:val="nil"/>
              <w:left w:val="single" w:sz="8" w:space="0" w:color="auto"/>
              <w:bottom w:val="single" w:sz="4" w:space="0" w:color="auto"/>
              <w:right w:val="single" w:sz="4" w:space="0" w:color="auto"/>
            </w:tcBorders>
            <w:shd w:val="clear" w:color="auto" w:fill="006666"/>
            <w:noWrap/>
            <w:vAlign w:val="center"/>
            <w:hideMark/>
          </w:tcPr>
          <w:p w14:paraId="05524A6D" w14:textId="77777777" w:rsidR="00CE1BDB" w:rsidRPr="00CB100F" w:rsidRDefault="00CE1BDB" w:rsidP="00CB100F">
            <w:pPr>
              <w:spacing w:before="20" w:after="20"/>
              <w:rPr>
                <w:rFonts w:cs="Arial"/>
                <w:b/>
                <w:bCs/>
                <w:color w:val="FFFFFF"/>
                <w:sz w:val="22"/>
                <w:szCs w:val="22"/>
              </w:rPr>
            </w:pPr>
            <w:r w:rsidRPr="00CB100F">
              <w:rPr>
                <w:rFonts w:cs="Arial"/>
                <w:b/>
                <w:bCs/>
                <w:color w:val="FFFFFF"/>
                <w:sz w:val="22"/>
                <w:szCs w:val="22"/>
              </w:rPr>
              <w:t>Dwelling type</w:t>
            </w:r>
          </w:p>
        </w:tc>
        <w:tc>
          <w:tcPr>
            <w:tcW w:w="1082" w:type="pct"/>
            <w:tcBorders>
              <w:top w:val="nil"/>
              <w:left w:val="nil"/>
              <w:bottom w:val="single" w:sz="4" w:space="0" w:color="auto"/>
              <w:right w:val="single" w:sz="4" w:space="0" w:color="auto"/>
            </w:tcBorders>
            <w:shd w:val="clear" w:color="auto" w:fill="006666"/>
            <w:vAlign w:val="bottom"/>
            <w:hideMark/>
          </w:tcPr>
          <w:p w14:paraId="40FDFB42"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Demographic scenario</w:t>
            </w:r>
          </w:p>
        </w:tc>
        <w:tc>
          <w:tcPr>
            <w:tcW w:w="1025" w:type="pct"/>
            <w:tcBorders>
              <w:top w:val="nil"/>
              <w:left w:val="nil"/>
              <w:bottom w:val="single" w:sz="4" w:space="0" w:color="auto"/>
              <w:right w:val="single" w:sz="4" w:space="0" w:color="auto"/>
            </w:tcBorders>
            <w:shd w:val="clear" w:color="auto" w:fill="006666"/>
            <w:vAlign w:val="bottom"/>
            <w:hideMark/>
          </w:tcPr>
          <w:p w14:paraId="6A9CEDA3"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Under 35 dwelling mix</w:t>
            </w:r>
          </w:p>
        </w:tc>
        <w:tc>
          <w:tcPr>
            <w:tcW w:w="1198" w:type="pct"/>
            <w:tcBorders>
              <w:top w:val="nil"/>
              <w:left w:val="nil"/>
              <w:bottom w:val="single" w:sz="4" w:space="0" w:color="auto"/>
              <w:right w:val="single" w:sz="8" w:space="0" w:color="auto"/>
            </w:tcBorders>
            <w:shd w:val="clear" w:color="auto" w:fill="006666"/>
            <w:vAlign w:val="bottom"/>
            <w:hideMark/>
          </w:tcPr>
          <w:p w14:paraId="21557E2D"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Blended scenario (Demographic and under 35)</w:t>
            </w:r>
          </w:p>
        </w:tc>
      </w:tr>
      <w:tr w:rsidR="00CE1BDB" w:rsidRPr="00CB100F" w14:paraId="211087B5"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24CB95EA"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House</w:t>
            </w:r>
          </w:p>
        </w:tc>
        <w:tc>
          <w:tcPr>
            <w:tcW w:w="1082" w:type="pct"/>
            <w:tcBorders>
              <w:top w:val="nil"/>
              <w:left w:val="nil"/>
              <w:bottom w:val="single" w:sz="4" w:space="0" w:color="auto"/>
              <w:right w:val="single" w:sz="4" w:space="0" w:color="auto"/>
            </w:tcBorders>
            <w:shd w:val="clear" w:color="auto" w:fill="auto"/>
            <w:noWrap/>
            <w:vAlign w:val="bottom"/>
            <w:hideMark/>
          </w:tcPr>
          <w:p w14:paraId="3142FD6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76.4%</w:t>
            </w:r>
          </w:p>
        </w:tc>
        <w:tc>
          <w:tcPr>
            <w:tcW w:w="1025" w:type="pct"/>
            <w:tcBorders>
              <w:top w:val="nil"/>
              <w:left w:val="nil"/>
              <w:bottom w:val="single" w:sz="4" w:space="0" w:color="auto"/>
              <w:right w:val="single" w:sz="4" w:space="0" w:color="auto"/>
            </w:tcBorders>
            <w:shd w:val="clear" w:color="auto" w:fill="auto"/>
            <w:noWrap/>
            <w:vAlign w:val="bottom"/>
            <w:hideMark/>
          </w:tcPr>
          <w:p w14:paraId="71FF8E7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78.5%</w:t>
            </w:r>
          </w:p>
        </w:tc>
        <w:tc>
          <w:tcPr>
            <w:tcW w:w="1198" w:type="pct"/>
            <w:tcBorders>
              <w:top w:val="nil"/>
              <w:left w:val="nil"/>
              <w:bottom w:val="single" w:sz="4" w:space="0" w:color="auto"/>
              <w:right w:val="single" w:sz="8" w:space="0" w:color="auto"/>
            </w:tcBorders>
            <w:shd w:val="clear" w:color="auto" w:fill="auto"/>
            <w:noWrap/>
            <w:vAlign w:val="bottom"/>
            <w:hideMark/>
          </w:tcPr>
          <w:p w14:paraId="74093A5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77.5%</w:t>
            </w:r>
          </w:p>
        </w:tc>
      </w:tr>
      <w:tr w:rsidR="00CE1BDB" w:rsidRPr="00CB100F" w14:paraId="093CE84A"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1232EBB8"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Flat</w:t>
            </w:r>
          </w:p>
        </w:tc>
        <w:tc>
          <w:tcPr>
            <w:tcW w:w="1082" w:type="pct"/>
            <w:tcBorders>
              <w:top w:val="nil"/>
              <w:left w:val="nil"/>
              <w:bottom w:val="single" w:sz="4" w:space="0" w:color="auto"/>
              <w:right w:val="single" w:sz="4" w:space="0" w:color="auto"/>
            </w:tcBorders>
            <w:shd w:val="clear" w:color="auto" w:fill="auto"/>
            <w:noWrap/>
            <w:vAlign w:val="bottom"/>
            <w:hideMark/>
          </w:tcPr>
          <w:p w14:paraId="4689B7D4"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10.6%</w:t>
            </w:r>
          </w:p>
        </w:tc>
        <w:tc>
          <w:tcPr>
            <w:tcW w:w="1025" w:type="pct"/>
            <w:tcBorders>
              <w:top w:val="nil"/>
              <w:left w:val="nil"/>
              <w:bottom w:val="single" w:sz="4" w:space="0" w:color="auto"/>
              <w:right w:val="single" w:sz="4" w:space="0" w:color="auto"/>
            </w:tcBorders>
            <w:shd w:val="clear" w:color="auto" w:fill="auto"/>
            <w:noWrap/>
            <w:vAlign w:val="bottom"/>
            <w:hideMark/>
          </w:tcPr>
          <w:p w14:paraId="2C5E0C8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18.6%</w:t>
            </w:r>
          </w:p>
        </w:tc>
        <w:tc>
          <w:tcPr>
            <w:tcW w:w="1198" w:type="pct"/>
            <w:tcBorders>
              <w:top w:val="nil"/>
              <w:left w:val="nil"/>
              <w:bottom w:val="single" w:sz="4" w:space="0" w:color="auto"/>
              <w:right w:val="single" w:sz="8" w:space="0" w:color="auto"/>
            </w:tcBorders>
            <w:shd w:val="clear" w:color="auto" w:fill="auto"/>
            <w:noWrap/>
            <w:vAlign w:val="bottom"/>
            <w:hideMark/>
          </w:tcPr>
          <w:p w14:paraId="2F130F4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14.6%</w:t>
            </w:r>
          </w:p>
        </w:tc>
      </w:tr>
      <w:tr w:rsidR="00CE1BDB" w:rsidRPr="00CB100F" w14:paraId="58F47145"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00A810CA"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Bungalow</w:t>
            </w:r>
          </w:p>
        </w:tc>
        <w:tc>
          <w:tcPr>
            <w:tcW w:w="1082" w:type="pct"/>
            <w:tcBorders>
              <w:top w:val="nil"/>
              <w:left w:val="nil"/>
              <w:bottom w:val="single" w:sz="4" w:space="0" w:color="auto"/>
              <w:right w:val="single" w:sz="4" w:space="0" w:color="auto"/>
            </w:tcBorders>
            <w:shd w:val="clear" w:color="auto" w:fill="auto"/>
            <w:noWrap/>
            <w:vAlign w:val="bottom"/>
            <w:hideMark/>
          </w:tcPr>
          <w:p w14:paraId="4A98C7C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12.3%</w:t>
            </w:r>
          </w:p>
        </w:tc>
        <w:tc>
          <w:tcPr>
            <w:tcW w:w="1025" w:type="pct"/>
            <w:tcBorders>
              <w:top w:val="nil"/>
              <w:left w:val="nil"/>
              <w:bottom w:val="single" w:sz="4" w:space="0" w:color="auto"/>
              <w:right w:val="single" w:sz="4" w:space="0" w:color="auto"/>
            </w:tcBorders>
            <w:shd w:val="clear" w:color="auto" w:fill="auto"/>
            <w:noWrap/>
            <w:vAlign w:val="bottom"/>
            <w:hideMark/>
          </w:tcPr>
          <w:p w14:paraId="62363367"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2.3%</w:t>
            </w:r>
          </w:p>
        </w:tc>
        <w:tc>
          <w:tcPr>
            <w:tcW w:w="1198" w:type="pct"/>
            <w:tcBorders>
              <w:top w:val="nil"/>
              <w:left w:val="nil"/>
              <w:bottom w:val="single" w:sz="4" w:space="0" w:color="auto"/>
              <w:right w:val="single" w:sz="8" w:space="0" w:color="auto"/>
            </w:tcBorders>
            <w:shd w:val="clear" w:color="auto" w:fill="auto"/>
            <w:noWrap/>
            <w:vAlign w:val="bottom"/>
            <w:hideMark/>
          </w:tcPr>
          <w:p w14:paraId="545EEE9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7.3%</w:t>
            </w:r>
          </w:p>
        </w:tc>
      </w:tr>
      <w:tr w:rsidR="00CE1BDB" w:rsidRPr="00CB100F" w14:paraId="7468FD51"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34AA506A"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 xml:space="preserve">Other </w:t>
            </w:r>
          </w:p>
        </w:tc>
        <w:tc>
          <w:tcPr>
            <w:tcW w:w="1082" w:type="pct"/>
            <w:tcBorders>
              <w:top w:val="nil"/>
              <w:left w:val="nil"/>
              <w:bottom w:val="single" w:sz="4" w:space="0" w:color="auto"/>
              <w:right w:val="single" w:sz="4" w:space="0" w:color="auto"/>
            </w:tcBorders>
            <w:shd w:val="clear" w:color="auto" w:fill="auto"/>
            <w:noWrap/>
            <w:vAlign w:val="bottom"/>
            <w:hideMark/>
          </w:tcPr>
          <w:p w14:paraId="04DBBF0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0.7%</w:t>
            </w:r>
          </w:p>
        </w:tc>
        <w:tc>
          <w:tcPr>
            <w:tcW w:w="1025" w:type="pct"/>
            <w:tcBorders>
              <w:top w:val="nil"/>
              <w:left w:val="nil"/>
              <w:bottom w:val="single" w:sz="4" w:space="0" w:color="auto"/>
              <w:right w:val="single" w:sz="4" w:space="0" w:color="auto"/>
            </w:tcBorders>
            <w:shd w:val="clear" w:color="auto" w:fill="auto"/>
            <w:noWrap/>
            <w:vAlign w:val="bottom"/>
            <w:hideMark/>
          </w:tcPr>
          <w:p w14:paraId="7D3B9B0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0.6%</w:t>
            </w:r>
          </w:p>
        </w:tc>
        <w:tc>
          <w:tcPr>
            <w:tcW w:w="1198" w:type="pct"/>
            <w:tcBorders>
              <w:top w:val="nil"/>
              <w:left w:val="nil"/>
              <w:bottom w:val="single" w:sz="4" w:space="0" w:color="auto"/>
              <w:right w:val="single" w:sz="8" w:space="0" w:color="auto"/>
            </w:tcBorders>
            <w:shd w:val="clear" w:color="auto" w:fill="auto"/>
            <w:noWrap/>
            <w:vAlign w:val="bottom"/>
            <w:hideMark/>
          </w:tcPr>
          <w:p w14:paraId="72B7133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0.7%</w:t>
            </w:r>
          </w:p>
        </w:tc>
      </w:tr>
      <w:tr w:rsidR="00CE1BDB" w:rsidRPr="00CB100F" w14:paraId="12A46CC1"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7ACB129E"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Total</w:t>
            </w:r>
          </w:p>
        </w:tc>
        <w:tc>
          <w:tcPr>
            <w:tcW w:w="1082" w:type="pct"/>
            <w:tcBorders>
              <w:top w:val="nil"/>
              <w:left w:val="nil"/>
              <w:bottom w:val="single" w:sz="4" w:space="0" w:color="auto"/>
              <w:right w:val="single" w:sz="4" w:space="0" w:color="auto"/>
            </w:tcBorders>
            <w:shd w:val="clear" w:color="auto" w:fill="auto"/>
            <w:noWrap/>
            <w:vAlign w:val="bottom"/>
            <w:hideMark/>
          </w:tcPr>
          <w:p w14:paraId="5B9643E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1025" w:type="pct"/>
            <w:tcBorders>
              <w:top w:val="nil"/>
              <w:left w:val="nil"/>
              <w:bottom w:val="single" w:sz="4" w:space="0" w:color="auto"/>
              <w:right w:val="single" w:sz="4" w:space="0" w:color="auto"/>
            </w:tcBorders>
            <w:shd w:val="clear" w:color="auto" w:fill="auto"/>
            <w:noWrap/>
            <w:vAlign w:val="bottom"/>
            <w:hideMark/>
          </w:tcPr>
          <w:p w14:paraId="2EB74B7C"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1198" w:type="pct"/>
            <w:tcBorders>
              <w:top w:val="nil"/>
              <w:left w:val="nil"/>
              <w:bottom w:val="single" w:sz="4" w:space="0" w:color="auto"/>
              <w:right w:val="single" w:sz="8" w:space="0" w:color="auto"/>
            </w:tcBorders>
            <w:shd w:val="clear" w:color="auto" w:fill="auto"/>
            <w:noWrap/>
            <w:vAlign w:val="bottom"/>
            <w:hideMark/>
          </w:tcPr>
          <w:p w14:paraId="48D79CB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r>
      <w:tr w:rsidR="00CE1BDB" w:rsidRPr="00CB100F" w14:paraId="278A900B" w14:textId="77777777" w:rsidTr="00CB100F">
        <w:tc>
          <w:tcPr>
            <w:tcW w:w="1695" w:type="pct"/>
            <w:tcBorders>
              <w:top w:val="nil"/>
              <w:left w:val="single" w:sz="8" w:space="0" w:color="auto"/>
              <w:bottom w:val="single" w:sz="4" w:space="0" w:color="auto"/>
              <w:right w:val="single" w:sz="4" w:space="0" w:color="auto"/>
            </w:tcBorders>
            <w:shd w:val="clear" w:color="auto" w:fill="006666"/>
            <w:noWrap/>
            <w:vAlign w:val="center"/>
            <w:hideMark/>
          </w:tcPr>
          <w:p w14:paraId="48ECF224" w14:textId="77777777" w:rsidR="00CE1BDB" w:rsidRPr="00CB100F" w:rsidRDefault="00CE1BDB" w:rsidP="00CB100F">
            <w:pPr>
              <w:spacing w:before="20" w:after="20"/>
              <w:rPr>
                <w:rFonts w:cs="Arial"/>
                <w:b/>
                <w:bCs/>
                <w:color w:val="FFFFFF"/>
                <w:sz w:val="22"/>
                <w:szCs w:val="22"/>
              </w:rPr>
            </w:pPr>
            <w:r w:rsidRPr="00CB100F">
              <w:rPr>
                <w:rFonts w:cs="Arial"/>
                <w:b/>
                <w:bCs/>
                <w:color w:val="FFFFFF"/>
                <w:sz w:val="22"/>
                <w:szCs w:val="22"/>
              </w:rPr>
              <w:t>Number of bedrooms</w:t>
            </w:r>
          </w:p>
        </w:tc>
        <w:tc>
          <w:tcPr>
            <w:tcW w:w="1082" w:type="pct"/>
            <w:tcBorders>
              <w:top w:val="nil"/>
              <w:left w:val="nil"/>
              <w:bottom w:val="single" w:sz="4" w:space="0" w:color="auto"/>
              <w:right w:val="single" w:sz="4" w:space="0" w:color="auto"/>
            </w:tcBorders>
            <w:shd w:val="clear" w:color="auto" w:fill="006666"/>
            <w:vAlign w:val="bottom"/>
            <w:hideMark/>
          </w:tcPr>
          <w:p w14:paraId="45123A9A"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Demographic scenario</w:t>
            </w:r>
          </w:p>
        </w:tc>
        <w:tc>
          <w:tcPr>
            <w:tcW w:w="1025" w:type="pct"/>
            <w:tcBorders>
              <w:top w:val="nil"/>
              <w:left w:val="nil"/>
              <w:bottom w:val="single" w:sz="4" w:space="0" w:color="auto"/>
              <w:right w:val="single" w:sz="4" w:space="0" w:color="auto"/>
            </w:tcBorders>
            <w:shd w:val="clear" w:color="auto" w:fill="006666"/>
            <w:vAlign w:val="bottom"/>
            <w:hideMark/>
          </w:tcPr>
          <w:p w14:paraId="675EF285"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Under 35 dwelling mix</w:t>
            </w:r>
          </w:p>
        </w:tc>
        <w:tc>
          <w:tcPr>
            <w:tcW w:w="1198" w:type="pct"/>
            <w:tcBorders>
              <w:top w:val="nil"/>
              <w:left w:val="nil"/>
              <w:bottom w:val="single" w:sz="4" w:space="0" w:color="auto"/>
              <w:right w:val="single" w:sz="8" w:space="0" w:color="auto"/>
            </w:tcBorders>
            <w:shd w:val="clear" w:color="auto" w:fill="006666"/>
            <w:vAlign w:val="bottom"/>
            <w:hideMark/>
          </w:tcPr>
          <w:p w14:paraId="408ACA95"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Blended scenario (Demographic and under 35)</w:t>
            </w:r>
          </w:p>
        </w:tc>
      </w:tr>
      <w:tr w:rsidR="00CE1BDB" w:rsidRPr="00CB100F" w14:paraId="5553A081"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09C4CEA4"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1</w:t>
            </w:r>
          </w:p>
        </w:tc>
        <w:tc>
          <w:tcPr>
            <w:tcW w:w="1082" w:type="pct"/>
            <w:tcBorders>
              <w:top w:val="nil"/>
              <w:left w:val="nil"/>
              <w:bottom w:val="single" w:sz="4" w:space="0" w:color="auto"/>
              <w:right w:val="single" w:sz="4" w:space="0" w:color="auto"/>
            </w:tcBorders>
            <w:shd w:val="clear" w:color="auto" w:fill="auto"/>
            <w:noWrap/>
            <w:vAlign w:val="bottom"/>
            <w:hideMark/>
          </w:tcPr>
          <w:p w14:paraId="5E38187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7.5%</w:t>
            </w:r>
          </w:p>
        </w:tc>
        <w:tc>
          <w:tcPr>
            <w:tcW w:w="1025" w:type="pct"/>
            <w:tcBorders>
              <w:top w:val="nil"/>
              <w:left w:val="nil"/>
              <w:bottom w:val="single" w:sz="4" w:space="0" w:color="auto"/>
              <w:right w:val="single" w:sz="4" w:space="0" w:color="auto"/>
            </w:tcBorders>
            <w:shd w:val="clear" w:color="auto" w:fill="auto"/>
            <w:noWrap/>
            <w:vAlign w:val="bottom"/>
            <w:hideMark/>
          </w:tcPr>
          <w:p w14:paraId="29101BA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9.1%</w:t>
            </w:r>
          </w:p>
        </w:tc>
        <w:tc>
          <w:tcPr>
            <w:tcW w:w="1198" w:type="pct"/>
            <w:tcBorders>
              <w:top w:val="nil"/>
              <w:left w:val="nil"/>
              <w:bottom w:val="single" w:sz="4" w:space="0" w:color="auto"/>
              <w:right w:val="single" w:sz="8" w:space="0" w:color="auto"/>
            </w:tcBorders>
            <w:shd w:val="clear" w:color="auto" w:fill="auto"/>
            <w:noWrap/>
            <w:vAlign w:val="bottom"/>
            <w:hideMark/>
          </w:tcPr>
          <w:p w14:paraId="6A01778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8.3%</w:t>
            </w:r>
          </w:p>
        </w:tc>
      </w:tr>
      <w:tr w:rsidR="00CE1BDB" w:rsidRPr="00CB100F" w14:paraId="05941891"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0441579F"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2</w:t>
            </w:r>
          </w:p>
        </w:tc>
        <w:tc>
          <w:tcPr>
            <w:tcW w:w="1082" w:type="pct"/>
            <w:tcBorders>
              <w:top w:val="nil"/>
              <w:left w:val="nil"/>
              <w:bottom w:val="single" w:sz="4" w:space="0" w:color="auto"/>
              <w:right w:val="single" w:sz="4" w:space="0" w:color="auto"/>
            </w:tcBorders>
            <w:shd w:val="clear" w:color="auto" w:fill="auto"/>
            <w:noWrap/>
            <w:vAlign w:val="bottom"/>
            <w:hideMark/>
          </w:tcPr>
          <w:p w14:paraId="59CB31AC"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26.9%</w:t>
            </w:r>
          </w:p>
        </w:tc>
        <w:tc>
          <w:tcPr>
            <w:tcW w:w="1025" w:type="pct"/>
            <w:tcBorders>
              <w:top w:val="nil"/>
              <w:left w:val="nil"/>
              <w:bottom w:val="single" w:sz="4" w:space="0" w:color="auto"/>
              <w:right w:val="single" w:sz="4" w:space="0" w:color="auto"/>
            </w:tcBorders>
            <w:shd w:val="clear" w:color="auto" w:fill="auto"/>
            <w:noWrap/>
            <w:vAlign w:val="bottom"/>
            <w:hideMark/>
          </w:tcPr>
          <w:p w14:paraId="633D753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36.8%</w:t>
            </w:r>
          </w:p>
        </w:tc>
        <w:tc>
          <w:tcPr>
            <w:tcW w:w="1198" w:type="pct"/>
            <w:tcBorders>
              <w:top w:val="nil"/>
              <w:left w:val="nil"/>
              <w:bottom w:val="single" w:sz="4" w:space="0" w:color="auto"/>
              <w:right w:val="single" w:sz="8" w:space="0" w:color="auto"/>
            </w:tcBorders>
            <w:shd w:val="clear" w:color="auto" w:fill="auto"/>
            <w:noWrap/>
            <w:vAlign w:val="bottom"/>
            <w:hideMark/>
          </w:tcPr>
          <w:p w14:paraId="47C5AD3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31.8%</w:t>
            </w:r>
          </w:p>
        </w:tc>
      </w:tr>
      <w:tr w:rsidR="00CE1BDB" w:rsidRPr="00CB100F" w14:paraId="30A4AF4B"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1D7F1B84"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3</w:t>
            </w:r>
          </w:p>
        </w:tc>
        <w:tc>
          <w:tcPr>
            <w:tcW w:w="1082" w:type="pct"/>
            <w:tcBorders>
              <w:top w:val="nil"/>
              <w:left w:val="nil"/>
              <w:bottom w:val="single" w:sz="4" w:space="0" w:color="auto"/>
              <w:right w:val="single" w:sz="4" w:space="0" w:color="auto"/>
            </w:tcBorders>
            <w:shd w:val="clear" w:color="auto" w:fill="auto"/>
            <w:noWrap/>
            <w:vAlign w:val="bottom"/>
            <w:hideMark/>
          </w:tcPr>
          <w:p w14:paraId="304F4A3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43.0%</w:t>
            </w:r>
          </w:p>
        </w:tc>
        <w:tc>
          <w:tcPr>
            <w:tcW w:w="1025" w:type="pct"/>
            <w:tcBorders>
              <w:top w:val="nil"/>
              <w:left w:val="nil"/>
              <w:bottom w:val="single" w:sz="4" w:space="0" w:color="auto"/>
              <w:right w:val="single" w:sz="4" w:space="0" w:color="auto"/>
            </w:tcBorders>
            <w:shd w:val="clear" w:color="auto" w:fill="auto"/>
            <w:noWrap/>
            <w:vAlign w:val="bottom"/>
            <w:hideMark/>
          </w:tcPr>
          <w:p w14:paraId="6CDE900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43.5%</w:t>
            </w:r>
          </w:p>
        </w:tc>
        <w:tc>
          <w:tcPr>
            <w:tcW w:w="1198" w:type="pct"/>
            <w:tcBorders>
              <w:top w:val="nil"/>
              <w:left w:val="nil"/>
              <w:bottom w:val="single" w:sz="4" w:space="0" w:color="auto"/>
              <w:right w:val="single" w:sz="8" w:space="0" w:color="auto"/>
            </w:tcBorders>
            <w:shd w:val="clear" w:color="auto" w:fill="auto"/>
            <w:noWrap/>
            <w:vAlign w:val="bottom"/>
            <w:hideMark/>
          </w:tcPr>
          <w:p w14:paraId="3147F592"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43.2%</w:t>
            </w:r>
          </w:p>
        </w:tc>
      </w:tr>
      <w:tr w:rsidR="00CE1BDB" w:rsidRPr="00CB100F" w14:paraId="30A93806" w14:textId="77777777" w:rsidTr="00CB100F">
        <w:tc>
          <w:tcPr>
            <w:tcW w:w="1695" w:type="pct"/>
            <w:tcBorders>
              <w:top w:val="nil"/>
              <w:left w:val="single" w:sz="8" w:space="0" w:color="auto"/>
              <w:bottom w:val="single" w:sz="4" w:space="0" w:color="auto"/>
              <w:right w:val="single" w:sz="4" w:space="0" w:color="auto"/>
            </w:tcBorders>
            <w:shd w:val="clear" w:color="auto" w:fill="auto"/>
            <w:noWrap/>
            <w:vAlign w:val="center"/>
            <w:hideMark/>
          </w:tcPr>
          <w:p w14:paraId="38E58E23"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4</w:t>
            </w:r>
          </w:p>
        </w:tc>
        <w:tc>
          <w:tcPr>
            <w:tcW w:w="1082" w:type="pct"/>
            <w:tcBorders>
              <w:top w:val="nil"/>
              <w:left w:val="nil"/>
              <w:bottom w:val="single" w:sz="4" w:space="0" w:color="auto"/>
              <w:right w:val="single" w:sz="4" w:space="0" w:color="auto"/>
            </w:tcBorders>
            <w:shd w:val="clear" w:color="auto" w:fill="auto"/>
            <w:noWrap/>
            <w:vAlign w:val="bottom"/>
            <w:hideMark/>
          </w:tcPr>
          <w:p w14:paraId="598AAFE7"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22.6%</w:t>
            </w:r>
          </w:p>
        </w:tc>
        <w:tc>
          <w:tcPr>
            <w:tcW w:w="1025" w:type="pct"/>
            <w:tcBorders>
              <w:top w:val="nil"/>
              <w:left w:val="nil"/>
              <w:bottom w:val="single" w:sz="4" w:space="0" w:color="auto"/>
              <w:right w:val="single" w:sz="4" w:space="0" w:color="auto"/>
            </w:tcBorders>
            <w:shd w:val="clear" w:color="auto" w:fill="auto"/>
            <w:noWrap/>
            <w:vAlign w:val="bottom"/>
            <w:hideMark/>
          </w:tcPr>
          <w:p w14:paraId="388B0CEE"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10.7%</w:t>
            </w:r>
          </w:p>
        </w:tc>
        <w:tc>
          <w:tcPr>
            <w:tcW w:w="1198" w:type="pct"/>
            <w:tcBorders>
              <w:top w:val="nil"/>
              <w:left w:val="nil"/>
              <w:bottom w:val="single" w:sz="4" w:space="0" w:color="auto"/>
              <w:right w:val="single" w:sz="8" w:space="0" w:color="auto"/>
            </w:tcBorders>
            <w:shd w:val="clear" w:color="auto" w:fill="auto"/>
            <w:noWrap/>
            <w:vAlign w:val="bottom"/>
            <w:hideMark/>
          </w:tcPr>
          <w:p w14:paraId="497BE26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16.7%</w:t>
            </w:r>
          </w:p>
        </w:tc>
      </w:tr>
      <w:tr w:rsidR="00CE1BDB" w:rsidRPr="00CB100F" w14:paraId="59708417" w14:textId="77777777" w:rsidTr="00CB100F">
        <w:tc>
          <w:tcPr>
            <w:tcW w:w="1695" w:type="pct"/>
            <w:tcBorders>
              <w:top w:val="nil"/>
              <w:left w:val="single" w:sz="8" w:space="0" w:color="auto"/>
              <w:bottom w:val="single" w:sz="8" w:space="0" w:color="auto"/>
              <w:right w:val="single" w:sz="4" w:space="0" w:color="auto"/>
            </w:tcBorders>
            <w:shd w:val="clear" w:color="auto" w:fill="auto"/>
            <w:noWrap/>
            <w:vAlign w:val="center"/>
            <w:hideMark/>
          </w:tcPr>
          <w:p w14:paraId="66D71744"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Total</w:t>
            </w:r>
          </w:p>
        </w:tc>
        <w:tc>
          <w:tcPr>
            <w:tcW w:w="1082" w:type="pct"/>
            <w:tcBorders>
              <w:top w:val="nil"/>
              <w:left w:val="nil"/>
              <w:bottom w:val="single" w:sz="8" w:space="0" w:color="auto"/>
              <w:right w:val="single" w:sz="4" w:space="0" w:color="auto"/>
            </w:tcBorders>
            <w:shd w:val="clear" w:color="auto" w:fill="auto"/>
            <w:noWrap/>
            <w:vAlign w:val="bottom"/>
            <w:hideMark/>
          </w:tcPr>
          <w:p w14:paraId="64A48AC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1025" w:type="pct"/>
            <w:tcBorders>
              <w:top w:val="nil"/>
              <w:left w:val="nil"/>
              <w:bottom w:val="single" w:sz="8" w:space="0" w:color="auto"/>
              <w:right w:val="single" w:sz="4" w:space="0" w:color="auto"/>
            </w:tcBorders>
            <w:shd w:val="clear" w:color="auto" w:fill="auto"/>
            <w:noWrap/>
            <w:vAlign w:val="bottom"/>
            <w:hideMark/>
          </w:tcPr>
          <w:p w14:paraId="176CF6E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1198" w:type="pct"/>
            <w:tcBorders>
              <w:top w:val="nil"/>
              <w:left w:val="nil"/>
              <w:bottom w:val="single" w:sz="8" w:space="0" w:color="auto"/>
              <w:right w:val="single" w:sz="8" w:space="0" w:color="auto"/>
            </w:tcBorders>
            <w:shd w:val="clear" w:color="auto" w:fill="auto"/>
            <w:noWrap/>
            <w:vAlign w:val="bottom"/>
            <w:hideMark/>
          </w:tcPr>
          <w:p w14:paraId="4A4879A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r>
    </w:tbl>
    <w:p w14:paraId="0AE1EF97" w14:textId="77777777" w:rsidR="00CE1BDB" w:rsidRPr="00FA4DC7" w:rsidRDefault="00CE1BDB" w:rsidP="00CE1BDB">
      <w:pPr>
        <w:rPr>
          <w:rFonts w:cs="Arial"/>
        </w:rPr>
      </w:pPr>
    </w:p>
    <w:bookmarkEnd w:id="628"/>
    <w:bookmarkEnd w:id="629"/>
    <w:bookmarkEnd w:id="630"/>
    <w:bookmarkEnd w:id="631"/>
    <w:bookmarkEnd w:id="632"/>
    <w:bookmarkEnd w:id="633"/>
    <w:p w14:paraId="18B11D98"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Table D5 sets out how the profile of dwelling stock changes when aspirations and expectations of households are considered. This indicates a slight shift towards bungalow/level-access accommodation </w:t>
      </w:r>
    </w:p>
    <w:p w14:paraId="5DC90A5D" w14:textId="77777777" w:rsidR="00CE1BDB" w:rsidRPr="00FA4DC7" w:rsidRDefault="00CE1BDB" w:rsidP="00CE1BDB">
      <w:pPr>
        <w:pStyle w:val="Reporttext"/>
        <w:numPr>
          <w:ilvl w:val="0"/>
          <w:numId w:val="0"/>
        </w:numPr>
        <w:tabs>
          <w:tab w:val="left" w:pos="0"/>
          <w:tab w:val="left" w:pos="709"/>
          <w:tab w:val="left" w:pos="1418"/>
        </w:tabs>
        <w:rPr>
          <w:rFonts w:cs="Arial"/>
          <w:highlight w:val="yellow"/>
        </w:rPr>
      </w:pPr>
    </w:p>
    <w:tbl>
      <w:tblPr>
        <w:tblW w:w="5000" w:type="pct"/>
        <w:tblLook w:val="04A0" w:firstRow="1" w:lastRow="0" w:firstColumn="1" w:lastColumn="0" w:noHBand="0" w:noVBand="1"/>
      </w:tblPr>
      <w:tblGrid>
        <w:gridCol w:w="4032"/>
        <w:gridCol w:w="2062"/>
        <w:gridCol w:w="1470"/>
        <w:gridCol w:w="1606"/>
      </w:tblGrid>
      <w:tr w:rsidR="00CE1BDB" w:rsidRPr="00CB100F" w14:paraId="72ABADE6" w14:textId="77777777" w:rsidTr="00CB100F">
        <w:tc>
          <w:tcPr>
            <w:tcW w:w="5000" w:type="pct"/>
            <w:gridSpan w:val="4"/>
            <w:tcBorders>
              <w:top w:val="single" w:sz="8" w:space="0" w:color="auto"/>
              <w:left w:val="single" w:sz="8" w:space="0" w:color="auto"/>
              <w:bottom w:val="single" w:sz="4" w:space="0" w:color="auto"/>
              <w:right w:val="single" w:sz="8" w:space="0" w:color="auto"/>
            </w:tcBorders>
            <w:shd w:val="clear" w:color="auto" w:fill="006666"/>
            <w:noWrap/>
            <w:vAlign w:val="center"/>
          </w:tcPr>
          <w:p w14:paraId="049F69D4" w14:textId="77777777" w:rsidR="00CE1BDB" w:rsidRPr="00CB100F" w:rsidRDefault="00CE1BDB" w:rsidP="00CB100F">
            <w:pPr>
              <w:pStyle w:val="Tableheading1"/>
              <w:rPr>
                <w:color w:val="000000"/>
              </w:rPr>
            </w:pPr>
            <w:bookmarkStart w:id="635" w:name="_Toc83036140"/>
            <w:r w:rsidRPr="00CB100F">
              <w:lastRenderedPageBreak/>
              <w:t>Table D5</w:t>
            </w:r>
            <w:r w:rsidRPr="00CB100F">
              <w:tab/>
              <w:t>Dwelling type and size outcomes under aspiration and expectation scenarios</w:t>
            </w:r>
            <w:bookmarkEnd w:id="635"/>
          </w:p>
        </w:tc>
      </w:tr>
      <w:tr w:rsidR="00CB100F" w:rsidRPr="00CB100F" w14:paraId="0A50D75F" w14:textId="77777777" w:rsidTr="00CB100F">
        <w:tc>
          <w:tcPr>
            <w:tcW w:w="2155" w:type="pct"/>
            <w:tcBorders>
              <w:top w:val="single" w:sz="8" w:space="0" w:color="auto"/>
              <w:left w:val="single" w:sz="8" w:space="0" w:color="auto"/>
              <w:bottom w:val="single" w:sz="4" w:space="0" w:color="auto"/>
              <w:right w:val="single" w:sz="4" w:space="0" w:color="auto"/>
            </w:tcBorders>
            <w:shd w:val="clear" w:color="auto" w:fill="006666"/>
            <w:noWrap/>
            <w:vAlign w:val="center"/>
            <w:hideMark/>
          </w:tcPr>
          <w:p w14:paraId="3F3B4020" w14:textId="77777777" w:rsidR="00CB100F" w:rsidRPr="00CB100F" w:rsidRDefault="00CB100F" w:rsidP="00CB100F">
            <w:pPr>
              <w:spacing w:before="20" w:after="20"/>
              <w:rPr>
                <w:rFonts w:cs="Arial"/>
                <w:b/>
                <w:bCs/>
                <w:color w:val="FFFFFF"/>
                <w:sz w:val="22"/>
                <w:szCs w:val="22"/>
              </w:rPr>
            </w:pPr>
            <w:r w:rsidRPr="00CB100F">
              <w:rPr>
                <w:rFonts w:cs="Arial"/>
                <w:b/>
                <w:bCs/>
                <w:color w:val="FFFFFF"/>
                <w:sz w:val="22"/>
                <w:szCs w:val="22"/>
              </w:rPr>
              <w:t>Dwelling type and size</w:t>
            </w:r>
          </w:p>
        </w:tc>
        <w:tc>
          <w:tcPr>
            <w:tcW w:w="2845" w:type="pct"/>
            <w:gridSpan w:val="3"/>
            <w:tcBorders>
              <w:top w:val="single" w:sz="8" w:space="0" w:color="auto"/>
              <w:left w:val="nil"/>
              <w:bottom w:val="single" w:sz="4" w:space="0" w:color="auto"/>
              <w:right w:val="single" w:sz="8" w:space="0" w:color="auto"/>
            </w:tcBorders>
            <w:shd w:val="clear" w:color="auto" w:fill="006666"/>
            <w:noWrap/>
            <w:vAlign w:val="center"/>
            <w:hideMark/>
          </w:tcPr>
          <w:p w14:paraId="236C3C45" w14:textId="5DE1DEE1" w:rsidR="00CB100F" w:rsidRPr="00CB100F" w:rsidRDefault="00CB100F" w:rsidP="00CB100F">
            <w:pPr>
              <w:spacing w:before="20" w:after="20"/>
              <w:jc w:val="center"/>
              <w:rPr>
                <w:rFonts w:cs="Arial"/>
                <w:color w:val="000000"/>
                <w:sz w:val="22"/>
                <w:szCs w:val="22"/>
              </w:rPr>
            </w:pPr>
            <w:r w:rsidRPr="00CB100F">
              <w:rPr>
                <w:rFonts w:cs="Arial"/>
                <w:b/>
                <w:bCs/>
                <w:color w:val="FFFFFF"/>
                <w:sz w:val="22"/>
                <w:szCs w:val="22"/>
              </w:rPr>
              <w:t>Scenario</w:t>
            </w:r>
          </w:p>
        </w:tc>
      </w:tr>
      <w:tr w:rsidR="00CE1BDB" w:rsidRPr="00CB100F" w14:paraId="019F87AA" w14:textId="77777777" w:rsidTr="00CB100F">
        <w:tc>
          <w:tcPr>
            <w:tcW w:w="2155" w:type="pct"/>
            <w:tcBorders>
              <w:top w:val="nil"/>
              <w:left w:val="single" w:sz="8" w:space="0" w:color="auto"/>
              <w:bottom w:val="single" w:sz="4" w:space="0" w:color="auto"/>
              <w:right w:val="nil"/>
            </w:tcBorders>
            <w:shd w:val="clear" w:color="auto" w:fill="006666"/>
            <w:noWrap/>
            <w:vAlign w:val="bottom"/>
            <w:hideMark/>
          </w:tcPr>
          <w:p w14:paraId="5A6302BE"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 </w:t>
            </w:r>
          </w:p>
        </w:tc>
        <w:tc>
          <w:tcPr>
            <w:tcW w:w="1143" w:type="pct"/>
            <w:tcBorders>
              <w:top w:val="nil"/>
              <w:left w:val="single" w:sz="4" w:space="0" w:color="auto"/>
              <w:bottom w:val="single" w:sz="4" w:space="0" w:color="auto"/>
              <w:right w:val="single" w:sz="4" w:space="0" w:color="auto"/>
            </w:tcBorders>
            <w:shd w:val="clear" w:color="auto" w:fill="006666"/>
            <w:vAlign w:val="bottom"/>
            <w:hideMark/>
          </w:tcPr>
          <w:p w14:paraId="745CFC32" w14:textId="77777777" w:rsidR="00397A58"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 xml:space="preserve">Blended scenario (Demographic </w:t>
            </w:r>
          </w:p>
          <w:p w14:paraId="236D2BCF" w14:textId="669EC79F"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and under 35)</w:t>
            </w:r>
          </w:p>
        </w:tc>
        <w:tc>
          <w:tcPr>
            <w:tcW w:w="813" w:type="pct"/>
            <w:tcBorders>
              <w:top w:val="nil"/>
              <w:left w:val="nil"/>
              <w:bottom w:val="single" w:sz="4" w:space="0" w:color="auto"/>
              <w:right w:val="single" w:sz="4" w:space="0" w:color="auto"/>
            </w:tcBorders>
            <w:shd w:val="clear" w:color="auto" w:fill="006666"/>
            <w:vAlign w:val="bottom"/>
            <w:hideMark/>
          </w:tcPr>
          <w:p w14:paraId="2E36768C"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Aspirations</w:t>
            </w:r>
          </w:p>
        </w:tc>
        <w:tc>
          <w:tcPr>
            <w:tcW w:w="889" w:type="pct"/>
            <w:tcBorders>
              <w:top w:val="nil"/>
              <w:left w:val="nil"/>
              <w:bottom w:val="single" w:sz="4" w:space="0" w:color="auto"/>
              <w:right w:val="single" w:sz="8" w:space="0" w:color="auto"/>
            </w:tcBorders>
            <w:shd w:val="clear" w:color="auto" w:fill="006666"/>
            <w:vAlign w:val="bottom"/>
            <w:hideMark/>
          </w:tcPr>
          <w:p w14:paraId="7A6EA43C"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Expectations</w:t>
            </w:r>
          </w:p>
        </w:tc>
      </w:tr>
      <w:tr w:rsidR="00397A58" w:rsidRPr="00CB100F" w14:paraId="30E42E8F"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60242D98" w14:textId="20F8292C" w:rsidR="00397A58" w:rsidRPr="00CB100F" w:rsidRDefault="00397A58" w:rsidP="00CB100F">
            <w:pPr>
              <w:spacing w:before="20" w:after="20"/>
              <w:rPr>
                <w:rFonts w:cs="Arial"/>
                <w:color w:val="000000"/>
                <w:sz w:val="22"/>
                <w:szCs w:val="22"/>
              </w:rPr>
            </w:pPr>
            <w:r w:rsidRPr="00CB100F">
              <w:rPr>
                <w:rFonts w:cs="Arial"/>
                <w:color w:val="000000"/>
                <w:sz w:val="22"/>
                <w:szCs w:val="22"/>
              </w:rPr>
              <w:t>1 bedroom house</w:t>
            </w:r>
          </w:p>
        </w:tc>
        <w:tc>
          <w:tcPr>
            <w:tcW w:w="1143" w:type="pct"/>
            <w:tcBorders>
              <w:top w:val="nil"/>
              <w:left w:val="nil"/>
              <w:bottom w:val="single" w:sz="4" w:space="0" w:color="auto"/>
              <w:right w:val="single" w:sz="4" w:space="0" w:color="auto"/>
            </w:tcBorders>
            <w:shd w:val="clear" w:color="auto" w:fill="auto"/>
            <w:noWrap/>
            <w:vAlign w:val="center"/>
            <w:hideMark/>
          </w:tcPr>
          <w:p w14:paraId="66F5F9D5" w14:textId="1B64BA02"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1.0%</w:t>
            </w:r>
          </w:p>
        </w:tc>
        <w:tc>
          <w:tcPr>
            <w:tcW w:w="813" w:type="pct"/>
            <w:tcBorders>
              <w:top w:val="nil"/>
              <w:left w:val="nil"/>
              <w:bottom w:val="single" w:sz="4" w:space="0" w:color="auto"/>
              <w:right w:val="single" w:sz="4" w:space="0" w:color="auto"/>
            </w:tcBorders>
            <w:shd w:val="clear" w:color="auto" w:fill="auto"/>
            <w:noWrap/>
            <w:vAlign w:val="center"/>
            <w:hideMark/>
          </w:tcPr>
          <w:p w14:paraId="057E4EFA" w14:textId="1EF2EF97"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0.4%</w:t>
            </w:r>
          </w:p>
        </w:tc>
        <w:tc>
          <w:tcPr>
            <w:tcW w:w="889" w:type="pct"/>
            <w:tcBorders>
              <w:top w:val="nil"/>
              <w:left w:val="nil"/>
              <w:bottom w:val="single" w:sz="4" w:space="0" w:color="auto"/>
              <w:right w:val="single" w:sz="8" w:space="0" w:color="auto"/>
            </w:tcBorders>
            <w:shd w:val="clear" w:color="auto" w:fill="auto"/>
            <w:noWrap/>
            <w:vAlign w:val="center"/>
            <w:hideMark/>
          </w:tcPr>
          <w:p w14:paraId="59A88431" w14:textId="2D109FA1"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1.1%</w:t>
            </w:r>
          </w:p>
        </w:tc>
      </w:tr>
      <w:tr w:rsidR="00397A58" w:rsidRPr="00CB100F" w14:paraId="052C672A"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tcPr>
          <w:p w14:paraId="25291833" w14:textId="35A0F1C5" w:rsidR="00397A58" w:rsidRPr="00CB100F" w:rsidRDefault="00397A58" w:rsidP="00CB100F">
            <w:pPr>
              <w:spacing w:before="20" w:after="20"/>
              <w:rPr>
                <w:rFonts w:cs="Arial"/>
                <w:color w:val="000000"/>
                <w:sz w:val="22"/>
                <w:szCs w:val="22"/>
              </w:rPr>
            </w:pPr>
            <w:proofErr w:type="gramStart"/>
            <w:r w:rsidRPr="00CB100F">
              <w:rPr>
                <w:rFonts w:cs="Arial"/>
                <w:color w:val="000000"/>
                <w:sz w:val="22"/>
                <w:szCs w:val="22"/>
              </w:rPr>
              <w:t>2 bedroom</w:t>
            </w:r>
            <w:proofErr w:type="gramEnd"/>
            <w:r w:rsidRPr="00CB100F">
              <w:rPr>
                <w:rFonts w:cs="Arial"/>
                <w:color w:val="000000"/>
                <w:sz w:val="22"/>
                <w:szCs w:val="22"/>
              </w:rPr>
              <w:t xml:space="preserve"> house</w:t>
            </w:r>
          </w:p>
        </w:tc>
        <w:tc>
          <w:tcPr>
            <w:tcW w:w="1143" w:type="pct"/>
            <w:tcBorders>
              <w:top w:val="nil"/>
              <w:left w:val="nil"/>
              <w:bottom w:val="single" w:sz="4" w:space="0" w:color="auto"/>
              <w:right w:val="single" w:sz="4" w:space="0" w:color="auto"/>
            </w:tcBorders>
            <w:shd w:val="clear" w:color="auto" w:fill="auto"/>
            <w:noWrap/>
            <w:vAlign w:val="center"/>
          </w:tcPr>
          <w:p w14:paraId="34922EE0" w14:textId="71C8BEC0"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20.3%</w:t>
            </w:r>
          </w:p>
        </w:tc>
        <w:tc>
          <w:tcPr>
            <w:tcW w:w="813" w:type="pct"/>
            <w:tcBorders>
              <w:top w:val="nil"/>
              <w:left w:val="nil"/>
              <w:bottom w:val="single" w:sz="4" w:space="0" w:color="auto"/>
              <w:right w:val="single" w:sz="4" w:space="0" w:color="auto"/>
            </w:tcBorders>
            <w:shd w:val="clear" w:color="auto" w:fill="auto"/>
            <w:noWrap/>
            <w:vAlign w:val="center"/>
          </w:tcPr>
          <w:p w14:paraId="671D12C0" w14:textId="3D4AAEBB"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10.7%</w:t>
            </w:r>
          </w:p>
        </w:tc>
        <w:tc>
          <w:tcPr>
            <w:tcW w:w="889" w:type="pct"/>
            <w:tcBorders>
              <w:top w:val="nil"/>
              <w:left w:val="nil"/>
              <w:bottom w:val="single" w:sz="4" w:space="0" w:color="auto"/>
              <w:right w:val="single" w:sz="8" w:space="0" w:color="auto"/>
            </w:tcBorders>
            <w:shd w:val="clear" w:color="auto" w:fill="auto"/>
            <w:noWrap/>
            <w:vAlign w:val="center"/>
          </w:tcPr>
          <w:p w14:paraId="6165459C" w14:textId="751E13D2" w:rsidR="00397A58" w:rsidRPr="00CB100F" w:rsidRDefault="00397A58" w:rsidP="00CB100F">
            <w:pPr>
              <w:spacing w:before="20" w:after="20"/>
              <w:jc w:val="right"/>
              <w:rPr>
                <w:rFonts w:cs="Arial"/>
                <w:color w:val="000000"/>
                <w:sz w:val="22"/>
                <w:szCs w:val="22"/>
              </w:rPr>
            </w:pPr>
            <w:r w:rsidRPr="00CB100F">
              <w:rPr>
                <w:rFonts w:cs="Arial"/>
                <w:color w:val="000000"/>
                <w:sz w:val="22"/>
                <w:szCs w:val="22"/>
              </w:rPr>
              <w:t>17.2%</w:t>
            </w:r>
          </w:p>
        </w:tc>
      </w:tr>
      <w:tr w:rsidR="00CE1BDB" w:rsidRPr="00CB100F" w14:paraId="0D3857B4"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3CDAE6DC"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3 bedroom</w:t>
            </w:r>
            <w:proofErr w:type="gramEnd"/>
            <w:r w:rsidRPr="00CB100F">
              <w:rPr>
                <w:rFonts w:cs="Arial"/>
                <w:color w:val="000000"/>
                <w:sz w:val="22"/>
                <w:szCs w:val="22"/>
              </w:rPr>
              <w:t xml:space="preserve"> house</w:t>
            </w:r>
          </w:p>
        </w:tc>
        <w:tc>
          <w:tcPr>
            <w:tcW w:w="1143" w:type="pct"/>
            <w:tcBorders>
              <w:top w:val="nil"/>
              <w:left w:val="nil"/>
              <w:bottom w:val="single" w:sz="4" w:space="0" w:color="auto"/>
              <w:right w:val="single" w:sz="4" w:space="0" w:color="auto"/>
            </w:tcBorders>
            <w:shd w:val="clear" w:color="auto" w:fill="auto"/>
            <w:noWrap/>
            <w:vAlign w:val="center"/>
            <w:hideMark/>
          </w:tcPr>
          <w:p w14:paraId="34D767A1"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39.6%</w:t>
            </w:r>
          </w:p>
        </w:tc>
        <w:tc>
          <w:tcPr>
            <w:tcW w:w="813" w:type="pct"/>
            <w:tcBorders>
              <w:top w:val="nil"/>
              <w:left w:val="nil"/>
              <w:bottom w:val="single" w:sz="4" w:space="0" w:color="auto"/>
              <w:right w:val="single" w:sz="4" w:space="0" w:color="auto"/>
            </w:tcBorders>
            <w:shd w:val="clear" w:color="auto" w:fill="auto"/>
            <w:noWrap/>
            <w:vAlign w:val="center"/>
            <w:hideMark/>
          </w:tcPr>
          <w:p w14:paraId="46AF5FE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33.3%</w:t>
            </w:r>
          </w:p>
        </w:tc>
        <w:tc>
          <w:tcPr>
            <w:tcW w:w="889" w:type="pct"/>
            <w:tcBorders>
              <w:top w:val="nil"/>
              <w:left w:val="nil"/>
              <w:bottom w:val="single" w:sz="4" w:space="0" w:color="auto"/>
              <w:right w:val="single" w:sz="8" w:space="0" w:color="auto"/>
            </w:tcBorders>
            <w:shd w:val="clear" w:color="auto" w:fill="auto"/>
            <w:noWrap/>
            <w:vAlign w:val="center"/>
            <w:hideMark/>
          </w:tcPr>
          <w:p w14:paraId="5100228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36.8%</w:t>
            </w:r>
          </w:p>
        </w:tc>
      </w:tr>
      <w:tr w:rsidR="00CE1BDB" w:rsidRPr="00CB100F" w14:paraId="482FC6E8"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458947A4"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4 or more bedroom</w:t>
            </w:r>
            <w:proofErr w:type="gramEnd"/>
            <w:r w:rsidRPr="00CB100F">
              <w:rPr>
                <w:rFonts w:cs="Arial"/>
                <w:color w:val="000000"/>
                <w:sz w:val="22"/>
                <w:szCs w:val="22"/>
              </w:rPr>
              <w:t xml:space="preserve"> house</w:t>
            </w:r>
          </w:p>
        </w:tc>
        <w:tc>
          <w:tcPr>
            <w:tcW w:w="1143" w:type="pct"/>
            <w:tcBorders>
              <w:top w:val="nil"/>
              <w:left w:val="nil"/>
              <w:bottom w:val="single" w:sz="4" w:space="0" w:color="auto"/>
              <w:right w:val="single" w:sz="4" w:space="0" w:color="auto"/>
            </w:tcBorders>
            <w:shd w:val="clear" w:color="auto" w:fill="auto"/>
            <w:noWrap/>
            <w:vAlign w:val="center"/>
            <w:hideMark/>
          </w:tcPr>
          <w:p w14:paraId="3E8E41B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16.7%</w:t>
            </w:r>
          </w:p>
        </w:tc>
        <w:tc>
          <w:tcPr>
            <w:tcW w:w="813" w:type="pct"/>
            <w:tcBorders>
              <w:top w:val="nil"/>
              <w:left w:val="nil"/>
              <w:bottom w:val="single" w:sz="4" w:space="0" w:color="auto"/>
              <w:right w:val="single" w:sz="4" w:space="0" w:color="auto"/>
            </w:tcBorders>
            <w:shd w:val="clear" w:color="auto" w:fill="auto"/>
            <w:noWrap/>
            <w:vAlign w:val="center"/>
            <w:hideMark/>
          </w:tcPr>
          <w:p w14:paraId="727BA281"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32.0%</w:t>
            </w:r>
          </w:p>
        </w:tc>
        <w:tc>
          <w:tcPr>
            <w:tcW w:w="889" w:type="pct"/>
            <w:tcBorders>
              <w:top w:val="nil"/>
              <w:left w:val="nil"/>
              <w:bottom w:val="single" w:sz="4" w:space="0" w:color="auto"/>
              <w:right w:val="single" w:sz="8" w:space="0" w:color="auto"/>
            </w:tcBorders>
            <w:shd w:val="clear" w:color="auto" w:fill="auto"/>
            <w:noWrap/>
            <w:vAlign w:val="center"/>
            <w:hideMark/>
          </w:tcPr>
          <w:p w14:paraId="0C16225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19.3%</w:t>
            </w:r>
          </w:p>
        </w:tc>
      </w:tr>
      <w:tr w:rsidR="00CE1BDB" w:rsidRPr="00CB100F" w14:paraId="5AF58372"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6BEE9CAD"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1 bedroom flat</w:t>
            </w:r>
          </w:p>
        </w:tc>
        <w:tc>
          <w:tcPr>
            <w:tcW w:w="1143" w:type="pct"/>
            <w:tcBorders>
              <w:top w:val="nil"/>
              <w:left w:val="nil"/>
              <w:bottom w:val="single" w:sz="4" w:space="0" w:color="auto"/>
              <w:right w:val="single" w:sz="4" w:space="0" w:color="auto"/>
            </w:tcBorders>
            <w:shd w:val="clear" w:color="auto" w:fill="auto"/>
            <w:noWrap/>
            <w:vAlign w:val="center"/>
            <w:hideMark/>
          </w:tcPr>
          <w:p w14:paraId="3BFD965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6.1%</w:t>
            </w:r>
          </w:p>
        </w:tc>
        <w:tc>
          <w:tcPr>
            <w:tcW w:w="813" w:type="pct"/>
            <w:tcBorders>
              <w:top w:val="nil"/>
              <w:left w:val="nil"/>
              <w:bottom w:val="single" w:sz="4" w:space="0" w:color="auto"/>
              <w:right w:val="single" w:sz="4" w:space="0" w:color="auto"/>
            </w:tcBorders>
            <w:shd w:val="clear" w:color="auto" w:fill="auto"/>
            <w:noWrap/>
            <w:vAlign w:val="center"/>
            <w:hideMark/>
          </w:tcPr>
          <w:p w14:paraId="0A7DDE21"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2.8%</w:t>
            </w:r>
          </w:p>
        </w:tc>
        <w:tc>
          <w:tcPr>
            <w:tcW w:w="889" w:type="pct"/>
            <w:tcBorders>
              <w:top w:val="nil"/>
              <w:left w:val="nil"/>
              <w:bottom w:val="single" w:sz="4" w:space="0" w:color="auto"/>
              <w:right w:val="single" w:sz="8" w:space="0" w:color="auto"/>
            </w:tcBorders>
            <w:shd w:val="clear" w:color="auto" w:fill="auto"/>
            <w:noWrap/>
            <w:vAlign w:val="center"/>
            <w:hideMark/>
          </w:tcPr>
          <w:p w14:paraId="19BF4CE4"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5.7%</w:t>
            </w:r>
          </w:p>
        </w:tc>
      </w:tr>
      <w:tr w:rsidR="00CE1BDB" w:rsidRPr="00CB100F" w14:paraId="482F59E0"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17C0843C"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2 or more bedroom flat</w:t>
            </w:r>
          </w:p>
        </w:tc>
        <w:tc>
          <w:tcPr>
            <w:tcW w:w="1143" w:type="pct"/>
            <w:tcBorders>
              <w:top w:val="nil"/>
              <w:left w:val="nil"/>
              <w:bottom w:val="single" w:sz="4" w:space="0" w:color="auto"/>
              <w:right w:val="single" w:sz="4" w:space="0" w:color="auto"/>
            </w:tcBorders>
            <w:shd w:val="clear" w:color="auto" w:fill="auto"/>
            <w:noWrap/>
            <w:vAlign w:val="center"/>
            <w:hideMark/>
          </w:tcPr>
          <w:p w14:paraId="4F9DA0C7"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8.5%</w:t>
            </w:r>
          </w:p>
        </w:tc>
        <w:tc>
          <w:tcPr>
            <w:tcW w:w="813" w:type="pct"/>
            <w:tcBorders>
              <w:top w:val="nil"/>
              <w:left w:val="nil"/>
              <w:bottom w:val="single" w:sz="4" w:space="0" w:color="auto"/>
              <w:right w:val="single" w:sz="4" w:space="0" w:color="auto"/>
            </w:tcBorders>
            <w:shd w:val="clear" w:color="auto" w:fill="auto"/>
            <w:noWrap/>
            <w:vAlign w:val="center"/>
            <w:hideMark/>
          </w:tcPr>
          <w:p w14:paraId="6D2DC7DC"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6.6%</w:t>
            </w:r>
          </w:p>
        </w:tc>
        <w:tc>
          <w:tcPr>
            <w:tcW w:w="889" w:type="pct"/>
            <w:tcBorders>
              <w:top w:val="nil"/>
              <w:left w:val="nil"/>
              <w:bottom w:val="single" w:sz="4" w:space="0" w:color="auto"/>
              <w:right w:val="single" w:sz="8" w:space="0" w:color="auto"/>
            </w:tcBorders>
            <w:shd w:val="clear" w:color="auto" w:fill="auto"/>
            <w:noWrap/>
            <w:vAlign w:val="center"/>
            <w:hideMark/>
          </w:tcPr>
          <w:p w14:paraId="10592D6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7.2%</w:t>
            </w:r>
          </w:p>
        </w:tc>
      </w:tr>
      <w:tr w:rsidR="00CE1BDB" w:rsidRPr="00CB100F" w14:paraId="05992C7D"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5B97CC93"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1 bedroom bungalow/level-access</w:t>
            </w:r>
          </w:p>
        </w:tc>
        <w:tc>
          <w:tcPr>
            <w:tcW w:w="1143" w:type="pct"/>
            <w:tcBorders>
              <w:top w:val="nil"/>
              <w:left w:val="nil"/>
              <w:bottom w:val="single" w:sz="4" w:space="0" w:color="auto"/>
              <w:right w:val="single" w:sz="4" w:space="0" w:color="auto"/>
            </w:tcBorders>
            <w:shd w:val="clear" w:color="auto" w:fill="auto"/>
            <w:noWrap/>
            <w:vAlign w:val="center"/>
            <w:hideMark/>
          </w:tcPr>
          <w:p w14:paraId="69901A5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1.1%</w:t>
            </w:r>
          </w:p>
        </w:tc>
        <w:tc>
          <w:tcPr>
            <w:tcW w:w="813" w:type="pct"/>
            <w:tcBorders>
              <w:top w:val="nil"/>
              <w:left w:val="nil"/>
              <w:bottom w:val="single" w:sz="4" w:space="0" w:color="auto"/>
              <w:right w:val="single" w:sz="4" w:space="0" w:color="auto"/>
            </w:tcBorders>
            <w:shd w:val="clear" w:color="auto" w:fill="auto"/>
            <w:noWrap/>
            <w:vAlign w:val="center"/>
            <w:hideMark/>
          </w:tcPr>
          <w:p w14:paraId="584E5304"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w:t>
            </w:r>
          </w:p>
        </w:tc>
        <w:tc>
          <w:tcPr>
            <w:tcW w:w="889" w:type="pct"/>
            <w:tcBorders>
              <w:top w:val="nil"/>
              <w:left w:val="nil"/>
              <w:bottom w:val="single" w:sz="4" w:space="0" w:color="auto"/>
              <w:right w:val="single" w:sz="8" w:space="0" w:color="auto"/>
            </w:tcBorders>
            <w:shd w:val="clear" w:color="auto" w:fill="auto"/>
            <w:noWrap/>
            <w:vAlign w:val="center"/>
            <w:hideMark/>
          </w:tcPr>
          <w:p w14:paraId="4FD3A621"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w:t>
            </w:r>
          </w:p>
        </w:tc>
      </w:tr>
      <w:tr w:rsidR="00CE1BDB" w:rsidRPr="00CB100F" w14:paraId="48A281EB"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604C6B7C"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2 bedroom</w:t>
            </w:r>
            <w:proofErr w:type="gramEnd"/>
            <w:r w:rsidRPr="00CB100F">
              <w:rPr>
                <w:rFonts w:cs="Arial"/>
                <w:color w:val="000000"/>
                <w:sz w:val="22"/>
                <w:szCs w:val="22"/>
              </w:rPr>
              <w:t xml:space="preserve"> bungalow/level-access</w:t>
            </w:r>
          </w:p>
        </w:tc>
        <w:tc>
          <w:tcPr>
            <w:tcW w:w="1143" w:type="pct"/>
            <w:tcBorders>
              <w:top w:val="nil"/>
              <w:left w:val="nil"/>
              <w:bottom w:val="single" w:sz="4" w:space="0" w:color="auto"/>
              <w:right w:val="single" w:sz="4" w:space="0" w:color="auto"/>
            </w:tcBorders>
            <w:shd w:val="clear" w:color="auto" w:fill="auto"/>
            <w:noWrap/>
            <w:vAlign w:val="center"/>
            <w:hideMark/>
          </w:tcPr>
          <w:p w14:paraId="6EC4571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3.5%</w:t>
            </w:r>
          </w:p>
        </w:tc>
        <w:tc>
          <w:tcPr>
            <w:tcW w:w="813" w:type="pct"/>
            <w:tcBorders>
              <w:top w:val="nil"/>
              <w:left w:val="nil"/>
              <w:bottom w:val="single" w:sz="4" w:space="0" w:color="auto"/>
              <w:right w:val="single" w:sz="4" w:space="0" w:color="auto"/>
            </w:tcBorders>
            <w:shd w:val="clear" w:color="auto" w:fill="auto"/>
            <w:noWrap/>
            <w:vAlign w:val="center"/>
            <w:hideMark/>
          </w:tcPr>
          <w:p w14:paraId="7D4E5F3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5.8%</w:t>
            </w:r>
          </w:p>
        </w:tc>
        <w:tc>
          <w:tcPr>
            <w:tcW w:w="889" w:type="pct"/>
            <w:tcBorders>
              <w:top w:val="nil"/>
              <w:left w:val="nil"/>
              <w:bottom w:val="single" w:sz="4" w:space="0" w:color="auto"/>
              <w:right w:val="single" w:sz="8" w:space="0" w:color="auto"/>
            </w:tcBorders>
            <w:shd w:val="clear" w:color="auto" w:fill="auto"/>
            <w:noWrap/>
            <w:vAlign w:val="center"/>
            <w:hideMark/>
          </w:tcPr>
          <w:p w14:paraId="42A82BB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6.6%</w:t>
            </w:r>
          </w:p>
        </w:tc>
      </w:tr>
      <w:tr w:rsidR="00CE1BDB" w:rsidRPr="00CB100F" w14:paraId="423FB461"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1D5EFE2C" w14:textId="77777777" w:rsidR="00CE1BDB" w:rsidRPr="00CB100F" w:rsidRDefault="00CE1BDB" w:rsidP="00CB100F">
            <w:pPr>
              <w:spacing w:before="20" w:after="20"/>
              <w:rPr>
                <w:rFonts w:cs="Arial"/>
                <w:color w:val="000000"/>
                <w:sz w:val="22"/>
                <w:szCs w:val="22"/>
              </w:rPr>
            </w:pPr>
            <w:proofErr w:type="gramStart"/>
            <w:r w:rsidRPr="00CB100F">
              <w:rPr>
                <w:rFonts w:cs="Arial"/>
                <w:color w:val="000000"/>
                <w:sz w:val="22"/>
                <w:szCs w:val="22"/>
              </w:rPr>
              <w:t>3 or more bedroom</w:t>
            </w:r>
            <w:proofErr w:type="gramEnd"/>
            <w:r w:rsidRPr="00CB100F">
              <w:rPr>
                <w:rFonts w:cs="Arial"/>
                <w:color w:val="000000"/>
                <w:sz w:val="22"/>
                <w:szCs w:val="22"/>
              </w:rPr>
              <w:t xml:space="preserve"> bungalow/level-access</w:t>
            </w:r>
          </w:p>
        </w:tc>
        <w:tc>
          <w:tcPr>
            <w:tcW w:w="1143" w:type="pct"/>
            <w:tcBorders>
              <w:top w:val="nil"/>
              <w:left w:val="nil"/>
              <w:bottom w:val="single" w:sz="4" w:space="0" w:color="auto"/>
              <w:right w:val="single" w:sz="4" w:space="0" w:color="auto"/>
            </w:tcBorders>
            <w:shd w:val="clear" w:color="auto" w:fill="auto"/>
            <w:noWrap/>
            <w:vAlign w:val="center"/>
            <w:hideMark/>
          </w:tcPr>
          <w:p w14:paraId="6049A3BE"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2.7%</w:t>
            </w:r>
          </w:p>
        </w:tc>
        <w:tc>
          <w:tcPr>
            <w:tcW w:w="813" w:type="pct"/>
            <w:tcBorders>
              <w:top w:val="nil"/>
              <w:left w:val="nil"/>
              <w:bottom w:val="single" w:sz="4" w:space="0" w:color="auto"/>
              <w:right w:val="single" w:sz="4" w:space="0" w:color="auto"/>
            </w:tcBorders>
            <w:shd w:val="clear" w:color="auto" w:fill="auto"/>
            <w:noWrap/>
            <w:vAlign w:val="center"/>
            <w:hideMark/>
          </w:tcPr>
          <w:p w14:paraId="041B8DF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5.2%</w:t>
            </w:r>
          </w:p>
        </w:tc>
        <w:tc>
          <w:tcPr>
            <w:tcW w:w="889" w:type="pct"/>
            <w:tcBorders>
              <w:top w:val="nil"/>
              <w:left w:val="nil"/>
              <w:bottom w:val="single" w:sz="4" w:space="0" w:color="auto"/>
              <w:right w:val="single" w:sz="8" w:space="0" w:color="auto"/>
            </w:tcBorders>
            <w:shd w:val="clear" w:color="auto" w:fill="auto"/>
            <w:noWrap/>
            <w:vAlign w:val="center"/>
            <w:hideMark/>
          </w:tcPr>
          <w:p w14:paraId="3022CDD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3.2%</w:t>
            </w:r>
          </w:p>
        </w:tc>
      </w:tr>
      <w:tr w:rsidR="00CE1BDB" w:rsidRPr="00CB100F" w14:paraId="239BD64F"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20F7D012"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Other</w:t>
            </w:r>
          </w:p>
        </w:tc>
        <w:tc>
          <w:tcPr>
            <w:tcW w:w="1143" w:type="pct"/>
            <w:tcBorders>
              <w:top w:val="nil"/>
              <w:left w:val="nil"/>
              <w:bottom w:val="single" w:sz="4" w:space="0" w:color="auto"/>
              <w:right w:val="single" w:sz="4" w:space="0" w:color="auto"/>
            </w:tcBorders>
            <w:shd w:val="clear" w:color="auto" w:fill="auto"/>
            <w:noWrap/>
            <w:vAlign w:val="center"/>
            <w:hideMark/>
          </w:tcPr>
          <w:p w14:paraId="5DF60C6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0.7%</w:t>
            </w:r>
          </w:p>
        </w:tc>
        <w:tc>
          <w:tcPr>
            <w:tcW w:w="813" w:type="pct"/>
            <w:tcBorders>
              <w:top w:val="nil"/>
              <w:left w:val="nil"/>
              <w:bottom w:val="single" w:sz="4" w:space="0" w:color="auto"/>
              <w:right w:val="single" w:sz="4" w:space="0" w:color="auto"/>
            </w:tcBorders>
            <w:shd w:val="clear" w:color="auto" w:fill="auto"/>
            <w:noWrap/>
            <w:vAlign w:val="center"/>
            <w:hideMark/>
          </w:tcPr>
          <w:p w14:paraId="4347427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2.1%</w:t>
            </w:r>
          </w:p>
        </w:tc>
        <w:tc>
          <w:tcPr>
            <w:tcW w:w="889" w:type="pct"/>
            <w:tcBorders>
              <w:top w:val="nil"/>
              <w:left w:val="nil"/>
              <w:bottom w:val="single" w:sz="4" w:space="0" w:color="auto"/>
              <w:right w:val="single" w:sz="8" w:space="0" w:color="auto"/>
            </w:tcBorders>
            <w:shd w:val="clear" w:color="auto" w:fill="auto"/>
            <w:noWrap/>
            <w:vAlign w:val="center"/>
            <w:hideMark/>
          </w:tcPr>
          <w:p w14:paraId="1FCD575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1.8%</w:t>
            </w:r>
          </w:p>
        </w:tc>
      </w:tr>
      <w:tr w:rsidR="00CE1BDB" w:rsidRPr="00CB100F" w14:paraId="05324292"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bottom"/>
            <w:hideMark/>
          </w:tcPr>
          <w:p w14:paraId="2C794F4B"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TOTAL</w:t>
            </w:r>
          </w:p>
        </w:tc>
        <w:tc>
          <w:tcPr>
            <w:tcW w:w="1143" w:type="pct"/>
            <w:tcBorders>
              <w:top w:val="nil"/>
              <w:left w:val="nil"/>
              <w:bottom w:val="single" w:sz="4" w:space="0" w:color="auto"/>
              <w:right w:val="single" w:sz="4" w:space="0" w:color="auto"/>
            </w:tcBorders>
            <w:shd w:val="clear" w:color="auto" w:fill="auto"/>
            <w:noWrap/>
            <w:vAlign w:val="center"/>
            <w:hideMark/>
          </w:tcPr>
          <w:p w14:paraId="44E3CBBC"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813" w:type="pct"/>
            <w:tcBorders>
              <w:top w:val="nil"/>
              <w:left w:val="nil"/>
              <w:bottom w:val="single" w:sz="4" w:space="0" w:color="auto"/>
              <w:right w:val="single" w:sz="4" w:space="0" w:color="auto"/>
            </w:tcBorders>
            <w:shd w:val="clear" w:color="auto" w:fill="auto"/>
            <w:noWrap/>
            <w:vAlign w:val="center"/>
            <w:hideMark/>
          </w:tcPr>
          <w:p w14:paraId="720BBCD1"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889" w:type="pct"/>
            <w:tcBorders>
              <w:top w:val="nil"/>
              <w:left w:val="nil"/>
              <w:bottom w:val="single" w:sz="4" w:space="0" w:color="auto"/>
              <w:right w:val="single" w:sz="8" w:space="0" w:color="auto"/>
            </w:tcBorders>
            <w:shd w:val="clear" w:color="auto" w:fill="auto"/>
            <w:noWrap/>
            <w:vAlign w:val="center"/>
            <w:hideMark/>
          </w:tcPr>
          <w:p w14:paraId="47578FBE"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r>
      <w:tr w:rsidR="00FA4DC7" w:rsidRPr="00CB100F" w14:paraId="2E1DD89C" w14:textId="77777777" w:rsidTr="00CB100F">
        <w:tc>
          <w:tcPr>
            <w:tcW w:w="2155" w:type="pct"/>
            <w:tcBorders>
              <w:top w:val="nil"/>
              <w:left w:val="single" w:sz="8" w:space="0" w:color="auto"/>
              <w:bottom w:val="single" w:sz="4" w:space="0" w:color="auto"/>
              <w:right w:val="single" w:sz="4" w:space="0" w:color="auto"/>
            </w:tcBorders>
            <w:shd w:val="clear" w:color="auto" w:fill="006666"/>
            <w:noWrap/>
            <w:vAlign w:val="center"/>
            <w:hideMark/>
          </w:tcPr>
          <w:p w14:paraId="743086A5" w14:textId="77777777" w:rsidR="00CE1BDB" w:rsidRPr="00CB100F" w:rsidRDefault="00CE1BDB" w:rsidP="00CB100F">
            <w:pPr>
              <w:spacing w:before="20" w:after="20"/>
              <w:rPr>
                <w:rFonts w:cs="Arial"/>
                <w:b/>
                <w:bCs/>
                <w:color w:val="FFFFFF"/>
                <w:sz w:val="22"/>
                <w:szCs w:val="22"/>
              </w:rPr>
            </w:pPr>
            <w:r w:rsidRPr="00CB100F">
              <w:rPr>
                <w:rFonts w:cs="Arial"/>
                <w:b/>
                <w:bCs/>
                <w:color w:val="FFFFFF"/>
                <w:sz w:val="22"/>
                <w:szCs w:val="22"/>
              </w:rPr>
              <w:t>Dwelling type</w:t>
            </w:r>
          </w:p>
        </w:tc>
        <w:tc>
          <w:tcPr>
            <w:tcW w:w="1143" w:type="pct"/>
            <w:tcBorders>
              <w:top w:val="nil"/>
              <w:left w:val="nil"/>
              <w:bottom w:val="single" w:sz="4" w:space="0" w:color="auto"/>
              <w:right w:val="single" w:sz="4" w:space="0" w:color="auto"/>
            </w:tcBorders>
            <w:shd w:val="clear" w:color="auto" w:fill="006666"/>
            <w:vAlign w:val="bottom"/>
            <w:hideMark/>
          </w:tcPr>
          <w:p w14:paraId="04AA5D35"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Blended scenario (Demographic and under 35)</w:t>
            </w:r>
          </w:p>
        </w:tc>
        <w:tc>
          <w:tcPr>
            <w:tcW w:w="813" w:type="pct"/>
            <w:tcBorders>
              <w:top w:val="nil"/>
              <w:left w:val="nil"/>
              <w:bottom w:val="single" w:sz="4" w:space="0" w:color="auto"/>
              <w:right w:val="single" w:sz="4" w:space="0" w:color="auto"/>
            </w:tcBorders>
            <w:shd w:val="clear" w:color="auto" w:fill="006666"/>
            <w:vAlign w:val="bottom"/>
            <w:hideMark/>
          </w:tcPr>
          <w:p w14:paraId="16C67813"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Aspirations</w:t>
            </w:r>
          </w:p>
        </w:tc>
        <w:tc>
          <w:tcPr>
            <w:tcW w:w="889" w:type="pct"/>
            <w:tcBorders>
              <w:top w:val="nil"/>
              <w:left w:val="nil"/>
              <w:bottom w:val="single" w:sz="4" w:space="0" w:color="auto"/>
              <w:right w:val="single" w:sz="8" w:space="0" w:color="auto"/>
            </w:tcBorders>
            <w:shd w:val="clear" w:color="auto" w:fill="006666"/>
            <w:vAlign w:val="bottom"/>
            <w:hideMark/>
          </w:tcPr>
          <w:p w14:paraId="56F91EC2"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Expectations</w:t>
            </w:r>
          </w:p>
        </w:tc>
      </w:tr>
      <w:tr w:rsidR="00CE1BDB" w:rsidRPr="00CB100F" w14:paraId="3B071A22"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4A0BB43C"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House</w:t>
            </w:r>
          </w:p>
        </w:tc>
        <w:tc>
          <w:tcPr>
            <w:tcW w:w="1143" w:type="pct"/>
            <w:tcBorders>
              <w:top w:val="nil"/>
              <w:left w:val="nil"/>
              <w:bottom w:val="single" w:sz="4" w:space="0" w:color="auto"/>
              <w:right w:val="single" w:sz="4" w:space="0" w:color="auto"/>
            </w:tcBorders>
            <w:shd w:val="clear" w:color="auto" w:fill="auto"/>
            <w:noWrap/>
            <w:vAlign w:val="bottom"/>
            <w:hideMark/>
          </w:tcPr>
          <w:p w14:paraId="3E0E3A4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77.5%</w:t>
            </w:r>
          </w:p>
        </w:tc>
        <w:tc>
          <w:tcPr>
            <w:tcW w:w="813" w:type="pct"/>
            <w:tcBorders>
              <w:top w:val="nil"/>
              <w:left w:val="nil"/>
              <w:bottom w:val="single" w:sz="4" w:space="0" w:color="auto"/>
              <w:right w:val="single" w:sz="4" w:space="0" w:color="auto"/>
            </w:tcBorders>
            <w:shd w:val="clear" w:color="auto" w:fill="auto"/>
            <w:noWrap/>
            <w:vAlign w:val="bottom"/>
            <w:hideMark/>
          </w:tcPr>
          <w:p w14:paraId="42DEF037"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76.5%</w:t>
            </w:r>
          </w:p>
        </w:tc>
        <w:tc>
          <w:tcPr>
            <w:tcW w:w="889" w:type="pct"/>
            <w:tcBorders>
              <w:top w:val="nil"/>
              <w:left w:val="nil"/>
              <w:bottom w:val="single" w:sz="4" w:space="0" w:color="auto"/>
              <w:right w:val="single" w:sz="8" w:space="0" w:color="auto"/>
            </w:tcBorders>
            <w:shd w:val="clear" w:color="auto" w:fill="auto"/>
            <w:noWrap/>
            <w:vAlign w:val="bottom"/>
            <w:hideMark/>
          </w:tcPr>
          <w:p w14:paraId="7DB244D2"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74.5%</w:t>
            </w:r>
          </w:p>
        </w:tc>
      </w:tr>
      <w:tr w:rsidR="00CE1BDB" w:rsidRPr="00CB100F" w14:paraId="46B45450"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1A826F48"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Flat</w:t>
            </w:r>
          </w:p>
        </w:tc>
        <w:tc>
          <w:tcPr>
            <w:tcW w:w="1143" w:type="pct"/>
            <w:tcBorders>
              <w:top w:val="nil"/>
              <w:left w:val="nil"/>
              <w:bottom w:val="single" w:sz="4" w:space="0" w:color="auto"/>
              <w:right w:val="single" w:sz="4" w:space="0" w:color="auto"/>
            </w:tcBorders>
            <w:shd w:val="clear" w:color="auto" w:fill="auto"/>
            <w:noWrap/>
            <w:vAlign w:val="bottom"/>
            <w:hideMark/>
          </w:tcPr>
          <w:p w14:paraId="18F3EA5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14.6%</w:t>
            </w:r>
          </w:p>
        </w:tc>
        <w:tc>
          <w:tcPr>
            <w:tcW w:w="813" w:type="pct"/>
            <w:tcBorders>
              <w:top w:val="nil"/>
              <w:left w:val="nil"/>
              <w:bottom w:val="single" w:sz="4" w:space="0" w:color="auto"/>
              <w:right w:val="single" w:sz="4" w:space="0" w:color="auto"/>
            </w:tcBorders>
            <w:shd w:val="clear" w:color="auto" w:fill="auto"/>
            <w:noWrap/>
            <w:vAlign w:val="bottom"/>
            <w:hideMark/>
          </w:tcPr>
          <w:p w14:paraId="60719C2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9.4%</w:t>
            </w:r>
          </w:p>
        </w:tc>
        <w:tc>
          <w:tcPr>
            <w:tcW w:w="889" w:type="pct"/>
            <w:tcBorders>
              <w:top w:val="nil"/>
              <w:left w:val="nil"/>
              <w:bottom w:val="single" w:sz="4" w:space="0" w:color="auto"/>
              <w:right w:val="single" w:sz="8" w:space="0" w:color="auto"/>
            </w:tcBorders>
            <w:shd w:val="clear" w:color="auto" w:fill="auto"/>
            <w:noWrap/>
            <w:vAlign w:val="bottom"/>
            <w:hideMark/>
          </w:tcPr>
          <w:p w14:paraId="0180D692"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12.9%</w:t>
            </w:r>
          </w:p>
        </w:tc>
      </w:tr>
      <w:tr w:rsidR="00CE1BDB" w:rsidRPr="00CB100F" w14:paraId="1AD25DDC"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0F136087"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Bungalow/level access</w:t>
            </w:r>
          </w:p>
        </w:tc>
        <w:tc>
          <w:tcPr>
            <w:tcW w:w="1143" w:type="pct"/>
            <w:tcBorders>
              <w:top w:val="nil"/>
              <w:left w:val="nil"/>
              <w:bottom w:val="single" w:sz="4" w:space="0" w:color="auto"/>
              <w:right w:val="single" w:sz="4" w:space="0" w:color="auto"/>
            </w:tcBorders>
            <w:shd w:val="clear" w:color="auto" w:fill="auto"/>
            <w:noWrap/>
            <w:vAlign w:val="bottom"/>
            <w:hideMark/>
          </w:tcPr>
          <w:p w14:paraId="756AC35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7.3%</w:t>
            </w:r>
          </w:p>
        </w:tc>
        <w:tc>
          <w:tcPr>
            <w:tcW w:w="813" w:type="pct"/>
            <w:tcBorders>
              <w:top w:val="nil"/>
              <w:left w:val="nil"/>
              <w:bottom w:val="single" w:sz="4" w:space="0" w:color="auto"/>
              <w:right w:val="single" w:sz="4" w:space="0" w:color="auto"/>
            </w:tcBorders>
            <w:shd w:val="clear" w:color="auto" w:fill="auto"/>
            <w:noWrap/>
            <w:vAlign w:val="bottom"/>
            <w:hideMark/>
          </w:tcPr>
          <w:p w14:paraId="1BD5494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12.1%</w:t>
            </w:r>
          </w:p>
        </w:tc>
        <w:tc>
          <w:tcPr>
            <w:tcW w:w="889" w:type="pct"/>
            <w:tcBorders>
              <w:top w:val="nil"/>
              <w:left w:val="nil"/>
              <w:bottom w:val="single" w:sz="4" w:space="0" w:color="auto"/>
              <w:right w:val="single" w:sz="8" w:space="0" w:color="auto"/>
            </w:tcBorders>
            <w:shd w:val="clear" w:color="auto" w:fill="auto"/>
            <w:noWrap/>
            <w:vAlign w:val="bottom"/>
            <w:hideMark/>
          </w:tcPr>
          <w:p w14:paraId="606842A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10.8%</w:t>
            </w:r>
          </w:p>
        </w:tc>
      </w:tr>
      <w:tr w:rsidR="00CE1BDB" w:rsidRPr="00CB100F" w14:paraId="18B6DE59"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13677C31"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 xml:space="preserve">Other </w:t>
            </w:r>
          </w:p>
        </w:tc>
        <w:tc>
          <w:tcPr>
            <w:tcW w:w="1143" w:type="pct"/>
            <w:tcBorders>
              <w:top w:val="nil"/>
              <w:left w:val="nil"/>
              <w:bottom w:val="single" w:sz="4" w:space="0" w:color="auto"/>
              <w:right w:val="single" w:sz="4" w:space="0" w:color="auto"/>
            </w:tcBorders>
            <w:shd w:val="clear" w:color="auto" w:fill="auto"/>
            <w:noWrap/>
            <w:vAlign w:val="bottom"/>
            <w:hideMark/>
          </w:tcPr>
          <w:p w14:paraId="0414314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0.7%</w:t>
            </w:r>
          </w:p>
        </w:tc>
        <w:tc>
          <w:tcPr>
            <w:tcW w:w="813" w:type="pct"/>
            <w:tcBorders>
              <w:top w:val="nil"/>
              <w:left w:val="nil"/>
              <w:bottom w:val="single" w:sz="4" w:space="0" w:color="auto"/>
              <w:right w:val="single" w:sz="4" w:space="0" w:color="auto"/>
            </w:tcBorders>
            <w:shd w:val="clear" w:color="auto" w:fill="auto"/>
            <w:noWrap/>
            <w:vAlign w:val="bottom"/>
            <w:hideMark/>
          </w:tcPr>
          <w:p w14:paraId="15B34397"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2.1%</w:t>
            </w:r>
          </w:p>
        </w:tc>
        <w:tc>
          <w:tcPr>
            <w:tcW w:w="889" w:type="pct"/>
            <w:tcBorders>
              <w:top w:val="nil"/>
              <w:left w:val="nil"/>
              <w:bottom w:val="single" w:sz="4" w:space="0" w:color="auto"/>
              <w:right w:val="single" w:sz="8" w:space="0" w:color="auto"/>
            </w:tcBorders>
            <w:shd w:val="clear" w:color="auto" w:fill="auto"/>
            <w:noWrap/>
            <w:vAlign w:val="bottom"/>
            <w:hideMark/>
          </w:tcPr>
          <w:p w14:paraId="1934C6AF"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1.8%</w:t>
            </w:r>
          </w:p>
        </w:tc>
      </w:tr>
      <w:tr w:rsidR="00CE1BDB" w:rsidRPr="00CB100F" w14:paraId="28EBCBED"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3A7CCDB4" w14:textId="77777777" w:rsidR="00CE1BDB" w:rsidRPr="00CB100F" w:rsidRDefault="00CE1BDB" w:rsidP="00CB100F">
            <w:pPr>
              <w:spacing w:before="20" w:after="20"/>
              <w:rPr>
                <w:rFonts w:cs="Arial"/>
                <w:color w:val="000000"/>
                <w:sz w:val="22"/>
                <w:szCs w:val="22"/>
              </w:rPr>
            </w:pPr>
            <w:r w:rsidRPr="00CB100F">
              <w:rPr>
                <w:rFonts w:cs="Arial"/>
                <w:color w:val="000000"/>
                <w:sz w:val="22"/>
                <w:szCs w:val="22"/>
              </w:rPr>
              <w:t>Total</w:t>
            </w:r>
          </w:p>
        </w:tc>
        <w:tc>
          <w:tcPr>
            <w:tcW w:w="1143" w:type="pct"/>
            <w:tcBorders>
              <w:top w:val="nil"/>
              <w:left w:val="nil"/>
              <w:bottom w:val="single" w:sz="4" w:space="0" w:color="auto"/>
              <w:right w:val="single" w:sz="4" w:space="0" w:color="auto"/>
            </w:tcBorders>
            <w:shd w:val="clear" w:color="auto" w:fill="auto"/>
            <w:noWrap/>
            <w:vAlign w:val="bottom"/>
            <w:hideMark/>
          </w:tcPr>
          <w:p w14:paraId="60EC564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813" w:type="pct"/>
            <w:tcBorders>
              <w:top w:val="nil"/>
              <w:left w:val="nil"/>
              <w:bottom w:val="single" w:sz="4" w:space="0" w:color="auto"/>
              <w:right w:val="single" w:sz="4" w:space="0" w:color="auto"/>
            </w:tcBorders>
            <w:shd w:val="clear" w:color="auto" w:fill="auto"/>
            <w:noWrap/>
            <w:vAlign w:val="bottom"/>
            <w:hideMark/>
          </w:tcPr>
          <w:p w14:paraId="65B673C6"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889" w:type="pct"/>
            <w:tcBorders>
              <w:top w:val="nil"/>
              <w:left w:val="nil"/>
              <w:bottom w:val="single" w:sz="4" w:space="0" w:color="auto"/>
              <w:right w:val="single" w:sz="8" w:space="0" w:color="auto"/>
            </w:tcBorders>
            <w:shd w:val="clear" w:color="auto" w:fill="auto"/>
            <w:noWrap/>
            <w:vAlign w:val="bottom"/>
            <w:hideMark/>
          </w:tcPr>
          <w:p w14:paraId="2384638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r>
      <w:tr w:rsidR="00FA4DC7" w:rsidRPr="00CB100F" w14:paraId="291BC671" w14:textId="77777777" w:rsidTr="00CB100F">
        <w:tc>
          <w:tcPr>
            <w:tcW w:w="2155" w:type="pct"/>
            <w:tcBorders>
              <w:top w:val="nil"/>
              <w:left w:val="single" w:sz="8" w:space="0" w:color="auto"/>
              <w:bottom w:val="single" w:sz="4" w:space="0" w:color="auto"/>
              <w:right w:val="single" w:sz="4" w:space="0" w:color="auto"/>
            </w:tcBorders>
            <w:shd w:val="clear" w:color="auto" w:fill="006666"/>
            <w:noWrap/>
            <w:vAlign w:val="center"/>
            <w:hideMark/>
          </w:tcPr>
          <w:p w14:paraId="78FB034F" w14:textId="77777777" w:rsidR="00CE1BDB" w:rsidRPr="00CB100F" w:rsidRDefault="00CE1BDB" w:rsidP="00CB100F">
            <w:pPr>
              <w:spacing w:before="20" w:after="20"/>
              <w:rPr>
                <w:rFonts w:cs="Arial"/>
                <w:b/>
                <w:bCs/>
                <w:color w:val="FFFFFF"/>
                <w:sz w:val="22"/>
                <w:szCs w:val="22"/>
              </w:rPr>
            </w:pPr>
            <w:r w:rsidRPr="00CB100F">
              <w:rPr>
                <w:rFonts w:cs="Arial"/>
                <w:b/>
                <w:bCs/>
                <w:color w:val="FFFFFF"/>
                <w:sz w:val="22"/>
                <w:szCs w:val="22"/>
              </w:rPr>
              <w:t>Number of bedrooms</w:t>
            </w:r>
          </w:p>
        </w:tc>
        <w:tc>
          <w:tcPr>
            <w:tcW w:w="1143" w:type="pct"/>
            <w:tcBorders>
              <w:top w:val="nil"/>
              <w:left w:val="nil"/>
              <w:bottom w:val="single" w:sz="4" w:space="0" w:color="auto"/>
              <w:right w:val="single" w:sz="4" w:space="0" w:color="auto"/>
            </w:tcBorders>
            <w:shd w:val="clear" w:color="auto" w:fill="006666"/>
            <w:vAlign w:val="bottom"/>
            <w:hideMark/>
          </w:tcPr>
          <w:p w14:paraId="50BAE117"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Blended scenario (Demographic and under 35)</w:t>
            </w:r>
          </w:p>
        </w:tc>
        <w:tc>
          <w:tcPr>
            <w:tcW w:w="813" w:type="pct"/>
            <w:tcBorders>
              <w:top w:val="nil"/>
              <w:left w:val="nil"/>
              <w:bottom w:val="single" w:sz="4" w:space="0" w:color="auto"/>
              <w:right w:val="single" w:sz="4" w:space="0" w:color="auto"/>
            </w:tcBorders>
            <w:shd w:val="clear" w:color="auto" w:fill="006666"/>
            <w:vAlign w:val="bottom"/>
            <w:hideMark/>
          </w:tcPr>
          <w:p w14:paraId="2C59FEB5"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Aspirations</w:t>
            </w:r>
          </w:p>
        </w:tc>
        <w:tc>
          <w:tcPr>
            <w:tcW w:w="889" w:type="pct"/>
            <w:tcBorders>
              <w:top w:val="nil"/>
              <w:left w:val="nil"/>
              <w:bottom w:val="single" w:sz="4" w:space="0" w:color="auto"/>
              <w:right w:val="single" w:sz="8" w:space="0" w:color="auto"/>
            </w:tcBorders>
            <w:shd w:val="clear" w:color="auto" w:fill="006666"/>
            <w:vAlign w:val="bottom"/>
            <w:hideMark/>
          </w:tcPr>
          <w:p w14:paraId="138D26F2" w14:textId="77777777" w:rsidR="00CE1BDB" w:rsidRPr="00CB100F" w:rsidRDefault="00CE1BDB" w:rsidP="00CB100F">
            <w:pPr>
              <w:spacing w:before="20" w:after="20"/>
              <w:jc w:val="center"/>
              <w:rPr>
                <w:rFonts w:cs="Arial"/>
                <w:b/>
                <w:bCs/>
                <w:color w:val="FFFFFF"/>
                <w:sz w:val="22"/>
                <w:szCs w:val="22"/>
              </w:rPr>
            </w:pPr>
            <w:r w:rsidRPr="00CB100F">
              <w:rPr>
                <w:rFonts w:cs="Arial"/>
                <w:b/>
                <w:bCs/>
                <w:color w:val="FFFFFF"/>
                <w:sz w:val="22"/>
                <w:szCs w:val="22"/>
              </w:rPr>
              <w:t>Expectations</w:t>
            </w:r>
          </w:p>
        </w:tc>
      </w:tr>
      <w:tr w:rsidR="00CE1BDB" w:rsidRPr="00CB100F" w14:paraId="5496CB46"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29989D31"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1</w:t>
            </w:r>
          </w:p>
        </w:tc>
        <w:tc>
          <w:tcPr>
            <w:tcW w:w="1143" w:type="pct"/>
            <w:tcBorders>
              <w:top w:val="nil"/>
              <w:left w:val="nil"/>
              <w:bottom w:val="single" w:sz="4" w:space="0" w:color="auto"/>
              <w:right w:val="single" w:sz="4" w:space="0" w:color="auto"/>
            </w:tcBorders>
            <w:shd w:val="clear" w:color="auto" w:fill="auto"/>
            <w:noWrap/>
            <w:vAlign w:val="bottom"/>
            <w:hideMark/>
          </w:tcPr>
          <w:p w14:paraId="5ED326DB"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8.3%</w:t>
            </w:r>
          </w:p>
        </w:tc>
        <w:tc>
          <w:tcPr>
            <w:tcW w:w="813" w:type="pct"/>
            <w:tcBorders>
              <w:top w:val="nil"/>
              <w:left w:val="nil"/>
              <w:bottom w:val="single" w:sz="4" w:space="0" w:color="auto"/>
              <w:right w:val="single" w:sz="4" w:space="0" w:color="auto"/>
            </w:tcBorders>
            <w:shd w:val="clear" w:color="auto" w:fill="auto"/>
            <w:noWrap/>
            <w:vAlign w:val="bottom"/>
            <w:hideMark/>
          </w:tcPr>
          <w:p w14:paraId="65869964"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4.5%</w:t>
            </w:r>
          </w:p>
        </w:tc>
        <w:tc>
          <w:tcPr>
            <w:tcW w:w="889" w:type="pct"/>
            <w:tcBorders>
              <w:top w:val="nil"/>
              <w:left w:val="nil"/>
              <w:bottom w:val="single" w:sz="4" w:space="0" w:color="auto"/>
              <w:right w:val="single" w:sz="8" w:space="0" w:color="auto"/>
            </w:tcBorders>
            <w:shd w:val="clear" w:color="auto" w:fill="auto"/>
            <w:noWrap/>
            <w:vAlign w:val="bottom"/>
            <w:hideMark/>
          </w:tcPr>
          <w:p w14:paraId="77B77880"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6.5%</w:t>
            </w:r>
          </w:p>
        </w:tc>
      </w:tr>
      <w:tr w:rsidR="00CE1BDB" w:rsidRPr="00CB100F" w14:paraId="69940AF0"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3801112D"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2</w:t>
            </w:r>
          </w:p>
        </w:tc>
        <w:tc>
          <w:tcPr>
            <w:tcW w:w="1143" w:type="pct"/>
            <w:tcBorders>
              <w:top w:val="nil"/>
              <w:left w:val="nil"/>
              <w:bottom w:val="single" w:sz="4" w:space="0" w:color="auto"/>
              <w:right w:val="single" w:sz="4" w:space="0" w:color="auto"/>
            </w:tcBorders>
            <w:shd w:val="clear" w:color="auto" w:fill="auto"/>
            <w:noWrap/>
            <w:vAlign w:val="bottom"/>
            <w:hideMark/>
          </w:tcPr>
          <w:p w14:paraId="1BFCAF8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31.8%</w:t>
            </w:r>
          </w:p>
        </w:tc>
        <w:tc>
          <w:tcPr>
            <w:tcW w:w="813" w:type="pct"/>
            <w:tcBorders>
              <w:top w:val="nil"/>
              <w:left w:val="nil"/>
              <w:bottom w:val="single" w:sz="4" w:space="0" w:color="auto"/>
              <w:right w:val="single" w:sz="4" w:space="0" w:color="auto"/>
            </w:tcBorders>
            <w:shd w:val="clear" w:color="auto" w:fill="auto"/>
            <w:noWrap/>
            <w:vAlign w:val="bottom"/>
            <w:hideMark/>
          </w:tcPr>
          <w:p w14:paraId="47E6D97C"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22.9%</w:t>
            </w:r>
          </w:p>
        </w:tc>
        <w:tc>
          <w:tcPr>
            <w:tcW w:w="889" w:type="pct"/>
            <w:tcBorders>
              <w:top w:val="nil"/>
              <w:left w:val="nil"/>
              <w:bottom w:val="single" w:sz="4" w:space="0" w:color="auto"/>
              <w:right w:val="single" w:sz="8" w:space="0" w:color="auto"/>
            </w:tcBorders>
            <w:shd w:val="clear" w:color="auto" w:fill="auto"/>
            <w:noWrap/>
            <w:vAlign w:val="bottom"/>
            <w:hideMark/>
          </w:tcPr>
          <w:p w14:paraId="7E32452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28.3%</w:t>
            </w:r>
          </w:p>
        </w:tc>
      </w:tr>
      <w:tr w:rsidR="00CE1BDB" w:rsidRPr="00CB100F" w14:paraId="0E618758"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6F747951"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3</w:t>
            </w:r>
          </w:p>
        </w:tc>
        <w:tc>
          <w:tcPr>
            <w:tcW w:w="1143" w:type="pct"/>
            <w:tcBorders>
              <w:top w:val="nil"/>
              <w:left w:val="nil"/>
              <w:bottom w:val="single" w:sz="4" w:space="0" w:color="auto"/>
              <w:right w:val="single" w:sz="4" w:space="0" w:color="auto"/>
            </w:tcBorders>
            <w:shd w:val="clear" w:color="auto" w:fill="auto"/>
            <w:noWrap/>
            <w:vAlign w:val="bottom"/>
            <w:hideMark/>
          </w:tcPr>
          <w:p w14:paraId="625F1A5A"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43.2%</w:t>
            </w:r>
          </w:p>
        </w:tc>
        <w:tc>
          <w:tcPr>
            <w:tcW w:w="813" w:type="pct"/>
            <w:tcBorders>
              <w:top w:val="nil"/>
              <w:left w:val="nil"/>
              <w:bottom w:val="single" w:sz="4" w:space="0" w:color="auto"/>
              <w:right w:val="single" w:sz="4" w:space="0" w:color="auto"/>
            </w:tcBorders>
            <w:shd w:val="clear" w:color="auto" w:fill="auto"/>
            <w:noWrap/>
            <w:vAlign w:val="bottom"/>
            <w:hideMark/>
          </w:tcPr>
          <w:p w14:paraId="7582C75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40.5%</w:t>
            </w:r>
          </w:p>
        </w:tc>
        <w:tc>
          <w:tcPr>
            <w:tcW w:w="889" w:type="pct"/>
            <w:tcBorders>
              <w:top w:val="nil"/>
              <w:left w:val="nil"/>
              <w:bottom w:val="single" w:sz="4" w:space="0" w:color="auto"/>
              <w:right w:val="single" w:sz="8" w:space="0" w:color="auto"/>
            </w:tcBorders>
            <w:shd w:val="clear" w:color="auto" w:fill="auto"/>
            <w:noWrap/>
            <w:vAlign w:val="bottom"/>
            <w:hideMark/>
          </w:tcPr>
          <w:p w14:paraId="3526038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42.2%</w:t>
            </w:r>
          </w:p>
        </w:tc>
      </w:tr>
      <w:tr w:rsidR="00CE1BDB" w:rsidRPr="00CB100F" w14:paraId="6EDE9EAF" w14:textId="77777777" w:rsidTr="00CB100F">
        <w:tc>
          <w:tcPr>
            <w:tcW w:w="2155" w:type="pct"/>
            <w:tcBorders>
              <w:top w:val="nil"/>
              <w:left w:val="single" w:sz="8" w:space="0" w:color="auto"/>
              <w:bottom w:val="single" w:sz="4" w:space="0" w:color="auto"/>
              <w:right w:val="single" w:sz="4" w:space="0" w:color="auto"/>
            </w:tcBorders>
            <w:shd w:val="clear" w:color="auto" w:fill="auto"/>
            <w:noWrap/>
            <w:vAlign w:val="center"/>
            <w:hideMark/>
          </w:tcPr>
          <w:p w14:paraId="4E91EAC6"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4</w:t>
            </w:r>
          </w:p>
        </w:tc>
        <w:tc>
          <w:tcPr>
            <w:tcW w:w="1143" w:type="pct"/>
            <w:tcBorders>
              <w:top w:val="nil"/>
              <w:left w:val="nil"/>
              <w:bottom w:val="single" w:sz="4" w:space="0" w:color="auto"/>
              <w:right w:val="single" w:sz="4" w:space="0" w:color="auto"/>
            </w:tcBorders>
            <w:shd w:val="clear" w:color="auto" w:fill="auto"/>
            <w:noWrap/>
            <w:vAlign w:val="bottom"/>
            <w:hideMark/>
          </w:tcPr>
          <w:p w14:paraId="4EE8836C"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16.7%</w:t>
            </w:r>
          </w:p>
        </w:tc>
        <w:tc>
          <w:tcPr>
            <w:tcW w:w="813" w:type="pct"/>
            <w:tcBorders>
              <w:top w:val="nil"/>
              <w:left w:val="nil"/>
              <w:bottom w:val="single" w:sz="4" w:space="0" w:color="auto"/>
              <w:right w:val="single" w:sz="4" w:space="0" w:color="auto"/>
            </w:tcBorders>
            <w:shd w:val="clear" w:color="auto" w:fill="auto"/>
            <w:noWrap/>
            <w:vAlign w:val="bottom"/>
            <w:hideMark/>
          </w:tcPr>
          <w:p w14:paraId="4906A9BD"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32.0%</w:t>
            </w:r>
          </w:p>
        </w:tc>
        <w:tc>
          <w:tcPr>
            <w:tcW w:w="889" w:type="pct"/>
            <w:tcBorders>
              <w:top w:val="nil"/>
              <w:left w:val="nil"/>
              <w:bottom w:val="single" w:sz="4" w:space="0" w:color="auto"/>
              <w:right w:val="single" w:sz="8" w:space="0" w:color="auto"/>
            </w:tcBorders>
            <w:shd w:val="clear" w:color="auto" w:fill="auto"/>
            <w:noWrap/>
            <w:vAlign w:val="bottom"/>
            <w:hideMark/>
          </w:tcPr>
          <w:p w14:paraId="1FAA99E5"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23.0%</w:t>
            </w:r>
          </w:p>
        </w:tc>
      </w:tr>
      <w:tr w:rsidR="00CE1BDB" w:rsidRPr="00CB100F" w14:paraId="3BDA0924" w14:textId="77777777" w:rsidTr="00CB100F">
        <w:tc>
          <w:tcPr>
            <w:tcW w:w="2155" w:type="pct"/>
            <w:tcBorders>
              <w:top w:val="nil"/>
              <w:left w:val="single" w:sz="8" w:space="0" w:color="auto"/>
              <w:bottom w:val="single" w:sz="8" w:space="0" w:color="auto"/>
              <w:right w:val="single" w:sz="4" w:space="0" w:color="auto"/>
            </w:tcBorders>
            <w:shd w:val="clear" w:color="auto" w:fill="auto"/>
            <w:noWrap/>
            <w:vAlign w:val="center"/>
            <w:hideMark/>
          </w:tcPr>
          <w:p w14:paraId="6D7A9E20" w14:textId="77777777" w:rsidR="00CE1BDB" w:rsidRPr="00CB100F" w:rsidRDefault="00CE1BDB" w:rsidP="00CB100F">
            <w:pPr>
              <w:spacing w:before="20" w:after="20"/>
              <w:jc w:val="center"/>
              <w:rPr>
                <w:rFonts w:cs="Arial"/>
                <w:color w:val="000000"/>
                <w:sz w:val="22"/>
                <w:szCs w:val="22"/>
              </w:rPr>
            </w:pPr>
            <w:r w:rsidRPr="00CB100F">
              <w:rPr>
                <w:rFonts w:cs="Arial"/>
                <w:color w:val="000000"/>
                <w:sz w:val="22"/>
                <w:szCs w:val="22"/>
              </w:rPr>
              <w:t>Total</w:t>
            </w:r>
          </w:p>
        </w:tc>
        <w:tc>
          <w:tcPr>
            <w:tcW w:w="1143" w:type="pct"/>
            <w:tcBorders>
              <w:top w:val="nil"/>
              <w:left w:val="nil"/>
              <w:bottom w:val="single" w:sz="8" w:space="0" w:color="auto"/>
              <w:right w:val="single" w:sz="4" w:space="0" w:color="auto"/>
            </w:tcBorders>
            <w:shd w:val="clear" w:color="auto" w:fill="auto"/>
            <w:noWrap/>
            <w:vAlign w:val="bottom"/>
            <w:hideMark/>
          </w:tcPr>
          <w:p w14:paraId="141129E3"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813" w:type="pct"/>
            <w:tcBorders>
              <w:top w:val="nil"/>
              <w:left w:val="nil"/>
              <w:bottom w:val="single" w:sz="8" w:space="0" w:color="auto"/>
              <w:right w:val="single" w:sz="4" w:space="0" w:color="auto"/>
            </w:tcBorders>
            <w:shd w:val="clear" w:color="auto" w:fill="auto"/>
            <w:noWrap/>
            <w:vAlign w:val="bottom"/>
            <w:hideMark/>
          </w:tcPr>
          <w:p w14:paraId="7180B178"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c>
          <w:tcPr>
            <w:tcW w:w="889" w:type="pct"/>
            <w:tcBorders>
              <w:top w:val="nil"/>
              <w:left w:val="nil"/>
              <w:bottom w:val="single" w:sz="8" w:space="0" w:color="auto"/>
              <w:right w:val="single" w:sz="8" w:space="0" w:color="auto"/>
            </w:tcBorders>
            <w:shd w:val="clear" w:color="auto" w:fill="auto"/>
            <w:noWrap/>
            <w:vAlign w:val="bottom"/>
            <w:hideMark/>
          </w:tcPr>
          <w:p w14:paraId="712537C9" w14:textId="77777777" w:rsidR="00CE1BDB" w:rsidRPr="00CB100F" w:rsidRDefault="00CE1BDB" w:rsidP="00CB100F">
            <w:pPr>
              <w:spacing w:before="20" w:after="20"/>
              <w:jc w:val="right"/>
              <w:rPr>
                <w:rFonts w:cs="Arial"/>
                <w:color w:val="000000"/>
                <w:sz w:val="22"/>
                <w:szCs w:val="22"/>
              </w:rPr>
            </w:pPr>
            <w:r w:rsidRPr="00CB100F">
              <w:rPr>
                <w:rFonts w:cs="Arial"/>
                <w:color w:val="000000"/>
                <w:sz w:val="22"/>
                <w:szCs w:val="22"/>
              </w:rPr>
              <w:t>100.0%</w:t>
            </w:r>
          </w:p>
        </w:tc>
      </w:tr>
    </w:tbl>
    <w:p w14:paraId="369D6BF1" w14:textId="77777777" w:rsidR="00CE1BDB" w:rsidRPr="00FA4DC7" w:rsidRDefault="00CE1BDB" w:rsidP="00CE1BDB">
      <w:pPr>
        <w:pStyle w:val="Reporttext"/>
        <w:numPr>
          <w:ilvl w:val="0"/>
          <w:numId w:val="0"/>
        </w:numPr>
        <w:tabs>
          <w:tab w:val="left" w:pos="0"/>
          <w:tab w:val="left" w:pos="709"/>
          <w:tab w:val="left" w:pos="1418"/>
        </w:tabs>
        <w:rPr>
          <w:rFonts w:cs="Arial"/>
          <w:highlight w:val="yellow"/>
        </w:rPr>
      </w:pPr>
    </w:p>
    <w:p w14:paraId="5042C96D"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Figure D2 summarises the dwelling profiles under the scenarios considered and compares this with current dwelling stock. Under the baseline demographic scenario and under 35 </w:t>
      </w:r>
      <w:proofErr w:type="gramStart"/>
      <w:r w:rsidRPr="00FA4DC7">
        <w:rPr>
          <w:rFonts w:ascii="Arial" w:hAnsi="Arial" w:cs="Arial"/>
        </w:rPr>
        <w:t>scenario</w:t>
      </w:r>
      <w:proofErr w:type="gramEnd"/>
      <w:r w:rsidRPr="00FA4DC7">
        <w:rPr>
          <w:rFonts w:ascii="Arial" w:hAnsi="Arial" w:cs="Arial"/>
        </w:rPr>
        <w:t xml:space="preserve">, the majority of newbuild should be houses (particularly 3-bedroom) and some flats and bungalows/level-access accommodation. Under the aspirations and expectations scenarios, there is a slight shift towards flats and bungalows/level-access. </w:t>
      </w:r>
    </w:p>
    <w:p w14:paraId="48D35879" w14:textId="77777777" w:rsidR="00CE1BDB" w:rsidRPr="00FA4DC7" w:rsidRDefault="00CE1BDB" w:rsidP="00397A58">
      <w:pPr>
        <w:pStyle w:val="Reporttext"/>
        <w:numPr>
          <w:ilvl w:val="0"/>
          <w:numId w:val="0"/>
        </w:numPr>
        <w:tabs>
          <w:tab w:val="left" w:pos="0"/>
          <w:tab w:val="left" w:pos="709"/>
          <w:tab w:val="left" w:pos="1418"/>
        </w:tabs>
        <w:rPr>
          <w:rFonts w:cs="Arial"/>
          <w:highlight w:val="yellow"/>
        </w:rPr>
        <w:sectPr w:rsidR="00CE1BDB" w:rsidRPr="00FA4DC7" w:rsidSect="00EF49A7">
          <w:pgSz w:w="11906" w:h="16838"/>
          <w:pgMar w:top="1276" w:right="1276" w:bottom="567" w:left="1440" w:header="708" w:footer="715" w:gutter="0"/>
          <w:cols w:space="708"/>
          <w:docGrid w:linePitch="360"/>
        </w:sectPr>
      </w:pPr>
    </w:p>
    <w:p w14:paraId="6EF60780" w14:textId="77777777" w:rsidR="00CE1BDB" w:rsidRPr="00FA4DC7" w:rsidRDefault="00CE1BDB" w:rsidP="00CE1BDB">
      <w:pPr>
        <w:pStyle w:val="Figureheading0"/>
        <w:tabs>
          <w:tab w:val="left" w:pos="0"/>
          <w:tab w:val="left" w:pos="709"/>
          <w:tab w:val="left" w:pos="1418"/>
        </w:tabs>
      </w:pPr>
      <w:bookmarkStart w:id="636" w:name="_Toc19198712"/>
      <w:bookmarkStart w:id="637" w:name="_Toc29556109"/>
      <w:bookmarkStart w:id="638" w:name="_Toc56502939"/>
      <w:bookmarkStart w:id="639" w:name="_Toc59204739"/>
      <w:bookmarkStart w:id="640" w:name="_Toc83036151"/>
      <w:r w:rsidRPr="00FA4DC7">
        <w:lastRenderedPageBreak/>
        <w:t>Figure D2</w:t>
      </w:r>
      <w:r w:rsidRPr="00FA4DC7">
        <w:tab/>
        <w:t xml:space="preserve">Summary of dwelling types in current stock and under baseline demographic and under 35 scenario, </w:t>
      </w:r>
      <w:proofErr w:type="gramStart"/>
      <w:r w:rsidRPr="00FA4DC7">
        <w:t>aspiration</w:t>
      </w:r>
      <w:proofErr w:type="gramEnd"/>
      <w:r w:rsidRPr="00FA4DC7">
        <w:t xml:space="preserve"> and expectation scenarios</w:t>
      </w:r>
      <w:bookmarkEnd w:id="636"/>
      <w:bookmarkEnd w:id="637"/>
      <w:bookmarkEnd w:id="638"/>
      <w:bookmarkEnd w:id="639"/>
      <w:bookmarkEnd w:id="640"/>
    </w:p>
    <w:p w14:paraId="6F8AA8C4" w14:textId="58D98102" w:rsidR="00CE1BDB" w:rsidRPr="00FA4DC7" w:rsidRDefault="00397A58" w:rsidP="00CE1BDB">
      <w:pPr>
        <w:pStyle w:val="Reporttext"/>
        <w:numPr>
          <w:ilvl w:val="0"/>
          <w:numId w:val="0"/>
        </w:numPr>
        <w:tabs>
          <w:tab w:val="left" w:pos="0"/>
          <w:tab w:val="left" w:pos="709"/>
          <w:tab w:val="left" w:pos="1418"/>
        </w:tabs>
        <w:rPr>
          <w:rFonts w:cs="Arial"/>
          <w:highlight w:val="yellow"/>
        </w:rPr>
      </w:pPr>
      <w:r>
        <w:rPr>
          <w:noProof/>
        </w:rPr>
        <w:drawing>
          <wp:inline distT="0" distB="0" distL="0" distR="0" wp14:anchorId="2B3718C6" wp14:editId="261680F6">
            <wp:extent cx="9028260" cy="4124325"/>
            <wp:effectExtent l="0" t="0" r="1905" b="0"/>
            <wp:docPr id="11" name="Picture 11" descr="Chart showing Summary of dwelling types in current stock and under baseline demographic and under 35 scenario, aspiration and expectation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Summary of dwelling types in current stock and under baseline demographic and under 35 scenario, aspiration and expectation scenarios"/>
                    <pic:cNvPicPr/>
                  </pic:nvPicPr>
                  <pic:blipFill>
                    <a:blip r:embed="rId69"/>
                    <a:stretch>
                      <a:fillRect/>
                    </a:stretch>
                  </pic:blipFill>
                  <pic:spPr>
                    <a:xfrm>
                      <a:off x="0" y="0"/>
                      <a:ext cx="9062009" cy="4139742"/>
                    </a:xfrm>
                    <a:prstGeom prst="rect">
                      <a:avLst/>
                    </a:prstGeom>
                  </pic:spPr>
                </pic:pic>
              </a:graphicData>
            </a:graphic>
          </wp:inline>
        </w:drawing>
      </w:r>
    </w:p>
    <w:p w14:paraId="35795D5E" w14:textId="77777777" w:rsidR="00CE1BDB" w:rsidRPr="00CB100F" w:rsidRDefault="00CE1BDB" w:rsidP="00CE1BDB">
      <w:pPr>
        <w:tabs>
          <w:tab w:val="left" w:pos="0"/>
          <w:tab w:val="left" w:pos="709"/>
          <w:tab w:val="left" w:pos="1418"/>
        </w:tabs>
        <w:rPr>
          <w:rFonts w:cs="Arial"/>
          <w:sz w:val="22"/>
          <w:szCs w:val="28"/>
        </w:rPr>
      </w:pPr>
      <w:r w:rsidRPr="00CB100F">
        <w:rPr>
          <w:rFonts w:cs="Arial"/>
          <w:sz w:val="22"/>
          <w:szCs w:val="28"/>
        </w:rPr>
        <w:t xml:space="preserve">Source: arc4 national database and 2018-based household projections </w:t>
      </w:r>
    </w:p>
    <w:p w14:paraId="0BFFA3DC" w14:textId="77777777" w:rsidR="00CE1BDB" w:rsidRPr="00CB100F" w:rsidRDefault="00CE1BDB" w:rsidP="00CE1BDB">
      <w:pPr>
        <w:tabs>
          <w:tab w:val="left" w:pos="0"/>
          <w:tab w:val="left" w:pos="709"/>
          <w:tab w:val="left" w:pos="1418"/>
        </w:tabs>
        <w:ind w:firstLine="709"/>
        <w:rPr>
          <w:rFonts w:cs="Arial"/>
          <w:sz w:val="22"/>
          <w:szCs w:val="28"/>
          <w:highlight w:val="yellow"/>
        </w:rPr>
        <w:sectPr w:rsidR="00CE1BDB" w:rsidRPr="00CB100F" w:rsidSect="00EF49A7">
          <w:pgSz w:w="16838" w:h="11906" w:orient="landscape"/>
          <w:pgMar w:top="1276" w:right="1134" w:bottom="1440" w:left="1440" w:header="708" w:footer="708" w:gutter="0"/>
          <w:cols w:space="708"/>
          <w:docGrid w:linePitch="360"/>
        </w:sectPr>
      </w:pPr>
    </w:p>
    <w:p w14:paraId="693DF80D" w14:textId="77777777" w:rsidR="00CE1BDB" w:rsidRPr="00FA4DC7" w:rsidRDefault="00CE1BDB" w:rsidP="00CE1BDB">
      <w:pPr>
        <w:pStyle w:val="Heading2"/>
        <w:tabs>
          <w:tab w:val="left" w:pos="0"/>
          <w:tab w:val="left" w:pos="709"/>
          <w:tab w:val="left" w:pos="1418"/>
        </w:tabs>
        <w:rPr>
          <w:rFonts w:cs="Arial"/>
        </w:rPr>
      </w:pPr>
      <w:bookmarkStart w:id="641" w:name="_Toc19198560"/>
      <w:bookmarkStart w:id="642" w:name="_Toc55856222"/>
      <w:bookmarkStart w:id="643" w:name="_Toc56426645"/>
      <w:bookmarkStart w:id="644" w:name="_Toc56502871"/>
      <w:bookmarkStart w:id="645" w:name="_Toc59204549"/>
      <w:bookmarkStart w:id="646" w:name="_Toc70614020"/>
      <w:bookmarkStart w:id="647" w:name="_Toc83035707"/>
      <w:r w:rsidRPr="00FA4DC7">
        <w:rPr>
          <w:rFonts w:cs="Arial"/>
        </w:rPr>
        <w:lastRenderedPageBreak/>
        <w:t>Overall dwelling mix by tenure</w:t>
      </w:r>
      <w:bookmarkEnd w:id="641"/>
      <w:bookmarkEnd w:id="642"/>
      <w:bookmarkEnd w:id="643"/>
      <w:bookmarkEnd w:id="644"/>
      <w:bookmarkEnd w:id="645"/>
      <w:bookmarkEnd w:id="646"/>
      <w:bookmarkEnd w:id="647"/>
    </w:p>
    <w:p w14:paraId="0961EF5B"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Table </w:t>
      </w:r>
      <w:r w:rsidRPr="00FA4DC7">
        <w:rPr>
          <w:rFonts w:ascii="Arial" w:hAnsi="Arial" w:cs="Arial"/>
          <w:lang w:val="en-US"/>
        </w:rPr>
        <w:t xml:space="preserve">D6 </w:t>
      </w:r>
      <w:r w:rsidRPr="00FA4DC7">
        <w:rPr>
          <w:rFonts w:ascii="Arial" w:hAnsi="Arial" w:cs="Arial"/>
        </w:rPr>
        <w:t>summarise</w:t>
      </w:r>
      <w:r w:rsidRPr="00FA4DC7">
        <w:rPr>
          <w:rFonts w:ascii="Arial" w:hAnsi="Arial" w:cs="Arial"/>
          <w:lang w:val="en-US"/>
        </w:rPr>
        <w:t>s</w:t>
      </w:r>
      <w:r w:rsidRPr="00FA4DC7">
        <w:rPr>
          <w:rFonts w:ascii="Arial" w:hAnsi="Arial" w:cs="Arial"/>
        </w:rPr>
        <w:t xml:space="preserve"> dwelling type/size mix</w:t>
      </w:r>
      <w:r w:rsidRPr="00FA4DC7">
        <w:rPr>
          <w:rFonts w:ascii="Arial" w:hAnsi="Arial" w:cs="Arial"/>
          <w:lang w:val="en-US"/>
        </w:rPr>
        <w:t xml:space="preserve"> based on the demographic scenario. </w:t>
      </w:r>
      <w:r w:rsidRPr="00FA4DC7">
        <w:rPr>
          <w:rFonts w:ascii="Arial" w:hAnsi="Arial" w:cs="Arial"/>
        </w:rPr>
        <w:t>This analysis assumes an annual target of 1,586</w:t>
      </w:r>
      <w:r w:rsidRPr="00FA4DC7">
        <w:rPr>
          <w:rFonts w:ascii="Arial" w:hAnsi="Arial" w:cs="Arial"/>
          <w:lang w:val="en-US"/>
        </w:rPr>
        <w:t xml:space="preserve"> dwellings based over the period 2021-2037, a minimum 25% affordable housing target and an affordable tenure split </w:t>
      </w:r>
      <w:r w:rsidRPr="00FA4DC7">
        <w:rPr>
          <w:rFonts w:ascii="Arial" w:hAnsi="Arial" w:cs="Arial"/>
        </w:rPr>
        <w:t xml:space="preserve">of around 51% rented and 49% affordable home ownership. The analysis factors in the dwelling type/size analysis carried out as part of the affordable housing needs calculation and also the dwelling type/size choices of households considering affordable home ownership solutions based on the range of dwellings currently available. </w:t>
      </w:r>
    </w:p>
    <w:p w14:paraId="0D28275D" w14:textId="77777777"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The analysis can be revised if annual targets and affordable housing delivery targets are updated.</w:t>
      </w:r>
    </w:p>
    <w:p w14:paraId="587AE231" w14:textId="77777777" w:rsidR="00CE1BDB" w:rsidRPr="00FA4DC7" w:rsidRDefault="00CE1BDB" w:rsidP="00CE1BDB">
      <w:pPr>
        <w:pStyle w:val="Reporttext"/>
        <w:numPr>
          <w:ilvl w:val="0"/>
          <w:numId w:val="0"/>
        </w:numPr>
        <w:tabs>
          <w:tab w:val="left" w:pos="0"/>
          <w:tab w:val="left" w:pos="709"/>
          <w:tab w:val="left" w:pos="1418"/>
        </w:tabs>
        <w:rPr>
          <w:rFonts w:cs="Arial"/>
          <w:highlight w:val="yellow"/>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74"/>
        <w:gridCol w:w="1059"/>
        <w:gridCol w:w="1316"/>
        <w:gridCol w:w="1317"/>
        <w:gridCol w:w="1114"/>
      </w:tblGrid>
      <w:tr w:rsidR="00CE1BDB" w:rsidRPr="00FA4DC7" w14:paraId="40AEFD65" w14:textId="77777777" w:rsidTr="00CB100F">
        <w:trPr>
          <w:trHeight w:val="253"/>
        </w:trPr>
        <w:tc>
          <w:tcPr>
            <w:tcW w:w="5000" w:type="pct"/>
            <w:gridSpan w:val="5"/>
            <w:shd w:val="clear" w:color="auto" w:fill="006666"/>
          </w:tcPr>
          <w:p w14:paraId="7D444F9C" w14:textId="7273D72A" w:rsidR="00CE1BDB" w:rsidRPr="00FA4DC7" w:rsidRDefault="00CE1BDB" w:rsidP="00CB100F">
            <w:pPr>
              <w:pStyle w:val="Tableheading1"/>
            </w:pPr>
            <w:bookmarkStart w:id="648" w:name="_Toc83036141"/>
            <w:r w:rsidRPr="00D849C3">
              <w:t>Table</w:t>
            </w:r>
            <w:r w:rsidRPr="00FA4DC7">
              <w:t xml:space="preserve"> D6</w:t>
            </w:r>
            <w:r w:rsidR="00FE7692">
              <w:tab/>
            </w:r>
            <w:r w:rsidRPr="00FA4DC7">
              <w:t>Summary of overall dwelling mix by tenure</w:t>
            </w:r>
            <w:bookmarkEnd w:id="648"/>
          </w:p>
        </w:tc>
      </w:tr>
      <w:tr w:rsidR="00CE1BDB" w:rsidRPr="00FA4DC7" w14:paraId="1C870DB1" w14:textId="77777777" w:rsidTr="00CB100F">
        <w:trPr>
          <w:trHeight w:val="253"/>
        </w:trPr>
        <w:tc>
          <w:tcPr>
            <w:tcW w:w="2236" w:type="pct"/>
            <w:shd w:val="clear" w:color="auto" w:fill="006666"/>
            <w:vAlign w:val="bottom"/>
            <w:hideMark/>
          </w:tcPr>
          <w:p w14:paraId="143BF0EC"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type/size</w:t>
            </w:r>
          </w:p>
        </w:tc>
        <w:tc>
          <w:tcPr>
            <w:tcW w:w="650" w:type="pct"/>
            <w:shd w:val="clear" w:color="auto" w:fill="006666"/>
            <w:vAlign w:val="bottom"/>
          </w:tcPr>
          <w:p w14:paraId="5A96506B"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Market</w:t>
            </w:r>
          </w:p>
        </w:tc>
        <w:tc>
          <w:tcPr>
            <w:tcW w:w="717" w:type="pct"/>
            <w:shd w:val="clear" w:color="auto" w:fill="006666"/>
            <w:vAlign w:val="bottom"/>
          </w:tcPr>
          <w:p w14:paraId="53980C09"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Affordable Rented</w:t>
            </w:r>
          </w:p>
        </w:tc>
        <w:tc>
          <w:tcPr>
            <w:tcW w:w="717" w:type="pct"/>
            <w:shd w:val="clear" w:color="auto" w:fill="006666"/>
            <w:vAlign w:val="bottom"/>
          </w:tcPr>
          <w:p w14:paraId="0B129615"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Affordable home ownership</w:t>
            </w:r>
          </w:p>
        </w:tc>
        <w:tc>
          <w:tcPr>
            <w:tcW w:w="679" w:type="pct"/>
            <w:shd w:val="clear" w:color="auto" w:fill="006666"/>
            <w:vAlign w:val="bottom"/>
          </w:tcPr>
          <w:p w14:paraId="63144AD1"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Overall range</w:t>
            </w:r>
          </w:p>
        </w:tc>
      </w:tr>
      <w:tr w:rsidR="00066699" w:rsidRPr="00FA4DC7" w14:paraId="0BF79FFA" w14:textId="77777777" w:rsidTr="00CB100F">
        <w:tc>
          <w:tcPr>
            <w:tcW w:w="2236" w:type="pct"/>
            <w:shd w:val="clear" w:color="auto" w:fill="auto"/>
            <w:noWrap/>
            <w:vAlign w:val="center"/>
            <w:hideMark/>
          </w:tcPr>
          <w:p w14:paraId="04250A02" w14:textId="573633DC" w:rsidR="00066699" w:rsidRPr="00FA4DC7" w:rsidRDefault="00066699" w:rsidP="00066699">
            <w:pPr>
              <w:rPr>
                <w:rFonts w:cs="Arial"/>
                <w:color w:val="000000"/>
                <w:sz w:val="22"/>
                <w:szCs w:val="22"/>
              </w:rPr>
            </w:pPr>
            <w:r w:rsidRPr="00FA4DC7">
              <w:rPr>
                <w:rFonts w:cs="Arial"/>
                <w:color w:val="000000"/>
                <w:sz w:val="22"/>
                <w:szCs w:val="22"/>
              </w:rPr>
              <w:t>1-bedroom house</w:t>
            </w:r>
          </w:p>
        </w:tc>
        <w:tc>
          <w:tcPr>
            <w:tcW w:w="650" w:type="pct"/>
            <w:vAlign w:val="center"/>
          </w:tcPr>
          <w:p w14:paraId="1BFDA5E0" w14:textId="75171D4F" w:rsidR="00066699" w:rsidRPr="00FA4DC7" w:rsidRDefault="00066699" w:rsidP="00066699">
            <w:pPr>
              <w:jc w:val="center"/>
              <w:rPr>
                <w:rFonts w:cs="Arial"/>
                <w:color w:val="000000"/>
                <w:sz w:val="22"/>
                <w:szCs w:val="22"/>
              </w:rPr>
            </w:pPr>
            <w:r>
              <w:rPr>
                <w:rFonts w:cs="Arial"/>
                <w:color w:val="000000"/>
                <w:sz w:val="22"/>
                <w:szCs w:val="22"/>
              </w:rPr>
              <w:t>0-2%</w:t>
            </w:r>
          </w:p>
        </w:tc>
        <w:tc>
          <w:tcPr>
            <w:tcW w:w="717" w:type="pct"/>
            <w:vAlign w:val="center"/>
          </w:tcPr>
          <w:p w14:paraId="6CD15039" w14:textId="12CC4C46" w:rsidR="00066699" w:rsidRPr="00FA4DC7" w:rsidRDefault="00066699" w:rsidP="00066699">
            <w:pPr>
              <w:jc w:val="center"/>
              <w:rPr>
                <w:rFonts w:cs="Arial"/>
                <w:color w:val="000000"/>
                <w:sz w:val="22"/>
                <w:szCs w:val="22"/>
              </w:rPr>
            </w:pPr>
            <w:r>
              <w:rPr>
                <w:rFonts w:cs="Arial"/>
                <w:color w:val="000000"/>
                <w:sz w:val="22"/>
                <w:szCs w:val="22"/>
              </w:rPr>
              <w:t>0-2%</w:t>
            </w:r>
          </w:p>
        </w:tc>
        <w:tc>
          <w:tcPr>
            <w:tcW w:w="717" w:type="pct"/>
            <w:vAlign w:val="center"/>
          </w:tcPr>
          <w:p w14:paraId="34FF9058" w14:textId="4296D48C" w:rsidR="00066699" w:rsidRPr="00FA4DC7" w:rsidRDefault="00066699" w:rsidP="00066699">
            <w:pPr>
              <w:jc w:val="center"/>
              <w:rPr>
                <w:rFonts w:cs="Arial"/>
                <w:color w:val="000000"/>
                <w:sz w:val="22"/>
                <w:szCs w:val="22"/>
              </w:rPr>
            </w:pPr>
            <w:r>
              <w:rPr>
                <w:rFonts w:cs="Arial"/>
                <w:color w:val="000000"/>
                <w:sz w:val="22"/>
                <w:szCs w:val="22"/>
              </w:rPr>
              <w:t>0-5%</w:t>
            </w:r>
          </w:p>
        </w:tc>
        <w:tc>
          <w:tcPr>
            <w:tcW w:w="679" w:type="pct"/>
            <w:vAlign w:val="bottom"/>
          </w:tcPr>
          <w:p w14:paraId="4B5160B3" w14:textId="2F64E4C3" w:rsidR="00066699" w:rsidRPr="00FA4DC7" w:rsidRDefault="00066699" w:rsidP="00066699">
            <w:pPr>
              <w:jc w:val="center"/>
              <w:rPr>
                <w:rFonts w:cs="Arial"/>
                <w:color w:val="000000"/>
                <w:sz w:val="22"/>
                <w:szCs w:val="22"/>
              </w:rPr>
            </w:pPr>
            <w:r>
              <w:rPr>
                <w:rFonts w:cs="Arial"/>
                <w:color w:val="000000"/>
                <w:sz w:val="22"/>
                <w:szCs w:val="22"/>
              </w:rPr>
              <w:t>2-4%</w:t>
            </w:r>
          </w:p>
        </w:tc>
      </w:tr>
      <w:tr w:rsidR="00066699" w:rsidRPr="00FA4DC7" w14:paraId="57AB191D" w14:textId="77777777" w:rsidTr="00CB100F">
        <w:tc>
          <w:tcPr>
            <w:tcW w:w="2236" w:type="pct"/>
            <w:shd w:val="clear" w:color="auto" w:fill="auto"/>
            <w:noWrap/>
            <w:vAlign w:val="center"/>
          </w:tcPr>
          <w:p w14:paraId="18292C2A" w14:textId="0147D8D6" w:rsidR="00066699" w:rsidRPr="00FA4DC7" w:rsidRDefault="00066699" w:rsidP="00066699">
            <w:pPr>
              <w:rPr>
                <w:rFonts w:cs="Arial"/>
                <w:color w:val="000000"/>
                <w:sz w:val="22"/>
                <w:szCs w:val="22"/>
              </w:rPr>
            </w:pPr>
            <w:r>
              <w:rPr>
                <w:rFonts w:cs="Arial"/>
                <w:color w:val="000000"/>
                <w:sz w:val="22"/>
                <w:szCs w:val="22"/>
              </w:rPr>
              <w:t>2-bedroom house</w:t>
            </w:r>
          </w:p>
        </w:tc>
        <w:tc>
          <w:tcPr>
            <w:tcW w:w="650" w:type="pct"/>
            <w:vAlign w:val="center"/>
          </w:tcPr>
          <w:p w14:paraId="7E900991" w14:textId="4CA8E7E1" w:rsidR="00066699" w:rsidRPr="00FA4DC7" w:rsidRDefault="00066699" w:rsidP="00066699">
            <w:pPr>
              <w:jc w:val="center"/>
              <w:rPr>
                <w:rFonts w:cs="Arial"/>
                <w:color w:val="000000"/>
                <w:sz w:val="22"/>
                <w:szCs w:val="22"/>
              </w:rPr>
            </w:pPr>
            <w:r>
              <w:rPr>
                <w:rFonts w:cs="Arial"/>
                <w:color w:val="000000"/>
                <w:sz w:val="22"/>
                <w:szCs w:val="22"/>
              </w:rPr>
              <w:t>20-25%</w:t>
            </w:r>
          </w:p>
        </w:tc>
        <w:tc>
          <w:tcPr>
            <w:tcW w:w="717" w:type="pct"/>
            <w:vAlign w:val="center"/>
          </w:tcPr>
          <w:p w14:paraId="76CBF65C" w14:textId="06D470D1" w:rsidR="00066699" w:rsidRPr="00FA4DC7" w:rsidRDefault="00066699" w:rsidP="00066699">
            <w:pPr>
              <w:jc w:val="center"/>
              <w:rPr>
                <w:rFonts w:cs="Arial"/>
                <w:color w:val="000000"/>
                <w:sz w:val="22"/>
                <w:szCs w:val="22"/>
              </w:rPr>
            </w:pPr>
            <w:r>
              <w:rPr>
                <w:rFonts w:cs="Arial"/>
                <w:color w:val="000000"/>
                <w:sz w:val="22"/>
                <w:szCs w:val="22"/>
              </w:rPr>
              <w:t>5-10%</w:t>
            </w:r>
          </w:p>
        </w:tc>
        <w:tc>
          <w:tcPr>
            <w:tcW w:w="717" w:type="pct"/>
            <w:vAlign w:val="center"/>
          </w:tcPr>
          <w:p w14:paraId="09B71CD7" w14:textId="1EF8BFBE" w:rsidR="00066699" w:rsidRPr="00FA4DC7" w:rsidRDefault="00066699" w:rsidP="00066699">
            <w:pPr>
              <w:jc w:val="center"/>
              <w:rPr>
                <w:rFonts w:cs="Arial"/>
                <w:color w:val="000000"/>
                <w:sz w:val="22"/>
                <w:szCs w:val="22"/>
              </w:rPr>
            </w:pPr>
            <w:r>
              <w:rPr>
                <w:rFonts w:cs="Arial"/>
                <w:color w:val="000000"/>
                <w:sz w:val="22"/>
                <w:szCs w:val="22"/>
              </w:rPr>
              <w:t>20-25%</w:t>
            </w:r>
          </w:p>
        </w:tc>
        <w:tc>
          <w:tcPr>
            <w:tcW w:w="679" w:type="pct"/>
            <w:vAlign w:val="bottom"/>
          </w:tcPr>
          <w:p w14:paraId="50DA097E" w14:textId="47E0B03E" w:rsidR="00066699" w:rsidRPr="00FA4DC7" w:rsidRDefault="00066699" w:rsidP="00066699">
            <w:pPr>
              <w:jc w:val="center"/>
              <w:rPr>
                <w:rFonts w:cs="Arial"/>
                <w:color w:val="000000"/>
                <w:sz w:val="22"/>
                <w:szCs w:val="22"/>
              </w:rPr>
            </w:pPr>
            <w:r>
              <w:rPr>
                <w:rFonts w:cs="Arial"/>
                <w:color w:val="000000"/>
                <w:sz w:val="22"/>
                <w:szCs w:val="22"/>
              </w:rPr>
              <w:t>15-20%</w:t>
            </w:r>
          </w:p>
        </w:tc>
      </w:tr>
      <w:tr w:rsidR="00066699" w:rsidRPr="00FA4DC7" w14:paraId="2A759163" w14:textId="77777777" w:rsidTr="00CB100F">
        <w:tc>
          <w:tcPr>
            <w:tcW w:w="2236" w:type="pct"/>
            <w:shd w:val="clear" w:color="auto" w:fill="auto"/>
            <w:noWrap/>
            <w:vAlign w:val="center"/>
            <w:hideMark/>
          </w:tcPr>
          <w:p w14:paraId="35C0F158" w14:textId="77777777" w:rsidR="00066699" w:rsidRPr="00FA4DC7" w:rsidRDefault="00066699" w:rsidP="00066699">
            <w:pPr>
              <w:rPr>
                <w:rFonts w:cs="Arial"/>
                <w:color w:val="000000"/>
                <w:sz w:val="22"/>
                <w:szCs w:val="22"/>
              </w:rPr>
            </w:pPr>
            <w:r w:rsidRPr="00FA4DC7">
              <w:rPr>
                <w:rFonts w:cs="Arial"/>
                <w:color w:val="000000"/>
                <w:sz w:val="22"/>
                <w:szCs w:val="22"/>
              </w:rPr>
              <w:t>3-bedroom house</w:t>
            </w:r>
          </w:p>
        </w:tc>
        <w:tc>
          <w:tcPr>
            <w:tcW w:w="650" w:type="pct"/>
            <w:vAlign w:val="center"/>
          </w:tcPr>
          <w:p w14:paraId="45F7874C" w14:textId="5DC97A98" w:rsidR="00066699" w:rsidRPr="00FA4DC7" w:rsidRDefault="00066699" w:rsidP="00066699">
            <w:pPr>
              <w:jc w:val="center"/>
              <w:rPr>
                <w:rFonts w:cs="Arial"/>
                <w:color w:val="000000"/>
                <w:sz w:val="22"/>
                <w:szCs w:val="22"/>
              </w:rPr>
            </w:pPr>
            <w:r>
              <w:rPr>
                <w:rFonts w:cs="Arial"/>
                <w:color w:val="000000"/>
                <w:sz w:val="22"/>
                <w:szCs w:val="22"/>
              </w:rPr>
              <w:t>35-40%</w:t>
            </w:r>
          </w:p>
        </w:tc>
        <w:tc>
          <w:tcPr>
            <w:tcW w:w="717" w:type="pct"/>
            <w:vAlign w:val="center"/>
          </w:tcPr>
          <w:p w14:paraId="440E4FA4" w14:textId="28F59A73" w:rsidR="00066699" w:rsidRPr="00FA4DC7" w:rsidRDefault="00066699" w:rsidP="00066699">
            <w:pPr>
              <w:jc w:val="center"/>
              <w:rPr>
                <w:rFonts w:cs="Arial"/>
                <w:color w:val="000000"/>
                <w:sz w:val="22"/>
                <w:szCs w:val="22"/>
              </w:rPr>
            </w:pPr>
            <w:r>
              <w:rPr>
                <w:rFonts w:cs="Arial"/>
                <w:color w:val="000000"/>
                <w:sz w:val="22"/>
                <w:szCs w:val="22"/>
              </w:rPr>
              <w:t>15-20%</w:t>
            </w:r>
          </w:p>
        </w:tc>
        <w:tc>
          <w:tcPr>
            <w:tcW w:w="717" w:type="pct"/>
            <w:vAlign w:val="center"/>
          </w:tcPr>
          <w:p w14:paraId="74122908" w14:textId="4D450F3E" w:rsidR="00066699" w:rsidRPr="00FA4DC7" w:rsidRDefault="00066699" w:rsidP="00066699">
            <w:pPr>
              <w:jc w:val="center"/>
              <w:rPr>
                <w:rFonts w:cs="Arial"/>
                <w:color w:val="000000"/>
                <w:sz w:val="22"/>
                <w:szCs w:val="22"/>
              </w:rPr>
            </w:pPr>
            <w:r>
              <w:rPr>
                <w:rFonts w:cs="Arial"/>
                <w:color w:val="000000"/>
                <w:sz w:val="22"/>
                <w:szCs w:val="22"/>
              </w:rPr>
              <w:t>35-40%</w:t>
            </w:r>
          </w:p>
        </w:tc>
        <w:tc>
          <w:tcPr>
            <w:tcW w:w="679" w:type="pct"/>
            <w:vAlign w:val="bottom"/>
          </w:tcPr>
          <w:p w14:paraId="77BD0BAB" w14:textId="15730952" w:rsidR="00066699" w:rsidRPr="00FA4DC7" w:rsidRDefault="00066699" w:rsidP="00066699">
            <w:pPr>
              <w:jc w:val="center"/>
              <w:rPr>
                <w:rFonts w:cs="Arial"/>
                <w:color w:val="000000"/>
                <w:sz w:val="22"/>
                <w:szCs w:val="22"/>
              </w:rPr>
            </w:pPr>
            <w:r>
              <w:rPr>
                <w:rFonts w:cs="Arial"/>
                <w:color w:val="000000"/>
                <w:sz w:val="22"/>
                <w:szCs w:val="22"/>
              </w:rPr>
              <w:t>30-35%</w:t>
            </w:r>
          </w:p>
        </w:tc>
      </w:tr>
      <w:tr w:rsidR="00066699" w:rsidRPr="00FA4DC7" w14:paraId="2834AD88" w14:textId="77777777" w:rsidTr="00CB100F">
        <w:tc>
          <w:tcPr>
            <w:tcW w:w="2236" w:type="pct"/>
            <w:shd w:val="clear" w:color="auto" w:fill="auto"/>
            <w:noWrap/>
            <w:vAlign w:val="center"/>
            <w:hideMark/>
          </w:tcPr>
          <w:p w14:paraId="7B575CF3" w14:textId="77777777" w:rsidR="00066699" w:rsidRPr="00FA4DC7" w:rsidRDefault="00066699" w:rsidP="00066699">
            <w:pPr>
              <w:rPr>
                <w:rFonts w:cs="Arial"/>
                <w:color w:val="000000"/>
                <w:sz w:val="22"/>
                <w:szCs w:val="22"/>
              </w:rPr>
            </w:pPr>
            <w:r w:rsidRPr="00FA4DC7">
              <w:rPr>
                <w:rFonts w:cs="Arial"/>
                <w:color w:val="000000"/>
                <w:sz w:val="22"/>
                <w:szCs w:val="22"/>
              </w:rPr>
              <w:t>4 or more-bedroom house</w:t>
            </w:r>
          </w:p>
        </w:tc>
        <w:tc>
          <w:tcPr>
            <w:tcW w:w="650" w:type="pct"/>
            <w:vAlign w:val="center"/>
          </w:tcPr>
          <w:p w14:paraId="6195DC3F" w14:textId="2539F62B" w:rsidR="00066699" w:rsidRPr="00FA4DC7" w:rsidRDefault="00066699" w:rsidP="00066699">
            <w:pPr>
              <w:jc w:val="center"/>
              <w:rPr>
                <w:rFonts w:cs="Arial"/>
                <w:color w:val="000000"/>
                <w:sz w:val="22"/>
                <w:szCs w:val="22"/>
              </w:rPr>
            </w:pPr>
            <w:r>
              <w:rPr>
                <w:rFonts w:cs="Arial"/>
                <w:color w:val="000000"/>
                <w:sz w:val="22"/>
                <w:szCs w:val="22"/>
              </w:rPr>
              <w:t>15-20%</w:t>
            </w:r>
          </w:p>
        </w:tc>
        <w:tc>
          <w:tcPr>
            <w:tcW w:w="717" w:type="pct"/>
            <w:vAlign w:val="center"/>
          </w:tcPr>
          <w:p w14:paraId="4D2F5466" w14:textId="5C717067" w:rsidR="00066699" w:rsidRPr="00FA4DC7" w:rsidRDefault="00066699" w:rsidP="00066699">
            <w:pPr>
              <w:jc w:val="center"/>
              <w:rPr>
                <w:rFonts w:cs="Arial"/>
                <w:color w:val="000000"/>
                <w:sz w:val="22"/>
                <w:szCs w:val="22"/>
              </w:rPr>
            </w:pPr>
            <w:r>
              <w:rPr>
                <w:rFonts w:cs="Arial"/>
                <w:color w:val="000000"/>
                <w:sz w:val="22"/>
                <w:szCs w:val="22"/>
              </w:rPr>
              <w:t>2-4%</w:t>
            </w:r>
          </w:p>
        </w:tc>
        <w:tc>
          <w:tcPr>
            <w:tcW w:w="717" w:type="pct"/>
            <w:vAlign w:val="center"/>
          </w:tcPr>
          <w:p w14:paraId="2BC59C08" w14:textId="0C0569E0" w:rsidR="00066699" w:rsidRPr="00FA4DC7" w:rsidRDefault="00066699" w:rsidP="00066699">
            <w:pPr>
              <w:jc w:val="center"/>
              <w:rPr>
                <w:rFonts w:cs="Arial"/>
                <w:color w:val="000000"/>
                <w:sz w:val="22"/>
                <w:szCs w:val="22"/>
              </w:rPr>
            </w:pPr>
            <w:r>
              <w:rPr>
                <w:rFonts w:cs="Arial"/>
                <w:color w:val="000000"/>
                <w:sz w:val="22"/>
                <w:szCs w:val="22"/>
              </w:rPr>
              <w:t>10-15%</w:t>
            </w:r>
          </w:p>
        </w:tc>
        <w:tc>
          <w:tcPr>
            <w:tcW w:w="679" w:type="pct"/>
            <w:vAlign w:val="bottom"/>
          </w:tcPr>
          <w:p w14:paraId="56FFA39D" w14:textId="20D28B1C" w:rsidR="00066699" w:rsidRPr="00FA4DC7" w:rsidRDefault="00066699" w:rsidP="00066699">
            <w:pPr>
              <w:jc w:val="center"/>
              <w:rPr>
                <w:rFonts w:cs="Arial"/>
                <w:color w:val="000000"/>
                <w:sz w:val="22"/>
                <w:szCs w:val="22"/>
              </w:rPr>
            </w:pPr>
            <w:r>
              <w:rPr>
                <w:rFonts w:cs="Arial"/>
                <w:color w:val="000000"/>
                <w:sz w:val="22"/>
                <w:szCs w:val="22"/>
              </w:rPr>
              <w:t>10-15%</w:t>
            </w:r>
          </w:p>
        </w:tc>
      </w:tr>
      <w:tr w:rsidR="00066699" w:rsidRPr="00FA4DC7" w14:paraId="2E28C9C3" w14:textId="77777777" w:rsidTr="00CB100F">
        <w:tc>
          <w:tcPr>
            <w:tcW w:w="2236" w:type="pct"/>
            <w:shd w:val="clear" w:color="auto" w:fill="auto"/>
            <w:noWrap/>
            <w:vAlign w:val="center"/>
            <w:hideMark/>
          </w:tcPr>
          <w:p w14:paraId="07F1F8AD" w14:textId="77777777" w:rsidR="00066699" w:rsidRPr="00FA4DC7" w:rsidRDefault="00066699" w:rsidP="00066699">
            <w:pPr>
              <w:rPr>
                <w:rFonts w:cs="Arial"/>
                <w:color w:val="000000"/>
                <w:sz w:val="22"/>
                <w:szCs w:val="22"/>
              </w:rPr>
            </w:pPr>
            <w:r w:rsidRPr="00FA4DC7">
              <w:rPr>
                <w:rFonts w:cs="Arial"/>
                <w:color w:val="000000"/>
                <w:sz w:val="22"/>
                <w:szCs w:val="22"/>
              </w:rPr>
              <w:t>1-bedroom flat</w:t>
            </w:r>
          </w:p>
        </w:tc>
        <w:tc>
          <w:tcPr>
            <w:tcW w:w="650" w:type="pct"/>
            <w:vAlign w:val="center"/>
          </w:tcPr>
          <w:p w14:paraId="68DDB626" w14:textId="5DADC08B" w:rsidR="00066699" w:rsidRPr="00FA4DC7" w:rsidRDefault="00066699" w:rsidP="00066699">
            <w:pPr>
              <w:jc w:val="center"/>
              <w:rPr>
                <w:rFonts w:cs="Arial"/>
                <w:color w:val="000000"/>
                <w:sz w:val="22"/>
                <w:szCs w:val="22"/>
              </w:rPr>
            </w:pPr>
            <w:r>
              <w:rPr>
                <w:rFonts w:cs="Arial"/>
                <w:color w:val="000000"/>
                <w:sz w:val="22"/>
                <w:szCs w:val="22"/>
              </w:rPr>
              <w:t>5-10%</w:t>
            </w:r>
          </w:p>
        </w:tc>
        <w:tc>
          <w:tcPr>
            <w:tcW w:w="717" w:type="pct"/>
            <w:vAlign w:val="center"/>
          </w:tcPr>
          <w:p w14:paraId="1CA1BD94" w14:textId="0D130B5D" w:rsidR="00066699" w:rsidRPr="00FA4DC7" w:rsidRDefault="00066699" w:rsidP="00066699">
            <w:pPr>
              <w:jc w:val="center"/>
              <w:rPr>
                <w:rFonts w:cs="Arial"/>
                <w:color w:val="000000"/>
                <w:sz w:val="22"/>
                <w:szCs w:val="22"/>
              </w:rPr>
            </w:pPr>
            <w:r>
              <w:rPr>
                <w:rFonts w:cs="Arial"/>
                <w:color w:val="000000"/>
                <w:sz w:val="22"/>
                <w:szCs w:val="22"/>
              </w:rPr>
              <w:t>30-35%</w:t>
            </w:r>
          </w:p>
        </w:tc>
        <w:tc>
          <w:tcPr>
            <w:tcW w:w="717" w:type="pct"/>
            <w:vAlign w:val="center"/>
          </w:tcPr>
          <w:p w14:paraId="03F28E37" w14:textId="6EC6C47E" w:rsidR="00066699" w:rsidRPr="00FA4DC7" w:rsidRDefault="00066699" w:rsidP="00066699">
            <w:pPr>
              <w:jc w:val="center"/>
              <w:rPr>
                <w:rFonts w:cs="Arial"/>
                <w:color w:val="000000"/>
                <w:sz w:val="22"/>
                <w:szCs w:val="22"/>
              </w:rPr>
            </w:pPr>
            <w:r>
              <w:rPr>
                <w:rFonts w:cs="Arial"/>
                <w:color w:val="000000"/>
                <w:sz w:val="22"/>
                <w:szCs w:val="22"/>
              </w:rPr>
              <w:t>0-2%</w:t>
            </w:r>
          </w:p>
        </w:tc>
        <w:tc>
          <w:tcPr>
            <w:tcW w:w="679" w:type="pct"/>
            <w:vAlign w:val="bottom"/>
          </w:tcPr>
          <w:p w14:paraId="0B469758" w14:textId="260DA847" w:rsidR="00066699" w:rsidRPr="00FA4DC7" w:rsidRDefault="00066699" w:rsidP="00066699">
            <w:pPr>
              <w:jc w:val="center"/>
              <w:rPr>
                <w:rFonts w:cs="Arial"/>
                <w:color w:val="000000"/>
                <w:sz w:val="22"/>
                <w:szCs w:val="22"/>
              </w:rPr>
            </w:pPr>
            <w:r>
              <w:rPr>
                <w:rFonts w:cs="Arial"/>
                <w:color w:val="000000"/>
                <w:sz w:val="22"/>
                <w:szCs w:val="22"/>
              </w:rPr>
              <w:t>15-20%</w:t>
            </w:r>
          </w:p>
        </w:tc>
      </w:tr>
      <w:tr w:rsidR="00066699" w:rsidRPr="00FA4DC7" w14:paraId="2B0198B4" w14:textId="77777777" w:rsidTr="00CB100F">
        <w:tc>
          <w:tcPr>
            <w:tcW w:w="2236" w:type="pct"/>
            <w:shd w:val="clear" w:color="auto" w:fill="auto"/>
            <w:noWrap/>
            <w:vAlign w:val="center"/>
            <w:hideMark/>
          </w:tcPr>
          <w:p w14:paraId="6DD0F98E" w14:textId="77777777" w:rsidR="00066699" w:rsidRPr="00FA4DC7" w:rsidRDefault="00066699" w:rsidP="00066699">
            <w:pPr>
              <w:rPr>
                <w:rFonts w:cs="Arial"/>
                <w:color w:val="000000"/>
                <w:sz w:val="22"/>
                <w:szCs w:val="22"/>
              </w:rPr>
            </w:pPr>
            <w:r w:rsidRPr="00FA4DC7">
              <w:rPr>
                <w:rFonts w:cs="Arial"/>
                <w:color w:val="000000"/>
                <w:sz w:val="22"/>
                <w:szCs w:val="22"/>
              </w:rPr>
              <w:t>2 or more -bedroom flat</w:t>
            </w:r>
          </w:p>
        </w:tc>
        <w:tc>
          <w:tcPr>
            <w:tcW w:w="650" w:type="pct"/>
            <w:vAlign w:val="center"/>
          </w:tcPr>
          <w:p w14:paraId="0502B3E0" w14:textId="37C98567" w:rsidR="00066699" w:rsidRPr="00FA4DC7" w:rsidRDefault="00066699" w:rsidP="00066699">
            <w:pPr>
              <w:jc w:val="center"/>
              <w:rPr>
                <w:rFonts w:cs="Arial"/>
                <w:color w:val="000000"/>
                <w:sz w:val="22"/>
                <w:szCs w:val="22"/>
              </w:rPr>
            </w:pPr>
            <w:r>
              <w:rPr>
                <w:rFonts w:cs="Arial"/>
                <w:color w:val="000000"/>
                <w:sz w:val="22"/>
                <w:szCs w:val="22"/>
              </w:rPr>
              <w:t>5-10%</w:t>
            </w:r>
          </w:p>
        </w:tc>
        <w:tc>
          <w:tcPr>
            <w:tcW w:w="717" w:type="pct"/>
            <w:vAlign w:val="center"/>
          </w:tcPr>
          <w:p w14:paraId="53BB5272" w14:textId="750B39C0" w:rsidR="00066699" w:rsidRPr="00FA4DC7" w:rsidRDefault="00066699" w:rsidP="00066699">
            <w:pPr>
              <w:jc w:val="center"/>
              <w:rPr>
                <w:rFonts w:cs="Arial"/>
                <w:color w:val="000000"/>
                <w:sz w:val="22"/>
                <w:szCs w:val="22"/>
              </w:rPr>
            </w:pPr>
            <w:r>
              <w:rPr>
                <w:rFonts w:cs="Arial"/>
                <w:color w:val="000000"/>
                <w:sz w:val="22"/>
                <w:szCs w:val="22"/>
              </w:rPr>
              <w:t>35-40%</w:t>
            </w:r>
          </w:p>
        </w:tc>
        <w:tc>
          <w:tcPr>
            <w:tcW w:w="717" w:type="pct"/>
            <w:vAlign w:val="center"/>
          </w:tcPr>
          <w:p w14:paraId="5456B07C" w14:textId="62A8F293" w:rsidR="00066699" w:rsidRPr="00FA4DC7" w:rsidRDefault="00066699" w:rsidP="00066699">
            <w:pPr>
              <w:jc w:val="center"/>
              <w:rPr>
                <w:rFonts w:cs="Arial"/>
                <w:color w:val="000000"/>
                <w:sz w:val="22"/>
                <w:szCs w:val="22"/>
              </w:rPr>
            </w:pPr>
            <w:r>
              <w:rPr>
                <w:rFonts w:cs="Arial"/>
                <w:color w:val="000000"/>
                <w:sz w:val="22"/>
                <w:szCs w:val="22"/>
              </w:rPr>
              <w:t>15-20%</w:t>
            </w:r>
          </w:p>
        </w:tc>
        <w:tc>
          <w:tcPr>
            <w:tcW w:w="679" w:type="pct"/>
            <w:vAlign w:val="bottom"/>
          </w:tcPr>
          <w:p w14:paraId="1CBD736B" w14:textId="674C0F18" w:rsidR="00066699" w:rsidRPr="00FA4DC7" w:rsidRDefault="00066699" w:rsidP="00066699">
            <w:pPr>
              <w:jc w:val="center"/>
              <w:rPr>
                <w:rFonts w:cs="Arial"/>
                <w:color w:val="000000"/>
                <w:sz w:val="22"/>
                <w:szCs w:val="22"/>
              </w:rPr>
            </w:pPr>
            <w:r>
              <w:rPr>
                <w:rFonts w:cs="Arial"/>
                <w:color w:val="000000"/>
                <w:sz w:val="22"/>
                <w:szCs w:val="22"/>
              </w:rPr>
              <w:t>20-25%</w:t>
            </w:r>
          </w:p>
        </w:tc>
      </w:tr>
      <w:tr w:rsidR="00066699" w:rsidRPr="00FA4DC7" w14:paraId="4FA6781A" w14:textId="77777777" w:rsidTr="00CB100F">
        <w:tc>
          <w:tcPr>
            <w:tcW w:w="2236" w:type="pct"/>
            <w:shd w:val="clear" w:color="auto" w:fill="auto"/>
            <w:noWrap/>
            <w:vAlign w:val="center"/>
            <w:hideMark/>
          </w:tcPr>
          <w:p w14:paraId="774BFA25" w14:textId="77777777" w:rsidR="00066699" w:rsidRPr="00FA4DC7" w:rsidRDefault="00066699" w:rsidP="00066699">
            <w:pPr>
              <w:rPr>
                <w:rFonts w:cs="Arial"/>
                <w:color w:val="000000"/>
                <w:sz w:val="22"/>
                <w:szCs w:val="22"/>
              </w:rPr>
            </w:pPr>
            <w:r w:rsidRPr="00FA4DC7">
              <w:rPr>
                <w:rFonts w:cs="Arial"/>
                <w:color w:val="000000"/>
                <w:sz w:val="22"/>
                <w:szCs w:val="22"/>
              </w:rPr>
              <w:t>1-bedroom bungalow/level-access</w:t>
            </w:r>
          </w:p>
        </w:tc>
        <w:tc>
          <w:tcPr>
            <w:tcW w:w="650" w:type="pct"/>
            <w:vAlign w:val="center"/>
          </w:tcPr>
          <w:p w14:paraId="38C84598" w14:textId="55E078F4" w:rsidR="00066699" w:rsidRPr="00FA4DC7" w:rsidRDefault="00066699" w:rsidP="00066699">
            <w:pPr>
              <w:jc w:val="center"/>
              <w:rPr>
                <w:rFonts w:cs="Arial"/>
                <w:color w:val="000000"/>
                <w:sz w:val="22"/>
                <w:szCs w:val="22"/>
              </w:rPr>
            </w:pPr>
            <w:r>
              <w:rPr>
                <w:rFonts w:cs="Arial"/>
                <w:color w:val="000000"/>
                <w:sz w:val="22"/>
                <w:szCs w:val="22"/>
              </w:rPr>
              <w:t>1-3%</w:t>
            </w:r>
          </w:p>
        </w:tc>
        <w:tc>
          <w:tcPr>
            <w:tcW w:w="717" w:type="pct"/>
            <w:vAlign w:val="center"/>
          </w:tcPr>
          <w:p w14:paraId="76229E46" w14:textId="018DA460" w:rsidR="00066699" w:rsidRPr="00FA4DC7" w:rsidRDefault="00066699" w:rsidP="00066699">
            <w:pPr>
              <w:jc w:val="center"/>
              <w:rPr>
                <w:rFonts w:cs="Arial"/>
                <w:color w:val="000000"/>
                <w:sz w:val="22"/>
                <w:szCs w:val="22"/>
              </w:rPr>
            </w:pPr>
            <w:r>
              <w:rPr>
                <w:rFonts w:cs="Arial"/>
                <w:color w:val="000000"/>
                <w:sz w:val="22"/>
                <w:szCs w:val="22"/>
              </w:rPr>
              <w:t>1-3%</w:t>
            </w:r>
          </w:p>
        </w:tc>
        <w:tc>
          <w:tcPr>
            <w:tcW w:w="717" w:type="pct"/>
            <w:vAlign w:val="center"/>
          </w:tcPr>
          <w:p w14:paraId="291EDD44" w14:textId="1DECA27A" w:rsidR="00066699" w:rsidRPr="00FA4DC7" w:rsidRDefault="00066699" w:rsidP="00066699">
            <w:pPr>
              <w:jc w:val="center"/>
              <w:rPr>
                <w:rFonts w:cs="Arial"/>
                <w:color w:val="000000"/>
                <w:sz w:val="22"/>
                <w:szCs w:val="22"/>
              </w:rPr>
            </w:pPr>
            <w:r>
              <w:rPr>
                <w:rFonts w:cs="Arial"/>
                <w:color w:val="000000"/>
                <w:sz w:val="22"/>
                <w:szCs w:val="22"/>
              </w:rPr>
              <w:t>4-6%</w:t>
            </w:r>
          </w:p>
        </w:tc>
        <w:tc>
          <w:tcPr>
            <w:tcW w:w="679" w:type="pct"/>
            <w:vAlign w:val="bottom"/>
          </w:tcPr>
          <w:p w14:paraId="201B3AAB" w14:textId="20F53F1F" w:rsidR="00066699" w:rsidRPr="00FA4DC7" w:rsidRDefault="00066699" w:rsidP="00066699">
            <w:pPr>
              <w:jc w:val="center"/>
              <w:rPr>
                <w:rFonts w:cs="Arial"/>
                <w:color w:val="000000"/>
                <w:sz w:val="22"/>
                <w:szCs w:val="22"/>
              </w:rPr>
            </w:pPr>
            <w:r>
              <w:rPr>
                <w:rFonts w:cs="Arial"/>
                <w:color w:val="000000"/>
                <w:sz w:val="22"/>
                <w:szCs w:val="22"/>
              </w:rPr>
              <w:t>2-4%</w:t>
            </w:r>
          </w:p>
        </w:tc>
      </w:tr>
      <w:tr w:rsidR="00066699" w:rsidRPr="00FA4DC7" w14:paraId="1B276A15" w14:textId="77777777" w:rsidTr="00CB100F">
        <w:tc>
          <w:tcPr>
            <w:tcW w:w="2236" w:type="pct"/>
            <w:shd w:val="clear" w:color="auto" w:fill="auto"/>
            <w:noWrap/>
            <w:vAlign w:val="center"/>
            <w:hideMark/>
          </w:tcPr>
          <w:p w14:paraId="405A7050" w14:textId="77777777" w:rsidR="00066699" w:rsidRPr="00FA4DC7" w:rsidRDefault="00066699" w:rsidP="00066699">
            <w:pPr>
              <w:rPr>
                <w:rFonts w:cs="Arial"/>
                <w:color w:val="000000"/>
                <w:sz w:val="22"/>
                <w:szCs w:val="22"/>
              </w:rPr>
            </w:pPr>
            <w:r w:rsidRPr="00FA4DC7">
              <w:rPr>
                <w:rFonts w:cs="Arial"/>
                <w:color w:val="000000"/>
                <w:sz w:val="22"/>
                <w:szCs w:val="22"/>
              </w:rPr>
              <w:t>2-bedroom bungalow/level-access</w:t>
            </w:r>
          </w:p>
        </w:tc>
        <w:tc>
          <w:tcPr>
            <w:tcW w:w="650" w:type="pct"/>
            <w:vAlign w:val="center"/>
          </w:tcPr>
          <w:p w14:paraId="689371FF" w14:textId="7770428B" w:rsidR="00066699" w:rsidRPr="00FA4DC7" w:rsidRDefault="00066699" w:rsidP="00066699">
            <w:pPr>
              <w:jc w:val="center"/>
              <w:rPr>
                <w:rFonts w:cs="Arial"/>
                <w:color w:val="000000"/>
                <w:sz w:val="22"/>
                <w:szCs w:val="22"/>
              </w:rPr>
            </w:pPr>
            <w:r>
              <w:rPr>
                <w:rFonts w:cs="Arial"/>
                <w:color w:val="000000"/>
                <w:sz w:val="22"/>
                <w:szCs w:val="22"/>
              </w:rPr>
              <w:t>2-4%</w:t>
            </w:r>
          </w:p>
        </w:tc>
        <w:tc>
          <w:tcPr>
            <w:tcW w:w="717" w:type="pct"/>
            <w:vAlign w:val="center"/>
          </w:tcPr>
          <w:p w14:paraId="7B8921AB" w14:textId="6342E9B4" w:rsidR="00066699" w:rsidRPr="00FA4DC7" w:rsidRDefault="00066699" w:rsidP="00066699">
            <w:pPr>
              <w:jc w:val="center"/>
              <w:rPr>
                <w:rFonts w:cs="Arial"/>
                <w:color w:val="000000"/>
                <w:sz w:val="22"/>
                <w:szCs w:val="22"/>
              </w:rPr>
            </w:pPr>
            <w:r>
              <w:rPr>
                <w:rFonts w:cs="Arial"/>
                <w:color w:val="000000"/>
                <w:sz w:val="22"/>
                <w:szCs w:val="22"/>
              </w:rPr>
              <w:t>1-3%</w:t>
            </w:r>
          </w:p>
        </w:tc>
        <w:tc>
          <w:tcPr>
            <w:tcW w:w="717" w:type="pct"/>
            <w:vAlign w:val="center"/>
          </w:tcPr>
          <w:p w14:paraId="56DD9BC0" w14:textId="0E5EE1C1" w:rsidR="00066699" w:rsidRPr="00FA4DC7" w:rsidRDefault="00066699" w:rsidP="00066699">
            <w:pPr>
              <w:jc w:val="center"/>
              <w:rPr>
                <w:rFonts w:cs="Arial"/>
                <w:color w:val="000000"/>
                <w:sz w:val="22"/>
                <w:szCs w:val="22"/>
              </w:rPr>
            </w:pPr>
            <w:r>
              <w:rPr>
                <w:rFonts w:cs="Arial"/>
                <w:color w:val="000000"/>
                <w:sz w:val="22"/>
                <w:szCs w:val="22"/>
              </w:rPr>
              <w:t>4-6%</w:t>
            </w:r>
          </w:p>
        </w:tc>
        <w:tc>
          <w:tcPr>
            <w:tcW w:w="679" w:type="pct"/>
            <w:vAlign w:val="bottom"/>
          </w:tcPr>
          <w:p w14:paraId="0EACEDB1" w14:textId="5D7D1BBD" w:rsidR="00066699" w:rsidRPr="00FA4DC7" w:rsidRDefault="00066699" w:rsidP="00066699">
            <w:pPr>
              <w:jc w:val="center"/>
              <w:rPr>
                <w:rFonts w:cs="Arial"/>
                <w:color w:val="000000"/>
                <w:sz w:val="22"/>
                <w:szCs w:val="22"/>
              </w:rPr>
            </w:pPr>
            <w:r>
              <w:rPr>
                <w:rFonts w:cs="Arial"/>
                <w:color w:val="000000"/>
                <w:sz w:val="22"/>
                <w:szCs w:val="22"/>
              </w:rPr>
              <w:t>2-4%</w:t>
            </w:r>
          </w:p>
        </w:tc>
      </w:tr>
      <w:tr w:rsidR="00066699" w:rsidRPr="00FA4DC7" w14:paraId="61843DB7" w14:textId="77777777" w:rsidTr="00CB100F">
        <w:tc>
          <w:tcPr>
            <w:tcW w:w="2236" w:type="pct"/>
            <w:shd w:val="clear" w:color="auto" w:fill="auto"/>
            <w:noWrap/>
            <w:vAlign w:val="center"/>
            <w:hideMark/>
          </w:tcPr>
          <w:p w14:paraId="521D65BE" w14:textId="77777777" w:rsidR="00066699" w:rsidRPr="00FA4DC7" w:rsidRDefault="00066699" w:rsidP="00066699">
            <w:pPr>
              <w:rPr>
                <w:rFonts w:cs="Arial"/>
                <w:color w:val="000000"/>
                <w:sz w:val="22"/>
                <w:szCs w:val="22"/>
              </w:rPr>
            </w:pPr>
            <w:r w:rsidRPr="00FA4DC7">
              <w:rPr>
                <w:rFonts w:cs="Arial"/>
                <w:color w:val="000000"/>
                <w:sz w:val="22"/>
                <w:szCs w:val="22"/>
              </w:rPr>
              <w:t>3 or more-bedroom bungalow/level-access</w:t>
            </w:r>
          </w:p>
        </w:tc>
        <w:tc>
          <w:tcPr>
            <w:tcW w:w="650" w:type="pct"/>
            <w:vAlign w:val="center"/>
          </w:tcPr>
          <w:p w14:paraId="4CD51A1E" w14:textId="7F4D4917" w:rsidR="00066699" w:rsidRPr="00FA4DC7" w:rsidRDefault="00066699" w:rsidP="00066699">
            <w:pPr>
              <w:jc w:val="center"/>
              <w:rPr>
                <w:rFonts w:cs="Arial"/>
                <w:color w:val="000000"/>
                <w:sz w:val="22"/>
                <w:szCs w:val="22"/>
              </w:rPr>
            </w:pPr>
            <w:r>
              <w:rPr>
                <w:rFonts w:cs="Arial"/>
                <w:color w:val="000000"/>
                <w:sz w:val="22"/>
                <w:szCs w:val="22"/>
              </w:rPr>
              <w:t>2-4%</w:t>
            </w:r>
          </w:p>
        </w:tc>
        <w:tc>
          <w:tcPr>
            <w:tcW w:w="717" w:type="pct"/>
            <w:vAlign w:val="center"/>
          </w:tcPr>
          <w:p w14:paraId="2657C08D" w14:textId="5A41DEA1" w:rsidR="00066699" w:rsidRPr="00FA4DC7" w:rsidRDefault="00066699" w:rsidP="00066699">
            <w:pPr>
              <w:jc w:val="center"/>
              <w:rPr>
                <w:rFonts w:cs="Arial"/>
                <w:color w:val="000000"/>
                <w:sz w:val="22"/>
                <w:szCs w:val="22"/>
              </w:rPr>
            </w:pPr>
            <w:r>
              <w:rPr>
                <w:rFonts w:cs="Arial"/>
                <w:color w:val="000000"/>
                <w:sz w:val="22"/>
                <w:szCs w:val="22"/>
              </w:rPr>
              <w:t>1-3%</w:t>
            </w:r>
          </w:p>
        </w:tc>
        <w:tc>
          <w:tcPr>
            <w:tcW w:w="717" w:type="pct"/>
            <w:vAlign w:val="center"/>
          </w:tcPr>
          <w:p w14:paraId="0F8297EC" w14:textId="1716131C" w:rsidR="00066699" w:rsidRPr="00FA4DC7" w:rsidRDefault="00066699" w:rsidP="00066699">
            <w:pPr>
              <w:jc w:val="center"/>
              <w:rPr>
                <w:rFonts w:cs="Arial"/>
                <w:color w:val="000000"/>
                <w:sz w:val="22"/>
                <w:szCs w:val="22"/>
              </w:rPr>
            </w:pPr>
            <w:r>
              <w:rPr>
                <w:rFonts w:cs="Arial"/>
                <w:color w:val="000000"/>
                <w:sz w:val="22"/>
                <w:szCs w:val="22"/>
              </w:rPr>
              <w:t>0-2%</w:t>
            </w:r>
          </w:p>
        </w:tc>
        <w:tc>
          <w:tcPr>
            <w:tcW w:w="679" w:type="pct"/>
            <w:vAlign w:val="bottom"/>
          </w:tcPr>
          <w:p w14:paraId="200B0324" w14:textId="0E630E4C" w:rsidR="00066699" w:rsidRPr="00FA4DC7" w:rsidRDefault="00066699" w:rsidP="00066699">
            <w:pPr>
              <w:jc w:val="center"/>
              <w:rPr>
                <w:rFonts w:cs="Arial"/>
                <w:color w:val="000000"/>
                <w:sz w:val="22"/>
                <w:szCs w:val="22"/>
              </w:rPr>
            </w:pPr>
            <w:r>
              <w:rPr>
                <w:rFonts w:cs="Arial"/>
                <w:color w:val="000000"/>
                <w:sz w:val="22"/>
                <w:szCs w:val="22"/>
              </w:rPr>
              <w:t>2-4%</w:t>
            </w:r>
          </w:p>
        </w:tc>
      </w:tr>
      <w:tr w:rsidR="00CE1BDB" w:rsidRPr="00FA4DC7" w14:paraId="5376EA4E" w14:textId="77777777" w:rsidTr="00CB100F">
        <w:tc>
          <w:tcPr>
            <w:tcW w:w="2236" w:type="pct"/>
            <w:shd w:val="clear" w:color="auto" w:fill="006666"/>
            <w:noWrap/>
            <w:vAlign w:val="bottom"/>
            <w:hideMark/>
          </w:tcPr>
          <w:p w14:paraId="294073D1" w14:textId="77777777" w:rsidR="00CE1BDB" w:rsidRPr="00FA4DC7" w:rsidRDefault="00CE1BDB" w:rsidP="00EF49A7">
            <w:pPr>
              <w:rPr>
                <w:rFonts w:cs="Arial"/>
                <w:b/>
                <w:bCs/>
                <w:color w:val="FFFFFF"/>
                <w:sz w:val="22"/>
                <w:szCs w:val="22"/>
              </w:rPr>
            </w:pPr>
            <w:r w:rsidRPr="00FA4DC7">
              <w:rPr>
                <w:rFonts w:cs="Arial"/>
                <w:b/>
                <w:bCs/>
                <w:color w:val="FFFFFF"/>
                <w:sz w:val="22"/>
                <w:szCs w:val="22"/>
              </w:rPr>
              <w:t>Dwelling type</w:t>
            </w:r>
          </w:p>
        </w:tc>
        <w:tc>
          <w:tcPr>
            <w:tcW w:w="650" w:type="pct"/>
            <w:shd w:val="clear" w:color="auto" w:fill="006666"/>
            <w:vAlign w:val="bottom"/>
          </w:tcPr>
          <w:p w14:paraId="28A7E6B4"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Market</w:t>
            </w:r>
          </w:p>
        </w:tc>
        <w:tc>
          <w:tcPr>
            <w:tcW w:w="717" w:type="pct"/>
            <w:shd w:val="clear" w:color="auto" w:fill="006666"/>
            <w:vAlign w:val="bottom"/>
          </w:tcPr>
          <w:p w14:paraId="4C4A4FB2"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Affordable Rented</w:t>
            </w:r>
          </w:p>
        </w:tc>
        <w:tc>
          <w:tcPr>
            <w:tcW w:w="717" w:type="pct"/>
            <w:shd w:val="clear" w:color="auto" w:fill="006666"/>
            <w:vAlign w:val="bottom"/>
          </w:tcPr>
          <w:p w14:paraId="59E0445E"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Affordable home ownership</w:t>
            </w:r>
          </w:p>
        </w:tc>
        <w:tc>
          <w:tcPr>
            <w:tcW w:w="679" w:type="pct"/>
            <w:shd w:val="clear" w:color="auto" w:fill="006666"/>
            <w:vAlign w:val="bottom"/>
          </w:tcPr>
          <w:p w14:paraId="0BABA8C9"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Overall range</w:t>
            </w:r>
          </w:p>
        </w:tc>
      </w:tr>
      <w:tr w:rsidR="00066699" w:rsidRPr="00FA4DC7" w14:paraId="0FC42B64" w14:textId="77777777" w:rsidTr="00CB100F">
        <w:tc>
          <w:tcPr>
            <w:tcW w:w="2236" w:type="pct"/>
            <w:shd w:val="clear" w:color="auto" w:fill="auto"/>
            <w:noWrap/>
            <w:vAlign w:val="center"/>
            <w:hideMark/>
          </w:tcPr>
          <w:p w14:paraId="14079086" w14:textId="77777777" w:rsidR="00066699" w:rsidRPr="00FA4DC7" w:rsidRDefault="00066699" w:rsidP="00066699">
            <w:pPr>
              <w:rPr>
                <w:rFonts w:cs="Arial"/>
                <w:color w:val="000000"/>
                <w:sz w:val="22"/>
                <w:szCs w:val="22"/>
              </w:rPr>
            </w:pPr>
            <w:r w:rsidRPr="00FA4DC7">
              <w:rPr>
                <w:rFonts w:cs="Arial"/>
                <w:color w:val="000000"/>
                <w:sz w:val="22"/>
                <w:szCs w:val="22"/>
              </w:rPr>
              <w:t>House</w:t>
            </w:r>
          </w:p>
        </w:tc>
        <w:tc>
          <w:tcPr>
            <w:tcW w:w="650" w:type="pct"/>
            <w:vAlign w:val="center"/>
          </w:tcPr>
          <w:p w14:paraId="01402486" w14:textId="2C8C8D86" w:rsidR="00066699" w:rsidRPr="00FA4DC7" w:rsidRDefault="00066699" w:rsidP="00066699">
            <w:pPr>
              <w:jc w:val="center"/>
              <w:rPr>
                <w:rFonts w:cs="Arial"/>
                <w:color w:val="000000"/>
                <w:sz w:val="22"/>
                <w:szCs w:val="22"/>
              </w:rPr>
            </w:pPr>
            <w:r>
              <w:rPr>
                <w:rFonts w:cs="Arial"/>
                <w:color w:val="000000"/>
                <w:sz w:val="22"/>
                <w:szCs w:val="22"/>
              </w:rPr>
              <w:t>75-80%</w:t>
            </w:r>
          </w:p>
        </w:tc>
        <w:tc>
          <w:tcPr>
            <w:tcW w:w="717" w:type="pct"/>
            <w:vAlign w:val="center"/>
          </w:tcPr>
          <w:p w14:paraId="14C5D2DE" w14:textId="467DDD6D" w:rsidR="00066699" w:rsidRPr="00FA4DC7" w:rsidRDefault="00066699" w:rsidP="00066699">
            <w:pPr>
              <w:jc w:val="center"/>
              <w:rPr>
                <w:rFonts w:cs="Arial"/>
                <w:color w:val="000000"/>
                <w:sz w:val="22"/>
                <w:szCs w:val="22"/>
              </w:rPr>
            </w:pPr>
            <w:r>
              <w:rPr>
                <w:rFonts w:cs="Arial"/>
                <w:color w:val="000000"/>
                <w:sz w:val="22"/>
                <w:szCs w:val="22"/>
              </w:rPr>
              <w:t>25-30%</w:t>
            </w:r>
          </w:p>
        </w:tc>
        <w:tc>
          <w:tcPr>
            <w:tcW w:w="717" w:type="pct"/>
            <w:vAlign w:val="center"/>
          </w:tcPr>
          <w:p w14:paraId="04374C3F" w14:textId="7100BA1E" w:rsidR="00066699" w:rsidRPr="00FA4DC7" w:rsidRDefault="00066699" w:rsidP="00066699">
            <w:pPr>
              <w:jc w:val="center"/>
              <w:rPr>
                <w:rFonts w:cs="Arial"/>
                <w:color w:val="000000"/>
                <w:sz w:val="22"/>
                <w:szCs w:val="22"/>
              </w:rPr>
            </w:pPr>
            <w:r>
              <w:rPr>
                <w:rFonts w:cs="Arial"/>
                <w:color w:val="000000"/>
                <w:sz w:val="22"/>
                <w:szCs w:val="22"/>
              </w:rPr>
              <w:t>20-25%</w:t>
            </w:r>
          </w:p>
        </w:tc>
        <w:tc>
          <w:tcPr>
            <w:tcW w:w="679" w:type="pct"/>
            <w:vAlign w:val="center"/>
          </w:tcPr>
          <w:p w14:paraId="5874B157" w14:textId="0EE849B3" w:rsidR="00066699" w:rsidRPr="00FA4DC7" w:rsidRDefault="00066699" w:rsidP="00066699">
            <w:pPr>
              <w:jc w:val="center"/>
              <w:rPr>
                <w:rFonts w:cs="Arial"/>
                <w:color w:val="000000"/>
                <w:sz w:val="22"/>
                <w:szCs w:val="22"/>
              </w:rPr>
            </w:pPr>
            <w:r>
              <w:rPr>
                <w:rFonts w:cs="Arial"/>
                <w:color w:val="000000"/>
                <w:sz w:val="22"/>
                <w:szCs w:val="22"/>
              </w:rPr>
              <w:t>60-65%</w:t>
            </w:r>
          </w:p>
        </w:tc>
      </w:tr>
      <w:tr w:rsidR="00066699" w:rsidRPr="00FA4DC7" w14:paraId="0BB2E7B5" w14:textId="77777777" w:rsidTr="00CB100F">
        <w:tc>
          <w:tcPr>
            <w:tcW w:w="2236" w:type="pct"/>
            <w:shd w:val="clear" w:color="auto" w:fill="auto"/>
            <w:noWrap/>
            <w:vAlign w:val="center"/>
            <w:hideMark/>
          </w:tcPr>
          <w:p w14:paraId="73C14FC6" w14:textId="77777777" w:rsidR="00066699" w:rsidRPr="00FA4DC7" w:rsidRDefault="00066699" w:rsidP="00066699">
            <w:pPr>
              <w:rPr>
                <w:rFonts w:cs="Arial"/>
                <w:color w:val="000000"/>
                <w:sz w:val="22"/>
                <w:szCs w:val="22"/>
              </w:rPr>
            </w:pPr>
            <w:r w:rsidRPr="00FA4DC7">
              <w:rPr>
                <w:rFonts w:cs="Arial"/>
                <w:color w:val="000000"/>
                <w:sz w:val="22"/>
                <w:szCs w:val="22"/>
              </w:rPr>
              <w:t>Flat</w:t>
            </w:r>
          </w:p>
        </w:tc>
        <w:tc>
          <w:tcPr>
            <w:tcW w:w="650" w:type="pct"/>
            <w:vAlign w:val="center"/>
          </w:tcPr>
          <w:p w14:paraId="5A1E64D3" w14:textId="01807033" w:rsidR="00066699" w:rsidRPr="00FA4DC7" w:rsidRDefault="00066699" w:rsidP="00066699">
            <w:pPr>
              <w:jc w:val="center"/>
              <w:rPr>
                <w:rFonts w:cs="Arial"/>
                <w:color w:val="000000"/>
                <w:sz w:val="22"/>
                <w:szCs w:val="22"/>
              </w:rPr>
            </w:pPr>
            <w:r>
              <w:rPr>
                <w:rFonts w:cs="Arial"/>
                <w:color w:val="000000"/>
                <w:sz w:val="22"/>
                <w:szCs w:val="22"/>
              </w:rPr>
              <w:t>10-15%</w:t>
            </w:r>
          </w:p>
        </w:tc>
        <w:tc>
          <w:tcPr>
            <w:tcW w:w="717" w:type="pct"/>
            <w:vAlign w:val="center"/>
          </w:tcPr>
          <w:p w14:paraId="5B0EE345" w14:textId="088CFCF4" w:rsidR="00066699" w:rsidRPr="00FA4DC7" w:rsidRDefault="00066699" w:rsidP="00066699">
            <w:pPr>
              <w:jc w:val="center"/>
              <w:rPr>
                <w:rFonts w:cs="Arial"/>
                <w:color w:val="000000"/>
                <w:sz w:val="22"/>
                <w:szCs w:val="22"/>
              </w:rPr>
            </w:pPr>
            <w:r>
              <w:rPr>
                <w:rFonts w:cs="Arial"/>
                <w:color w:val="000000"/>
                <w:sz w:val="22"/>
                <w:szCs w:val="22"/>
              </w:rPr>
              <w:t>70-75%</w:t>
            </w:r>
          </w:p>
        </w:tc>
        <w:tc>
          <w:tcPr>
            <w:tcW w:w="717" w:type="pct"/>
            <w:vAlign w:val="center"/>
          </w:tcPr>
          <w:p w14:paraId="6531A821" w14:textId="1D2BBC4E" w:rsidR="00066699" w:rsidRPr="00FA4DC7" w:rsidRDefault="00066699" w:rsidP="00066699">
            <w:pPr>
              <w:jc w:val="center"/>
              <w:rPr>
                <w:rFonts w:cs="Arial"/>
                <w:color w:val="000000"/>
                <w:sz w:val="22"/>
                <w:szCs w:val="22"/>
              </w:rPr>
            </w:pPr>
            <w:r>
              <w:rPr>
                <w:rFonts w:cs="Arial"/>
                <w:color w:val="000000"/>
                <w:sz w:val="22"/>
                <w:szCs w:val="22"/>
              </w:rPr>
              <w:t>75-80%</w:t>
            </w:r>
          </w:p>
        </w:tc>
        <w:tc>
          <w:tcPr>
            <w:tcW w:w="679" w:type="pct"/>
            <w:vAlign w:val="center"/>
          </w:tcPr>
          <w:p w14:paraId="3D0BE091" w14:textId="096912E2" w:rsidR="00066699" w:rsidRPr="00FA4DC7" w:rsidRDefault="00066699" w:rsidP="00066699">
            <w:pPr>
              <w:jc w:val="center"/>
              <w:rPr>
                <w:rFonts w:cs="Arial"/>
                <w:color w:val="000000"/>
                <w:sz w:val="22"/>
                <w:szCs w:val="22"/>
              </w:rPr>
            </w:pPr>
            <w:r>
              <w:rPr>
                <w:rFonts w:cs="Arial"/>
                <w:color w:val="000000"/>
                <w:sz w:val="22"/>
                <w:szCs w:val="22"/>
              </w:rPr>
              <w:t>30-35%</w:t>
            </w:r>
          </w:p>
        </w:tc>
      </w:tr>
      <w:tr w:rsidR="00066699" w:rsidRPr="00FA4DC7" w14:paraId="26F6389E" w14:textId="77777777" w:rsidTr="00CB100F">
        <w:tc>
          <w:tcPr>
            <w:tcW w:w="2236" w:type="pct"/>
            <w:shd w:val="clear" w:color="auto" w:fill="auto"/>
            <w:noWrap/>
            <w:vAlign w:val="center"/>
            <w:hideMark/>
          </w:tcPr>
          <w:p w14:paraId="696FB3BD" w14:textId="77777777" w:rsidR="00066699" w:rsidRPr="00FA4DC7" w:rsidRDefault="00066699" w:rsidP="00066699">
            <w:pPr>
              <w:rPr>
                <w:rFonts w:cs="Arial"/>
                <w:color w:val="000000"/>
                <w:sz w:val="22"/>
                <w:szCs w:val="22"/>
              </w:rPr>
            </w:pPr>
            <w:r w:rsidRPr="00FA4DC7">
              <w:rPr>
                <w:rFonts w:cs="Arial"/>
                <w:color w:val="000000"/>
                <w:sz w:val="22"/>
                <w:szCs w:val="22"/>
              </w:rPr>
              <w:t>Bungalow/level-access</w:t>
            </w:r>
          </w:p>
        </w:tc>
        <w:tc>
          <w:tcPr>
            <w:tcW w:w="650" w:type="pct"/>
            <w:vAlign w:val="center"/>
          </w:tcPr>
          <w:p w14:paraId="7D4F4135" w14:textId="461548B1" w:rsidR="00066699" w:rsidRPr="00FA4DC7" w:rsidRDefault="00066699" w:rsidP="00066699">
            <w:pPr>
              <w:jc w:val="center"/>
              <w:rPr>
                <w:rFonts w:cs="Arial"/>
                <w:color w:val="000000"/>
                <w:sz w:val="22"/>
                <w:szCs w:val="22"/>
              </w:rPr>
            </w:pPr>
            <w:r>
              <w:rPr>
                <w:rFonts w:cs="Arial"/>
                <w:color w:val="000000"/>
                <w:sz w:val="22"/>
                <w:szCs w:val="22"/>
              </w:rPr>
              <w:t>5-10%</w:t>
            </w:r>
          </w:p>
        </w:tc>
        <w:tc>
          <w:tcPr>
            <w:tcW w:w="717" w:type="pct"/>
            <w:vAlign w:val="center"/>
          </w:tcPr>
          <w:p w14:paraId="64858F81" w14:textId="444FCC54" w:rsidR="00066699" w:rsidRPr="00FA4DC7" w:rsidRDefault="00066699" w:rsidP="00066699">
            <w:pPr>
              <w:jc w:val="center"/>
              <w:rPr>
                <w:rFonts w:cs="Arial"/>
                <w:color w:val="000000"/>
                <w:sz w:val="22"/>
                <w:szCs w:val="22"/>
              </w:rPr>
            </w:pPr>
            <w:r>
              <w:rPr>
                <w:rFonts w:cs="Arial"/>
                <w:color w:val="000000"/>
                <w:sz w:val="22"/>
                <w:szCs w:val="22"/>
              </w:rPr>
              <w:t>1-3%</w:t>
            </w:r>
          </w:p>
        </w:tc>
        <w:tc>
          <w:tcPr>
            <w:tcW w:w="717" w:type="pct"/>
            <w:vAlign w:val="center"/>
          </w:tcPr>
          <w:p w14:paraId="72DF2E70" w14:textId="7BC51F02" w:rsidR="00066699" w:rsidRPr="00FA4DC7" w:rsidRDefault="00066699" w:rsidP="00066699">
            <w:pPr>
              <w:jc w:val="center"/>
              <w:rPr>
                <w:rFonts w:cs="Arial"/>
                <w:color w:val="000000"/>
                <w:sz w:val="22"/>
                <w:szCs w:val="22"/>
              </w:rPr>
            </w:pPr>
            <w:r>
              <w:rPr>
                <w:rFonts w:cs="Arial"/>
                <w:color w:val="000000"/>
                <w:sz w:val="22"/>
                <w:szCs w:val="22"/>
              </w:rPr>
              <w:t>1-5%</w:t>
            </w:r>
          </w:p>
        </w:tc>
        <w:tc>
          <w:tcPr>
            <w:tcW w:w="679" w:type="pct"/>
            <w:vAlign w:val="center"/>
          </w:tcPr>
          <w:p w14:paraId="77057213" w14:textId="4084FD4E" w:rsidR="00066699" w:rsidRPr="00FA4DC7" w:rsidRDefault="00066699" w:rsidP="00066699">
            <w:pPr>
              <w:jc w:val="center"/>
              <w:rPr>
                <w:rFonts w:cs="Arial"/>
                <w:color w:val="000000"/>
                <w:sz w:val="22"/>
                <w:szCs w:val="22"/>
              </w:rPr>
            </w:pPr>
            <w:r>
              <w:rPr>
                <w:rFonts w:cs="Arial"/>
                <w:color w:val="000000"/>
                <w:sz w:val="22"/>
                <w:szCs w:val="22"/>
              </w:rPr>
              <w:t>5-50%</w:t>
            </w:r>
          </w:p>
        </w:tc>
      </w:tr>
      <w:tr w:rsidR="00CE1BDB" w:rsidRPr="00FA4DC7" w14:paraId="6A79B32A" w14:textId="77777777" w:rsidTr="00CB100F">
        <w:tc>
          <w:tcPr>
            <w:tcW w:w="2236" w:type="pct"/>
            <w:shd w:val="clear" w:color="auto" w:fill="006666"/>
            <w:noWrap/>
            <w:vAlign w:val="bottom"/>
            <w:hideMark/>
          </w:tcPr>
          <w:p w14:paraId="4EE6C6A9" w14:textId="77777777" w:rsidR="00CE1BDB" w:rsidRPr="00FA4DC7" w:rsidRDefault="00CE1BDB" w:rsidP="00EF49A7">
            <w:pPr>
              <w:rPr>
                <w:rFonts w:cs="Arial"/>
                <w:b/>
                <w:bCs/>
                <w:color w:val="FFFFFF"/>
                <w:sz w:val="22"/>
                <w:szCs w:val="22"/>
              </w:rPr>
            </w:pPr>
            <w:r w:rsidRPr="00FA4DC7">
              <w:rPr>
                <w:rFonts w:cs="Arial"/>
                <w:b/>
                <w:bCs/>
                <w:color w:val="FFFFFF"/>
                <w:sz w:val="22"/>
                <w:szCs w:val="22"/>
              </w:rPr>
              <w:t>Number of bedrooms</w:t>
            </w:r>
          </w:p>
        </w:tc>
        <w:tc>
          <w:tcPr>
            <w:tcW w:w="650" w:type="pct"/>
            <w:shd w:val="clear" w:color="auto" w:fill="006666"/>
            <w:vAlign w:val="bottom"/>
          </w:tcPr>
          <w:p w14:paraId="06602341"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Market</w:t>
            </w:r>
          </w:p>
        </w:tc>
        <w:tc>
          <w:tcPr>
            <w:tcW w:w="717" w:type="pct"/>
            <w:shd w:val="clear" w:color="auto" w:fill="006666"/>
            <w:vAlign w:val="bottom"/>
          </w:tcPr>
          <w:p w14:paraId="313530A2"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Affordable Rented</w:t>
            </w:r>
          </w:p>
        </w:tc>
        <w:tc>
          <w:tcPr>
            <w:tcW w:w="717" w:type="pct"/>
            <w:shd w:val="clear" w:color="auto" w:fill="006666"/>
            <w:vAlign w:val="bottom"/>
          </w:tcPr>
          <w:p w14:paraId="60977D48"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Affordable home ownership</w:t>
            </w:r>
          </w:p>
        </w:tc>
        <w:tc>
          <w:tcPr>
            <w:tcW w:w="679" w:type="pct"/>
            <w:shd w:val="clear" w:color="auto" w:fill="006666"/>
            <w:vAlign w:val="bottom"/>
          </w:tcPr>
          <w:p w14:paraId="2EAE2978" w14:textId="77777777" w:rsidR="00CE1BDB" w:rsidRPr="00FA4DC7" w:rsidRDefault="00CE1BDB" w:rsidP="00CB100F">
            <w:pPr>
              <w:jc w:val="center"/>
              <w:rPr>
                <w:rFonts w:cs="Arial"/>
                <w:b/>
                <w:bCs/>
                <w:color w:val="FFFFFF"/>
                <w:sz w:val="22"/>
                <w:szCs w:val="22"/>
              </w:rPr>
            </w:pPr>
            <w:r w:rsidRPr="00FA4DC7">
              <w:rPr>
                <w:rFonts w:cs="Arial"/>
                <w:b/>
                <w:bCs/>
                <w:color w:val="FFFFFF"/>
                <w:sz w:val="22"/>
                <w:szCs w:val="22"/>
              </w:rPr>
              <w:t>Overall range</w:t>
            </w:r>
          </w:p>
        </w:tc>
      </w:tr>
      <w:tr w:rsidR="00066699" w:rsidRPr="00FA4DC7" w14:paraId="25FE9E2E" w14:textId="77777777" w:rsidTr="00CB100F">
        <w:tc>
          <w:tcPr>
            <w:tcW w:w="2236" w:type="pct"/>
            <w:shd w:val="clear" w:color="auto" w:fill="auto"/>
            <w:noWrap/>
            <w:vAlign w:val="center"/>
            <w:hideMark/>
          </w:tcPr>
          <w:p w14:paraId="59DB328A" w14:textId="77777777" w:rsidR="00066699" w:rsidRPr="00FA4DC7" w:rsidRDefault="00066699" w:rsidP="00CB100F">
            <w:pPr>
              <w:jc w:val="center"/>
              <w:rPr>
                <w:rFonts w:cs="Arial"/>
                <w:color w:val="000000"/>
                <w:sz w:val="22"/>
                <w:szCs w:val="22"/>
              </w:rPr>
            </w:pPr>
            <w:r w:rsidRPr="00FA4DC7">
              <w:rPr>
                <w:rFonts w:cs="Arial"/>
                <w:color w:val="000000"/>
                <w:sz w:val="22"/>
                <w:szCs w:val="22"/>
              </w:rPr>
              <w:t>1</w:t>
            </w:r>
          </w:p>
        </w:tc>
        <w:tc>
          <w:tcPr>
            <w:tcW w:w="650" w:type="pct"/>
            <w:vAlign w:val="center"/>
          </w:tcPr>
          <w:p w14:paraId="492EC1A2" w14:textId="02E50C06" w:rsidR="00066699" w:rsidRPr="00FA4DC7" w:rsidRDefault="00066699" w:rsidP="00066699">
            <w:pPr>
              <w:jc w:val="center"/>
              <w:rPr>
                <w:rFonts w:cs="Arial"/>
                <w:color w:val="000000"/>
                <w:sz w:val="22"/>
                <w:szCs w:val="22"/>
              </w:rPr>
            </w:pPr>
            <w:r>
              <w:rPr>
                <w:rFonts w:cs="Arial"/>
                <w:color w:val="000000"/>
                <w:sz w:val="22"/>
                <w:szCs w:val="22"/>
              </w:rPr>
              <w:t>5-10%</w:t>
            </w:r>
          </w:p>
        </w:tc>
        <w:tc>
          <w:tcPr>
            <w:tcW w:w="717" w:type="pct"/>
            <w:vAlign w:val="center"/>
          </w:tcPr>
          <w:p w14:paraId="21C7341A" w14:textId="44B06009" w:rsidR="00066699" w:rsidRPr="00FA4DC7" w:rsidRDefault="00066699" w:rsidP="00066699">
            <w:pPr>
              <w:jc w:val="center"/>
              <w:rPr>
                <w:rFonts w:cs="Arial"/>
                <w:color w:val="000000"/>
                <w:sz w:val="22"/>
                <w:szCs w:val="22"/>
              </w:rPr>
            </w:pPr>
            <w:r>
              <w:rPr>
                <w:rFonts w:cs="Arial"/>
                <w:color w:val="000000"/>
                <w:sz w:val="22"/>
                <w:szCs w:val="22"/>
              </w:rPr>
              <w:t>20-25%</w:t>
            </w:r>
          </w:p>
        </w:tc>
        <w:tc>
          <w:tcPr>
            <w:tcW w:w="717" w:type="pct"/>
            <w:vAlign w:val="center"/>
          </w:tcPr>
          <w:p w14:paraId="72269186" w14:textId="52B36D7C" w:rsidR="00066699" w:rsidRPr="00FA4DC7" w:rsidRDefault="00066699" w:rsidP="00066699">
            <w:pPr>
              <w:jc w:val="center"/>
              <w:rPr>
                <w:rFonts w:cs="Arial"/>
                <w:color w:val="000000"/>
                <w:sz w:val="22"/>
                <w:szCs w:val="22"/>
              </w:rPr>
            </w:pPr>
            <w:r>
              <w:rPr>
                <w:rFonts w:cs="Arial"/>
                <w:color w:val="000000"/>
                <w:sz w:val="22"/>
                <w:szCs w:val="22"/>
              </w:rPr>
              <w:t>20-25%</w:t>
            </w:r>
          </w:p>
        </w:tc>
        <w:tc>
          <w:tcPr>
            <w:tcW w:w="679" w:type="pct"/>
            <w:vAlign w:val="center"/>
          </w:tcPr>
          <w:p w14:paraId="4CA9B7D7" w14:textId="5CBF992C" w:rsidR="00066699" w:rsidRPr="00FA4DC7" w:rsidRDefault="00066699" w:rsidP="00066699">
            <w:pPr>
              <w:jc w:val="center"/>
              <w:rPr>
                <w:rFonts w:cs="Arial"/>
                <w:color w:val="000000"/>
                <w:sz w:val="22"/>
                <w:szCs w:val="22"/>
              </w:rPr>
            </w:pPr>
            <w:r>
              <w:rPr>
                <w:rFonts w:cs="Arial"/>
                <w:color w:val="000000"/>
                <w:sz w:val="22"/>
                <w:szCs w:val="22"/>
              </w:rPr>
              <w:t>15-20%</w:t>
            </w:r>
          </w:p>
        </w:tc>
      </w:tr>
      <w:tr w:rsidR="00066699" w:rsidRPr="00FA4DC7" w14:paraId="5A94EF46" w14:textId="77777777" w:rsidTr="00CB100F">
        <w:tc>
          <w:tcPr>
            <w:tcW w:w="2236" w:type="pct"/>
            <w:shd w:val="clear" w:color="auto" w:fill="auto"/>
            <w:noWrap/>
            <w:vAlign w:val="center"/>
            <w:hideMark/>
          </w:tcPr>
          <w:p w14:paraId="340713D8" w14:textId="77777777" w:rsidR="00066699" w:rsidRPr="00FA4DC7" w:rsidRDefault="00066699" w:rsidP="00CB100F">
            <w:pPr>
              <w:jc w:val="center"/>
              <w:rPr>
                <w:rFonts w:cs="Arial"/>
                <w:color w:val="000000"/>
                <w:sz w:val="22"/>
                <w:szCs w:val="22"/>
              </w:rPr>
            </w:pPr>
            <w:r w:rsidRPr="00FA4DC7">
              <w:rPr>
                <w:rFonts w:cs="Arial"/>
                <w:color w:val="000000"/>
                <w:sz w:val="22"/>
                <w:szCs w:val="22"/>
              </w:rPr>
              <w:t>2</w:t>
            </w:r>
          </w:p>
        </w:tc>
        <w:tc>
          <w:tcPr>
            <w:tcW w:w="650" w:type="pct"/>
            <w:vAlign w:val="center"/>
          </w:tcPr>
          <w:p w14:paraId="0E9103BD" w14:textId="45F889B0" w:rsidR="00066699" w:rsidRPr="00FA4DC7" w:rsidRDefault="00066699" w:rsidP="00066699">
            <w:pPr>
              <w:jc w:val="center"/>
              <w:rPr>
                <w:rFonts w:cs="Arial"/>
                <w:color w:val="000000"/>
                <w:sz w:val="22"/>
                <w:szCs w:val="22"/>
              </w:rPr>
            </w:pPr>
            <w:r>
              <w:rPr>
                <w:rFonts w:cs="Arial"/>
                <w:color w:val="000000"/>
                <w:sz w:val="22"/>
                <w:szCs w:val="22"/>
              </w:rPr>
              <w:t>30-35%</w:t>
            </w:r>
          </w:p>
        </w:tc>
        <w:tc>
          <w:tcPr>
            <w:tcW w:w="717" w:type="pct"/>
            <w:vAlign w:val="center"/>
          </w:tcPr>
          <w:p w14:paraId="6C491AF6" w14:textId="70B2B83F" w:rsidR="00066699" w:rsidRPr="00FA4DC7" w:rsidRDefault="00066699" w:rsidP="00066699">
            <w:pPr>
              <w:jc w:val="center"/>
              <w:rPr>
                <w:rFonts w:cs="Arial"/>
                <w:color w:val="000000"/>
                <w:sz w:val="22"/>
                <w:szCs w:val="22"/>
              </w:rPr>
            </w:pPr>
            <w:r>
              <w:rPr>
                <w:rFonts w:cs="Arial"/>
                <w:color w:val="000000"/>
                <w:sz w:val="22"/>
                <w:szCs w:val="22"/>
              </w:rPr>
              <w:t>30-35%</w:t>
            </w:r>
          </w:p>
        </w:tc>
        <w:tc>
          <w:tcPr>
            <w:tcW w:w="717" w:type="pct"/>
            <w:vAlign w:val="center"/>
          </w:tcPr>
          <w:p w14:paraId="4B9C3D23" w14:textId="78FA7935" w:rsidR="00066699" w:rsidRPr="00FA4DC7" w:rsidRDefault="00066699" w:rsidP="00066699">
            <w:pPr>
              <w:jc w:val="center"/>
              <w:rPr>
                <w:rFonts w:cs="Arial"/>
                <w:color w:val="000000"/>
                <w:sz w:val="22"/>
                <w:szCs w:val="22"/>
              </w:rPr>
            </w:pPr>
            <w:r>
              <w:rPr>
                <w:rFonts w:cs="Arial"/>
                <w:color w:val="000000"/>
                <w:sz w:val="22"/>
                <w:szCs w:val="22"/>
              </w:rPr>
              <w:t>70-75%</w:t>
            </w:r>
          </w:p>
        </w:tc>
        <w:tc>
          <w:tcPr>
            <w:tcW w:w="679" w:type="pct"/>
            <w:vAlign w:val="center"/>
          </w:tcPr>
          <w:p w14:paraId="43E2459A" w14:textId="3D3E7FA9" w:rsidR="00066699" w:rsidRPr="00FA4DC7" w:rsidRDefault="00066699" w:rsidP="00066699">
            <w:pPr>
              <w:jc w:val="center"/>
              <w:rPr>
                <w:rFonts w:cs="Arial"/>
                <w:color w:val="000000"/>
                <w:sz w:val="22"/>
                <w:szCs w:val="22"/>
              </w:rPr>
            </w:pPr>
            <w:r>
              <w:rPr>
                <w:rFonts w:cs="Arial"/>
                <w:color w:val="000000"/>
                <w:sz w:val="22"/>
                <w:szCs w:val="22"/>
              </w:rPr>
              <w:t>40-45%</w:t>
            </w:r>
          </w:p>
        </w:tc>
      </w:tr>
      <w:tr w:rsidR="00066699" w:rsidRPr="00FA4DC7" w14:paraId="1808D9E8" w14:textId="77777777" w:rsidTr="00CB100F">
        <w:tc>
          <w:tcPr>
            <w:tcW w:w="2236" w:type="pct"/>
            <w:shd w:val="clear" w:color="auto" w:fill="auto"/>
            <w:noWrap/>
            <w:vAlign w:val="center"/>
            <w:hideMark/>
          </w:tcPr>
          <w:p w14:paraId="1EAC3177" w14:textId="77777777" w:rsidR="00066699" w:rsidRPr="00FA4DC7" w:rsidRDefault="00066699" w:rsidP="00CB100F">
            <w:pPr>
              <w:jc w:val="center"/>
              <w:rPr>
                <w:rFonts w:cs="Arial"/>
                <w:color w:val="000000"/>
                <w:sz w:val="22"/>
                <w:szCs w:val="22"/>
              </w:rPr>
            </w:pPr>
            <w:r w:rsidRPr="00FA4DC7">
              <w:rPr>
                <w:rFonts w:cs="Arial"/>
                <w:color w:val="000000"/>
                <w:sz w:val="22"/>
                <w:szCs w:val="22"/>
              </w:rPr>
              <w:t>3</w:t>
            </w:r>
          </w:p>
        </w:tc>
        <w:tc>
          <w:tcPr>
            <w:tcW w:w="650" w:type="pct"/>
            <w:vAlign w:val="center"/>
          </w:tcPr>
          <w:p w14:paraId="4EF25E53" w14:textId="1E59F541" w:rsidR="00066699" w:rsidRPr="00FA4DC7" w:rsidRDefault="00066699" w:rsidP="00066699">
            <w:pPr>
              <w:jc w:val="center"/>
              <w:rPr>
                <w:rFonts w:cs="Arial"/>
                <w:color w:val="000000"/>
                <w:sz w:val="22"/>
                <w:szCs w:val="22"/>
              </w:rPr>
            </w:pPr>
            <w:r>
              <w:rPr>
                <w:rFonts w:cs="Arial"/>
                <w:color w:val="000000"/>
                <w:sz w:val="22"/>
                <w:szCs w:val="22"/>
              </w:rPr>
              <w:t>40-45%</w:t>
            </w:r>
          </w:p>
        </w:tc>
        <w:tc>
          <w:tcPr>
            <w:tcW w:w="717" w:type="pct"/>
            <w:vAlign w:val="center"/>
          </w:tcPr>
          <w:p w14:paraId="4319638E" w14:textId="53626CCA" w:rsidR="00066699" w:rsidRPr="00FA4DC7" w:rsidRDefault="00066699" w:rsidP="00066699">
            <w:pPr>
              <w:jc w:val="center"/>
              <w:rPr>
                <w:rFonts w:cs="Arial"/>
                <w:color w:val="000000"/>
                <w:sz w:val="22"/>
                <w:szCs w:val="22"/>
              </w:rPr>
            </w:pPr>
            <w:r>
              <w:rPr>
                <w:rFonts w:cs="Arial"/>
                <w:color w:val="000000"/>
                <w:sz w:val="22"/>
                <w:szCs w:val="22"/>
              </w:rPr>
              <w:t>25-30%</w:t>
            </w:r>
          </w:p>
        </w:tc>
        <w:tc>
          <w:tcPr>
            <w:tcW w:w="717" w:type="pct"/>
            <w:vAlign w:val="center"/>
          </w:tcPr>
          <w:p w14:paraId="400D0A6A" w14:textId="188FD209" w:rsidR="00066699" w:rsidRPr="00FA4DC7" w:rsidRDefault="00066699" w:rsidP="00066699">
            <w:pPr>
              <w:jc w:val="center"/>
              <w:rPr>
                <w:rFonts w:cs="Arial"/>
                <w:color w:val="000000"/>
                <w:sz w:val="22"/>
                <w:szCs w:val="22"/>
              </w:rPr>
            </w:pPr>
            <w:r>
              <w:rPr>
                <w:rFonts w:cs="Arial"/>
                <w:color w:val="000000"/>
                <w:sz w:val="22"/>
                <w:szCs w:val="22"/>
              </w:rPr>
              <w:t>5-10%</w:t>
            </w:r>
          </w:p>
        </w:tc>
        <w:tc>
          <w:tcPr>
            <w:tcW w:w="679" w:type="pct"/>
            <w:vAlign w:val="center"/>
          </w:tcPr>
          <w:p w14:paraId="4F555774" w14:textId="29A00A76" w:rsidR="00066699" w:rsidRPr="00FA4DC7" w:rsidRDefault="00066699" w:rsidP="00066699">
            <w:pPr>
              <w:jc w:val="center"/>
              <w:rPr>
                <w:rFonts w:cs="Arial"/>
                <w:color w:val="000000"/>
                <w:sz w:val="22"/>
                <w:szCs w:val="22"/>
              </w:rPr>
            </w:pPr>
            <w:r>
              <w:rPr>
                <w:rFonts w:cs="Arial"/>
                <w:color w:val="000000"/>
                <w:sz w:val="22"/>
                <w:szCs w:val="22"/>
              </w:rPr>
              <w:t>25-30%</w:t>
            </w:r>
          </w:p>
        </w:tc>
      </w:tr>
      <w:tr w:rsidR="00066699" w:rsidRPr="00FA4DC7" w14:paraId="27EC3CC8" w14:textId="77777777" w:rsidTr="00CB100F">
        <w:tc>
          <w:tcPr>
            <w:tcW w:w="2236" w:type="pct"/>
            <w:shd w:val="clear" w:color="auto" w:fill="auto"/>
            <w:noWrap/>
            <w:vAlign w:val="center"/>
            <w:hideMark/>
          </w:tcPr>
          <w:p w14:paraId="269C47D0" w14:textId="77777777" w:rsidR="00066699" w:rsidRPr="00FA4DC7" w:rsidRDefault="00066699" w:rsidP="00CB100F">
            <w:pPr>
              <w:jc w:val="center"/>
              <w:rPr>
                <w:rFonts w:cs="Arial"/>
                <w:color w:val="000000"/>
                <w:sz w:val="22"/>
                <w:szCs w:val="22"/>
              </w:rPr>
            </w:pPr>
            <w:r w:rsidRPr="00FA4DC7">
              <w:rPr>
                <w:rFonts w:cs="Arial"/>
                <w:color w:val="000000"/>
                <w:sz w:val="22"/>
                <w:szCs w:val="22"/>
              </w:rPr>
              <w:t>4</w:t>
            </w:r>
          </w:p>
        </w:tc>
        <w:tc>
          <w:tcPr>
            <w:tcW w:w="650" w:type="pct"/>
            <w:vAlign w:val="center"/>
          </w:tcPr>
          <w:p w14:paraId="547BC8AF" w14:textId="460C7ADF" w:rsidR="00066699" w:rsidRPr="00FA4DC7" w:rsidRDefault="00066699" w:rsidP="00066699">
            <w:pPr>
              <w:jc w:val="center"/>
              <w:rPr>
                <w:rFonts w:cs="Arial"/>
                <w:color w:val="000000"/>
                <w:sz w:val="22"/>
                <w:szCs w:val="22"/>
              </w:rPr>
            </w:pPr>
            <w:r>
              <w:rPr>
                <w:rFonts w:cs="Arial"/>
                <w:color w:val="000000"/>
                <w:sz w:val="22"/>
                <w:szCs w:val="22"/>
              </w:rPr>
              <w:t>15-20%</w:t>
            </w:r>
          </w:p>
        </w:tc>
        <w:tc>
          <w:tcPr>
            <w:tcW w:w="717" w:type="pct"/>
            <w:vAlign w:val="center"/>
          </w:tcPr>
          <w:p w14:paraId="2BCEBE69" w14:textId="1387CB2A" w:rsidR="00066699" w:rsidRPr="00FA4DC7" w:rsidRDefault="00066699" w:rsidP="00066699">
            <w:pPr>
              <w:jc w:val="center"/>
              <w:rPr>
                <w:rFonts w:cs="Arial"/>
                <w:color w:val="000000"/>
                <w:sz w:val="22"/>
                <w:szCs w:val="22"/>
              </w:rPr>
            </w:pPr>
            <w:r>
              <w:rPr>
                <w:rFonts w:cs="Arial"/>
                <w:color w:val="000000"/>
                <w:sz w:val="22"/>
                <w:szCs w:val="22"/>
              </w:rPr>
              <w:t>20-25%</w:t>
            </w:r>
          </w:p>
        </w:tc>
        <w:tc>
          <w:tcPr>
            <w:tcW w:w="717" w:type="pct"/>
            <w:vAlign w:val="center"/>
          </w:tcPr>
          <w:p w14:paraId="356B9E02" w14:textId="5143044F" w:rsidR="00066699" w:rsidRPr="00FA4DC7" w:rsidRDefault="00066699" w:rsidP="00066699">
            <w:pPr>
              <w:jc w:val="center"/>
              <w:rPr>
                <w:rFonts w:cs="Arial"/>
                <w:color w:val="000000"/>
                <w:sz w:val="22"/>
                <w:szCs w:val="22"/>
              </w:rPr>
            </w:pPr>
            <w:r>
              <w:rPr>
                <w:rFonts w:cs="Arial"/>
                <w:color w:val="000000"/>
                <w:sz w:val="22"/>
                <w:szCs w:val="22"/>
              </w:rPr>
              <w:t>1-5%</w:t>
            </w:r>
          </w:p>
        </w:tc>
        <w:tc>
          <w:tcPr>
            <w:tcW w:w="679" w:type="pct"/>
            <w:vAlign w:val="center"/>
          </w:tcPr>
          <w:p w14:paraId="7C9980B9" w14:textId="61F0C69D" w:rsidR="00066699" w:rsidRPr="00FA4DC7" w:rsidRDefault="00066699" w:rsidP="00066699">
            <w:pPr>
              <w:jc w:val="center"/>
              <w:rPr>
                <w:rFonts w:cs="Arial"/>
                <w:color w:val="000000"/>
                <w:sz w:val="22"/>
                <w:szCs w:val="22"/>
              </w:rPr>
            </w:pPr>
            <w:r>
              <w:rPr>
                <w:rFonts w:cs="Arial"/>
                <w:color w:val="000000"/>
                <w:sz w:val="22"/>
                <w:szCs w:val="22"/>
              </w:rPr>
              <w:t>15-20%</w:t>
            </w:r>
          </w:p>
        </w:tc>
      </w:tr>
    </w:tbl>
    <w:p w14:paraId="2CE49D00" w14:textId="77777777" w:rsidR="00CE1BDB" w:rsidRPr="00FA4DC7" w:rsidRDefault="00CE1BDB" w:rsidP="00CE1BDB">
      <w:pPr>
        <w:pStyle w:val="Reporttext"/>
        <w:numPr>
          <w:ilvl w:val="0"/>
          <w:numId w:val="0"/>
        </w:numPr>
        <w:tabs>
          <w:tab w:val="left" w:pos="0"/>
          <w:tab w:val="left" w:pos="709"/>
          <w:tab w:val="left" w:pos="1418"/>
        </w:tabs>
        <w:rPr>
          <w:rFonts w:cs="Arial"/>
          <w:highlight w:val="yellow"/>
        </w:rPr>
      </w:pPr>
    </w:p>
    <w:p w14:paraId="2AB5985A" w14:textId="77777777" w:rsidR="00CB100F" w:rsidRDefault="00CB100F">
      <w:pPr>
        <w:rPr>
          <w:rFonts w:cs="Arial"/>
          <w:bCs/>
          <w:iCs/>
          <w:color w:val="006666"/>
          <w:sz w:val="32"/>
          <w:szCs w:val="28"/>
          <w:lang w:eastAsia="en-US"/>
        </w:rPr>
      </w:pPr>
      <w:bookmarkStart w:id="649" w:name="_Toc70614021"/>
      <w:bookmarkEnd w:id="606"/>
      <w:bookmarkEnd w:id="607"/>
      <w:bookmarkEnd w:id="608"/>
      <w:r>
        <w:rPr>
          <w:rFonts w:cs="Arial"/>
        </w:rPr>
        <w:br w:type="page"/>
      </w:r>
    </w:p>
    <w:p w14:paraId="7C997BC6" w14:textId="0BF40021" w:rsidR="00CE1BDB" w:rsidRPr="00FA4DC7" w:rsidRDefault="00CE1BDB" w:rsidP="00CE1BDB">
      <w:pPr>
        <w:pStyle w:val="Heading2"/>
        <w:tabs>
          <w:tab w:val="left" w:pos="0"/>
          <w:tab w:val="left" w:pos="709"/>
          <w:tab w:val="left" w:pos="1418"/>
        </w:tabs>
        <w:rPr>
          <w:rFonts w:cs="Arial"/>
        </w:rPr>
      </w:pPr>
      <w:bookmarkStart w:id="650" w:name="_Toc83035708"/>
      <w:r w:rsidRPr="00FA4DC7">
        <w:rPr>
          <w:rFonts w:cs="Arial"/>
        </w:rPr>
        <w:lastRenderedPageBreak/>
        <w:t xml:space="preserve">Overall dwelling mix by </w:t>
      </w:r>
      <w:bookmarkEnd w:id="649"/>
      <w:r w:rsidRPr="00FA4DC7">
        <w:rPr>
          <w:rFonts w:cs="Arial"/>
        </w:rPr>
        <w:t>geography</w:t>
      </w:r>
      <w:bookmarkEnd w:id="650"/>
    </w:p>
    <w:p w14:paraId="272E4807" w14:textId="72162E15" w:rsidR="00CE1BDB" w:rsidRPr="00FA4DC7" w:rsidRDefault="00CE1BDB" w:rsidP="00CE1BDB">
      <w:pPr>
        <w:pStyle w:val="Maintext"/>
        <w:numPr>
          <w:ilvl w:val="1"/>
          <w:numId w:val="33"/>
        </w:numPr>
        <w:tabs>
          <w:tab w:val="left" w:pos="0"/>
          <w:tab w:val="left" w:pos="1418"/>
        </w:tabs>
        <w:rPr>
          <w:rFonts w:ascii="Arial" w:hAnsi="Arial" w:cs="Arial"/>
        </w:rPr>
      </w:pPr>
      <w:r w:rsidRPr="00FA4DC7">
        <w:rPr>
          <w:rFonts w:ascii="Arial" w:hAnsi="Arial" w:cs="Arial"/>
        </w:rPr>
        <w:t xml:space="preserve">Further analysis considers the extent to which the profile of dwellings within housing market areas varies from the overall dwelling mix needed. </w:t>
      </w:r>
      <w:r w:rsidR="00FE7692">
        <w:rPr>
          <w:rFonts w:ascii="Arial" w:hAnsi="Arial" w:cs="Arial"/>
        </w:rPr>
        <w:t xml:space="preserve">This </w:t>
      </w:r>
      <w:proofErr w:type="gramStart"/>
      <w:r w:rsidR="00FE7692">
        <w:rPr>
          <w:rFonts w:ascii="Arial" w:hAnsi="Arial" w:cs="Arial"/>
        </w:rPr>
        <w:t>takes into account</w:t>
      </w:r>
      <w:proofErr w:type="gramEnd"/>
      <w:r w:rsidR="00FE7692">
        <w:rPr>
          <w:rFonts w:ascii="Arial" w:hAnsi="Arial" w:cs="Arial"/>
        </w:rPr>
        <w:t xml:space="preserve"> the current dwelling stock profile at sub-area level and the overall range of dwelling need. An average figure is calculated and from this a local range of need is established. </w:t>
      </w:r>
    </w:p>
    <w:p w14:paraId="358DFA01" w14:textId="66CA838F" w:rsidR="00CE1BDB" w:rsidRPr="00FA4DC7" w:rsidRDefault="00CE1BDB" w:rsidP="00CE1BDB">
      <w:pPr>
        <w:pStyle w:val="Maintext"/>
        <w:numPr>
          <w:ilvl w:val="1"/>
          <w:numId w:val="33"/>
        </w:numPr>
        <w:tabs>
          <w:tab w:val="left" w:pos="0"/>
          <w:tab w:val="left" w:pos="1418"/>
        </w:tabs>
        <w:rPr>
          <w:rFonts w:ascii="Arial" w:hAnsi="Arial" w:cs="Arial"/>
          <w:lang w:val="en-US"/>
        </w:rPr>
      </w:pPr>
      <w:r w:rsidRPr="00FA4DC7">
        <w:rPr>
          <w:rFonts w:ascii="Arial" w:hAnsi="Arial" w:cs="Arial"/>
        </w:rPr>
        <w:t xml:space="preserve">Table </w:t>
      </w:r>
      <w:r w:rsidRPr="00FA4DC7">
        <w:rPr>
          <w:rFonts w:ascii="Arial" w:hAnsi="Arial" w:cs="Arial"/>
          <w:lang w:val="en-US"/>
        </w:rPr>
        <w:t xml:space="preserve">D7 </w:t>
      </w:r>
      <w:proofErr w:type="spellStart"/>
      <w:r w:rsidRPr="00FA4DC7">
        <w:rPr>
          <w:rFonts w:ascii="Arial" w:hAnsi="Arial" w:cs="Arial"/>
          <w:lang w:val="en-US"/>
        </w:rPr>
        <w:t>summarises</w:t>
      </w:r>
      <w:proofErr w:type="spellEnd"/>
      <w:r w:rsidRPr="00FA4DC7">
        <w:rPr>
          <w:rFonts w:ascii="Arial" w:hAnsi="Arial" w:cs="Arial"/>
          <w:lang w:val="en-US"/>
        </w:rPr>
        <w:t xml:space="preserve"> the </w:t>
      </w:r>
      <w:r w:rsidR="00FE7692">
        <w:rPr>
          <w:rFonts w:ascii="Arial" w:hAnsi="Arial" w:cs="Arial"/>
          <w:lang w:val="en-US"/>
        </w:rPr>
        <w:t>recommended</w:t>
      </w:r>
      <w:r w:rsidRPr="00FA4DC7">
        <w:rPr>
          <w:rFonts w:ascii="Arial" w:hAnsi="Arial" w:cs="Arial"/>
          <w:lang w:val="en-US"/>
        </w:rPr>
        <w:t xml:space="preserve"> stock profile for wards and Table D8 for specific sub-areas. </w:t>
      </w:r>
    </w:p>
    <w:p w14:paraId="4EE0DC5C" w14:textId="302BA039" w:rsidR="00CE1BDB" w:rsidRPr="00FE7692" w:rsidRDefault="00CE1BDB" w:rsidP="00FE7692">
      <w:pPr>
        <w:pStyle w:val="Maintext"/>
        <w:numPr>
          <w:ilvl w:val="1"/>
          <w:numId w:val="33"/>
        </w:numPr>
        <w:tabs>
          <w:tab w:val="left" w:pos="0"/>
          <w:tab w:val="left" w:pos="1418"/>
        </w:tabs>
        <w:rPr>
          <w:rFonts w:ascii="Arial" w:hAnsi="Arial" w:cs="Arial"/>
        </w:rPr>
        <w:sectPr w:rsidR="00CE1BDB" w:rsidRPr="00FE7692" w:rsidSect="00EF49A7">
          <w:headerReference w:type="default" r:id="rId70"/>
          <w:pgSz w:w="11906" w:h="16838" w:code="9"/>
          <w:pgMar w:top="1440" w:right="1276" w:bottom="1134" w:left="1440" w:header="709" w:footer="567" w:gutter="0"/>
          <w:cols w:space="708"/>
          <w:docGrid w:linePitch="360"/>
        </w:sectPr>
      </w:pPr>
      <w:r w:rsidRPr="00FA4DC7">
        <w:rPr>
          <w:rFonts w:ascii="Arial" w:hAnsi="Arial" w:cs="Arial"/>
        </w:rPr>
        <w:t xml:space="preserve">It is important that both planners and developers maintain a flexible approach to what is built within </w:t>
      </w:r>
      <w:proofErr w:type="gramStart"/>
      <w:r w:rsidRPr="00FA4DC7">
        <w:rPr>
          <w:rFonts w:ascii="Arial" w:hAnsi="Arial" w:cs="Arial"/>
        </w:rPr>
        <w:t xml:space="preserve">Medway, </w:t>
      </w:r>
      <w:r w:rsidR="00982F2F">
        <w:rPr>
          <w:rFonts w:ascii="Arial" w:hAnsi="Arial" w:cs="Arial"/>
        </w:rPr>
        <w:t>and</w:t>
      </w:r>
      <w:proofErr w:type="gramEnd"/>
      <w:r w:rsidR="00982F2F">
        <w:rPr>
          <w:rFonts w:ascii="Arial" w:hAnsi="Arial" w:cs="Arial"/>
        </w:rPr>
        <w:t xml:space="preserve"> recognise that in some areas development may be restricted to particular types of dwelling, </w:t>
      </w:r>
      <w:r w:rsidRPr="00FA4DC7">
        <w:rPr>
          <w:rFonts w:ascii="Arial" w:hAnsi="Arial" w:cs="Arial"/>
        </w:rPr>
        <w:t xml:space="preserve">but this analysis helps determine the relative priorities of development in particular housing market areas. </w:t>
      </w:r>
      <w:bookmarkStart w:id="651" w:name="_Toc55856223"/>
      <w:bookmarkStart w:id="652" w:name="_Toc56502872"/>
      <w:bookmarkStart w:id="653" w:name="_Toc59204550"/>
    </w:p>
    <w:tbl>
      <w:tblPr>
        <w:tblW w:w="5000" w:type="pct"/>
        <w:tblLook w:val="04A0" w:firstRow="1" w:lastRow="0" w:firstColumn="1" w:lastColumn="0" w:noHBand="0" w:noVBand="1"/>
      </w:tblPr>
      <w:tblGrid>
        <w:gridCol w:w="3876"/>
        <w:gridCol w:w="1094"/>
        <w:gridCol w:w="1094"/>
        <w:gridCol w:w="1094"/>
        <w:gridCol w:w="1094"/>
        <w:gridCol w:w="1094"/>
        <w:gridCol w:w="1094"/>
        <w:gridCol w:w="1268"/>
        <w:gridCol w:w="1268"/>
        <w:gridCol w:w="1268"/>
      </w:tblGrid>
      <w:tr w:rsidR="007F5D13" w14:paraId="4F6C4557" w14:textId="77777777" w:rsidTr="00CB100F">
        <w:trPr>
          <w:trHeight w:val="291"/>
        </w:trPr>
        <w:tc>
          <w:tcPr>
            <w:tcW w:w="5000" w:type="pct"/>
            <w:gridSpan w:val="10"/>
            <w:tcBorders>
              <w:top w:val="single" w:sz="8" w:space="0" w:color="auto"/>
              <w:left w:val="single" w:sz="8" w:space="0" w:color="auto"/>
              <w:bottom w:val="single" w:sz="8" w:space="0" w:color="auto"/>
              <w:right w:val="single" w:sz="8" w:space="0" w:color="auto"/>
            </w:tcBorders>
            <w:shd w:val="clear" w:color="auto" w:fill="006666"/>
            <w:vAlign w:val="center"/>
          </w:tcPr>
          <w:p w14:paraId="2A426011" w14:textId="48E89B71" w:rsidR="007F5D13" w:rsidRPr="00FE7692" w:rsidRDefault="007F5D13" w:rsidP="00CB100F">
            <w:pPr>
              <w:pStyle w:val="Tableheading1"/>
            </w:pPr>
            <w:bookmarkStart w:id="654" w:name="_Toc83036142"/>
            <w:r w:rsidRPr="00FE7692">
              <w:lastRenderedPageBreak/>
              <w:t>Table D7</w:t>
            </w:r>
            <w:r w:rsidR="00CB100F">
              <w:tab/>
            </w:r>
            <w:r w:rsidRPr="00FE7692">
              <w:t>Summary of overall dwelling mix by ward</w:t>
            </w:r>
            <w:bookmarkEnd w:id="654"/>
          </w:p>
        </w:tc>
      </w:tr>
      <w:tr w:rsidR="00CB100F" w14:paraId="2BE8517F" w14:textId="77777777" w:rsidTr="00E12034">
        <w:trPr>
          <w:trHeight w:val="291"/>
        </w:trPr>
        <w:tc>
          <w:tcPr>
            <w:tcW w:w="1361" w:type="pct"/>
            <w:vMerge w:val="restart"/>
            <w:tcBorders>
              <w:top w:val="single" w:sz="8" w:space="0" w:color="auto"/>
              <w:left w:val="single" w:sz="8" w:space="0" w:color="auto"/>
              <w:right w:val="single" w:sz="8" w:space="0" w:color="auto"/>
            </w:tcBorders>
            <w:shd w:val="clear" w:color="auto" w:fill="006666"/>
            <w:vAlign w:val="center"/>
            <w:hideMark/>
          </w:tcPr>
          <w:p w14:paraId="58771714" w14:textId="0A070DB0" w:rsidR="00CB100F" w:rsidRDefault="00CB100F" w:rsidP="00CB100F">
            <w:pPr>
              <w:rPr>
                <w:rFonts w:cs="Arial"/>
                <w:b/>
                <w:bCs/>
                <w:color w:val="FFFFFF"/>
                <w:sz w:val="20"/>
                <w:szCs w:val="20"/>
              </w:rPr>
            </w:pPr>
            <w:r w:rsidRPr="00CB100F">
              <w:rPr>
                <w:rFonts w:cs="Arial"/>
                <w:b/>
                <w:bCs/>
                <w:color w:val="FFFFFF"/>
                <w:sz w:val="22"/>
                <w:szCs w:val="22"/>
              </w:rPr>
              <w:t>Ward</w:t>
            </w:r>
          </w:p>
        </w:tc>
        <w:tc>
          <w:tcPr>
            <w:tcW w:w="3639" w:type="pct"/>
            <w:gridSpan w:val="9"/>
            <w:tcBorders>
              <w:top w:val="single" w:sz="8" w:space="0" w:color="auto"/>
              <w:left w:val="single" w:sz="8" w:space="0" w:color="auto"/>
              <w:bottom w:val="single" w:sz="8" w:space="0" w:color="auto"/>
              <w:right w:val="single" w:sz="8" w:space="0" w:color="auto"/>
            </w:tcBorders>
            <w:shd w:val="clear" w:color="auto" w:fill="006666"/>
            <w:noWrap/>
            <w:vAlign w:val="center"/>
            <w:hideMark/>
          </w:tcPr>
          <w:p w14:paraId="3DE2411A" w14:textId="366E3484" w:rsidR="00CB100F" w:rsidRPr="00CB100F" w:rsidRDefault="00CB100F" w:rsidP="00CB100F">
            <w:pPr>
              <w:jc w:val="center"/>
              <w:rPr>
                <w:rFonts w:cs="Arial"/>
                <w:b/>
                <w:bCs/>
                <w:color w:val="FFFFFF"/>
                <w:sz w:val="22"/>
                <w:szCs w:val="22"/>
              </w:rPr>
            </w:pPr>
            <w:r w:rsidRPr="00CB100F">
              <w:rPr>
                <w:rFonts w:cs="Arial"/>
                <w:b/>
                <w:bCs/>
                <w:color w:val="FFFFFF"/>
                <w:sz w:val="22"/>
                <w:szCs w:val="22"/>
              </w:rPr>
              <w:t>Dwelling type and number of bedrooms</w:t>
            </w:r>
          </w:p>
        </w:tc>
      </w:tr>
      <w:tr w:rsidR="00CB100F" w14:paraId="15454738" w14:textId="77777777" w:rsidTr="00E12034">
        <w:trPr>
          <w:trHeight w:val="788"/>
        </w:trPr>
        <w:tc>
          <w:tcPr>
            <w:tcW w:w="1361" w:type="pct"/>
            <w:vMerge/>
            <w:tcBorders>
              <w:left w:val="single" w:sz="8" w:space="0" w:color="auto"/>
              <w:bottom w:val="nil"/>
              <w:right w:val="single" w:sz="8" w:space="0" w:color="auto"/>
            </w:tcBorders>
            <w:shd w:val="clear" w:color="auto" w:fill="006666"/>
            <w:vAlign w:val="center"/>
            <w:hideMark/>
          </w:tcPr>
          <w:p w14:paraId="0A8B40D1" w14:textId="791E8299" w:rsidR="00CB100F" w:rsidRDefault="00CB100F">
            <w:pPr>
              <w:jc w:val="center"/>
              <w:rPr>
                <w:rFonts w:cs="Arial"/>
                <w:b/>
                <w:bCs/>
                <w:color w:val="FFFFFF"/>
                <w:sz w:val="20"/>
                <w:szCs w:val="20"/>
              </w:rPr>
            </w:pPr>
          </w:p>
        </w:tc>
        <w:tc>
          <w:tcPr>
            <w:tcW w:w="384" w:type="pct"/>
            <w:tcBorders>
              <w:top w:val="nil"/>
              <w:left w:val="nil"/>
              <w:bottom w:val="single" w:sz="8" w:space="0" w:color="auto"/>
              <w:right w:val="single" w:sz="8" w:space="0" w:color="auto"/>
            </w:tcBorders>
            <w:shd w:val="clear" w:color="auto" w:fill="006666"/>
            <w:vAlign w:val="bottom"/>
            <w:hideMark/>
          </w:tcPr>
          <w:p w14:paraId="1B4256F0" w14:textId="55C7E562" w:rsidR="00CB100F" w:rsidRPr="00CB100F" w:rsidRDefault="00CB100F" w:rsidP="00CB100F">
            <w:pPr>
              <w:jc w:val="center"/>
              <w:rPr>
                <w:rFonts w:cs="Arial"/>
                <w:b/>
                <w:bCs/>
                <w:color w:val="FFFFFF"/>
                <w:sz w:val="20"/>
                <w:szCs w:val="20"/>
              </w:rPr>
            </w:pPr>
            <w:r w:rsidRPr="00CB100F">
              <w:rPr>
                <w:rFonts w:cs="Arial"/>
                <w:b/>
                <w:bCs/>
                <w:color w:val="FFFFFF"/>
                <w:sz w:val="20"/>
                <w:szCs w:val="20"/>
              </w:rPr>
              <w:t>1-bedroom house</w:t>
            </w:r>
          </w:p>
        </w:tc>
        <w:tc>
          <w:tcPr>
            <w:tcW w:w="384" w:type="pct"/>
            <w:tcBorders>
              <w:top w:val="nil"/>
              <w:left w:val="nil"/>
              <w:bottom w:val="single" w:sz="8" w:space="0" w:color="auto"/>
              <w:right w:val="single" w:sz="8" w:space="0" w:color="auto"/>
            </w:tcBorders>
            <w:shd w:val="clear" w:color="auto" w:fill="006666"/>
            <w:vAlign w:val="bottom"/>
            <w:hideMark/>
          </w:tcPr>
          <w:p w14:paraId="5B0DF3D4" w14:textId="70B7D45D" w:rsidR="00CB100F" w:rsidRPr="00CB100F" w:rsidRDefault="00CB100F" w:rsidP="00CB100F">
            <w:pPr>
              <w:jc w:val="center"/>
              <w:rPr>
                <w:rFonts w:cs="Arial"/>
                <w:b/>
                <w:bCs/>
                <w:color w:val="FFFFFF"/>
                <w:sz w:val="20"/>
                <w:szCs w:val="20"/>
              </w:rPr>
            </w:pPr>
            <w:r w:rsidRPr="00CB100F">
              <w:rPr>
                <w:rFonts w:cs="Arial"/>
                <w:b/>
                <w:bCs/>
                <w:color w:val="FFFFFF"/>
                <w:sz w:val="20"/>
                <w:szCs w:val="20"/>
              </w:rPr>
              <w:t>2-bedroom house</w:t>
            </w:r>
          </w:p>
        </w:tc>
        <w:tc>
          <w:tcPr>
            <w:tcW w:w="384" w:type="pct"/>
            <w:tcBorders>
              <w:top w:val="nil"/>
              <w:left w:val="nil"/>
              <w:bottom w:val="single" w:sz="8" w:space="0" w:color="auto"/>
              <w:right w:val="single" w:sz="8" w:space="0" w:color="auto"/>
            </w:tcBorders>
            <w:shd w:val="clear" w:color="auto" w:fill="006666"/>
            <w:vAlign w:val="bottom"/>
            <w:hideMark/>
          </w:tcPr>
          <w:p w14:paraId="414FE029" w14:textId="575AE5FA" w:rsidR="00CB100F" w:rsidRPr="00CB100F" w:rsidRDefault="00CB100F" w:rsidP="00CB100F">
            <w:pPr>
              <w:jc w:val="center"/>
              <w:rPr>
                <w:rFonts w:cs="Arial"/>
                <w:b/>
                <w:bCs/>
                <w:color w:val="FFFFFF"/>
                <w:sz w:val="20"/>
                <w:szCs w:val="20"/>
              </w:rPr>
            </w:pPr>
            <w:r w:rsidRPr="00CB100F">
              <w:rPr>
                <w:rFonts w:cs="Arial"/>
                <w:b/>
                <w:bCs/>
                <w:color w:val="FFFFFF"/>
                <w:sz w:val="20"/>
                <w:szCs w:val="20"/>
              </w:rPr>
              <w:t>3-bedroom house</w:t>
            </w:r>
          </w:p>
        </w:tc>
        <w:tc>
          <w:tcPr>
            <w:tcW w:w="384" w:type="pct"/>
            <w:tcBorders>
              <w:top w:val="nil"/>
              <w:left w:val="nil"/>
              <w:bottom w:val="single" w:sz="8" w:space="0" w:color="auto"/>
              <w:right w:val="single" w:sz="8" w:space="0" w:color="auto"/>
            </w:tcBorders>
            <w:shd w:val="clear" w:color="auto" w:fill="006666"/>
            <w:vAlign w:val="bottom"/>
            <w:hideMark/>
          </w:tcPr>
          <w:p w14:paraId="30575E0F" w14:textId="55357AC4" w:rsidR="00CB100F" w:rsidRPr="00CB100F" w:rsidRDefault="00CB100F" w:rsidP="00CB100F">
            <w:pPr>
              <w:jc w:val="center"/>
              <w:rPr>
                <w:rFonts w:cs="Arial"/>
                <w:b/>
                <w:bCs/>
                <w:color w:val="FFFFFF"/>
                <w:sz w:val="20"/>
                <w:szCs w:val="20"/>
              </w:rPr>
            </w:pPr>
            <w:r w:rsidRPr="00CB100F">
              <w:rPr>
                <w:rFonts w:cs="Arial"/>
                <w:b/>
                <w:bCs/>
                <w:color w:val="FFFFFF"/>
                <w:sz w:val="20"/>
                <w:szCs w:val="20"/>
              </w:rPr>
              <w:t>4-bedroom house</w:t>
            </w:r>
          </w:p>
        </w:tc>
        <w:tc>
          <w:tcPr>
            <w:tcW w:w="384" w:type="pct"/>
            <w:tcBorders>
              <w:top w:val="nil"/>
              <w:left w:val="nil"/>
              <w:bottom w:val="single" w:sz="8" w:space="0" w:color="auto"/>
              <w:right w:val="single" w:sz="8" w:space="0" w:color="auto"/>
            </w:tcBorders>
            <w:shd w:val="clear" w:color="auto" w:fill="006666"/>
            <w:vAlign w:val="bottom"/>
            <w:hideMark/>
          </w:tcPr>
          <w:p w14:paraId="22C04522" w14:textId="77777777" w:rsidR="00CB100F" w:rsidRPr="00CB100F" w:rsidRDefault="00CB100F" w:rsidP="00CB100F">
            <w:pPr>
              <w:jc w:val="center"/>
              <w:rPr>
                <w:rFonts w:cs="Arial"/>
                <w:b/>
                <w:bCs/>
                <w:color w:val="FFFFFF"/>
                <w:sz w:val="20"/>
                <w:szCs w:val="20"/>
              </w:rPr>
            </w:pPr>
            <w:r w:rsidRPr="00CB100F">
              <w:rPr>
                <w:rFonts w:cs="Arial"/>
                <w:b/>
                <w:bCs/>
                <w:color w:val="FFFFFF"/>
                <w:sz w:val="20"/>
                <w:szCs w:val="20"/>
              </w:rPr>
              <w:t>1-bedroom flat</w:t>
            </w:r>
          </w:p>
        </w:tc>
        <w:tc>
          <w:tcPr>
            <w:tcW w:w="384" w:type="pct"/>
            <w:tcBorders>
              <w:top w:val="nil"/>
              <w:left w:val="nil"/>
              <w:bottom w:val="single" w:sz="8" w:space="0" w:color="auto"/>
              <w:right w:val="single" w:sz="8" w:space="0" w:color="auto"/>
            </w:tcBorders>
            <w:shd w:val="clear" w:color="auto" w:fill="006666"/>
            <w:vAlign w:val="bottom"/>
            <w:hideMark/>
          </w:tcPr>
          <w:p w14:paraId="45290178" w14:textId="77777777" w:rsidR="00CB100F" w:rsidRPr="00CB100F" w:rsidRDefault="00CB100F" w:rsidP="00CB100F">
            <w:pPr>
              <w:jc w:val="center"/>
              <w:rPr>
                <w:rFonts w:cs="Arial"/>
                <w:b/>
                <w:bCs/>
                <w:color w:val="FFFFFF"/>
                <w:sz w:val="20"/>
                <w:szCs w:val="20"/>
              </w:rPr>
            </w:pPr>
            <w:r w:rsidRPr="00CB100F">
              <w:rPr>
                <w:rFonts w:cs="Arial"/>
                <w:b/>
                <w:bCs/>
                <w:color w:val="FFFFFF"/>
                <w:sz w:val="20"/>
                <w:szCs w:val="20"/>
              </w:rPr>
              <w:t>2 or more-bedroom flat</w:t>
            </w:r>
          </w:p>
        </w:tc>
        <w:tc>
          <w:tcPr>
            <w:tcW w:w="445" w:type="pct"/>
            <w:tcBorders>
              <w:top w:val="nil"/>
              <w:left w:val="nil"/>
              <w:bottom w:val="single" w:sz="8" w:space="0" w:color="auto"/>
              <w:right w:val="single" w:sz="8" w:space="0" w:color="auto"/>
            </w:tcBorders>
            <w:shd w:val="clear" w:color="auto" w:fill="006666"/>
            <w:vAlign w:val="bottom"/>
            <w:hideMark/>
          </w:tcPr>
          <w:p w14:paraId="512A2372" w14:textId="77777777" w:rsidR="00CB100F" w:rsidRPr="00CB100F" w:rsidRDefault="00CB100F" w:rsidP="00CB100F">
            <w:pPr>
              <w:jc w:val="center"/>
              <w:rPr>
                <w:rFonts w:cs="Arial"/>
                <w:b/>
                <w:bCs/>
                <w:color w:val="FFFFFF"/>
                <w:sz w:val="20"/>
                <w:szCs w:val="20"/>
              </w:rPr>
            </w:pPr>
            <w:r w:rsidRPr="00CB100F">
              <w:rPr>
                <w:rFonts w:cs="Arial"/>
                <w:b/>
                <w:bCs/>
                <w:color w:val="FFFFFF"/>
                <w:sz w:val="20"/>
                <w:szCs w:val="20"/>
              </w:rPr>
              <w:t>1-bedroom bungalow</w:t>
            </w:r>
          </w:p>
        </w:tc>
        <w:tc>
          <w:tcPr>
            <w:tcW w:w="445" w:type="pct"/>
            <w:tcBorders>
              <w:top w:val="nil"/>
              <w:left w:val="nil"/>
              <w:bottom w:val="single" w:sz="8" w:space="0" w:color="auto"/>
              <w:right w:val="single" w:sz="8" w:space="0" w:color="auto"/>
            </w:tcBorders>
            <w:shd w:val="clear" w:color="auto" w:fill="006666"/>
            <w:vAlign w:val="bottom"/>
            <w:hideMark/>
          </w:tcPr>
          <w:p w14:paraId="589EB7DC" w14:textId="77777777" w:rsidR="00CB100F" w:rsidRPr="00CB100F" w:rsidRDefault="00CB100F" w:rsidP="00CB100F">
            <w:pPr>
              <w:jc w:val="center"/>
              <w:rPr>
                <w:rFonts w:cs="Arial"/>
                <w:b/>
                <w:bCs/>
                <w:color w:val="FFFFFF"/>
                <w:sz w:val="20"/>
                <w:szCs w:val="20"/>
              </w:rPr>
            </w:pPr>
            <w:r w:rsidRPr="00CB100F">
              <w:rPr>
                <w:rFonts w:cs="Arial"/>
                <w:b/>
                <w:bCs/>
                <w:color w:val="FFFFFF"/>
                <w:sz w:val="20"/>
                <w:szCs w:val="20"/>
              </w:rPr>
              <w:t>2-bedroom bungalow</w:t>
            </w:r>
          </w:p>
        </w:tc>
        <w:tc>
          <w:tcPr>
            <w:tcW w:w="445" w:type="pct"/>
            <w:tcBorders>
              <w:top w:val="nil"/>
              <w:left w:val="nil"/>
              <w:bottom w:val="single" w:sz="8" w:space="0" w:color="auto"/>
              <w:right w:val="single" w:sz="8" w:space="0" w:color="auto"/>
            </w:tcBorders>
            <w:shd w:val="clear" w:color="auto" w:fill="006666"/>
            <w:vAlign w:val="bottom"/>
            <w:hideMark/>
          </w:tcPr>
          <w:p w14:paraId="5C005EE4" w14:textId="77777777" w:rsidR="00CB100F" w:rsidRPr="00CB100F" w:rsidRDefault="00CB100F" w:rsidP="00CB100F">
            <w:pPr>
              <w:jc w:val="center"/>
              <w:rPr>
                <w:rFonts w:cs="Arial"/>
                <w:b/>
                <w:bCs/>
                <w:color w:val="FFFFFF"/>
                <w:sz w:val="20"/>
                <w:szCs w:val="20"/>
              </w:rPr>
            </w:pPr>
            <w:r w:rsidRPr="00CB100F">
              <w:rPr>
                <w:rFonts w:cs="Arial"/>
                <w:b/>
                <w:bCs/>
                <w:color w:val="FFFFFF"/>
                <w:sz w:val="20"/>
                <w:szCs w:val="20"/>
              </w:rPr>
              <w:t>3 or more-bedroom bungalow</w:t>
            </w:r>
          </w:p>
        </w:tc>
      </w:tr>
      <w:tr w:rsidR="007F5D13" w14:paraId="64A424D0" w14:textId="77777777" w:rsidTr="00CB100F">
        <w:trPr>
          <w:trHeight w:val="274"/>
        </w:trPr>
        <w:tc>
          <w:tcPr>
            <w:tcW w:w="13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9E286" w14:textId="77777777" w:rsidR="007F5D13" w:rsidRDefault="007F5D13">
            <w:pPr>
              <w:rPr>
                <w:rFonts w:cs="Arial"/>
                <w:color w:val="000000"/>
                <w:sz w:val="22"/>
                <w:szCs w:val="22"/>
              </w:rPr>
            </w:pPr>
            <w:r>
              <w:rPr>
                <w:rFonts w:cs="Arial"/>
                <w:color w:val="000000"/>
                <w:sz w:val="22"/>
                <w:szCs w:val="22"/>
              </w:rPr>
              <w:t>Chatham Central</w:t>
            </w:r>
          </w:p>
        </w:tc>
        <w:tc>
          <w:tcPr>
            <w:tcW w:w="384" w:type="pct"/>
            <w:tcBorders>
              <w:top w:val="nil"/>
              <w:left w:val="nil"/>
              <w:bottom w:val="single" w:sz="8" w:space="0" w:color="auto"/>
              <w:right w:val="single" w:sz="8" w:space="0" w:color="auto"/>
            </w:tcBorders>
            <w:shd w:val="clear" w:color="auto" w:fill="auto"/>
            <w:noWrap/>
            <w:vAlign w:val="center"/>
            <w:hideMark/>
          </w:tcPr>
          <w:p w14:paraId="6503E47A"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61610631"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623778E4"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05259CAC"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0EF81DCC"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5F9BCE22"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773FE2F0"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68F2034D"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27759364" w14:textId="77777777" w:rsidR="007F5D13" w:rsidRDefault="007F5D13">
            <w:pPr>
              <w:jc w:val="right"/>
              <w:rPr>
                <w:rFonts w:cs="Arial"/>
                <w:color w:val="000000"/>
                <w:sz w:val="22"/>
                <w:szCs w:val="22"/>
              </w:rPr>
            </w:pPr>
            <w:r>
              <w:rPr>
                <w:rFonts w:cs="Arial"/>
                <w:color w:val="000000"/>
                <w:sz w:val="22"/>
                <w:szCs w:val="22"/>
              </w:rPr>
              <w:t>1-2%</w:t>
            </w:r>
          </w:p>
        </w:tc>
      </w:tr>
      <w:tr w:rsidR="007F5D13" w14:paraId="1918833D"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08253654" w14:textId="77777777" w:rsidR="007F5D13" w:rsidRDefault="007F5D13">
            <w:pPr>
              <w:rPr>
                <w:rFonts w:cs="Arial"/>
                <w:color w:val="000000"/>
                <w:sz w:val="22"/>
                <w:szCs w:val="22"/>
              </w:rPr>
            </w:pPr>
            <w:proofErr w:type="spellStart"/>
            <w:r>
              <w:rPr>
                <w:rFonts w:cs="Arial"/>
                <w:color w:val="000000"/>
                <w:sz w:val="22"/>
                <w:szCs w:val="22"/>
              </w:rPr>
              <w:t>Cuxton</w:t>
            </w:r>
            <w:proofErr w:type="spellEnd"/>
            <w:r>
              <w:rPr>
                <w:rFonts w:cs="Arial"/>
                <w:color w:val="000000"/>
                <w:sz w:val="22"/>
                <w:szCs w:val="22"/>
              </w:rPr>
              <w:t xml:space="preserve"> and </w:t>
            </w:r>
            <w:proofErr w:type="spellStart"/>
            <w:r>
              <w:rPr>
                <w:rFonts w:cs="Arial"/>
                <w:color w:val="000000"/>
                <w:sz w:val="22"/>
                <w:szCs w:val="22"/>
              </w:rPr>
              <w:t>Halling</w:t>
            </w:r>
            <w:proofErr w:type="spellEnd"/>
          </w:p>
        </w:tc>
        <w:tc>
          <w:tcPr>
            <w:tcW w:w="384" w:type="pct"/>
            <w:tcBorders>
              <w:top w:val="nil"/>
              <w:left w:val="nil"/>
              <w:bottom w:val="single" w:sz="8" w:space="0" w:color="auto"/>
              <w:right w:val="single" w:sz="8" w:space="0" w:color="auto"/>
            </w:tcBorders>
            <w:shd w:val="clear" w:color="auto" w:fill="auto"/>
            <w:noWrap/>
            <w:vAlign w:val="center"/>
            <w:hideMark/>
          </w:tcPr>
          <w:p w14:paraId="16A1E42C"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5BBB338A"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37B520E1" w14:textId="77777777" w:rsidR="007F5D13" w:rsidRDefault="007F5D13">
            <w:pPr>
              <w:jc w:val="right"/>
              <w:rPr>
                <w:rFonts w:cs="Arial"/>
                <w:color w:val="000000"/>
                <w:sz w:val="22"/>
                <w:szCs w:val="22"/>
              </w:rPr>
            </w:pPr>
            <w:r>
              <w:rPr>
                <w:rFonts w:cs="Arial"/>
                <w:color w:val="000000"/>
                <w:sz w:val="22"/>
                <w:szCs w:val="22"/>
              </w:rPr>
              <w:t>35-40%</w:t>
            </w:r>
          </w:p>
        </w:tc>
        <w:tc>
          <w:tcPr>
            <w:tcW w:w="384" w:type="pct"/>
            <w:tcBorders>
              <w:top w:val="nil"/>
              <w:left w:val="nil"/>
              <w:bottom w:val="single" w:sz="8" w:space="0" w:color="auto"/>
              <w:right w:val="single" w:sz="8" w:space="0" w:color="auto"/>
            </w:tcBorders>
            <w:shd w:val="clear" w:color="auto" w:fill="auto"/>
            <w:noWrap/>
            <w:vAlign w:val="center"/>
            <w:hideMark/>
          </w:tcPr>
          <w:p w14:paraId="3ABB3938"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3B8EFF3F"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77E2EEEC"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57F4C82C"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64B02450" w14:textId="77777777" w:rsidR="007F5D13" w:rsidRDefault="007F5D13">
            <w:pPr>
              <w:jc w:val="right"/>
              <w:rPr>
                <w:rFonts w:cs="Arial"/>
                <w:color w:val="000000"/>
                <w:sz w:val="22"/>
                <w:szCs w:val="22"/>
              </w:rPr>
            </w:pPr>
            <w:r>
              <w:rPr>
                <w:rFonts w:cs="Arial"/>
                <w:color w:val="000000"/>
                <w:sz w:val="22"/>
                <w:szCs w:val="22"/>
              </w:rPr>
              <w:t>4-5%</w:t>
            </w:r>
          </w:p>
        </w:tc>
        <w:tc>
          <w:tcPr>
            <w:tcW w:w="445" w:type="pct"/>
            <w:tcBorders>
              <w:top w:val="nil"/>
              <w:left w:val="nil"/>
              <w:bottom w:val="single" w:sz="8" w:space="0" w:color="auto"/>
              <w:right w:val="single" w:sz="8" w:space="0" w:color="auto"/>
            </w:tcBorders>
            <w:shd w:val="clear" w:color="auto" w:fill="auto"/>
            <w:noWrap/>
            <w:vAlign w:val="center"/>
            <w:hideMark/>
          </w:tcPr>
          <w:p w14:paraId="546DF338" w14:textId="77777777" w:rsidR="007F5D13" w:rsidRDefault="007F5D13">
            <w:pPr>
              <w:jc w:val="right"/>
              <w:rPr>
                <w:rFonts w:cs="Arial"/>
                <w:color w:val="000000"/>
                <w:sz w:val="22"/>
                <w:szCs w:val="22"/>
              </w:rPr>
            </w:pPr>
            <w:r>
              <w:rPr>
                <w:rFonts w:cs="Arial"/>
                <w:color w:val="000000"/>
                <w:sz w:val="22"/>
                <w:szCs w:val="22"/>
              </w:rPr>
              <w:t>3-4%</w:t>
            </w:r>
          </w:p>
        </w:tc>
      </w:tr>
      <w:tr w:rsidR="007F5D13" w14:paraId="3E0C27BB"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5C6F711B" w14:textId="77777777" w:rsidR="007F5D13" w:rsidRDefault="007F5D13">
            <w:pPr>
              <w:rPr>
                <w:rFonts w:cs="Arial"/>
                <w:color w:val="000000"/>
                <w:sz w:val="22"/>
                <w:szCs w:val="22"/>
              </w:rPr>
            </w:pPr>
            <w:r>
              <w:rPr>
                <w:rFonts w:cs="Arial"/>
                <w:color w:val="000000"/>
                <w:sz w:val="22"/>
                <w:szCs w:val="22"/>
              </w:rPr>
              <w:t>Gillingham North</w:t>
            </w:r>
          </w:p>
        </w:tc>
        <w:tc>
          <w:tcPr>
            <w:tcW w:w="384" w:type="pct"/>
            <w:tcBorders>
              <w:top w:val="nil"/>
              <w:left w:val="nil"/>
              <w:bottom w:val="single" w:sz="8" w:space="0" w:color="auto"/>
              <w:right w:val="single" w:sz="8" w:space="0" w:color="auto"/>
            </w:tcBorders>
            <w:shd w:val="clear" w:color="auto" w:fill="auto"/>
            <w:noWrap/>
            <w:vAlign w:val="center"/>
            <w:hideMark/>
          </w:tcPr>
          <w:p w14:paraId="3A53109F"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1FB16840"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73F91379" w14:textId="77777777" w:rsidR="007F5D13" w:rsidRDefault="007F5D13">
            <w:pPr>
              <w:jc w:val="right"/>
              <w:rPr>
                <w:rFonts w:cs="Arial"/>
                <w:color w:val="000000"/>
                <w:sz w:val="22"/>
                <w:szCs w:val="22"/>
              </w:rPr>
            </w:pPr>
            <w:r>
              <w:rPr>
                <w:rFonts w:cs="Arial"/>
                <w:color w:val="000000"/>
                <w:sz w:val="22"/>
                <w:szCs w:val="22"/>
              </w:rPr>
              <w:t>35-40%</w:t>
            </w:r>
          </w:p>
        </w:tc>
        <w:tc>
          <w:tcPr>
            <w:tcW w:w="384" w:type="pct"/>
            <w:tcBorders>
              <w:top w:val="nil"/>
              <w:left w:val="nil"/>
              <w:bottom w:val="single" w:sz="8" w:space="0" w:color="auto"/>
              <w:right w:val="single" w:sz="8" w:space="0" w:color="auto"/>
            </w:tcBorders>
            <w:shd w:val="clear" w:color="auto" w:fill="auto"/>
            <w:noWrap/>
            <w:vAlign w:val="center"/>
            <w:hideMark/>
          </w:tcPr>
          <w:p w14:paraId="356CF9F3"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30BDB5D2"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78F50B42" w14:textId="77777777" w:rsidR="007F5D13" w:rsidRDefault="007F5D13">
            <w:pPr>
              <w:jc w:val="right"/>
              <w:rPr>
                <w:rFonts w:cs="Arial"/>
                <w:color w:val="000000"/>
                <w:sz w:val="22"/>
                <w:szCs w:val="22"/>
              </w:rPr>
            </w:pPr>
            <w:r>
              <w:rPr>
                <w:rFonts w:cs="Arial"/>
                <w:color w:val="000000"/>
                <w:sz w:val="22"/>
                <w:szCs w:val="22"/>
              </w:rPr>
              <w:t>14.8</w:t>
            </w:r>
          </w:p>
        </w:tc>
        <w:tc>
          <w:tcPr>
            <w:tcW w:w="445" w:type="pct"/>
            <w:tcBorders>
              <w:top w:val="nil"/>
              <w:left w:val="nil"/>
              <w:bottom w:val="single" w:sz="8" w:space="0" w:color="auto"/>
              <w:right w:val="single" w:sz="8" w:space="0" w:color="auto"/>
            </w:tcBorders>
            <w:shd w:val="clear" w:color="auto" w:fill="auto"/>
            <w:noWrap/>
            <w:vAlign w:val="center"/>
            <w:hideMark/>
          </w:tcPr>
          <w:p w14:paraId="6BBDD83D"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6D1D8056"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1FD15DE7" w14:textId="77777777" w:rsidR="007F5D13" w:rsidRDefault="007F5D13">
            <w:pPr>
              <w:jc w:val="right"/>
              <w:rPr>
                <w:rFonts w:cs="Arial"/>
                <w:color w:val="000000"/>
                <w:sz w:val="22"/>
                <w:szCs w:val="22"/>
              </w:rPr>
            </w:pPr>
            <w:r>
              <w:rPr>
                <w:rFonts w:cs="Arial"/>
                <w:color w:val="000000"/>
                <w:sz w:val="22"/>
                <w:szCs w:val="22"/>
              </w:rPr>
              <w:t>1-2%</w:t>
            </w:r>
          </w:p>
        </w:tc>
      </w:tr>
      <w:tr w:rsidR="007F5D13" w14:paraId="5E2FC338"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735D0F57" w14:textId="77777777" w:rsidR="007F5D13" w:rsidRDefault="007F5D13">
            <w:pPr>
              <w:rPr>
                <w:rFonts w:cs="Arial"/>
                <w:color w:val="000000"/>
                <w:sz w:val="22"/>
                <w:szCs w:val="22"/>
              </w:rPr>
            </w:pPr>
            <w:r>
              <w:rPr>
                <w:rFonts w:cs="Arial"/>
                <w:color w:val="000000"/>
                <w:sz w:val="22"/>
                <w:szCs w:val="22"/>
              </w:rPr>
              <w:t>Gillingham South</w:t>
            </w:r>
          </w:p>
        </w:tc>
        <w:tc>
          <w:tcPr>
            <w:tcW w:w="384" w:type="pct"/>
            <w:tcBorders>
              <w:top w:val="nil"/>
              <w:left w:val="nil"/>
              <w:bottom w:val="single" w:sz="8" w:space="0" w:color="auto"/>
              <w:right w:val="single" w:sz="8" w:space="0" w:color="auto"/>
            </w:tcBorders>
            <w:shd w:val="clear" w:color="auto" w:fill="auto"/>
            <w:noWrap/>
            <w:vAlign w:val="center"/>
            <w:hideMark/>
          </w:tcPr>
          <w:p w14:paraId="542277B6"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49576BBD"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39CD1DB5"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0CF97FC0"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5AA697CE"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441A965F"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4B07A0DD"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7EB31CC4"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38638D48" w14:textId="77777777" w:rsidR="007F5D13" w:rsidRDefault="007F5D13">
            <w:pPr>
              <w:jc w:val="right"/>
              <w:rPr>
                <w:rFonts w:cs="Arial"/>
                <w:color w:val="000000"/>
                <w:sz w:val="22"/>
                <w:szCs w:val="22"/>
              </w:rPr>
            </w:pPr>
            <w:r>
              <w:rPr>
                <w:rFonts w:cs="Arial"/>
                <w:color w:val="000000"/>
                <w:sz w:val="22"/>
                <w:szCs w:val="22"/>
              </w:rPr>
              <w:t>1-2%</w:t>
            </w:r>
          </w:p>
        </w:tc>
      </w:tr>
      <w:tr w:rsidR="007F5D13" w14:paraId="258F7C25"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696120CB" w14:textId="77777777" w:rsidR="007F5D13" w:rsidRDefault="007F5D13">
            <w:pPr>
              <w:rPr>
                <w:rFonts w:cs="Arial"/>
                <w:color w:val="000000"/>
                <w:sz w:val="22"/>
                <w:szCs w:val="22"/>
              </w:rPr>
            </w:pPr>
            <w:r>
              <w:rPr>
                <w:rFonts w:cs="Arial"/>
                <w:color w:val="000000"/>
                <w:sz w:val="22"/>
                <w:szCs w:val="22"/>
              </w:rPr>
              <w:t xml:space="preserve">Hempstead and </w:t>
            </w:r>
            <w:proofErr w:type="spellStart"/>
            <w:r>
              <w:rPr>
                <w:rFonts w:cs="Arial"/>
                <w:color w:val="000000"/>
                <w:sz w:val="22"/>
                <w:szCs w:val="22"/>
              </w:rPr>
              <w:t>Wigmore</w:t>
            </w:r>
            <w:proofErr w:type="spellEnd"/>
          </w:p>
        </w:tc>
        <w:tc>
          <w:tcPr>
            <w:tcW w:w="384" w:type="pct"/>
            <w:tcBorders>
              <w:top w:val="nil"/>
              <w:left w:val="nil"/>
              <w:bottom w:val="single" w:sz="8" w:space="0" w:color="auto"/>
              <w:right w:val="single" w:sz="8" w:space="0" w:color="auto"/>
            </w:tcBorders>
            <w:shd w:val="clear" w:color="auto" w:fill="auto"/>
            <w:noWrap/>
            <w:vAlign w:val="center"/>
            <w:hideMark/>
          </w:tcPr>
          <w:p w14:paraId="4E3409B3" w14:textId="77777777" w:rsidR="007F5D13" w:rsidRDefault="007F5D13">
            <w:pPr>
              <w:jc w:val="right"/>
              <w:rPr>
                <w:rFonts w:cs="Arial"/>
                <w:color w:val="000000"/>
                <w:sz w:val="22"/>
                <w:szCs w:val="22"/>
              </w:rPr>
            </w:pPr>
            <w:r>
              <w:rPr>
                <w:rFonts w:cs="Arial"/>
                <w:color w:val="000000"/>
                <w:sz w:val="22"/>
                <w:szCs w:val="22"/>
              </w:rPr>
              <w:t>2-3%</w:t>
            </w:r>
          </w:p>
        </w:tc>
        <w:tc>
          <w:tcPr>
            <w:tcW w:w="384" w:type="pct"/>
            <w:tcBorders>
              <w:top w:val="nil"/>
              <w:left w:val="nil"/>
              <w:bottom w:val="single" w:sz="8" w:space="0" w:color="auto"/>
              <w:right w:val="single" w:sz="8" w:space="0" w:color="auto"/>
            </w:tcBorders>
            <w:shd w:val="clear" w:color="auto" w:fill="auto"/>
            <w:noWrap/>
            <w:vAlign w:val="center"/>
            <w:hideMark/>
          </w:tcPr>
          <w:p w14:paraId="3D64FED4"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690ECF2" w14:textId="77777777" w:rsidR="007F5D13" w:rsidRDefault="007F5D13">
            <w:pPr>
              <w:jc w:val="right"/>
              <w:rPr>
                <w:rFonts w:cs="Arial"/>
                <w:color w:val="000000"/>
                <w:sz w:val="22"/>
                <w:szCs w:val="22"/>
              </w:rPr>
            </w:pPr>
            <w:r>
              <w:rPr>
                <w:rFonts w:cs="Arial"/>
                <w:color w:val="000000"/>
                <w:sz w:val="22"/>
                <w:szCs w:val="22"/>
              </w:rPr>
              <w:t>30-35%</w:t>
            </w:r>
          </w:p>
        </w:tc>
        <w:tc>
          <w:tcPr>
            <w:tcW w:w="384" w:type="pct"/>
            <w:tcBorders>
              <w:top w:val="nil"/>
              <w:left w:val="nil"/>
              <w:bottom w:val="single" w:sz="8" w:space="0" w:color="auto"/>
              <w:right w:val="single" w:sz="8" w:space="0" w:color="auto"/>
            </w:tcBorders>
            <w:shd w:val="clear" w:color="auto" w:fill="auto"/>
            <w:noWrap/>
            <w:vAlign w:val="center"/>
            <w:hideMark/>
          </w:tcPr>
          <w:p w14:paraId="60DEE943" w14:textId="77777777" w:rsidR="007F5D13" w:rsidRDefault="007F5D13">
            <w:pPr>
              <w:jc w:val="right"/>
              <w:rPr>
                <w:rFonts w:cs="Arial"/>
                <w:color w:val="000000"/>
                <w:sz w:val="22"/>
                <w:szCs w:val="22"/>
              </w:rPr>
            </w:pPr>
            <w:r>
              <w:rPr>
                <w:rFonts w:cs="Arial"/>
                <w:color w:val="000000"/>
                <w:sz w:val="22"/>
                <w:szCs w:val="22"/>
              </w:rPr>
              <w:t>20-25%</w:t>
            </w:r>
          </w:p>
        </w:tc>
        <w:tc>
          <w:tcPr>
            <w:tcW w:w="384" w:type="pct"/>
            <w:tcBorders>
              <w:top w:val="nil"/>
              <w:left w:val="nil"/>
              <w:bottom w:val="single" w:sz="8" w:space="0" w:color="auto"/>
              <w:right w:val="single" w:sz="8" w:space="0" w:color="auto"/>
            </w:tcBorders>
            <w:shd w:val="clear" w:color="auto" w:fill="auto"/>
            <w:noWrap/>
            <w:vAlign w:val="center"/>
            <w:hideMark/>
          </w:tcPr>
          <w:p w14:paraId="62A79803"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527FA1C7"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056E1E59"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6C8EE1A5" w14:textId="77777777" w:rsidR="007F5D13" w:rsidRDefault="007F5D13">
            <w:pPr>
              <w:jc w:val="right"/>
              <w:rPr>
                <w:rFonts w:cs="Arial"/>
                <w:color w:val="000000"/>
                <w:sz w:val="22"/>
                <w:szCs w:val="22"/>
              </w:rPr>
            </w:pPr>
            <w:r>
              <w:rPr>
                <w:rFonts w:cs="Arial"/>
                <w:color w:val="000000"/>
                <w:sz w:val="22"/>
                <w:szCs w:val="22"/>
              </w:rPr>
              <w:t>5-6%</w:t>
            </w:r>
          </w:p>
        </w:tc>
        <w:tc>
          <w:tcPr>
            <w:tcW w:w="445" w:type="pct"/>
            <w:tcBorders>
              <w:top w:val="nil"/>
              <w:left w:val="nil"/>
              <w:bottom w:val="single" w:sz="8" w:space="0" w:color="auto"/>
              <w:right w:val="single" w:sz="8" w:space="0" w:color="auto"/>
            </w:tcBorders>
            <w:shd w:val="clear" w:color="auto" w:fill="auto"/>
            <w:noWrap/>
            <w:vAlign w:val="center"/>
            <w:hideMark/>
          </w:tcPr>
          <w:p w14:paraId="40736250" w14:textId="77777777" w:rsidR="007F5D13" w:rsidRDefault="007F5D13">
            <w:pPr>
              <w:jc w:val="right"/>
              <w:rPr>
                <w:rFonts w:cs="Arial"/>
                <w:color w:val="000000"/>
                <w:sz w:val="22"/>
                <w:szCs w:val="22"/>
              </w:rPr>
            </w:pPr>
            <w:r>
              <w:rPr>
                <w:rFonts w:cs="Arial"/>
                <w:color w:val="000000"/>
                <w:sz w:val="22"/>
                <w:szCs w:val="22"/>
              </w:rPr>
              <w:t>6-7%</w:t>
            </w:r>
          </w:p>
        </w:tc>
      </w:tr>
      <w:tr w:rsidR="007F5D13" w14:paraId="0B0EBF7C"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0C9A4C32" w14:textId="77777777" w:rsidR="007F5D13" w:rsidRDefault="007F5D13">
            <w:pPr>
              <w:rPr>
                <w:rFonts w:cs="Arial"/>
                <w:color w:val="000000"/>
                <w:sz w:val="22"/>
                <w:szCs w:val="22"/>
              </w:rPr>
            </w:pPr>
            <w:proofErr w:type="spellStart"/>
            <w:r>
              <w:rPr>
                <w:rFonts w:cs="Arial"/>
                <w:color w:val="000000"/>
                <w:sz w:val="22"/>
                <w:szCs w:val="22"/>
              </w:rPr>
              <w:t>Lordswood</w:t>
            </w:r>
            <w:proofErr w:type="spellEnd"/>
            <w:r>
              <w:rPr>
                <w:rFonts w:cs="Arial"/>
                <w:color w:val="000000"/>
                <w:sz w:val="22"/>
                <w:szCs w:val="22"/>
              </w:rPr>
              <w:t xml:space="preserve"> and Capstone</w:t>
            </w:r>
          </w:p>
        </w:tc>
        <w:tc>
          <w:tcPr>
            <w:tcW w:w="384" w:type="pct"/>
            <w:tcBorders>
              <w:top w:val="nil"/>
              <w:left w:val="nil"/>
              <w:bottom w:val="single" w:sz="8" w:space="0" w:color="auto"/>
              <w:right w:val="single" w:sz="8" w:space="0" w:color="auto"/>
            </w:tcBorders>
            <w:shd w:val="clear" w:color="auto" w:fill="auto"/>
            <w:noWrap/>
            <w:vAlign w:val="center"/>
            <w:hideMark/>
          </w:tcPr>
          <w:p w14:paraId="1669C8D9" w14:textId="77777777" w:rsidR="007F5D13" w:rsidRDefault="007F5D13">
            <w:pPr>
              <w:jc w:val="right"/>
              <w:rPr>
                <w:rFonts w:cs="Arial"/>
                <w:color w:val="000000"/>
                <w:sz w:val="22"/>
                <w:szCs w:val="22"/>
              </w:rPr>
            </w:pPr>
            <w:r>
              <w:rPr>
                <w:rFonts w:cs="Arial"/>
                <w:color w:val="000000"/>
                <w:sz w:val="22"/>
                <w:szCs w:val="22"/>
              </w:rPr>
              <w:t>2-3%</w:t>
            </w:r>
          </w:p>
        </w:tc>
        <w:tc>
          <w:tcPr>
            <w:tcW w:w="384" w:type="pct"/>
            <w:tcBorders>
              <w:top w:val="nil"/>
              <w:left w:val="nil"/>
              <w:bottom w:val="single" w:sz="8" w:space="0" w:color="auto"/>
              <w:right w:val="single" w:sz="8" w:space="0" w:color="auto"/>
            </w:tcBorders>
            <w:shd w:val="clear" w:color="auto" w:fill="auto"/>
            <w:noWrap/>
            <w:vAlign w:val="center"/>
            <w:hideMark/>
          </w:tcPr>
          <w:p w14:paraId="734AE686"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1B7A9DA4" w14:textId="77777777" w:rsidR="007F5D13" w:rsidRDefault="007F5D13">
            <w:pPr>
              <w:jc w:val="right"/>
              <w:rPr>
                <w:rFonts w:cs="Arial"/>
                <w:color w:val="000000"/>
                <w:sz w:val="22"/>
                <w:szCs w:val="22"/>
              </w:rPr>
            </w:pPr>
            <w:r>
              <w:rPr>
                <w:rFonts w:cs="Arial"/>
                <w:color w:val="000000"/>
                <w:sz w:val="22"/>
                <w:szCs w:val="22"/>
              </w:rPr>
              <w:t>35-40%</w:t>
            </w:r>
          </w:p>
        </w:tc>
        <w:tc>
          <w:tcPr>
            <w:tcW w:w="384" w:type="pct"/>
            <w:tcBorders>
              <w:top w:val="nil"/>
              <w:left w:val="nil"/>
              <w:bottom w:val="single" w:sz="8" w:space="0" w:color="auto"/>
              <w:right w:val="single" w:sz="8" w:space="0" w:color="auto"/>
            </w:tcBorders>
            <w:shd w:val="clear" w:color="auto" w:fill="auto"/>
            <w:noWrap/>
            <w:vAlign w:val="center"/>
            <w:hideMark/>
          </w:tcPr>
          <w:p w14:paraId="49FE52E7"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3CBF35D8"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0E8175B7"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178DA395"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2FC94427" w14:textId="77777777" w:rsidR="007F5D13" w:rsidRDefault="007F5D13">
            <w:pPr>
              <w:jc w:val="right"/>
              <w:rPr>
                <w:rFonts w:cs="Arial"/>
                <w:color w:val="000000"/>
                <w:sz w:val="22"/>
                <w:szCs w:val="22"/>
              </w:rPr>
            </w:pPr>
            <w:r>
              <w:rPr>
                <w:rFonts w:cs="Arial"/>
                <w:color w:val="000000"/>
                <w:sz w:val="22"/>
                <w:szCs w:val="22"/>
              </w:rPr>
              <w:t>4-5%</w:t>
            </w:r>
          </w:p>
        </w:tc>
        <w:tc>
          <w:tcPr>
            <w:tcW w:w="445" w:type="pct"/>
            <w:tcBorders>
              <w:top w:val="nil"/>
              <w:left w:val="nil"/>
              <w:bottom w:val="single" w:sz="8" w:space="0" w:color="auto"/>
              <w:right w:val="single" w:sz="8" w:space="0" w:color="auto"/>
            </w:tcBorders>
            <w:shd w:val="clear" w:color="auto" w:fill="auto"/>
            <w:noWrap/>
            <w:vAlign w:val="center"/>
            <w:hideMark/>
          </w:tcPr>
          <w:p w14:paraId="57484869" w14:textId="77777777" w:rsidR="007F5D13" w:rsidRDefault="007F5D13">
            <w:pPr>
              <w:jc w:val="right"/>
              <w:rPr>
                <w:rFonts w:cs="Arial"/>
                <w:color w:val="000000"/>
                <w:sz w:val="22"/>
                <w:szCs w:val="22"/>
              </w:rPr>
            </w:pPr>
            <w:r>
              <w:rPr>
                <w:rFonts w:cs="Arial"/>
                <w:color w:val="000000"/>
                <w:sz w:val="22"/>
                <w:szCs w:val="22"/>
              </w:rPr>
              <w:t>2-3%</w:t>
            </w:r>
          </w:p>
        </w:tc>
      </w:tr>
      <w:tr w:rsidR="007F5D13" w14:paraId="182A1D02"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4FD4BBA2" w14:textId="77777777" w:rsidR="007F5D13" w:rsidRDefault="007F5D13">
            <w:pPr>
              <w:rPr>
                <w:rFonts w:cs="Arial"/>
                <w:color w:val="000000"/>
                <w:sz w:val="22"/>
                <w:szCs w:val="22"/>
              </w:rPr>
            </w:pPr>
            <w:r>
              <w:rPr>
                <w:rFonts w:cs="Arial"/>
                <w:color w:val="000000"/>
                <w:sz w:val="22"/>
                <w:szCs w:val="22"/>
              </w:rPr>
              <w:t xml:space="preserve">Luton and </w:t>
            </w:r>
            <w:proofErr w:type="spellStart"/>
            <w:r>
              <w:rPr>
                <w:rFonts w:cs="Arial"/>
                <w:color w:val="000000"/>
                <w:sz w:val="22"/>
                <w:szCs w:val="22"/>
              </w:rPr>
              <w:t>Wayfield</w:t>
            </w:r>
            <w:proofErr w:type="spellEnd"/>
          </w:p>
        </w:tc>
        <w:tc>
          <w:tcPr>
            <w:tcW w:w="384" w:type="pct"/>
            <w:tcBorders>
              <w:top w:val="nil"/>
              <w:left w:val="nil"/>
              <w:bottom w:val="single" w:sz="8" w:space="0" w:color="auto"/>
              <w:right w:val="single" w:sz="8" w:space="0" w:color="auto"/>
            </w:tcBorders>
            <w:shd w:val="clear" w:color="auto" w:fill="auto"/>
            <w:noWrap/>
            <w:vAlign w:val="center"/>
            <w:hideMark/>
          </w:tcPr>
          <w:p w14:paraId="2F2F098C" w14:textId="77777777" w:rsidR="007F5D13" w:rsidRDefault="007F5D13">
            <w:pPr>
              <w:jc w:val="right"/>
              <w:rPr>
                <w:rFonts w:cs="Arial"/>
                <w:color w:val="000000"/>
                <w:sz w:val="22"/>
                <w:szCs w:val="22"/>
              </w:rPr>
            </w:pPr>
            <w:r>
              <w:rPr>
                <w:rFonts w:cs="Arial"/>
                <w:color w:val="000000"/>
                <w:sz w:val="22"/>
                <w:szCs w:val="22"/>
              </w:rPr>
              <w:t>2-3%</w:t>
            </w:r>
          </w:p>
        </w:tc>
        <w:tc>
          <w:tcPr>
            <w:tcW w:w="384" w:type="pct"/>
            <w:tcBorders>
              <w:top w:val="nil"/>
              <w:left w:val="nil"/>
              <w:bottom w:val="single" w:sz="8" w:space="0" w:color="auto"/>
              <w:right w:val="single" w:sz="8" w:space="0" w:color="auto"/>
            </w:tcBorders>
            <w:shd w:val="clear" w:color="auto" w:fill="auto"/>
            <w:noWrap/>
            <w:vAlign w:val="center"/>
            <w:hideMark/>
          </w:tcPr>
          <w:p w14:paraId="3A8E1594"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77DEA0CF" w14:textId="77777777" w:rsidR="007F5D13" w:rsidRDefault="007F5D13">
            <w:pPr>
              <w:jc w:val="right"/>
              <w:rPr>
                <w:rFonts w:cs="Arial"/>
                <w:color w:val="000000"/>
                <w:sz w:val="22"/>
                <w:szCs w:val="22"/>
              </w:rPr>
            </w:pPr>
            <w:r>
              <w:rPr>
                <w:rFonts w:cs="Arial"/>
                <w:color w:val="000000"/>
                <w:sz w:val="22"/>
                <w:szCs w:val="22"/>
              </w:rPr>
              <w:t>35-40%</w:t>
            </w:r>
          </w:p>
        </w:tc>
        <w:tc>
          <w:tcPr>
            <w:tcW w:w="384" w:type="pct"/>
            <w:tcBorders>
              <w:top w:val="nil"/>
              <w:left w:val="nil"/>
              <w:bottom w:val="single" w:sz="8" w:space="0" w:color="auto"/>
              <w:right w:val="single" w:sz="8" w:space="0" w:color="auto"/>
            </w:tcBorders>
            <w:shd w:val="clear" w:color="auto" w:fill="auto"/>
            <w:noWrap/>
            <w:vAlign w:val="center"/>
            <w:hideMark/>
          </w:tcPr>
          <w:p w14:paraId="32CC216E"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5C2B5918"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0605C949"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2707A7A6"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6BB752A2"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72EA0E0E" w14:textId="77777777" w:rsidR="007F5D13" w:rsidRDefault="007F5D13">
            <w:pPr>
              <w:jc w:val="right"/>
              <w:rPr>
                <w:rFonts w:cs="Arial"/>
                <w:color w:val="000000"/>
                <w:sz w:val="22"/>
                <w:szCs w:val="22"/>
              </w:rPr>
            </w:pPr>
            <w:r>
              <w:rPr>
                <w:rFonts w:cs="Arial"/>
                <w:color w:val="000000"/>
                <w:sz w:val="22"/>
                <w:szCs w:val="22"/>
              </w:rPr>
              <w:t>1-2%</w:t>
            </w:r>
          </w:p>
        </w:tc>
      </w:tr>
      <w:tr w:rsidR="007F5D13" w14:paraId="7D9A5EC9"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22A79B30" w14:textId="77777777" w:rsidR="007F5D13" w:rsidRDefault="007F5D13">
            <w:pPr>
              <w:rPr>
                <w:rFonts w:cs="Arial"/>
                <w:color w:val="000000"/>
                <w:sz w:val="22"/>
                <w:szCs w:val="22"/>
              </w:rPr>
            </w:pPr>
            <w:r>
              <w:rPr>
                <w:rFonts w:cs="Arial"/>
                <w:color w:val="000000"/>
                <w:sz w:val="22"/>
                <w:szCs w:val="22"/>
              </w:rPr>
              <w:t>Peninsula</w:t>
            </w:r>
          </w:p>
        </w:tc>
        <w:tc>
          <w:tcPr>
            <w:tcW w:w="384" w:type="pct"/>
            <w:tcBorders>
              <w:top w:val="nil"/>
              <w:left w:val="nil"/>
              <w:bottom w:val="single" w:sz="8" w:space="0" w:color="auto"/>
              <w:right w:val="single" w:sz="8" w:space="0" w:color="auto"/>
            </w:tcBorders>
            <w:shd w:val="clear" w:color="auto" w:fill="auto"/>
            <w:noWrap/>
            <w:vAlign w:val="center"/>
            <w:hideMark/>
          </w:tcPr>
          <w:p w14:paraId="12F94287"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7F79F075"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040ABA49"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2A9926B6"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506EE3B1"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4921D365"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31B79838"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6B575D9B" w14:textId="77777777" w:rsidR="007F5D13" w:rsidRDefault="007F5D13">
            <w:pPr>
              <w:jc w:val="right"/>
              <w:rPr>
                <w:rFonts w:cs="Arial"/>
                <w:color w:val="000000"/>
                <w:sz w:val="22"/>
                <w:szCs w:val="22"/>
              </w:rPr>
            </w:pPr>
            <w:r>
              <w:rPr>
                <w:rFonts w:cs="Arial"/>
                <w:color w:val="000000"/>
                <w:sz w:val="22"/>
                <w:szCs w:val="22"/>
              </w:rPr>
              <w:t>4-5%</w:t>
            </w:r>
          </w:p>
        </w:tc>
        <w:tc>
          <w:tcPr>
            <w:tcW w:w="445" w:type="pct"/>
            <w:tcBorders>
              <w:top w:val="nil"/>
              <w:left w:val="nil"/>
              <w:bottom w:val="single" w:sz="8" w:space="0" w:color="auto"/>
              <w:right w:val="single" w:sz="8" w:space="0" w:color="auto"/>
            </w:tcBorders>
            <w:shd w:val="clear" w:color="auto" w:fill="auto"/>
            <w:noWrap/>
            <w:vAlign w:val="center"/>
            <w:hideMark/>
          </w:tcPr>
          <w:p w14:paraId="11AEE52B" w14:textId="77777777" w:rsidR="007F5D13" w:rsidRDefault="007F5D13">
            <w:pPr>
              <w:jc w:val="right"/>
              <w:rPr>
                <w:rFonts w:cs="Arial"/>
                <w:color w:val="000000"/>
                <w:sz w:val="22"/>
                <w:szCs w:val="22"/>
              </w:rPr>
            </w:pPr>
            <w:r>
              <w:rPr>
                <w:rFonts w:cs="Arial"/>
                <w:color w:val="000000"/>
                <w:sz w:val="22"/>
                <w:szCs w:val="22"/>
              </w:rPr>
              <w:t>2-3%</w:t>
            </w:r>
          </w:p>
        </w:tc>
      </w:tr>
      <w:tr w:rsidR="007F5D13" w14:paraId="205FC1E0"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26333FC1" w14:textId="77777777" w:rsidR="007F5D13" w:rsidRDefault="007F5D13">
            <w:pPr>
              <w:rPr>
                <w:rFonts w:cs="Arial"/>
                <w:color w:val="000000"/>
                <w:sz w:val="22"/>
                <w:szCs w:val="22"/>
              </w:rPr>
            </w:pPr>
            <w:r>
              <w:rPr>
                <w:rFonts w:cs="Arial"/>
                <w:color w:val="000000"/>
                <w:sz w:val="22"/>
                <w:szCs w:val="22"/>
              </w:rPr>
              <w:t>Princes Park</w:t>
            </w:r>
          </w:p>
        </w:tc>
        <w:tc>
          <w:tcPr>
            <w:tcW w:w="384" w:type="pct"/>
            <w:tcBorders>
              <w:top w:val="nil"/>
              <w:left w:val="nil"/>
              <w:bottom w:val="single" w:sz="8" w:space="0" w:color="auto"/>
              <w:right w:val="single" w:sz="8" w:space="0" w:color="auto"/>
            </w:tcBorders>
            <w:shd w:val="clear" w:color="auto" w:fill="auto"/>
            <w:noWrap/>
            <w:vAlign w:val="center"/>
            <w:hideMark/>
          </w:tcPr>
          <w:p w14:paraId="172196F9" w14:textId="77777777" w:rsidR="007F5D13" w:rsidRDefault="007F5D13">
            <w:pPr>
              <w:jc w:val="right"/>
              <w:rPr>
                <w:rFonts w:cs="Arial"/>
                <w:color w:val="000000"/>
                <w:sz w:val="22"/>
                <w:szCs w:val="22"/>
              </w:rPr>
            </w:pPr>
            <w:r>
              <w:rPr>
                <w:rFonts w:cs="Arial"/>
                <w:color w:val="000000"/>
                <w:sz w:val="22"/>
                <w:szCs w:val="22"/>
              </w:rPr>
              <w:t>3-4%</w:t>
            </w:r>
          </w:p>
        </w:tc>
        <w:tc>
          <w:tcPr>
            <w:tcW w:w="384" w:type="pct"/>
            <w:tcBorders>
              <w:top w:val="nil"/>
              <w:left w:val="nil"/>
              <w:bottom w:val="single" w:sz="8" w:space="0" w:color="auto"/>
              <w:right w:val="single" w:sz="8" w:space="0" w:color="auto"/>
            </w:tcBorders>
            <w:shd w:val="clear" w:color="auto" w:fill="auto"/>
            <w:noWrap/>
            <w:vAlign w:val="center"/>
            <w:hideMark/>
          </w:tcPr>
          <w:p w14:paraId="7EA98959"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490712B1"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2F64F7C7"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4F826136"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57D83F3D"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1DFEF336"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58C50F3F"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1AE6B94F" w14:textId="77777777" w:rsidR="007F5D13" w:rsidRDefault="007F5D13">
            <w:pPr>
              <w:jc w:val="right"/>
              <w:rPr>
                <w:rFonts w:cs="Arial"/>
                <w:color w:val="000000"/>
                <w:sz w:val="22"/>
                <w:szCs w:val="22"/>
              </w:rPr>
            </w:pPr>
            <w:r>
              <w:rPr>
                <w:rFonts w:cs="Arial"/>
                <w:color w:val="000000"/>
                <w:sz w:val="22"/>
                <w:szCs w:val="22"/>
              </w:rPr>
              <w:t>1-2%</w:t>
            </w:r>
          </w:p>
        </w:tc>
      </w:tr>
      <w:tr w:rsidR="007F5D13" w14:paraId="37016B5A"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149D6E5E" w14:textId="77777777" w:rsidR="007F5D13" w:rsidRDefault="007F5D13">
            <w:pPr>
              <w:rPr>
                <w:rFonts w:cs="Arial"/>
                <w:color w:val="000000"/>
                <w:sz w:val="22"/>
                <w:szCs w:val="22"/>
              </w:rPr>
            </w:pPr>
            <w:r>
              <w:rPr>
                <w:rFonts w:cs="Arial"/>
                <w:color w:val="000000"/>
                <w:sz w:val="22"/>
                <w:szCs w:val="22"/>
              </w:rPr>
              <w:t>Rainham Central</w:t>
            </w:r>
          </w:p>
        </w:tc>
        <w:tc>
          <w:tcPr>
            <w:tcW w:w="384" w:type="pct"/>
            <w:tcBorders>
              <w:top w:val="nil"/>
              <w:left w:val="nil"/>
              <w:bottom w:val="single" w:sz="8" w:space="0" w:color="auto"/>
              <w:right w:val="single" w:sz="8" w:space="0" w:color="auto"/>
            </w:tcBorders>
            <w:shd w:val="clear" w:color="auto" w:fill="auto"/>
            <w:noWrap/>
            <w:vAlign w:val="center"/>
            <w:hideMark/>
          </w:tcPr>
          <w:p w14:paraId="769FC444"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6A3966C7"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3728C6B9" w14:textId="77777777" w:rsidR="007F5D13" w:rsidRDefault="007F5D13">
            <w:pPr>
              <w:jc w:val="right"/>
              <w:rPr>
                <w:rFonts w:cs="Arial"/>
                <w:color w:val="000000"/>
                <w:sz w:val="22"/>
                <w:szCs w:val="22"/>
              </w:rPr>
            </w:pPr>
            <w:r>
              <w:rPr>
                <w:rFonts w:cs="Arial"/>
                <w:color w:val="000000"/>
                <w:sz w:val="22"/>
                <w:szCs w:val="22"/>
              </w:rPr>
              <w:t>35-40%</w:t>
            </w:r>
          </w:p>
        </w:tc>
        <w:tc>
          <w:tcPr>
            <w:tcW w:w="384" w:type="pct"/>
            <w:tcBorders>
              <w:top w:val="nil"/>
              <w:left w:val="nil"/>
              <w:bottom w:val="single" w:sz="8" w:space="0" w:color="auto"/>
              <w:right w:val="single" w:sz="8" w:space="0" w:color="auto"/>
            </w:tcBorders>
            <w:shd w:val="clear" w:color="auto" w:fill="auto"/>
            <w:noWrap/>
            <w:vAlign w:val="center"/>
            <w:hideMark/>
          </w:tcPr>
          <w:p w14:paraId="325C664C"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1DCD4934"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77E1054"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6A454872"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7EF926C2" w14:textId="77777777" w:rsidR="007F5D13" w:rsidRDefault="007F5D13">
            <w:pPr>
              <w:jc w:val="right"/>
              <w:rPr>
                <w:rFonts w:cs="Arial"/>
                <w:color w:val="000000"/>
                <w:sz w:val="22"/>
                <w:szCs w:val="22"/>
              </w:rPr>
            </w:pPr>
            <w:r>
              <w:rPr>
                <w:rFonts w:cs="Arial"/>
                <w:color w:val="000000"/>
                <w:sz w:val="22"/>
                <w:szCs w:val="22"/>
              </w:rPr>
              <w:t>7-8%</w:t>
            </w:r>
          </w:p>
        </w:tc>
        <w:tc>
          <w:tcPr>
            <w:tcW w:w="445" w:type="pct"/>
            <w:tcBorders>
              <w:top w:val="nil"/>
              <w:left w:val="nil"/>
              <w:bottom w:val="single" w:sz="8" w:space="0" w:color="auto"/>
              <w:right w:val="single" w:sz="8" w:space="0" w:color="auto"/>
            </w:tcBorders>
            <w:shd w:val="clear" w:color="auto" w:fill="auto"/>
            <w:noWrap/>
            <w:vAlign w:val="center"/>
            <w:hideMark/>
          </w:tcPr>
          <w:p w14:paraId="3750EF84" w14:textId="77777777" w:rsidR="007F5D13" w:rsidRDefault="007F5D13">
            <w:pPr>
              <w:jc w:val="right"/>
              <w:rPr>
                <w:rFonts w:cs="Arial"/>
                <w:color w:val="000000"/>
                <w:sz w:val="22"/>
                <w:szCs w:val="22"/>
              </w:rPr>
            </w:pPr>
            <w:r>
              <w:rPr>
                <w:rFonts w:cs="Arial"/>
                <w:color w:val="000000"/>
                <w:sz w:val="22"/>
                <w:szCs w:val="22"/>
              </w:rPr>
              <w:t>6-7%</w:t>
            </w:r>
          </w:p>
        </w:tc>
      </w:tr>
      <w:tr w:rsidR="007F5D13" w14:paraId="6F4CA94D"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4C8031B6" w14:textId="77777777" w:rsidR="007F5D13" w:rsidRDefault="007F5D13">
            <w:pPr>
              <w:rPr>
                <w:rFonts w:cs="Arial"/>
                <w:color w:val="000000"/>
                <w:sz w:val="22"/>
                <w:szCs w:val="22"/>
              </w:rPr>
            </w:pPr>
            <w:r>
              <w:rPr>
                <w:rFonts w:cs="Arial"/>
                <w:color w:val="000000"/>
                <w:sz w:val="22"/>
                <w:szCs w:val="22"/>
              </w:rPr>
              <w:t>Rainham North</w:t>
            </w:r>
          </w:p>
        </w:tc>
        <w:tc>
          <w:tcPr>
            <w:tcW w:w="384" w:type="pct"/>
            <w:tcBorders>
              <w:top w:val="nil"/>
              <w:left w:val="nil"/>
              <w:bottom w:val="single" w:sz="8" w:space="0" w:color="auto"/>
              <w:right w:val="single" w:sz="8" w:space="0" w:color="auto"/>
            </w:tcBorders>
            <w:shd w:val="clear" w:color="auto" w:fill="auto"/>
            <w:noWrap/>
            <w:vAlign w:val="center"/>
            <w:hideMark/>
          </w:tcPr>
          <w:p w14:paraId="6D000109"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3434A204"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2385515"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2624FA78"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73A9A063"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4D7AEB27"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7F9C144D"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21C3C5B6" w14:textId="77777777" w:rsidR="007F5D13" w:rsidRDefault="007F5D13">
            <w:pPr>
              <w:jc w:val="right"/>
              <w:rPr>
                <w:rFonts w:cs="Arial"/>
                <w:color w:val="000000"/>
                <w:sz w:val="22"/>
                <w:szCs w:val="22"/>
              </w:rPr>
            </w:pPr>
            <w:r>
              <w:rPr>
                <w:rFonts w:cs="Arial"/>
                <w:color w:val="000000"/>
                <w:sz w:val="22"/>
                <w:szCs w:val="22"/>
              </w:rPr>
              <w:t>5-6%</w:t>
            </w:r>
          </w:p>
        </w:tc>
        <w:tc>
          <w:tcPr>
            <w:tcW w:w="445" w:type="pct"/>
            <w:tcBorders>
              <w:top w:val="nil"/>
              <w:left w:val="nil"/>
              <w:bottom w:val="single" w:sz="8" w:space="0" w:color="auto"/>
              <w:right w:val="single" w:sz="8" w:space="0" w:color="auto"/>
            </w:tcBorders>
            <w:shd w:val="clear" w:color="auto" w:fill="auto"/>
            <w:noWrap/>
            <w:vAlign w:val="center"/>
            <w:hideMark/>
          </w:tcPr>
          <w:p w14:paraId="6E8494C8" w14:textId="77777777" w:rsidR="007F5D13" w:rsidRDefault="007F5D13">
            <w:pPr>
              <w:jc w:val="right"/>
              <w:rPr>
                <w:rFonts w:cs="Arial"/>
                <w:color w:val="000000"/>
                <w:sz w:val="22"/>
                <w:szCs w:val="22"/>
              </w:rPr>
            </w:pPr>
            <w:r>
              <w:rPr>
                <w:rFonts w:cs="Arial"/>
                <w:color w:val="000000"/>
                <w:sz w:val="22"/>
                <w:szCs w:val="22"/>
              </w:rPr>
              <w:t>2-3%</w:t>
            </w:r>
          </w:p>
        </w:tc>
      </w:tr>
      <w:tr w:rsidR="007F5D13" w14:paraId="39374108"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6B07D77F" w14:textId="77777777" w:rsidR="007F5D13" w:rsidRDefault="007F5D13">
            <w:pPr>
              <w:rPr>
                <w:rFonts w:cs="Arial"/>
                <w:color w:val="000000"/>
                <w:sz w:val="22"/>
                <w:szCs w:val="22"/>
              </w:rPr>
            </w:pPr>
            <w:r>
              <w:rPr>
                <w:rFonts w:cs="Arial"/>
                <w:color w:val="000000"/>
                <w:sz w:val="22"/>
                <w:szCs w:val="22"/>
              </w:rPr>
              <w:t>Rainham South</w:t>
            </w:r>
          </w:p>
        </w:tc>
        <w:tc>
          <w:tcPr>
            <w:tcW w:w="384" w:type="pct"/>
            <w:tcBorders>
              <w:top w:val="nil"/>
              <w:left w:val="nil"/>
              <w:bottom w:val="single" w:sz="8" w:space="0" w:color="auto"/>
              <w:right w:val="single" w:sz="8" w:space="0" w:color="auto"/>
            </w:tcBorders>
            <w:shd w:val="clear" w:color="auto" w:fill="auto"/>
            <w:noWrap/>
            <w:vAlign w:val="center"/>
            <w:hideMark/>
          </w:tcPr>
          <w:p w14:paraId="26E30BF7" w14:textId="77777777" w:rsidR="007F5D13" w:rsidRDefault="007F5D13">
            <w:pPr>
              <w:jc w:val="right"/>
              <w:rPr>
                <w:rFonts w:cs="Arial"/>
                <w:color w:val="000000"/>
                <w:sz w:val="22"/>
                <w:szCs w:val="22"/>
              </w:rPr>
            </w:pPr>
            <w:r>
              <w:rPr>
                <w:rFonts w:cs="Arial"/>
                <w:color w:val="000000"/>
                <w:sz w:val="22"/>
                <w:szCs w:val="22"/>
              </w:rPr>
              <w:t>2-3%</w:t>
            </w:r>
          </w:p>
        </w:tc>
        <w:tc>
          <w:tcPr>
            <w:tcW w:w="384" w:type="pct"/>
            <w:tcBorders>
              <w:top w:val="nil"/>
              <w:left w:val="nil"/>
              <w:bottom w:val="single" w:sz="8" w:space="0" w:color="auto"/>
              <w:right w:val="single" w:sz="8" w:space="0" w:color="auto"/>
            </w:tcBorders>
            <w:shd w:val="clear" w:color="auto" w:fill="auto"/>
            <w:noWrap/>
            <w:vAlign w:val="center"/>
            <w:hideMark/>
          </w:tcPr>
          <w:p w14:paraId="6F4EBAB3"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3A5D592B"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2A328F14"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70A7BE8A"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E45B0E3"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029FDEF1"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4A387B5F" w14:textId="77777777" w:rsidR="007F5D13" w:rsidRDefault="007F5D13">
            <w:pPr>
              <w:jc w:val="right"/>
              <w:rPr>
                <w:rFonts w:cs="Arial"/>
                <w:color w:val="000000"/>
                <w:sz w:val="22"/>
                <w:szCs w:val="22"/>
              </w:rPr>
            </w:pPr>
            <w:r>
              <w:rPr>
                <w:rFonts w:cs="Arial"/>
                <w:color w:val="000000"/>
                <w:sz w:val="22"/>
                <w:szCs w:val="22"/>
              </w:rPr>
              <w:t>3-4%</w:t>
            </w:r>
          </w:p>
        </w:tc>
        <w:tc>
          <w:tcPr>
            <w:tcW w:w="445" w:type="pct"/>
            <w:tcBorders>
              <w:top w:val="nil"/>
              <w:left w:val="nil"/>
              <w:bottom w:val="single" w:sz="8" w:space="0" w:color="auto"/>
              <w:right w:val="single" w:sz="8" w:space="0" w:color="auto"/>
            </w:tcBorders>
            <w:shd w:val="clear" w:color="auto" w:fill="auto"/>
            <w:noWrap/>
            <w:vAlign w:val="center"/>
            <w:hideMark/>
          </w:tcPr>
          <w:p w14:paraId="73E1D1B7" w14:textId="77777777" w:rsidR="007F5D13" w:rsidRDefault="007F5D13">
            <w:pPr>
              <w:jc w:val="right"/>
              <w:rPr>
                <w:rFonts w:cs="Arial"/>
                <w:color w:val="000000"/>
                <w:sz w:val="22"/>
                <w:szCs w:val="22"/>
              </w:rPr>
            </w:pPr>
            <w:r>
              <w:rPr>
                <w:rFonts w:cs="Arial"/>
                <w:color w:val="000000"/>
                <w:sz w:val="22"/>
                <w:szCs w:val="22"/>
              </w:rPr>
              <w:t>2-3%</w:t>
            </w:r>
          </w:p>
        </w:tc>
      </w:tr>
      <w:tr w:rsidR="007F5D13" w14:paraId="75DCC746"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17C6AAF2" w14:textId="77777777" w:rsidR="007F5D13" w:rsidRDefault="007F5D13">
            <w:pPr>
              <w:rPr>
                <w:rFonts w:cs="Arial"/>
                <w:color w:val="000000"/>
                <w:sz w:val="22"/>
                <w:szCs w:val="22"/>
              </w:rPr>
            </w:pPr>
            <w:r>
              <w:rPr>
                <w:rFonts w:cs="Arial"/>
                <w:color w:val="000000"/>
                <w:sz w:val="22"/>
                <w:szCs w:val="22"/>
              </w:rPr>
              <w:t>River</w:t>
            </w:r>
          </w:p>
        </w:tc>
        <w:tc>
          <w:tcPr>
            <w:tcW w:w="384" w:type="pct"/>
            <w:tcBorders>
              <w:top w:val="nil"/>
              <w:left w:val="nil"/>
              <w:bottom w:val="single" w:sz="8" w:space="0" w:color="auto"/>
              <w:right w:val="single" w:sz="8" w:space="0" w:color="auto"/>
            </w:tcBorders>
            <w:shd w:val="clear" w:color="auto" w:fill="auto"/>
            <w:noWrap/>
            <w:vAlign w:val="center"/>
            <w:hideMark/>
          </w:tcPr>
          <w:p w14:paraId="3B98D3FD"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71097516"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12DDC794" w14:textId="77777777" w:rsidR="007F5D13" w:rsidRDefault="007F5D13">
            <w:pPr>
              <w:jc w:val="right"/>
              <w:rPr>
                <w:rFonts w:cs="Arial"/>
                <w:color w:val="000000"/>
                <w:sz w:val="22"/>
                <w:szCs w:val="22"/>
              </w:rPr>
            </w:pPr>
            <w:r>
              <w:rPr>
                <w:rFonts w:cs="Arial"/>
                <w:color w:val="000000"/>
                <w:sz w:val="22"/>
                <w:szCs w:val="22"/>
              </w:rPr>
              <w:t>20-25%</w:t>
            </w:r>
          </w:p>
        </w:tc>
        <w:tc>
          <w:tcPr>
            <w:tcW w:w="384" w:type="pct"/>
            <w:tcBorders>
              <w:top w:val="nil"/>
              <w:left w:val="nil"/>
              <w:bottom w:val="single" w:sz="8" w:space="0" w:color="auto"/>
              <w:right w:val="single" w:sz="8" w:space="0" w:color="auto"/>
            </w:tcBorders>
            <w:shd w:val="clear" w:color="auto" w:fill="auto"/>
            <w:noWrap/>
            <w:vAlign w:val="center"/>
            <w:hideMark/>
          </w:tcPr>
          <w:p w14:paraId="613E3289"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2A258D55" w14:textId="77777777" w:rsidR="007F5D13" w:rsidRDefault="007F5D13">
            <w:pPr>
              <w:jc w:val="right"/>
              <w:rPr>
                <w:rFonts w:cs="Arial"/>
                <w:color w:val="000000"/>
                <w:sz w:val="22"/>
                <w:szCs w:val="22"/>
              </w:rPr>
            </w:pPr>
            <w:r>
              <w:rPr>
                <w:rFonts w:cs="Arial"/>
                <w:color w:val="000000"/>
                <w:sz w:val="22"/>
                <w:szCs w:val="22"/>
              </w:rPr>
              <w:t>20-25%</w:t>
            </w:r>
          </w:p>
        </w:tc>
        <w:tc>
          <w:tcPr>
            <w:tcW w:w="384" w:type="pct"/>
            <w:tcBorders>
              <w:top w:val="nil"/>
              <w:left w:val="nil"/>
              <w:bottom w:val="single" w:sz="8" w:space="0" w:color="auto"/>
              <w:right w:val="single" w:sz="8" w:space="0" w:color="auto"/>
            </w:tcBorders>
            <w:shd w:val="clear" w:color="auto" w:fill="auto"/>
            <w:noWrap/>
            <w:vAlign w:val="center"/>
            <w:hideMark/>
          </w:tcPr>
          <w:p w14:paraId="7DABCE5E" w14:textId="77777777" w:rsidR="007F5D13" w:rsidRDefault="007F5D13">
            <w:pPr>
              <w:jc w:val="right"/>
              <w:rPr>
                <w:rFonts w:cs="Arial"/>
                <w:color w:val="000000"/>
                <w:sz w:val="22"/>
                <w:szCs w:val="22"/>
              </w:rPr>
            </w:pPr>
            <w:r>
              <w:rPr>
                <w:rFonts w:cs="Arial"/>
                <w:color w:val="000000"/>
                <w:sz w:val="22"/>
                <w:szCs w:val="22"/>
              </w:rPr>
              <w:t>32.0</w:t>
            </w:r>
          </w:p>
        </w:tc>
        <w:tc>
          <w:tcPr>
            <w:tcW w:w="445" w:type="pct"/>
            <w:tcBorders>
              <w:top w:val="nil"/>
              <w:left w:val="nil"/>
              <w:bottom w:val="single" w:sz="8" w:space="0" w:color="auto"/>
              <w:right w:val="single" w:sz="8" w:space="0" w:color="auto"/>
            </w:tcBorders>
            <w:shd w:val="clear" w:color="auto" w:fill="auto"/>
            <w:noWrap/>
            <w:vAlign w:val="center"/>
            <w:hideMark/>
          </w:tcPr>
          <w:p w14:paraId="4318D9D8"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2B6A0A50"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1E1A668C" w14:textId="77777777" w:rsidR="007F5D13" w:rsidRDefault="007F5D13">
            <w:pPr>
              <w:jc w:val="right"/>
              <w:rPr>
                <w:rFonts w:cs="Arial"/>
                <w:color w:val="000000"/>
                <w:sz w:val="22"/>
                <w:szCs w:val="22"/>
              </w:rPr>
            </w:pPr>
            <w:r>
              <w:rPr>
                <w:rFonts w:cs="Arial"/>
                <w:color w:val="000000"/>
                <w:sz w:val="22"/>
                <w:szCs w:val="22"/>
              </w:rPr>
              <w:t>1-2%</w:t>
            </w:r>
          </w:p>
        </w:tc>
      </w:tr>
      <w:tr w:rsidR="007F5D13" w14:paraId="62DF47F2"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31D5AE09" w14:textId="77777777" w:rsidR="007F5D13" w:rsidRDefault="007F5D13">
            <w:pPr>
              <w:rPr>
                <w:rFonts w:cs="Arial"/>
                <w:color w:val="000000"/>
                <w:sz w:val="22"/>
                <w:szCs w:val="22"/>
              </w:rPr>
            </w:pPr>
            <w:r>
              <w:rPr>
                <w:rFonts w:cs="Arial"/>
                <w:color w:val="000000"/>
                <w:sz w:val="22"/>
                <w:szCs w:val="22"/>
              </w:rPr>
              <w:t>Rochester East</w:t>
            </w:r>
          </w:p>
        </w:tc>
        <w:tc>
          <w:tcPr>
            <w:tcW w:w="384" w:type="pct"/>
            <w:tcBorders>
              <w:top w:val="nil"/>
              <w:left w:val="nil"/>
              <w:bottom w:val="single" w:sz="8" w:space="0" w:color="auto"/>
              <w:right w:val="single" w:sz="8" w:space="0" w:color="auto"/>
            </w:tcBorders>
            <w:shd w:val="clear" w:color="auto" w:fill="auto"/>
            <w:noWrap/>
            <w:vAlign w:val="center"/>
            <w:hideMark/>
          </w:tcPr>
          <w:p w14:paraId="6D824E6E"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3B07D6E2"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36CB7EEF"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37D160B4"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7677B6F9"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69B369A3"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22E883BC"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4D127DE4"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59746F50" w14:textId="77777777" w:rsidR="007F5D13" w:rsidRDefault="007F5D13">
            <w:pPr>
              <w:jc w:val="right"/>
              <w:rPr>
                <w:rFonts w:cs="Arial"/>
                <w:color w:val="000000"/>
                <w:sz w:val="22"/>
                <w:szCs w:val="22"/>
              </w:rPr>
            </w:pPr>
            <w:r>
              <w:rPr>
                <w:rFonts w:cs="Arial"/>
                <w:color w:val="000000"/>
                <w:sz w:val="22"/>
                <w:szCs w:val="22"/>
              </w:rPr>
              <w:t>1-2%</w:t>
            </w:r>
          </w:p>
        </w:tc>
      </w:tr>
      <w:tr w:rsidR="007F5D13" w14:paraId="0AE836F7"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2AD800BB" w14:textId="77777777" w:rsidR="007F5D13" w:rsidRDefault="007F5D13">
            <w:pPr>
              <w:rPr>
                <w:rFonts w:cs="Arial"/>
                <w:color w:val="000000"/>
                <w:sz w:val="22"/>
                <w:szCs w:val="22"/>
              </w:rPr>
            </w:pPr>
            <w:r>
              <w:rPr>
                <w:rFonts w:cs="Arial"/>
                <w:color w:val="000000"/>
                <w:sz w:val="22"/>
                <w:szCs w:val="22"/>
              </w:rPr>
              <w:t xml:space="preserve">Rochester South and </w:t>
            </w:r>
            <w:proofErr w:type="spellStart"/>
            <w:r>
              <w:rPr>
                <w:rFonts w:cs="Arial"/>
                <w:color w:val="000000"/>
                <w:sz w:val="22"/>
                <w:szCs w:val="22"/>
              </w:rPr>
              <w:t>Horsted</w:t>
            </w:r>
            <w:proofErr w:type="spellEnd"/>
          </w:p>
        </w:tc>
        <w:tc>
          <w:tcPr>
            <w:tcW w:w="384" w:type="pct"/>
            <w:tcBorders>
              <w:top w:val="nil"/>
              <w:left w:val="nil"/>
              <w:bottom w:val="single" w:sz="8" w:space="0" w:color="auto"/>
              <w:right w:val="single" w:sz="8" w:space="0" w:color="auto"/>
            </w:tcBorders>
            <w:shd w:val="clear" w:color="auto" w:fill="auto"/>
            <w:noWrap/>
            <w:vAlign w:val="center"/>
            <w:hideMark/>
          </w:tcPr>
          <w:p w14:paraId="3BA0DC67"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2534266C"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5CB2D041"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52EC3158"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4A2DCDBE"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5A3AC485"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1B91FBA2"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4A6F3D1C" w14:textId="77777777" w:rsidR="007F5D13" w:rsidRDefault="007F5D13">
            <w:pPr>
              <w:jc w:val="right"/>
              <w:rPr>
                <w:rFonts w:cs="Arial"/>
                <w:color w:val="000000"/>
                <w:sz w:val="22"/>
                <w:szCs w:val="22"/>
              </w:rPr>
            </w:pPr>
            <w:r>
              <w:rPr>
                <w:rFonts w:cs="Arial"/>
                <w:color w:val="000000"/>
                <w:sz w:val="22"/>
                <w:szCs w:val="22"/>
              </w:rPr>
              <w:t>5-6%</w:t>
            </w:r>
          </w:p>
        </w:tc>
        <w:tc>
          <w:tcPr>
            <w:tcW w:w="445" w:type="pct"/>
            <w:tcBorders>
              <w:top w:val="nil"/>
              <w:left w:val="nil"/>
              <w:bottom w:val="single" w:sz="8" w:space="0" w:color="auto"/>
              <w:right w:val="single" w:sz="8" w:space="0" w:color="auto"/>
            </w:tcBorders>
            <w:shd w:val="clear" w:color="auto" w:fill="auto"/>
            <w:noWrap/>
            <w:vAlign w:val="center"/>
            <w:hideMark/>
          </w:tcPr>
          <w:p w14:paraId="28882B0C" w14:textId="77777777" w:rsidR="007F5D13" w:rsidRDefault="007F5D13">
            <w:pPr>
              <w:jc w:val="right"/>
              <w:rPr>
                <w:rFonts w:cs="Arial"/>
                <w:color w:val="000000"/>
                <w:sz w:val="22"/>
                <w:szCs w:val="22"/>
              </w:rPr>
            </w:pPr>
            <w:r>
              <w:rPr>
                <w:rFonts w:cs="Arial"/>
                <w:color w:val="000000"/>
                <w:sz w:val="22"/>
                <w:szCs w:val="22"/>
              </w:rPr>
              <w:t>3-4%</w:t>
            </w:r>
          </w:p>
        </w:tc>
      </w:tr>
      <w:tr w:rsidR="007F5D13" w14:paraId="49F83277"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09915FC6" w14:textId="77777777" w:rsidR="007F5D13" w:rsidRDefault="007F5D13">
            <w:pPr>
              <w:rPr>
                <w:rFonts w:cs="Arial"/>
                <w:color w:val="000000"/>
                <w:sz w:val="22"/>
                <w:szCs w:val="22"/>
              </w:rPr>
            </w:pPr>
            <w:r>
              <w:rPr>
                <w:rFonts w:cs="Arial"/>
                <w:color w:val="000000"/>
                <w:sz w:val="22"/>
                <w:szCs w:val="22"/>
              </w:rPr>
              <w:t>Rochester West</w:t>
            </w:r>
          </w:p>
        </w:tc>
        <w:tc>
          <w:tcPr>
            <w:tcW w:w="384" w:type="pct"/>
            <w:tcBorders>
              <w:top w:val="nil"/>
              <w:left w:val="nil"/>
              <w:bottom w:val="single" w:sz="8" w:space="0" w:color="auto"/>
              <w:right w:val="single" w:sz="8" w:space="0" w:color="auto"/>
            </w:tcBorders>
            <w:shd w:val="clear" w:color="auto" w:fill="auto"/>
            <w:noWrap/>
            <w:vAlign w:val="center"/>
            <w:hideMark/>
          </w:tcPr>
          <w:p w14:paraId="2913F1B1"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7D2BE711"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184C7A3A" w14:textId="77777777" w:rsidR="007F5D13" w:rsidRDefault="007F5D13">
            <w:pPr>
              <w:jc w:val="right"/>
              <w:rPr>
                <w:rFonts w:cs="Arial"/>
                <w:color w:val="000000"/>
                <w:sz w:val="22"/>
                <w:szCs w:val="22"/>
              </w:rPr>
            </w:pPr>
            <w:r>
              <w:rPr>
                <w:rFonts w:cs="Arial"/>
                <w:color w:val="000000"/>
                <w:sz w:val="22"/>
                <w:szCs w:val="22"/>
              </w:rPr>
              <w:t>30-35%</w:t>
            </w:r>
          </w:p>
        </w:tc>
        <w:tc>
          <w:tcPr>
            <w:tcW w:w="384" w:type="pct"/>
            <w:tcBorders>
              <w:top w:val="nil"/>
              <w:left w:val="nil"/>
              <w:bottom w:val="single" w:sz="8" w:space="0" w:color="auto"/>
              <w:right w:val="single" w:sz="8" w:space="0" w:color="auto"/>
            </w:tcBorders>
            <w:shd w:val="clear" w:color="auto" w:fill="auto"/>
            <w:noWrap/>
            <w:vAlign w:val="center"/>
            <w:hideMark/>
          </w:tcPr>
          <w:p w14:paraId="48F9D112"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32D67CC0"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697CAA17" w14:textId="77777777" w:rsidR="007F5D13" w:rsidRDefault="007F5D13">
            <w:pPr>
              <w:jc w:val="right"/>
              <w:rPr>
                <w:rFonts w:cs="Arial"/>
                <w:color w:val="000000"/>
                <w:sz w:val="22"/>
                <w:szCs w:val="22"/>
              </w:rPr>
            </w:pPr>
            <w:r>
              <w:rPr>
                <w:rFonts w:cs="Arial"/>
                <w:color w:val="000000"/>
                <w:sz w:val="22"/>
                <w:szCs w:val="22"/>
              </w:rPr>
              <w:t>24.3</w:t>
            </w:r>
          </w:p>
        </w:tc>
        <w:tc>
          <w:tcPr>
            <w:tcW w:w="445" w:type="pct"/>
            <w:tcBorders>
              <w:top w:val="nil"/>
              <w:left w:val="nil"/>
              <w:bottom w:val="single" w:sz="8" w:space="0" w:color="auto"/>
              <w:right w:val="single" w:sz="8" w:space="0" w:color="auto"/>
            </w:tcBorders>
            <w:shd w:val="clear" w:color="auto" w:fill="auto"/>
            <w:noWrap/>
            <w:vAlign w:val="center"/>
            <w:hideMark/>
          </w:tcPr>
          <w:p w14:paraId="6E96141C"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0E8E7B9F"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0B294993" w14:textId="77777777" w:rsidR="007F5D13" w:rsidRDefault="007F5D13">
            <w:pPr>
              <w:jc w:val="right"/>
              <w:rPr>
                <w:rFonts w:cs="Arial"/>
                <w:color w:val="000000"/>
                <w:sz w:val="22"/>
                <w:szCs w:val="22"/>
              </w:rPr>
            </w:pPr>
            <w:r>
              <w:rPr>
                <w:rFonts w:cs="Arial"/>
                <w:color w:val="000000"/>
                <w:sz w:val="22"/>
                <w:szCs w:val="22"/>
              </w:rPr>
              <w:t>1-2%</w:t>
            </w:r>
          </w:p>
        </w:tc>
      </w:tr>
      <w:tr w:rsidR="007F5D13" w14:paraId="3AA11614"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51B4E38F" w14:textId="77777777" w:rsidR="007F5D13" w:rsidRDefault="007F5D13">
            <w:pPr>
              <w:rPr>
                <w:rFonts w:cs="Arial"/>
                <w:color w:val="000000"/>
                <w:sz w:val="22"/>
                <w:szCs w:val="22"/>
              </w:rPr>
            </w:pPr>
            <w:r>
              <w:rPr>
                <w:rFonts w:cs="Arial"/>
                <w:color w:val="000000"/>
                <w:sz w:val="22"/>
                <w:szCs w:val="22"/>
              </w:rPr>
              <w:t>Strood North</w:t>
            </w:r>
          </w:p>
        </w:tc>
        <w:tc>
          <w:tcPr>
            <w:tcW w:w="384" w:type="pct"/>
            <w:tcBorders>
              <w:top w:val="nil"/>
              <w:left w:val="nil"/>
              <w:bottom w:val="single" w:sz="8" w:space="0" w:color="auto"/>
              <w:right w:val="single" w:sz="8" w:space="0" w:color="auto"/>
            </w:tcBorders>
            <w:shd w:val="clear" w:color="auto" w:fill="auto"/>
            <w:noWrap/>
            <w:vAlign w:val="center"/>
            <w:hideMark/>
          </w:tcPr>
          <w:p w14:paraId="238AC71B"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1E052EB4"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47DD6557"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13858C0E"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055AB993"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048DF0A2"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54551B1E"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5FFE2470" w14:textId="77777777" w:rsidR="007F5D13" w:rsidRDefault="007F5D13">
            <w:pPr>
              <w:jc w:val="right"/>
              <w:rPr>
                <w:rFonts w:cs="Arial"/>
                <w:color w:val="000000"/>
                <w:sz w:val="22"/>
                <w:szCs w:val="22"/>
              </w:rPr>
            </w:pPr>
            <w:r>
              <w:rPr>
                <w:rFonts w:cs="Arial"/>
                <w:color w:val="000000"/>
                <w:sz w:val="22"/>
                <w:szCs w:val="22"/>
              </w:rPr>
              <w:t>3-4%</w:t>
            </w:r>
          </w:p>
        </w:tc>
        <w:tc>
          <w:tcPr>
            <w:tcW w:w="445" w:type="pct"/>
            <w:tcBorders>
              <w:top w:val="nil"/>
              <w:left w:val="nil"/>
              <w:bottom w:val="single" w:sz="8" w:space="0" w:color="auto"/>
              <w:right w:val="single" w:sz="8" w:space="0" w:color="auto"/>
            </w:tcBorders>
            <w:shd w:val="clear" w:color="auto" w:fill="auto"/>
            <w:noWrap/>
            <w:vAlign w:val="center"/>
            <w:hideMark/>
          </w:tcPr>
          <w:p w14:paraId="33C8D506" w14:textId="77777777" w:rsidR="007F5D13" w:rsidRDefault="007F5D13">
            <w:pPr>
              <w:jc w:val="right"/>
              <w:rPr>
                <w:rFonts w:cs="Arial"/>
                <w:color w:val="000000"/>
                <w:sz w:val="22"/>
                <w:szCs w:val="22"/>
              </w:rPr>
            </w:pPr>
            <w:r>
              <w:rPr>
                <w:rFonts w:cs="Arial"/>
                <w:color w:val="000000"/>
                <w:sz w:val="22"/>
                <w:szCs w:val="22"/>
              </w:rPr>
              <w:t>2-3%</w:t>
            </w:r>
          </w:p>
        </w:tc>
      </w:tr>
      <w:tr w:rsidR="007F5D13" w14:paraId="545C67C7"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50D8E15E" w14:textId="77777777" w:rsidR="007F5D13" w:rsidRDefault="007F5D13">
            <w:pPr>
              <w:rPr>
                <w:rFonts w:cs="Arial"/>
                <w:color w:val="000000"/>
                <w:sz w:val="22"/>
                <w:szCs w:val="22"/>
              </w:rPr>
            </w:pPr>
            <w:r>
              <w:rPr>
                <w:rFonts w:cs="Arial"/>
                <w:color w:val="000000"/>
                <w:sz w:val="22"/>
                <w:szCs w:val="22"/>
              </w:rPr>
              <w:t>Strood Rural</w:t>
            </w:r>
          </w:p>
        </w:tc>
        <w:tc>
          <w:tcPr>
            <w:tcW w:w="384" w:type="pct"/>
            <w:tcBorders>
              <w:top w:val="nil"/>
              <w:left w:val="nil"/>
              <w:bottom w:val="single" w:sz="8" w:space="0" w:color="auto"/>
              <w:right w:val="single" w:sz="8" w:space="0" w:color="auto"/>
            </w:tcBorders>
            <w:shd w:val="clear" w:color="auto" w:fill="auto"/>
            <w:noWrap/>
            <w:vAlign w:val="center"/>
            <w:hideMark/>
          </w:tcPr>
          <w:p w14:paraId="2B4AC6C4"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6EB80B17"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258E72E9"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64DB0A5E"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42299B0E"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512E38EF"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754B0249"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59A3A613" w14:textId="77777777" w:rsidR="007F5D13" w:rsidRDefault="007F5D13">
            <w:pPr>
              <w:jc w:val="right"/>
              <w:rPr>
                <w:rFonts w:cs="Arial"/>
                <w:color w:val="000000"/>
                <w:sz w:val="22"/>
                <w:szCs w:val="22"/>
              </w:rPr>
            </w:pPr>
            <w:r>
              <w:rPr>
                <w:rFonts w:cs="Arial"/>
                <w:color w:val="000000"/>
                <w:sz w:val="22"/>
                <w:szCs w:val="22"/>
              </w:rPr>
              <w:t>3-4%</w:t>
            </w:r>
          </w:p>
        </w:tc>
        <w:tc>
          <w:tcPr>
            <w:tcW w:w="445" w:type="pct"/>
            <w:tcBorders>
              <w:top w:val="nil"/>
              <w:left w:val="nil"/>
              <w:bottom w:val="single" w:sz="8" w:space="0" w:color="auto"/>
              <w:right w:val="single" w:sz="8" w:space="0" w:color="auto"/>
            </w:tcBorders>
            <w:shd w:val="clear" w:color="auto" w:fill="auto"/>
            <w:noWrap/>
            <w:vAlign w:val="center"/>
            <w:hideMark/>
          </w:tcPr>
          <w:p w14:paraId="762714F8" w14:textId="77777777" w:rsidR="007F5D13" w:rsidRDefault="007F5D13">
            <w:pPr>
              <w:jc w:val="right"/>
              <w:rPr>
                <w:rFonts w:cs="Arial"/>
                <w:color w:val="000000"/>
                <w:sz w:val="22"/>
                <w:szCs w:val="22"/>
              </w:rPr>
            </w:pPr>
            <w:r>
              <w:rPr>
                <w:rFonts w:cs="Arial"/>
                <w:color w:val="000000"/>
                <w:sz w:val="22"/>
                <w:szCs w:val="22"/>
              </w:rPr>
              <w:t>3-4%</w:t>
            </w:r>
          </w:p>
        </w:tc>
      </w:tr>
      <w:tr w:rsidR="007F5D13" w14:paraId="28CD5450"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78061688" w14:textId="77777777" w:rsidR="007F5D13" w:rsidRDefault="007F5D13">
            <w:pPr>
              <w:rPr>
                <w:rFonts w:cs="Arial"/>
                <w:color w:val="000000"/>
                <w:sz w:val="22"/>
                <w:szCs w:val="22"/>
              </w:rPr>
            </w:pPr>
            <w:r>
              <w:rPr>
                <w:rFonts w:cs="Arial"/>
                <w:color w:val="000000"/>
                <w:sz w:val="22"/>
                <w:szCs w:val="22"/>
              </w:rPr>
              <w:t>Strood South</w:t>
            </w:r>
          </w:p>
        </w:tc>
        <w:tc>
          <w:tcPr>
            <w:tcW w:w="384" w:type="pct"/>
            <w:tcBorders>
              <w:top w:val="nil"/>
              <w:left w:val="nil"/>
              <w:bottom w:val="single" w:sz="8" w:space="0" w:color="auto"/>
              <w:right w:val="single" w:sz="8" w:space="0" w:color="auto"/>
            </w:tcBorders>
            <w:shd w:val="clear" w:color="auto" w:fill="auto"/>
            <w:noWrap/>
            <w:vAlign w:val="center"/>
            <w:hideMark/>
          </w:tcPr>
          <w:p w14:paraId="1C9B460F"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0BDB8199"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7F077D61" w14:textId="77777777" w:rsidR="007F5D13" w:rsidRDefault="007F5D13">
            <w:pPr>
              <w:jc w:val="right"/>
              <w:rPr>
                <w:rFonts w:cs="Arial"/>
                <w:color w:val="000000"/>
                <w:sz w:val="22"/>
                <w:szCs w:val="22"/>
              </w:rPr>
            </w:pPr>
            <w:r>
              <w:rPr>
                <w:rFonts w:cs="Arial"/>
                <w:color w:val="000000"/>
                <w:sz w:val="22"/>
                <w:szCs w:val="22"/>
              </w:rPr>
              <w:t>40-45%</w:t>
            </w:r>
          </w:p>
        </w:tc>
        <w:tc>
          <w:tcPr>
            <w:tcW w:w="384" w:type="pct"/>
            <w:tcBorders>
              <w:top w:val="nil"/>
              <w:left w:val="nil"/>
              <w:bottom w:val="single" w:sz="8" w:space="0" w:color="auto"/>
              <w:right w:val="single" w:sz="8" w:space="0" w:color="auto"/>
            </w:tcBorders>
            <w:shd w:val="clear" w:color="auto" w:fill="auto"/>
            <w:noWrap/>
            <w:vAlign w:val="center"/>
            <w:hideMark/>
          </w:tcPr>
          <w:p w14:paraId="5D61F849"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127EE0B7"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287F77F1"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3D291984"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6CC4A2EF"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4EAB9DB0" w14:textId="77777777" w:rsidR="007F5D13" w:rsidRDefault="007F5D13">
            <w:pPr>
              <w:jc w:val="right"/>
              <w:rPr>
                <w:rFonts w:cs="Arial"/>
                <w:color w:val="000000"/>
                <w:sz w:val="22"/>
                <w:szCs w:val="22"/>
              </w:rPr>
            </w:pPr>
            <w:r>
              <w:rPr>
                <w:rFonts w:cs="Arial"/>
                <w:color w:val="000000"/>
                <w:sz w:val="22"/>
                <w:szCs w:val="22"/>
              </w:rPr>
              <w:t>1-2%</w:t>
            </w:r>
          </w:p>
        </w:tc>
      </w:tr>
      <w:tr w:rsidR="007F5D13" w14:paraId="71EC2E29"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68283FB3" w14:textId="77777777" w:rsidR="007F5D13" w:rsidRDefault="007F5D13">
            <w:pPr>
              <w:rPr>
                <w:rFonts w:cs="Arial"/>
                <w:color w:val="000000"/>
                <w:sz w:val="22"/>
                <w:szCs w:val="22"/>
              </w:rPr>
            </w:pPr>
            <w:proofErr w:type="spellStart"/>
            <w:r>
              <w:rPr>
                <w:rFonts w:cs="Arial"/>
                <w:color w:val="000000"/>
                <w:sz w:val="22"/>
                <w:szCs w:val="22"/>
              </w:rPr>
              <w:t>Twydall</w:t>
            </w:r>
            <w:proofErr w:type="spellEnd"/>
          </w:p>
        </w:tc>
        <w:tc>
          <w:tcPr>
            <w:tcW w:w="384" w:type="pct"/>
            <w:tcBorders>
              <w:top w:val="nil"/>
              <w:left w:val="nil"/>
              <w:bottom w:val="single" w:sz="8" w:space="0" w:color="auto"/>
              <w:right w:val="single" w:sz="8" w:space="0" w:color="auto"/>
            </w:tcBorders>
            <w:shd w:val="clear" w:color="auto" w:fill="auto"/>
            <w:noWrap/>
            <w:vAlign w:val="center"/>
            <w:hideMark/>
          </w:tcPr>
          <w:p w14:paraId="6B20B088"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602150EF"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792AC0A8" w14:textId="77777777" w:rsidR="007F5D13" w:rsidRDefault="007F5D13">
            <w:pPr>
              <w:jc w:val="right"/>
              <w:rPr>
                <w:rFonts w:cs="Arial"/>
                <w:color w:val="000000"/>
                <w:sz w:val="22"/>
                <w:szCs w:val="22"/>
              </w:rPr>
            </w:pPr>
            <w:r>
              <w:rPr>
                <w:rFonts w:cs="Arial"/>
                <w:color w:val="000000"/>
                <w:sz w:val="22"/>
                <w:szCs w:val="22"/>
              </w:rPr>
              <w:t>45-50%</w:t>
            </w:r>
          </w:p>
        </w:tc>
        <w:tc>
          <w:tcPr>
            <w:tcW w:w="384" w:type="pct"/>
            <w:tcBorders>
              <w:top w:val="nil"/>
              <w:left w:val="nil"/>
              <w:bottom w:val="single" w:sz="8" w:space="0" w:color="auto"/>
              <w:right w:val="single" w:sz="8" w:space="0" w:color="auto"/>
            </w:tcBorders>
            <w:shd w:val="clear" w:color="auto" w:fill="auto"/>
            <w:noWrap/>
            <w:vAlign w:val="center"/>
            <w:hideMark/>
          </w:tcPr>
          <w:p w14:paraId="782DD315" w14:textId="77777777" w:rsidR="007F5D13" w:rsidRDefault="007F5D13">
            <w:pPr>
              <w:jc w:val="right"/>
              <w:rPr>
                <w:rFonts w:cs="Arial"/>
                <w:color w:val="000000"/>
                <w:sz w:val="22"/>
                <w:szCs w:val="22"/>
              </w:rPr>
            </w:pPr>
            <w:r>
              <w:rPr>
                <w:rFonts w:cs="Arial"/>
                <w:color w:val="000000"/>
                <w:sz w:val="22"/>
                <w:szCs w:val="22"/>
              </w:rPr>
              <w:t>5-10%</w:t>
            </w:r>
          </w:p>
        </w:tc>
        <w:tc>
          <w:tcPr>
            <w:tcW w:w="384" w:type="pct"/>
            <w:tcBorders>
              <w:top w:val="nil"/>
              <w:left w:val="nil"/>
              <w:bottom w:val="single" w:sz="8" w:space="0" w:color="auto"/>
              <w:right w:val="single" w:sz="8" w:space="0" w:color="auto"/>
            </w:tcBorders>
            <w:shd w:val="clear" w:color="auto" w:fill="auto"/>
            <w:noWrap/>
            <w:vAlign w:val="center"/>
            <w:hideMark/>
          </w:tcPr>
          <w:p w14:paraId="1107B5C2"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FD480F5"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46641AA9"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095F8F5A"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320B2DE3" w14:textId="77777777" w:rsidR="007F5D13" w:rsidRDefault="007F5D13">
            <w:pPr>
              <w:jc w:val="right"/>
              <w:rPr>
                <w:rFonts w:cs="Arial"/>
                <w:color w:val="000000"/>
                <w:sz w:val="22"/>
                <w:szCs w:val="22"/>
              </w:rPr>
            </w:pPr>
            <w:r>
              <w:rPr>
                <w:rFonts w:cs="Arial"/>
                <w:color w:val="000000"/>
                <w:sz w:val="22"/>
                <w:szCs w:val="22"/>
              </w:rPr>
              <w:t>1-2%</w:t>
            </w:r>
          </w:p>
        </w:tc>
      </w:tr>
      <w:tr w:rsidR="007F5D13" w14:paraId="76CB6515"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0CB3CCCA" w14:textId="77777777" w:rsidR="007F5D13" w:rsidRDefault="007F5D13">
            <w:pPr>
              <w:rPr>
                <w:rFonts w:cs="Arial"/>
                <w:color w:val="000000"/>
                <w:sz w:val="22"/>
                <w:szCs w:val="22"/>
              </w:rPr>
            </w:pPr>
            <w:r>
              <w:rPr>
                <w:rFonts w:cs="Arial"/>
                <w:color w:val="000000"/>
                <w:sz w:val="22"/>
                <w:szCs w:val="22"/>
              </w:rPr>
              <w:t>Walderslade</w:t>
            </w:r>
          </w:p>
        </w:tc>
        <w:tc>
          <w:tcPr>
            <w:tcW w:w="384" w:type="pct"/>
            <w:tcBorders>
              <w:top w:val="nil"/>
              <w:left w:val="nil"/>
              <w:bottom w:val="single" w:sz="8" w:space="0" w:color="auto"/>
              <w:right w:val="single" w:sz="8" w:space="0" w:color="auto"/>
            </w:tcBorders>
            <w:shd w:val="clear" w:color="auto" w:fill="auto"/>
            <w:noWrap/>
            <w:vAlign w:val="center"/>
            <w:hideMark/>
          </w:tcPr>
          <w:p w14:paraId="68C41874"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45EB0763" w14:textId="77777777" w:rsidR="007F5D13" w:rsidRDefault="007F5D13">
            <w:pPr>
              <w:jc w:val="right"/>
              <w:rPr>
                <w:rFonts w:cs="Arial"/>
                <w:color w:val="000000"/>
                <w:sz w:val="22"/>
                <w:szCs w:val="22"/>
              </w:rPr>
            </w:pPr>
            <w:r>
              <w:rPr>
                <w:rFonts w:cs="Arial"/>
                <w:color w:val="000000"/>
                <w:sz w:val="22"/>
                <w:szCs w:val="22"/>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6487345C" w14:textId="77777777" w:rsidR="007F5D13" w:rsidRDefault="007F5D13">
            <w:pPr>
              <w:jc w:val="right"/>
              <w:rPr>
                <w:rFonts w:cs="Arial"/>
                <w:color w:val="000000"/>
                <w:sz w:val="22"/>
                <w:szCs w:val="22"/>
              </w:rPr>
            </w:pPr>
            <w:r>
              <w:rPr>
                <w:rFonts w:cs="Arial"/>
                <w:color w:val="000000"/>
                <w:sz w:val="22"/>
                <w:szCs w:val="22"/>
              </w:rPr>
              <w:t>35-40%</w:t>
            </w:r>
          </w:p>
        </w:tc>
        <w:tc>
          <w:tcPr>
            <w:tcW w:w="384" w:type="pct"/>
            <w:tcBorders>
              <w:top w:val="nil"/>
              <w:left w:val="nil"/>
              <w:bottom w:val="single" w:sz="8" w:space="0" w:color="auto"/>
              <w:right w:val="single" w:sz="8" w:space="0" w:color="auto"/>
            </w:tcBorders>
            <w:shd w:val="clear" w:color="auto" w:fill="auto"/>
            <w:noWrap/>
            <w:vAlign w:val="center"/>
            <w:hideMark/>
          </w:tcPr>
          <w:p w14:paraId="31F08DA2"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74763C04"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76E9602F"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721BD94A"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316BF394" w14:textId="77777777" w:rsidR="007F5D13" w:rsidRDefault="007F5D13">
            <w:pPr>
              <w:jc w:val="right"/>
              <w:rPr>
                <w:rFonts w:cs="Arial"/>
                <w:color w:val="000000"/>
                <w:sz w:val="22"/>
                <w:szCs w:val="22"/>
              </w:rPr>
            </w:pPr>
            <w:r>
              <w:rPr>
                <w:rFonts w:cs="Arial"/>
                <w:color w:val="000000"/>
                <w:sz w:val="22"/>
                <w:szCs w:val="22"/>
              </w:rPr>
              <w:t>4-5%</w:t>
            </w:r>
          </w:p>
        </w:tc>
        <w:tc>
          <w:tcPr>
            <w:tcW w:w="445" w:type="pct"/>
            <w:tcBorders>
              <w:top w:val="nil"/>
              <w:left w:val="nil"/>
              <w:bottom w:val="single" w:sz="8" w:space="0" w:color="auto"/>
              <w:right w:val="single" w:sz="8" w:space="0" w:color="auto"/>
            </w:tcBorders>
            <w:shd w:val="clear" w:color="auto" w:fill="auto"/>
            <w:noWrap/>
            <w:vAlign w:val="center"/>
            <w:hideMark/>
          </w:tcPr>
          <w:p w14:paraId="156C4CCF" w14:textId="77777777" w:rsidR="007F5D13" w:rsidRDefault="007F5D13">
            <w:pPr>
              <w:jc w:val="right"/>
              <w:rPr>
                <w:rFonts w:cs="Arial"/>
                <w:color w:val="000000"/>
                <w:sz w:val="22"/>
                <w:szCs w:val="22"/>
              </w:rPr>
            </w:pPr>
            <w:r>
              <w:rPr>
                <w:rFonts w:cs="Arial"/>
                <w:color w:val="000000"/>
                <w:sz w:val="22"/>
                <w:szCs w:val="22"/>
              </w:rPr>
              <w:t>3-4%</w:t>
            </w:r>
          </w:p>
        </w:tc>
      </w:tr>
      <w:tr w:rsidR="007F5D13" w14:paraId="08EA1A1D" w14:textId="77777777" w:rsidTr="00CB100F">
        <w:trPr>
          <w:trHeight w:val="274"/>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73F1C632" w14:textId="77777777" w:rsidR="007F5D13" w:rsidRDefault="007F5D13">
            <w:pPr>
              <w:rPr>
                <w:rFonts w:cs="Arial"/>
                <w:color w:val="000000"/>
                <w:sz w:val="22"/>
                <w:szCs w:val="22"/>
              </w:rPr>
            </w:pPr>
            <w:r>
              <w:rPr>
                <w:rFonts w:cs="Arial"/>
                <w:color w:val="000000"/>
                <w:sz w:val="22"/>
                <w:szCs w:val="22"/>
              </w:rPr>
              <w:t>Watling</w:t>
            </w:r>
          </w:p>
        </w:tc>
        <w:tc>
          <w:tcPr>
            <w:tcW w:w="384" w:type="pct"/>
            <w:tcBorders>
              <w:top w:val="nil"/>
              <w:left w:val="nil"/>
              <w:bottom w:val="single" w:sz="8" w:space="0" w:color="auto"/>
              <w:right w:val="single" w:sz="8" w:space="0" w:color="auto"/>
            </w:tcBorders>
            <w:shd w:val="clear" w:color="auto" w:fill="auto"/>
            <w:noWrap/>
            <w:vAlign w:val="center"/>
            <w:hideMark/>
          </w:tcPr>
          <w:p w14:paraId="1D4D57D7" w14:textId="77777777" w:rsidR="007F5D13" w:rsidRDefault="007F5D13">
            <w:pPr>
              <w:jc w:val="right"/>
              <w:rPr>
                <w:rFonts w:cs="Arial"/>
                <w:color w:val="000000"/>
                <w:sz w:val="22"/>
                <w:szCs w:val="22"/>
              </w:rPr>
            </w:pPr>
            <w:r>
              <w:rPr>
                <w:rFonts w:cs="Arial"/>
                <w:color w:val="000000"/>
                <w:sz w:val="22"/>
                <w:szCs w:val="22"/>
              </w:rPr>
              <w:t>1-2%</w:t>
            </w:r>
          </w:p>
        </w:tc>
        <w:tc>
          <w:tcPr>
            <w:tcW w:w="384" w:type="pct"/>
            <w:tcBorders>
              <w:top w:val="nil"/>
              <w:left w:val="nil"/>
              <w:bottom w:val="single" w:sz="8" w:space="0" w:color="auto"/>
              <w:right w:val="single" w:sz="8" w:space="0" w:color="auto"/>
            </w:tcBorders>
            <w:shd w:val="clear" w:color="auto" w:fill="auto"/>
            <w:noWrap/>
            <w:vAlign w:val="center"/>
            <w:hideMark/>
          </w:tcPr>
          <w:p w14:paraId="3B2F8755"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29679282" w14:textId="77777777" w:rsidR="007F5D13" w:rsidRDefault="007F5D13">
            <w:pPr>
              <w:jc w:val="right"/>
              <w:rPr>
                <w:rFonts w:cs="Arial"/>
                <w:color w:val="000000"/>
                <w:sz w:val="22"/>
                <w:szCs w:val="22"/>
              </w:rPr>
            </w:pPr>
            <w:r>
              <w:rPr>
                <w:rFonts w:cs="Arial"/>
                <w:color w:val="000000"/>
                <w:sz w:val="22"/>
                <w:szCs w:val="22"/>
              </w:rPr>
              <w:t>45-50%</w:t>
            </w:r>
          </w:p>
        </w:tc>
        <w:tc>
          <w:tcPr>
            <w:tcW w:w="384" w:type="pct"/>
            <w:tcBorders>
              <w:top w:val="nil"/>
              <w:left w:val="nil"/>
              <w:bottom w:val="single" w:sz="8" w:space="0" w:color="auto"/>
              <w:right w:val="single" w:sz="8" w:space="0" w:color="auto"/>
            </w:tcBorders>
            <w:shd w:val="clear" w:color="auto" w:fill="auto"/>
            <w:noWrap/>
            <w:vAlign w:val="center"/>
            <w:hideMark/>
          </w:tcPr>
          <w:p w14:paraId="056C5BC6"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2909668A"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8AF8B08"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31759603"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0708BE58" w14:textId="77777777" w:rsidR="007F5D13" w:rsidRDefault="007F5D13">
            <w:pPr>
              <w:jc w:val="right"/>
              <w:rPr>
                <w:rFonts w:cs="Arial"/>
                <w:color w:val="000000"/>
                <w:sz w:val="22"/>
                <w:szCs w:val="22"/>
              </w:rPr>
            </w:pPr>
            <w:r>
              <w:rPr>
                <w:rFonts w:cs="Arial"/>
                <w:color w:val="000000"/>
                <w:sz w:val="22"/>
                <w:szCs w:val="22"/>
              </w:rPr>
              <w:t>2-3%</w:t>
            </w:r>
          </w:p>
        </w:tc>
        <w:tc>
          <w:tcPr>
            <w:tcW w:w="445" w:type="pct"/>
            <w:tcBorders>
              <w:top w:val="nil"/>
              <w:left w:val="nil"/>
              <w:bottom w:val="single" w:sz="8" w:space="0" w:color="auto"/>
              <w:right w:val="single" w:sz="8" w:space="0" w:color="auto"/>
            </w:tcBorders>
            <w:shd w:val="clear" w:color="auto" w:fill="auto"/>
            <w:noWrap/>
            <w:vAlign w:val="center"/>
            <w:hideMark/>
          </w:tcPr>
          <w:p w14:paraId="757AF3DB" w14:textId="77777777" w:rsidR="007F5D13" w:rsidRDefault="007F5D13">
            <w:pPr>
              <w:jc w:val="right"/>
              <w:rPr>
                <w:rFonts w:cs="Arial"/>
                <w:color w:val="000000"/>
                <w:sz w:val="22"/>
                <w:szCs w:val="22"/>
              </w:rPr>
            </w:pPr>
            <w:r>
              <w:rPr>
                <w:rFonts w:cs="Arial"/>
                <w:color w:val="000000"/>
                <w:sz w:val="22"/>
                <w:szCs w:val="22"/>
              </w:rPr>
              <w:t>1-2%</w:t>
            </w:r>
          </w:p>
        </w:tc>
      </w:tr>
      <w:tr w:rsidR="007F5D13" w14:paraId="23449175" w14:textId="77777777" w:rsidTr="00CB100F">
        <w:trPr>
          <w:trHeight w:val="291"/>
        </w:trPr>
        <w:tc>
          <w:tcPr>
            <w:tcW w:w="1361" w:type="pct"/>
            <w:tcBorders>
              <w:top w:val="nil"/>
              <w:left w:val="single" w:sz="8" w:space="0" w:color="auto"/>
              <w:bottom w:val="single" w:sz="8" w:space="0" w:color="auto"/>
              <w:right w:val="single" w:sz="8" w:space="0" w:color="auto"/>
            </w:tcBorders>
            <w:shd w:val="clear" w:color="auto" w:fill="auto"/>
            <w:noWrap/>
            <w:vAlign w:val="center"/>
            <w:hideMark/>
          </w:tcPr>
          <w:p w14:paraId="17F88043" w14:textId="77777777" w:rsidR="007F5D13" w:rsidRDefault="007F5D13">
            <w:pPr>
              <w:rPr>
                <w:rFonts w:cs="Arial"/>
                <w:color w:val="000000"/>
              </w:rPr>
            </w:pPr>
            <w:r>
              <w:rPr>
                <w:rFonts w:cs="Arial"/>
                <w:color w:val="000000"/>
              </w:rPr>
              <w:t>Medway Total</w:t>
            </w:r>
          </w:p>
        </w:tc>
        <w:tc>
          <w:tcPr>
            <w:tcW w:w="384" w:type="pct"/>
            <w:tcBorders>
              <w:top w:val="nil"/>
              <w:left w:val="nil"/>
              <w:bottom w:val="single" w:sz="8" w:space="0" w:color="auto"/>
              <w:right w:val="single" w:sz="8" w:space="0" w:color="auto"/>
            </w:tcBorders>
            <w:shd w:val="clear" w:color="auto" w:fill="auto"/>
            <w:noWrap/>
            <w:vAlign w:val="center"/>
            <w:hideMark/>
          </w:tcPr>
          <w:p w14:paraId="335D46E2" w14:textId="77777777" w:rsidR="007F5D13" w:rsidRDefault="007F5D13">
            <w:pPr>
              <w:jc w:val="right"/>
              <w:rPr>
                <w:rFonts w:cs="Arial"/>
                <w:color w:val="000000"/>
                <w:sz w:val="22"/>
                <w:szCs w:val="22"/>
              </w:rPr>
            </w:pPr>
            <w:r>
              <w:rPr>
                <w:rFonts w:cs="Arial"/>
                <w:color w:val="000000"/>
                <w:sz w:val="22"/>
                <w:szCs w:val="22"/>
              </w:rPr>
              <w:t>2-4%</w:t>
            </w:r>
          </w:p>
        </w:tc>
        <w:tc>
          <w:tcPr>
            <w:tcW w:w="384" w:type="pct"/>
            <w:tcBorders>
              <w:top w:val="nil"/>
              <w:left w:val="nil"/>
              <w:bottom w:val="single" w:sz="8" w:space="0" w:color="auto"/>
              <w:right w:val="single" w:sz="8" w:space="0" w:color="auto"/>
            </w:tcBorders>
            <w:shd w:val="clear" w:color="auto" w:fill="auto"/>
            <w:noWrap/>
            <w:vAlign w:val="center"/>
            <w:hideMark/>
          </w:tcPr>
          <w:p w14:paraId="1C751CF4" w14:textId="77777777" w:rsidR="007F5D13" w:rsidRDefault="007F5D13">
            <w:pPr>
              <w:jc w:val="right"/>
              <w:rPr>
                <w:rFonts w:cs="Arial"/>
                <w:color w:val="000000"/>
              </w:rPr>
            </w:pPr>
            <w:r>
              <w:rPr>
                <w:rFonts w:cs="Arial"/>
                <w:color w:val="000000"/>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53E46FBE" w14:textId="77777777" w:rsidR="007F5D13" w:rsidRDefault="007F5D13">
            <w:pPr>
              <w:jc w:val="right"/>
              <w:rPr>
                <w:rFonts w:cs="Arial"/>
                <w:color w:val="000000"/>
              </w:rPr>
            </w:pPr>
            <w:r>
              <w:rPr>
                <w:rFonts w:cs="Arial"/>
                <w:color w:val="000000"/>
              </w:rPr>
              <w:t>30-35%</w:t>
            </w:r>
          </w:p>
        </w:tc>
        <w:tc>
          <w:tcPr>
            <w:tcW w:w="384" w:type="pct"/>
            <w:tcBorders>
              <w:top w:val="nil"/>
              <w:left w:val="nil"/>
              <w:bottom w:val="single" w:sz="8" w:space="0" w:color="auto"/>
              <w:right w:val="single" w:sz="8" w:space="0" w:color="auto"/>
            </w:tcBorders>
            <w:shd w:val="clear" w:color="auto" w:fill="auto"/>
            <w:noWrap/>
            <w:vAlign w:val="center"/>
            <w:hideMark/>
          </w:tcPr>
          <w:p w14:paraId="7D9FA137" w14:textId="77777777" w:rsidR="007F5D13" w:rsidRDefault="007F5D13">
            <w:pPr>
              <w:jc w:val="right"/>
              <w:rPr>
                <w:rFonts w:cs="Arial"/>
                <w:color w:val="000000"/>
                <w:sz w:val="22"/>
                <w:szCs w:val="22"/>
              </w:rPr>
            </w:pPr>
            <w:r>
              <w:rPr>
                <w:rFonts w:cs="Arial"/>
                <w:color w:val="000000"/>
                <w:sz w:val="22"/>
                <w:szCs w:val="22"/>
              </w:rPr>
              <w:t>10-15%</w:t>
            </w:r>
          </w:p>
        </w:tc>
        <w:tc>
          <w:tcPr>
            <w:tcW w:w="384" w:type="pct"/>
            <w:tcBorders>
              <w:top w:val="nil"/>
              <w:left w:val="nil"/>
              <w:bottom w:val="single" w:sz="8" w:space="0" w:color="auto"/>
              <w:right w:val="single" w:sz="8" w:space="0" w:color="auto"/>
            </w:tcBorders>
            <w:shd w:val="clear" w:color="auto" w:fill="auto"/>
            <w:noWrap/>
            <w:vAlign w:val="center"/>
            <w:hideMark/>
          </w:tcPr>
          <w:p w14:paraId="6FF8A8F9" w14:textId="77777777" w:rsidR="007F5D13" w:rsidRDefault="007F5D13">
            <w:pPr>
              <w:jc w:val="right"/>
              <w:rPr>
                <w:rFonts w:cs="Arial"/>
                <w:color w:val="000000"/>
              </w:rPr>
            </w:pPr>
            <w:r>
              <w:rPr>
                <w:rFonts w:cs="Arial"/>
                <w:color w:val="000000"/>
              </w:rPr>
              <w:t>15-20%</w:t>
            </w:r>
          </w:p>
        </w:tc>
        <w:tc>
          <w:tcPr>
            <w:tcW w:w="384" w:type="pct"/>
            <w:tcBorders>
              <w:top w:val="nil"/>
              <w:left w:val="nil"/>
              <w:bottom w:val="single" w:sz="8" w:space="0" w:color="auto"/>
              <w:right w:val="single" w:sz="8" w:space="0" w:color="auto"/>
            </w:tcBorders>
            <w:shd w:val="clear" w:color="auto" w:fill="auto"/>
            <w:noWrap/>
            <w:vAlign w:val="center"/>
            <w:hideMark/>
          </w:tcPr>
          <w:p w14:paraId="31774B2C" w14:textId="77777777" w:rsidR="007F5D13" w:rsidRDefault="007F5D13">
            <w:pPr>
              <w:jc w:val="right"/>
              <w:rPr>
                <w:rFonts w:cs="Arial"/>
                <w:color w:val="000000"/>
                <w:sz w:val="22"/>
                <w:szCs w:val="22"/>
              </w:rPr>
            </w:pPr>
            <w:r>
              <w:rPr>
                <w:rFonts w:cs="Arial"/>
                <w:color w:val="000000"/>
                <w:sz w:val="22"/>
                <w:szCs w:val="22"/>
              </w:rPr>
              <w:t>10-15%</w:t>
            </w:r>
          </w:p>
        </w:tc>
        <w:tc>
          <w:tcPr>
            <w:tcW w:w="445" w:type="pct"/>
            <w:tcBorders>
              <w:top w:val="nil"/>
              <w:left w:val="nil"/>
              <w:bottom w:val="single" w:sz="8" w:space="0" w:color="auto"/>
              <w:right w:val="single" w:sz="8" w:space="0" w:color="auto"/>
            </w:tcBorders>
            <w:shd w:val="clear" w:color="auto" w:fill="auto"/>
            <w:noWrap/>
            <w:vAlign w:val="center"/>
            <w:hideMark/>
          </w:tcPr>
          <w:p w14:paraId="488BB46B" w14:textId="77777777" w:rsidR="007F5D13" w:rsidRDefault="007F5D13">
            <w:pPr>
              <w:jc w:val="right"/>
              <w:rPr>
                <w:rFonts w:cs="Arial"/>
                <w:color w:val="000000"/>
                <w:sz w:val="22"/>
                <w:szCs w:val="22"/>
              </w:rPr>
            </w:pPr>
            <w:r>
              <w:rPr>
                <w:rFonts w:cs="Arial"/>
                <w:color w:val="000000"/>
                <w:sz w:val="22"/>
                <w:szCs w:val="22"/>
              </w:rPr>
              <w:t>1-2%</w:t>
            </w:r>
          </w:p>
        </w:tc>
        <w:tc>
          <w:tcPr>
            <w:tcW w:w="445" w:type="pct"/>
            <w:tcBorders>
              <w:top w:val="nil"/>
              <w:left w:val="nil"/>
              <w:bottom w:val="single" w:sz="8" w:space="0" w:color="auto"/>
              <w:right w:val="single" w:sz="8" w:space="0" w:color="auto"/>
            </w:tcBorders>
            <w:shd w:val="clear" w:color="auto" w:fill="auto"/>
            <w:noWrap/>
            <w:vAlign w:val="center"/>
            <w:hideMark/>
          </w:tcPr>
          <w:p w14:paraId="32955A1E" w14:textId="77777777" w:rsidR="007F5D13" w:rsidRDefault="007F5D13">
            <w:pPr>
              <w:jc w:val="right"/>
              <w:rPr>
                <w:rFonts w:cs="Arial"/>
                <w:color w:val="000000"/>
              </w:rPr>
            </w:pPr>
            <w:r>
              <w:rPr>
                <w:rFonts w:cs="Arial"/>
                <w:color w:val="000000"/>
              </w:rPr>
              <w:t>3-4%</w:t>
            </w:r>
          </w:p>
        </w:tc>
        <w:tc>
          <w:tcPr>
            <w:tcW w:w="445" w:type="pct"/>
            <w:tcBorders>
              <w:top w:val="nil"/>
              <w:left w:val="nil"/>
              <w:bottom w:val="single" w:sz="8" w:space="0" w:color="auto"/>
              <w:right w:val="single" w:sz="8" w:space="0" w:color="auto"/>
            </w:tcBorders>
            <w:shd w:val="clear" w:color="auto" w:fill="auto"/>
            <w:noWrap/>
            <w:vAlign w:val="center"/>
            <w:hideMark/>
          </w:tcPr>
          <w:p w14:paraId="26AF044C" w14:textId="77777777" w:rsidR="007F5D13" w:rsidRDefault="007F5D13">
            <w:pPr>
              <w:jc w:val="right"/>
              <w:rPr>
                <w:rFonts w:cs="Arial"/>
                <w:color w:val="000000"/>
              </w:rPr>
            </w:pPr>
            <w:r>
              <w:rPr>
                <w:rFonts w:cs="Arial"/>
                <w:color w:val="000000"/>
              </w:rPr>
              <w:t>2-4%</w:t>
            </w:r>
          </w:p>
        </w:tc>
      </w:tr>
    </w:tbl>
    <w:p w14:paraId="00498967" w14:textId="0C81A33C" w:rsidR="00CB100F" w:rsidRDefault="00CB100F">
      <w:pPr>
        <w:rPr>
          <w:rFonts w:cs="Arial"/>
          <w:b/>
          <w:bCs/>
          <w:color w:val="000000"/>
          <w:sz w:val="22"/>
          <w:szCs w:val="22"/>
        </w:rPr>
      </w:pPr>
    </w:p>
    <w:p w14:paraId="645FEBCB" w14:textId="77777777" w:rsidR="00CB100F" w:rsidRDefault="00CB100F">
      <w:pPr>
        <w:rPr>
          <w:rFonts w:cs="Arial"/>
          <w:b/>
          <w:bCs/>
          <w:color w:val="000000"/>
          <w:sz w:val="22"/>
          <w:szCs w:val="22"/>
        </w:rPr>
      </w:pPr>
      <w:r>
        <w:rPr>
          <w:rFonts w:cs="Arial"/>
          <w:b/>
          <w:bCs/>
          <w:color w:val="000000"/>
          <w:sz w:val="22"/>
          <w:szCs w:val="22"/>
        </w:rPr>
        <w:br w:type="page"/>
      </w:r>
    </w:p>
    <w:tbl>
      <w:tblPr>
        <w:tblW w:w="5000" w:type="pct"/>
        <w:tblLayout w:type="fixed"/>
        <w:tblLook w:val="04A0" w:firstRow="1" w:lastRow="0" w:firstColumn="1" w:lastColumn="0" w:noHBand="0" w:noVBand="1"/>
      </w:tblPr>
      <w:tblGrid>
        <w:gridCol w:w="3675"/>
        <w:gridCol w:w="1273"/>
        <w:gridCol w:w="1134"/>
        <w:gridCol w:w="1134"/>
        <w:gridCol w:w="1134"/>
        <w:gridCol w:w="1134"/>
        <w:gridCol w:w="1134"/>
        <w:gridCol w:w="1276"/>
        <w:gridCol w:w="1134"/>
        <w:gridCol w:w="1216"/>
      </w:tblGrid>
      <w:tr w:rsidR="007F5D13" w:rsidRPr="00CB100F" w14:paraId="648334E6" w14:textId="77777777" w:rsidTr="00CB100F">
        <w:tc>
          <w:tcPr>
            <w:tcW w:w="5000" w:type="pct"/>
            <w:gridSpan w:val="10"/>
            <w:tcBorders>
              <w:top w:val="single" w:sz="8" w:space="0" w:color="auto"/>
              <w:left w:val="single" w:sz="8" w:space="0" w:color="auto"/>
              <w:bottom w:val="single" w:sz="8" w:space="0" w:color="auto"/>
              <w:right w:val="single" w:sz="8" w:space="0" w:color="auto"/>
            </w:tcBorders>
            <w:shd w:val="clear" w:color="auto" w:fill="006666"/>
            <w:noWrap/>
            <w:vAlign w:val="center"/>
          </w:tcPr>
          <w:p w14:paraId="36D6ABA2" w14:textId="40910BE9" w:rsidR="007F5D13" w:rsidRPr="00CB100F" w:rsidRDefault="007F5D13" w:rsidP="00CB100F">
            <w:pPr>
              <w:pStyle w:val="Tableheading1"/>
              <w:rPr>
                <w:color w:val="000000"/>
                <w:szCs w:val="22"/>
              </w:rPr>
            </w:pPr>
            <w:bookmarkStart w:id="655" w:name="_Toc83036143"/>
            <w:r w:rsidRPr="00CB100F">
              <w:rPr>
                <w:szCs w:val="22"/>
              </w:rPr>
              <w:lastRenderedPageBreak/>
              <w:t>Table D</w:t>
            </w:r>
            <w:r w:rsidR="00FE7692" w:rsidRPr="00CB100F">
              <w:rPr>
                <w:szCs w:val="22"/>
              </w:rPr>
              <w:t>8</w:t>
            </w:r>
            <w:r w:rsidRPr="00CB100F">
              <w:rPr>
                <w:szCs w:val="22"/>
              </w:rPr>
              <w:tab/>
              <w:t xml:space="preserve">Summary of overall dwelling mix by </w:t>
            </w:r>
            <w:r w:rsidR="00B40527">
              <w:rPr>
                <w:szCs w:val="22"/>
              </w:rPr>
              <w:t>sub-area</w:t>
            </w:r>
            <w:bookmarkEnd w:id="655"/>
          </w:p>
        </w:tc>
      </w:tr>
      <w:tr w:rsidR="00B40527" w:rsidRPr="00B40527" w14:paraId="634522F5" w14:textId="77777777" w:rsidTr="008C39C6">
        <w:tc>
          <w:tcPr>
            <w:tcW w:w="1290" w:type="pct"/>
            <w:vMerge w:val="restart"/>
            <w:tcBorders>
              <w:top w:val="nil"/>
              <w:left w:val="single" w:sz="8" w:space="0" w:color="auto"/>
              <w:right w:val="single" w:sz="8" w:space="0" w:color="auto"/>
            </w:tcBorders>
            <w:shd w:val="clear" w:color="auto" w:fill="006666"/>
            <w:noWrap/>
            <w:vAlign w:val="center"/>
          </w:tcPr>
          <w:p w14:paraId="7A9C16B6" w14:textId="49F62177" w:rsidR="00B40527" w:rsidRPr="00B40527" w:rsidRDefault="00B40527" w:rsidP="00B40527">
            <w:pPr>
              <w:rPr>
                <w:rFonts w:cs="Arial"/>
                <w:b/>
                <w:bCs/>
                <w:color w:val="FFFFFF" w:themeColor="background1"/>
                <w:sz w:val="22"/>
                <w:szCs w:val="22"/>
              </w:rPr>
            </w:pPr>
            <w:r>
              <w:rPr>
                <w:rFonts w:cs="Arial"/>
                <w:b/>
                <w:bCs/>
                <w:color w:val="FFFFFF" w:themeColor="background1"/>
                <w:sz w:val="22"/>
                <w:szCs w:val="22"/>
              </w:rPr>
              <w:t>Sub-Area</w:t>
            </w:r>
          </w:p>
        </w:tc>
        <w:tc>
          <w:tcPr>
            <w:tcW w:w="3710" w:type="pct"/>
            <w:gridSpan w:val="9"/>
            <w:tcBorders>
              <w:top w:val="nil"/>
              <w:left w:val="nil"/>
              <w:bottom w:val="single" w:sz="8" w:space="0" w:color="auto"/>
              <w:right w:val="single" w:sz="8" w:space="0" w:color="auto"/>
            </w:tcBorders>
            <w:shd w:val="clear" w:color="auto" w:fill="006666"/>
            <w:noWrap/>
            <w:vAlign w:val="bottom"/>
          </w:tcPr>
          <w:p w14:paraId="1E7756AE" w14:textId="7AC0E0F3" w:rsidR="00B40527" w:rsidRPr="00B40527" w:rsidRDefault="00B40527" w:rsidP="00B40527">
            <w:pPr>
              <w:jc w:val="center"/>
              <w:rPr>
                <w:rFonts w:cs="Arial"/>
                <w:b/>
                <w:bCs/>
                <w:color w:val="FFFFFF" w:themeColor="background1"/>
                <w:sz w:val="22"/>
                <w:szCs w:val="22"/>
              </w:rPr>
            </w:pPr>
            <w:r w:rsidRPr="00B40527">
              <w:rPr>
                <w:rFonts w:cs="Arial"/>
                <w:b/>
                <w:bCs/>
                <w:color w:val="FFFFFF" w:themeColor="background1"/>
                <w:sz w:val="22"/>
                <w:szCs w:val="22"/>
              </w:rPr>
              <w:t>Dwelling type and number of bedrooms</w:t>
            </w:r>
          </w:p>
        </w:tc>
      </w:tr>
      <w:tr w:rsidR="00B40527" w:rsidRPr="00CB100F" w14:paraId="6A243BC4" w14:textId="77777777" w:rsidTr="00B40527">
        <w:tc>
          <w:tcPr>
            <w:tcW w:w="1290" w:type="pct"/>
            <w:vMerge/>
            <w:tcBorders>
              <w:left w:val="single" w:sz="8" w:space="0" w:color="auto"/>
              <w:bottom w:val="single" w:sz="8" w:space="0" w:color="auto"/>
              <w:right w:val="single" w:sz="8" w:space="0" w:color="auto"/>
            </w:tcBorders>
            <w:shd w:val="clear" w:color="auto" w:fill="006666"/>
            <w:noWrap/>
            <w:vAlign w:val="center"/>
          </w:tcPr>
          <w:p w14:paraId="6E534B67" w14:textId="77777777" w:rsidR="00B40527" w:rsidRPr="00CB100F" w:rsidRDefault="00B40527" w:rsidP="00B40527">
            <w:pPr>
              <w:rPr>
                <w:rFonts w:cs="Arial"/>
                <w:color w:val="000000"/>
                <w:sz w:val="22"/>
                <w:szCs w:val="22"/>
              </w:rPr>
            </w:pPr>
          </w:p>
        </w:tc>
        <w:tc>
          <w:tcPr>
            <w:tcW w:w="447" w:type="pct"/>
            <w:tcBorders>
              <w:top w:val="nil"/>
              <w:left w:val="nil"/>
              <w:bottom w:val="single" w:sz="8" w:space="0" w:color="auto"/>
              <w:right w:val="single" w:sz="8" w:space="0" w:color="auto"/>
            </w:tcBorders>
            <w:shd w:val="clear" w:color="auto" w:fill="006666"/>
            <w:noWrap/>
            <w:vAlign w:val="bottom"/>
          </w:tcPr>
          <w:p w14:paraId="0C808FAE" w14:textId="23D66B0E" w:rsidR="00B40527" w:rsidRPr="00CB100F" w:rsidRDefault="00B40527" w:rsidP="00B40527">
            <w:pPr>
              <w:jc w:val="center"/>
              <w:rPr>
                <w:rFonts w:cs="Arial"/>
                <w:color w:val="000000"/>
                <w:sz w:val="22"/>
                <w:szCs w:val="22"/>
              </w:rPr>
            </w:pPr>
            <w:r w:rsidRPr="00CB100F">
              <w:rPr>
                <w:rFonts w:cs="Arial"/>
                <w:b/>
                <w:bCs/>
                <w:color w:val="FFFFFF"/>
                <w:sz w:val="20"/>
                <w:szCs w:val="20"/>
              </w:rPr>
              <w:t>1-bedroom house</w:t>
            </w:r>
          </w:p>
        </w:tc>
        <w:tc>
          <w:tcPr>
            <w:tcW w:w="398" w:type="pct"/>
            <w:tcBorders>
              <w:top w:val="nil"/>
              <w:left w:val="nil"/>
              <w:bottom w:val="single" w:sz="8" w:space="0" w:color="auto"/>
              <w:right w:val="single" w:sz="8" w:space="0" w:color="auto"/>
            </w:tcBorders>
            <w:shd w:val="clear" w:color="auto" w:fill="006666"/>
            <w:noWrap/>
            <w:vAlign w:val="bottom"/>
          </w:tcPr>
          <w:p w14:paraId="3B14B0FF" w14:textId="73D5C975" w:rsidR="00B40527" w:rsidRPr="00CB100F" w:rsidRDefault="00B40527" w:rsidP="00B40527">
            <w:pPr>
              <w:jc w:val="center"/>
              <w:rPr>
                <w:rFonts w:cs="Arial"/>
                <w:color w:val="000000"/>
                <w:sz w:val="22"/>
                <w:szCs w:val="22"/>
              </w:rPr>
            </w:pPr>
            <w:r w:rsidRPr="00CB100F">
              <w:rPr>
                <w:rFonts w:cs="Arial"/>
                <w:b/>
                <w:bCs/>
                <w:color w:val="FFFFFF"/>
                <w:sz w:val="20"/>
                <w:szCs w:val="20"/>
              </w:rPr>
              <w:t>2-bedroom house</w:t>
            </w:r>
          </w:p>
        </w:tc>
        <w:tc>
          <w:tcPr>
            <w:tcW w:w="398" w:type="pct"/>
            <w:tcBorders>
              <w:top w:val="nil"/>
              <w:left w:val="nil"/>
              <w:bottom w:val="single" w:sz="8" w:space="0" w:color="auto"/>
              <w:right w:val="single" w:sz="8" w:space="0" w:color="auto"/>
            </w:tcBorders>
            <w:shd w:val="clear" w:color="auto" w:fill="006666"/>
            <w:noWrap/>
            <w:vAlign w:val="bottom"/>
          </w:tcPr>
          <w:p w14:paraId="23D6F59D" w14:textId="6B9E7162" w:rsidR="00B40527" w:rsidRPr="00CB100F" w:rsidRDefault="00B40527" w:rsidP="00B40527">
            <w:pPr>
              <w:jc w:val="center"/>
              <w:rPr>
                <w:rFonts w:cs="Arial"/>
                <w:color w:val="000000"/>
                <w:sz w:val="22"/>
                <w:szCs w:val="22"/>
              </w:rPr>
            </w:pPr>
            <w:r w:rsidRPr="00CB100F">
              <w:rPr>
                <w:rFonts w:cs="Arial"/>
                <w:b/>
                <w:bCs/>
                <w:color w:val="FFFFFF"/>
                <w:sz w:val="20"/>
                <w:szCs w:val="20"/>
              </w:rPr>
              <w:t>3-bedroom house</w:t>
            </w:r>
          </w:p>
        </w:tc>
        <w:tc>
          <w:tcPr>
            <w:tcW w:w="398" w:type="pct"/>
            <w:tcBorders>
              <w:top w:val="nil"/>
              <w:left w:val="nil"/>
              <w:bottom w:val="single" w:sz="8" w:space="0" w:color="auto"/>
              <w:right w:val="single" w:sz="8" w:space="0" w:color="auto"/>
            </w:tcBorders>
            <w:shd w:val="clear" w:color="auto" w:fill="006666"/>
            <w:noWrap/>
            <w:vAlign w:val="bottom"/>
          </w:tcPr>
          <w:p w14:paraId="08994CC0" w14:textId="38709B63" w:rsidR="00B40527" w:rsidRPr="00CB100F" w:rsidRDefault="00B40527" w:rsidP="00B40527">
            <w:pPr>
              <w:jc w:val="center"/>
              <w:rPr>
                <w:rFonts w:cs="Arial"/>
                <w:color w:val="000000"/>
                <w:sz w:val="22"/>
                <w:szCs w:val="22"/>
              </w:rPr>
            </w:pPr>
            <w:r w:rsidRPr="00CB100F">
              <w:rPr>
                <w:rFonts w:cs="Arial"/>
                <w:b/>
                <w:bCs/>
                <w:color w:val="FFFFFF"/>
                <w:sz w:val="20"/>
                <w:szCs w:val="20"/>
              </w:rPr>
              <w:t>4-bedroom house</w:t>
            </w:r>
          </w:p>
        </w:tc>
        <w:tc>
          <w:tcPr>
            <w:tcW w:w="398" w:type="pct"/>
            <w:tcBorders>
              <w:top w:val="nil"/>
              <w:left w:val="nil"/>
              <w:bottom w:val="single" w:sz="8" w:space="0" w:color="auto"/>
              <w:right w:val="single" w:sz="8" w:space="0" w:color="auto"/>
            </w:tcBorders>
            <w:shd w:val="clear" w:color="auto" w:fill="006666"/>
            <w:noWrap/>
            <w:vAlign w:val="bottom"/>
          </w:tcPr>
          <w:p w14:paraId="7C220483" w14:textId="5305F643" w:rsidR="00B40527" w:rsidRPr="00CB100F" w:rsidRDefault="00B40527" w:rsidP="00B40527">
            <w:pPr>
              <w:jc w:val="center"/>
              <w:rPr>
                <w:rFonts w:cs="Arial"/>
                <w:color w:val="000000"/>
                <w:sz w:val="22"/>
                <w:szCs w:val="22"/>
              </w:rPr>
            </w:pPr>
            <w:r w:rsidRPr="00CB100F">
              <w:rPr>
                <w:rFonts w:cs="Arial"/>
                <w:b/>
                <w:bCs/>
                <w:color w:val="FFFFFF"/>
                <w:sz w:val="20"/>
                <w:szCs w:val="20"/>
              </w:rPr>
              <w:t>1-bedroom flat</w:t>
            </w:r>
          </w:p>
        </w:tc>
        <w:tc>
          <w:tcPr>
            <w:tcW w:w="398" w:type="pct"/>
            <w:tcBorders>
              <w:top w:val="nil"/>
              <w:left w:val="nil"/>
              <w:bottom w:val="single" w:sz="8" w:space="0" w:color="auto"/>
              <w:right w:val="single" w:sz="8" w:space="0" w:color="auto"/>
            </w:tcBorders>
            <w:shd w:val="clear" w:color="auto" w:fill="006666"/>
            <w:noWrap/>
            <w:vAlign w:val="bottom"/>
          </w:tcPr>
          <w:p w14:paraId="40142095" w14:textId="26C54541" w:rsidR="00B40527" w:rsidRPr="00CB100F" w:rsidRDefault="00B40527" w:rsidP="00B40527">
            <w:pPr>
              <w:jc w:val="center"/>
              <w:rPr>
                <w:rFonts w:cs="Arial"/>
                <w:color w:val="000000"/>
                <w:sz w:val="22"/>
                <w:szCs w:val="22"/>
              </w:rPr>
            </w:pPr>
            <w:r w:rsidRPr="00CB100F">
              <w:rPr>
                <w:rFonts w:cs="Arial"/>
                <w:b/>
                <w:bCs/>
                <w:color w:val="FFFFFF"/>
                <w:sz w:val="20"/>
                <w:szCs w:val="20"/>
              </w:rPr>
              <w:t>2 or more-bedroom flat</w:t>
            </w:r>
          </w:p>
        </w:tc>
        <w:tc>
          <w:tcPr>
            <w:tcW w:w="448" w:type="pct"/>
            <w:tcBorders>
              <w:top w:val="nil"/>
              <w:left w:val="nil"/>
              <w:bottom w:val="single" w:sz="8" w:space="0" w:color="auto"/>
              <w:right w:val="single" w:sz="8" w:space="0" w:color="auto"/>
            </w:tcBorders>
            <w:shd w:val="clear" w:color="auto" w:fill="006666"/>
            <w:noWrap/>
            <w:tcMar>
              <w:left w:w="0" w:type="dxa"/>
              <w:right w:w="0" w:type="dxa"/>
            </w:tcMar>
            <w:vAlign w:val="bottom"/>
          </w:tcPr>
          <w:p w14:paraId="5F32CBDE" w14:textId="78FE8B14" w:rsidR="00B40527" w:rsidRPr="00CB100F" w:rsidRDefault="00B40527" w:rsidP="00B40527">
            <w:pPr>
              <w:jc w:val="center"/>
              <w:rPr>
                <w:rFonts w:cs="Arial"/>
                <w:color w:val="000000"/>
                <w:sz w:val="22"/>
                <w:szCs w:val="22"/>
              </w:rPr>
            </w:pPr>
            <w:r w:rsidRPr="00CB100F">
              <w:rPr>
                <w:rFonts w:cs="Arial"/>
                <w:b/>
                <w:bCs/>
                <w:color w:val="FFFFFF"/>
                <w:sz w:val="20"/>
                <w:szCs w:val="20"/>
              </w:rPr>
              <w:t>1-bedroom bungalow</w:t>
            </w:r>
          </w:p>
        </w:tc>
        <w:tc>
          <w:tcPr>
            <w:tcW w:w="398" w:type="pct"/>
            <w:tcBorders>
              <w:top w:val="nil"/>
              <w:left w:val="nil"/>
              <w:bottom w:val="single" w:sz="8" w:space="0" w:color="auto"/>
              <w:right w:val="single" w:sz="8" w:space="0" w:color="auto"/>
            </w:tcBorders>
            <w:shd w:val="clear" w:color="auto" w:fill="006666"/>
            <w:noWrap/>
            <w:tcMar>
              <w:left w:w="0" w:type="dxa"/>
              <w:right w:w="0" w:type="dxa"/>
            </w:tcMar>
            <w:vAlign w:val="bottom"/>
          </w:tcPr>
          <w:p w14:paraId="3AC3F863" w14:textId="582A6E82" w:rsidR="00B40527" w:rsidRPr="00CB100F" w:rsidRDefault="00B40527" w:rsidP="00B40527">
            <w:pPr>
              <w:jc w:val="center"/>
              <w:rPr>
                <w:rFonts w:cs="Arial"/>
                <w:color w:val="000000"/>
                <w:sz w:val="22"/>
                <w:szCs w:val="22"/>
              </w:rPr>
            </w:pPr>
            <w:r w:rsidRPr="00CB100F">
              <w:rPr>
                <w:rFonts w:cs="Arial"/>
                <w:b/>
                <w:bCs/>
                <w:color w:val="FFFFFF"/>
                <w:sz w:val="20"/>
                <w:szCs w:val="20"/>
              </w:rPr>
              <w:t>2-bedroom bungalow</w:t>
            </w:r>
          </w:p>
        </w:tc>
        <w:tc>
          <w:tcPr>
            <w:tcW w:w="427" w:type="pct"/>
            <w:tcBorders>
              <w:top w:val="nil"/>
              <w:left w:val="nil"/>
              <w:bottom w:val="single" w:sz="8" w:space="0" w:color="auto"/>
              <w:right w:val="single" w:sz="8" w:space="0" w:color="auto"/>
            </w:tcBorders>
            <w:shd w:val="clear" w:color="auto" w:fill="006666"/>
            <w:noWrap/>
            <w:tcMar>
              <w:left w:w="0" w:type="dxa"/>
              <w:right w:w="0" w:type="dxa"/>
            </w:tcMar>
            <w:vAlign w:val="bottom"/>
          </w:tcPr>
          <w:p w14:paraId="0B1CC7A8" w14:textId="6EDE4EF6" w:rsidR="00B40527" w:rsidRPr="00CB100F" w:rsidRDefault="00B40527" w:rsidP="00B40527">
            <w:pPr>
              <w:jc w:val="center"/>
              <w:rPr>
                <w:rFonts w:cs="Arial"/>
                <w:color w:val="000000"/>
                <w:sz w:val="22"/>
                <w:szCs w:val="22"/>
              </w:rPr>
            </w:pPr>
            <w:r w:rsidRPr="00CB100F">
              <w:rPr>
                <w:rFonts w:cs="Arial"/>
                <w:b/>
                <w:bCs/>
                <w:color w:val="FFFFFF"/>
                <w:sz w:val="20"/>
                <w:szCs w:val="20"/>
              </w:rPr>
              <w:t>3 or more-bedroom bungalow</w:t>
            </w:r>
          </w:p>
        </w:tc>
      </w:tr>
      <w:tr w:rsidR="00B40527" w:rsidRPr="00CB100F" w14:paraId="255987AD" w14:textId="77777777" w:rsidTr="00B40527">
        <w:tc>
          <w:tcPr>
            <w:tcW w:w="500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60E91" w14:textId="029F592A" w:rsidR="00B40527" w:rsidRPr="00CB100F" w:rsidRDefault="00B40527" w:rsidP="00B40527">
            <w:pPr>
              <w:rPr>
                <w:rFonts w:cs="Arial"/>
                <w:b/>
                <w:bCs/>
                <w:color w:val="000000"/>
                <w:sz w:val="22"/>
                <w:szCs w:val="22"/>
              </w:rPr>
            </w:pPr>
            <w:r w:rsidRPr="00CB100F">
              <w:rPr>
                <w:rFonts w:cs="Arial"/>
                <w:b/>
                <w:bCs/>
                <w:color w:val="000000"/>
                <w:sz w:val="22"/>
                <w:szCs w:val="22"/>
              </w:rPr>
              <w:t>Key Development Area</w:t>
            </w:r>
          </w:p>
        </w:tc>
      </w:tr>
      <w:tr w:rsidR="00B40527" w:rsidRPr="00CB100F" w14:paraId="78B0E1F9"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74754AD1" w14:textId="77777777" w:rsidR="00B40527" w:rsidRPr="00CB100F" w:rsidRDefault="00B40527" w:rsidP="00B40527">
            <w:pPr>
              <w:rPr>
                <w:rFonts w:cs="Arial"/>
                <w:color w:val="000000"/>
                <w:sz w:val="22"/>
                <w:szCs w:val="22"/>
              </w:rPr>
            </w:pPr>
            <w:r w:rsidRPr="00CB100F">
              <w:rPr>
                <w:rFonts w:cs="Arial"/>
                <w:color w:val="000000"/>
                <w:sz w:val="22"/>
                <w:szCs w:val="22"/>
              </w:rPr>
              <w:t>Chatham</w:t>
            </w:r>
          </w:p>
        </w:tc>
        <w:tc>
          <w:tcPr>
            <w:tcW w:w="447" w:type="pct"/>
            <w:tcBorders>
              <w:top w:val="nil"/>
              <w:left w:val="nil"/>
              <w:bottom w:val="single" w:sz="8" w:space="0" w:color="auto"/>
              <w:right w:val="single" w:sz="8" w:space="0" w:color="auto"/>
            </w:tcBorders>
            <w:shd w:val="clear" w:color="auto" w:fill="auto"/>
            <w:noWrap/>
            <w:vAlign w:val="center"/>
            <w:hideMark/>
          </w:tcPr>
          <w:p w14:paraId="52C43553"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4C3EA5AA"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1A6655E8" w14:textId="77777777" w:rsidR="00B40527" w:rsidRPr="00CB100F" w:rsidRDefault="00B40527" w:rsidP="00B40527">
            <w:pPr>
              <w:jc w:val="right"/>
              <w:rPr>
                <w:rFonts w:cs="Arial"/>
                <w:color w:val="000000"/>
                <w:sz w:val="22"/>
                <w:szCs w:val="22"/>
              </w:rPr>
            </w:pPr>
            <w:r w:rsidRPr="00CB100F">
              <w:rPr>
                <w:rFonts w:cs="Arial"/>
                <w:color w:val="000000"/>
                <w:sz w:val="22"/>
                <w:szCs w:val="22"/>
              </w:rPr>
              <w:t>35-40%</w:t>
            </w:r>
          </w:p>
        </w:tc>
        <w:tc>
          <w:tcPr>
            <w:tcW w:w="398" w:type="pct"/>
            <w:tcBorders>
              <w:top w:val="nil"/>
              <w:left w:val="nil"/>
              <w:bottom w:val="single" w:sz="8" w:space="0" w:color="auto"/>
              <w:right w:val="single" w:sz="8" w:space="0" w:color="auto"/>
            </w:tcBorders>
            <w:shd w:val="clear" w:color="auto" w:fill="auto"/>
            <w:noWrap/>
            <w:vAlign w:val="center"/>
            <w:hideMark/>
          </w:tcPr>
          <w:p w14:paraId="62FA7561" w14:textId="77777777" w:rsidR="00B40527" w:rsidRPr="00CB100F" w:rsidRDefault="00B40527" w:rsidP="00B40527">
            <w:pPr>
              <w:jc w:val="right"/>
              <w:rPr>
                <w:rFonts w:cs="Arial"/>
                <w:color w:val="000000"/>
                <w:sz w:val="22"/>
                <w:szCs w:val="22"/>
              </w:rPr>
            </w:pPr>
            <w:r w:rsidRPr="00CB100F">
              <w:rPr>
                <w:rFonts w:cs="Arial"/>
                <w:color w:val="000000"/>
                <w:sz w:val="22"/>
                <w:szCs w:val="22"/>
              </w:rPr>
              <w:t>5-10%</w:t>
            </w:r>
          </w:p>
        </w:tc>
        <w:tc>
          <w:tcPr>
            <w:tcW w:w="398" w:type="pct"/>
            <w:tcBorders>
              <w:top w:val="nil"/>
              <w:left w:val="nil"/>
              <w:bottom w:val="single" w:sz="8" w:space="0" w:color="auto"/>
              <w:right w:val="single" w:sz="8" w:space="0" w:color="auto"/>
            </w:tcBorders>
            <w:shd w:val="clear" w:color="auto" w:fill="auto"/>
            <w:noWrap/>
            <w:vAlign w:val="center"/>
            <w:hideMark/>
          </w:tcPr>
          <w:p w14:paraId="3D75EABF"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6FBB796D"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448" w:type="pct"/>
            <w:tcBorders>
              <w:top w:val="nil"/>
              <w:left w:val="nil"/>
              <w:bottom w:val="single" w:sz="8" w:space="0" w:color="auto"/>
              <w:right w:val="single" w:sz="8" w:space="0" w:color="auto"/>
            </w:tcBorders>
            <w:shd w:val="clear" w:color="auto" w:fill="auto"/>
            <w:noWrap/>
            <w:vAlign w:val="center"/>
            <w:hideMark/>
          </w:tcPr>
          <w:p w14:paraId="062E34DA"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35AE3230"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427" w:type="pct"/>
            <w:tcBorders>
              <w:top w:val="nil"/>
              <w:left w:val="nil"/>
              <w:bottom w:val="single" w:sz="8" w:space="0" w:color="auto"/>
              <w:right w:val="single" w:sz="8" w:space="0" w:color="auto"/>
            </w:tcBorders>
            <w:shd w:val="clear" w:color="auto" w:fill="auto"/>
            <w:noWrap/>
            <w:vAlign w:val="center"/>
            <w:hideMark/>
          </w:tcPr>
          <w:p w14:paraId="76C82E9B"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r>
      <w:tr w:rsidR="00B40527" w:rsidRPr="00CB100F" w14:paraId="62BCFC95"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34D9FC6D" w14:textId="77777777" w:rsidR="00B40527" w:rsidRPr="00CB100F" w:rsidRDefault="00B40527" w:rsidP="00B40527">
            <w:pPr>
              <w:rPr>
                <w:rFonts w:cs="Arial"/>
                <w:color w:val="000000"/>
                <w:sz w:val="22"/>
                <w:szCs w:val="22"/>
              </w:rPr>
            </w:pPr>
            <w:r w:rsidRPr="00CB100F">
              <w:rPr>
                <w:rFonts w:cs="Arial"/>
                <w:color w:val="000000"/>
                <w:sz w:val="22"/>
                <w:szCs w:val="22"/>
              </w:rPr>
              <w:t>Chatham Maritime and Gillingham (</w:t>
            </w:r>
            <w:proofErr w:type="spellStart"/>
            <w:r w:rsidRPr="00CB100F">
              <w:rPr>
                <w:rFonts w:cs="Arial"/>
                <w:color w:val="000000"/>
                <w:sz w:val="22"/>
                <w:szCs w:val="22"/>
              </w:rPr>
              <w:t>inc</w:t>
            </w:r>
            <w:proofErr w:type="spellEnd"/>
            <w:r w:rsidRPr="00CB100F">
              <w:rPr>
                <w:rFonts w:cs="Arial"/>
                <w:color w:val="000000"/>
                <w:sz w:val="22"/>
                <w:szCs w:val="22"/>
              </w:rPr>
              <w:t xml:space="preserve"> St Mary’s Island &amp; Brompton) </w:t>
            </w:r>
          </w:p>
        </w:tc>
        <w:tc>
          <w:tcPr>
            <w:tcW w:w="447" w:type="pct"/>
            <w:tcBorders>
              <w:top w:val="nil"/>
              <w:left w:val="nil"/>
              <w:bottom w:val="single" w:sz="8" w:space="0" w:color="auto"/>
              <w:right w:val="single" w:sz="8" w:space="0" w:color="auto"/>
            </w:tcBorders>
            <w:shd w:val="clear" w:color="auto" w:fill="auto"/>
            <w:noWrap/>
            <w:vAlign w:val="center"/>
            <w:hideMark/>
          </w:tcPr>
          <w:p w14:paraId="29B5BBE3"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3BF5C895"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5F1CE327" w14:textId="77777777" w:rsidR="00B40527" w:rsidRPr="00CB100F" w:rsidRDefault="00B40527" w:rsidP="00B40527">
            <w:pPr>
              <w:jc w:val="right"/>
              <w:rPr>
                <w:rFonts w:cs="Arial"/>
                <w:color w:val="000000"/>
                <w:sz w:val="22"/>
                <w:szCs w:val="22"/>
              </w:rPr>
            </w:pPr>
            <w:r w:rsidRPr="00CB100F">
              <w:rPr>
                <w:rFonts w:cs="Arial"/>
                <w:color w:val="000000"/>
                <w:sz w:val="22"/>
                <w:szCs w:val="22"/>
              </w:rPr>
              <w:t>35-40%</w:t>
            </w:r>
          </w:p>
        </w:tc>
        <w:tc>
          <w:tcPr>
            <w:tcW w:w="398" w:type="pct"/>
            <w:tcBorders>
              <w:top w:val="nil"/>
              <w:left w:val="nil"/>
              <w:bottom w:val="single" w:sz="8" w:space="0" w:color="auto"/>
              <w:right w:val="single" w:sz="8" w:space="0" w:color="auto"/>
            </w:tcBorders>
            <w:shd w:val="clear" w:color="auto" w:fill="auto"/>
            <w:noWrap/>
            <w:vAlign w:val="center"/>
            <w:hideMark/>
          </w:tcPr>
          <w:p w14:paraId="72434600" w14:textId="77777777" w:rsidR="00B40527" w:rsidRPr="00CB100F" w:rsidRDefault="00B40527" w:rsidP="00B40527">
            <w:pPr>
              <w:jc w:val="right"/>
              <w:rPr>
                <w:rFonts w:cs="Arial"/>
                <w:color w:val="000000"/>
                <w:sz w:val="22"/>
                <w:szCs w:val="22"/>
              </w:rPr>
            </w:pPr>
            <w:r w:rsidRPr="00CB100F">
              <w:rPr>
                <w:rFonts w:cs="Arial"/>
                <w:color w:val="000000"/>
                <w:sz w:val="22"/>
                <w:szCs w:val="22"/>
              </w:rPr>
              <w:t>5-10%</w:t>
            </w:r>
          </w:p>
        </w:tc>
        <w:tc>
          <w:tcPr>
            <w:tcW w:w="398" w:type="pct"/>
            <w:tcBorders>
              <w:top w:val="nil"/>
              <w:left w:val="nil"/>
              <w:bottom w:val="single" w:sz="8" w:space="0" w:color="auto"/>
              <w:right w:val="single" w:sz="8" w:space="0" w:color="auto"/>
            </w:tcBorders>
            <w:shd w:val="clear" w:color="auto" w:fill="auto"/>
            <w:noWrap/>
            <w:vAlign w:val="center"/>
            <w:hideMark/>
          </w:tcPr>
          <w:p w14:paraId="19E1715A"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78C64D34"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448" w:type="pct"/>
            <w:tcBorders>
              <w:top w:val="nil"/>
              <w:left w:val="nil"/>
              <w:bottom w:val="single" w:sz="8" w:space="0" w:color="auto"/>
              <w:right w:val="single" w:sz="8" w:space="0" w:color="auto"/>
            </w:tcBorders>
            <w:shd w:val="clear" w:color="auto" w:fill="auto"/>
            <w:noWrap/>
            <w:vAlign w:val="center"/>
            <w:hideMark/>
          </w:tcPr>
          <w:p w14:paraId="6A8CB6FA"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33549506"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427" w:type="pct"/>
            <w:tcBorders>
              <w:top w:val="nil"/>
              <w:left w:val="nil"/>
              <w:bottom w:val="single" w:sz="8" w:space="0" w:color="auto"/>
              <w:right w:val="single" w:sz="8" w:space="0" w:color="auto"/>
            </w:tcBorders>
            <w:shd w:val="clear" w:color="auto" w:fill="auto"/>
            <w:noWrap/>
            <w:vAlign w:val="center"/>
            <w:hideMark/>
          </w:tcPr>
          <w:p w14:paraId="4EE5D8DA"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r>
      <w:tr w:rsidR="00B40527" w:rsidRPr="00CB100F" w14:paraId="431C6282"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0732D4B9" w14:textId="77777777" w:rsidR="00B40527" w:rsidRPr="00CB100F" w:rsidRDefault="00B40527" w:rsidP="00B40527">
            <w:pPr>
              <w:rPr>
                <w:rFonts w:cs="Arial"/>
                <w:color w:val="000000"/>
                <w:sz w:val="22"/>
                <w:szCs w:val="22"/>
              </w:rPr>
            </w:pPr>
            <w:r w:rsidRPr="00CB100F">
              <w:rPr>
                <w:rFonts w:cs="Arial"/>
                <w:color w:val="000000"/>
                <w:sz w:val="22"/>
                <w:szCs w:val="22"/>
              </w:rPr>
              <w:t>Rainham</w:t>
            </w:r>
          </w:p>
        </w:tc>
        <w:tc>
          <w:tcPr>
            <w:tcW w:w="447" w:type="pct"/>
            <w:tcBorders>
              <w:top w:val="nil"/>
              <w:left w:val="nil"/>
              <w:bottom w:val="single" w:sz="8" w:space="0" w:color="auto"/>
              <w:right w:val="single" w:sz="8" w:space="0" w:color="auto"/>
            </w:tcBorders>
            <w:shd w:val="clear" w:color="auto" w:fill="auto"/>
            <w:noWrap/>
            <w:vAlign w:val="center"/>
            <w:hideMark/>
          </w:tcPr>
          <w:p w14:paraId="44176299"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502E538F"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1C4875D6" w14:textId="77777777" w:rsidR="00B40527" w:rsidRPr="00CB100F" w:rsidRDefault="00B40527" w:rsidP="00B40527">
            <w:pPr>
              <w:jc w:val="right"/>
              <w:rPr>
                <w:rFonts w:cs="Arial"/>
                <w:color w:val="000000"/>
                <w:sz w:val="22"/>
                <w:szCs w:val="22"/>
              </w:rPr>
            </w:pPr>
            <w:r w:rsidRPr="00CB100F">
              <w:rPr>
                <w:rFonts w:cs="Arial"/>
                <w:color w:val="000000"/>
                <w:sz w:val="22"/>
                <w:szCs w:val="22"/>
              </w:rPr>
              <w:t>40-45%</w:t>
            </w:r>
          </w:p>
        </w:tc>
        <w:tc>
          <w:tcPr>
            <w:tcW w:w="398" w:type="pct"/>
            <w:tcBorders>
              <w:top w:val="nil"/>
              <w:left w:val="nil"/>
              <w:bottom w:val="single" w:sz="8" w:space="0" w:color="auto"/>
              <w:right w:val="single" w:sz="8" w:space="0" w:color="auto"/>
            </w:tcBorders>
            <w:shd w:val="clear" w:color="auto" w:fill="auto"/>
            <w:noWrap/>
            <w:vAlign w:val="center"/>
            <w:hideMark/>
          </w:tcPr>
          <w:p w14:paraId="22DD40E6"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1D0F8D33"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78A8A89A"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448" w:type="pct"/>
            <w:tcBorders>
              <w:top w:val="nil"/>
              <w:left w:val="nil"/>
              <w:bottom w:val="single" w:sz="8" w:space="0" w:color="auto"/>
              <w:right w:val="single" w:sz="8" w:space="0" w:color="auto"/>
            </w:tcBorders>
            <w:shd w:val="clear" w:color="auto" w:fill="auto"/>
            <w:noWrap/>
            <w:vAlign w:val="center"/>
            <w:hideMark/>
          </w:tcPr>
          <w:p w14:paraId="79591C4B"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398" w:type="pct"/>
            <w:tcBorders>
              <w:top w:val="nil"/>
              <w:left w:val="nil"/>
              <w:bottom w:val="single" w:sz="8" w:space="0" w:color="auto"/>
              <w:right w:val="single" w:sz="8" w:space="0" w:color="auto"/>
            </w:tcBorders>
            <w:shd w:val="clear" w:color="auto" w:fill="auto"/>
            <w:noWrap/>
            <w:vAlign w:val="center"/>
            <w:hideMark/>
          </w:tcPr>
          <w:p w14:paraId="6A9F6F4A" w14:textId="77777777" w:rsidR="00B40527" w:rsidRPr="00CB100F" w:rsidRDefault="00B40527" w:rsidP="00B40527">
            <w:pPr>
              <w:jc w:val="right"/>
              <w:rPr>
                <w:rFonts w:cs="Arial"/>
                <w:color w:val="000000"/>
                <w:sz w:val="22"/>
                <w:szCs w:val="22"/>
              </w:rPr>
            </w:pPr>
            <w:r w:rsidRPr="00CB100F">
              <w:rPr>
                <w:rFonts w:cs="Arial"/>
                <w:color w:val="000000"/>
                <w:sz w:val="22"/>
                <w:szCs w:val="22"/>
              </w:rPr>
              <w:t>4-5%</w:t>
            </w:r>
          </w:p>
        </w:tc>
        <w:tc>
          <w:tcPr>
            <w:tcW w:w="427" w:type="pct"/>
            <w:tcBorders>
              <w:top w:val="nil"/>
              <w:left w:val="nil"/>
              <w:bottom w:val="single" w:sz="8" w:space="0" w:color="auto"/>
              <w:right w:val="single" w:sz="8" w:space="0" w:color="auto"/>
            </w:tcBorders>
            <w:shd w:val="clear" w:color="auto" w:fill="auto"/>
            <w:noWrap/>
            <w:vAlign w:val="center"/>
            <w:hideMark/>
          </w:tcPr>
          <w:p w14:paraId="017D6871" w14:textId="77777777" w:rsidR="00B40527" w:rsidRPr="00CB100F" w:rsidRDefault="00B40527" w:rsidP="00B40527">
            <w:pPr>
              <w:jc w:val="right"/>
              <w:rPr>
                <w:rFonts w:cs="Arial"/>
                <w:color w:val="000000"/>
                <w:sz w:val="22"/>
                <w:szCs w:val="22"/>
              </w:rPr>
            </w:pPr>
            <w:r w:rsidRPr="00CB100F">
              <w:rPr>
                <w:rFonts w:cs="Arial"/>
                <w:color w:val="000000"/>
                <w:sz w:val="22"/>
                <w:szCs w:val="22"/>
              </w:rPr>
              <w:t>3-4%</w:t>
            </w:r>
          </w:p>
        </w:tc>
      </w:tr>
      <w:tr w:rsidR="00B40527" w:rsidRPr="00CB100F" w14:paraId="017545A8"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32FBFC8E" w14:textId="77777777" w:rsidR="00B40527" w:rsidRPr="00CB100F" w:rsidRDefault="00B40527" w:rsidP="00B40527">
            <w:pPr>
              <w:rPr>
                <w:rFonts w:cs="Arial"/>
                <w:color w:val="000000"/>
                <w:sz w:val="22"/>
                <w:szCs w:val="22"/>
              </w:rPr>
            </w:pPr>
            <w:r w:rsidRPr="00CB100F">
              <w:rPr>
                <w:rFonts w:cs="Arial"/>
                <w:color w:val="000000"/>
                <w:sz w:val="22"/>
                <w:szCs w:val="22"/>
              </w:rPr>
              <w:t>Rochester</w:t>
            </w:r>
          </w:p>
        </w:tc>
        <w:tc>
          <w:tcPr>
            <w:tcW w:w="447" w:type="pct"/>
            <w:tcBorders>
              <w:top w:val="nil"/>
              <w:left w:val="nil"/>
              <w:bottom w:val="single" w:sz="8" w:space="0" w:color="auto"/>
              <w:right w:val="single" w:sz="8" w:space="0" w:color="auto"/>
            </w:tcBorders>
            <w:shd w:val="clear" w:color="auto" w:fill="auto"/>
            <w:noWrap/>
            <w:vAlign w:val="center"/>
            <w:hideMark/>
          </w:tcPr>
          <w:p w14:paraId="0814A509"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1B0C0EC2"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389EDCB4" w14:textId="77777777" w:rsidR="00B40527" w:rsidRPr="00CB100F" w:rsidRDefault="00B40527" w:rsidP="00B40527">
            <w:pPr>
              <w:jc w:val="right"/>
              <w:rPr>
                <w:rFonts w:cs="Arial"/>
                <w:color w:val="000000"/>
                <w:sz w:val="22"/>
                <w:szCs w:val="22"/>
              </w:rPr>
            </w:pPr>
            <w:r w:rsidRPr="00CB100F">
              <w:rPr>
                <w:rFonts w:cs="Arial"/>
                <w:color w:val="000000"/>
                <w:sz w:val="22"/>
                <w:szCs w:val="22"/>
              </w:rPr>
              <w:t>35-40%</w:t>
            </w:r>
          </w:p>
        </w:tc>
        <w:tc>
          <w:tcPr>
            <w:tcW w:w="398" w:type="pct"/>
            <w:tcBorders>
              <w:top w:val="nil"/>
              <w:left w:val="nil"/>
              <w:bottom w:val="single" w:sz="8" w:space="0" w:color="auto"/>
              <w:right w:val="single" w:sz="8" w:space="0" w:color="auto"/>
            </w:tcBorders>
            <w:shd w:val="clear" w:color="auto" w:fill="auto"/>
            <w:noWrap/>
            <w:vAlign w:val="center"/>
            <w:hideMark/>
          </w:tcPr>
          <w:p w14:paraId="4185B005"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40BE865C"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68354964"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448" w:type="pct"/>
            <w:tcBorders>
              <w:top w:val="nil"/>
              <w:left w:val="nil"/>
              <w:bottom w:val="single" w:sz="8" w:space="0" w:color="auto"/>
              <w:right w:val="single" w:sz="8" w:space="0" w:color="auto"/>
            </w:tcBorders>
            <w:shd w:val="clear" w:color="auto" w:fill="auto"/>
            <w:noWrap/>
            <w:vAlign w:val="center"/>
            <w:hideMark/>
          </w:tcPr>
          <w:p w14:paraId="5F4D7697"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39CB62F6"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427" w:type="pct"/>
            <w:tcBorders>
              <w:top w:val="nil"/>
              <w:left w:val="nil"/>
              <w:bottom w:val="single" w:sz="8" w:space="0" w:color="auto"/>
              <w:right w:val="single" w:sz="8" w:space="0" w:color="auto"/>
            </w:tcBorders>
            <w:shd w:val="clear" w:color="auto" w:fill="auto"/>
            <w:noWrap/>
            <w:vAlign w:val="center"/>
            <w:hideMark/>
          </w:tcPr>
          <w:p w14:paraId="4AA0449E"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r>
      <w:tr w:rsidR="00B40527" w:rsidRPr="00CB100F" w14:paraId="047FB09E"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0AFDF2DC" w14:textId="77777777" w:rsidR="00B40527" w:rsidRPr="00CB100F" w:rsidRDefault="00B40527" w:rsidP="00B40527">
            <w:pPr>
              <w:rPr>
                <w:rFonts w:cs="Arial"/>
                <w:color w:val="000000"/>
                <w:sz w:val="22"/>
                <w:szCs w:val="22"/>
              </w:rPr>
            </w:pPr>
            <w:r w:rsidRPr="00CB100F">
              <w:rPr>
                <w:rFonts w:cs="Arial"/>
                <w:color w:val="000000"/>
                <w:sz w:val="22"/>
                <w:szCs w:val="22"/>
              </w:rPr>
              <w:t>Strood</w:t>
            </w:r>
          </w:p>
        </w:tc>
        <w:tc>
          <w:tcPr>
            <w:tcW w:w="447" w:type="pct"/>
            <w:tcBorders>
              <w:top w:val="nil"/>
              <w:left w:val="nil"/>
              <w:bottom w:val="single" w:sz="8" w:space="0" w:color="auto"/>
              <w:right w:val="single" w:sz="8" w:space="0" w:color="auto"/>
            </w:tcBorders>
            <w:shd w:val="clear" w:color="auto" w:fill="auto"/>
            <w:noWrap/>
            <w:vAlign w:val="center"/>
            <w:hideMark/>
          </w:tcPr>
          <w:p w14:paraId="4B5A9792"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6D75A37A"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550D62F9" w14:textId="77777777" w:rsidR="00B40527" w:rsidRPr="00CB100F" w:rsidRDefault="00B40527" w:rsidP="00B40527">
            <w:pPr>
              <w:jc w:val="right"/>
              <w:rPr>
                <w:rFonts w:cs="Arial"/>
                <w:color w:val="000000"/>
                <w:sz w:val="22"/>
                <w:szCs w:val="22"/>
              </w:rPr>
            </w:pPr>
            <w:r w:rsidRPr="00CB100F">
              <w:rPr>
                <w:rFonts w:cs="Arial"/>
                <w:color w:val="000000"/>
                <w:sz w:val="22"/>
                <w:szCs w:val="22"/>
              </w:rPr>
              <w:t>40-45%</w:t>
            </w:r>
          </w:p>
        </w:tc>
        <w:tc>
          <w:tcPr>
            <w:tcW w:w="398" w:type="pct"/>
            <w:tcBorders>
              <w:top w:val="nil"/>
              <w:left w:val="nil"/>
              <w:bottom w:val="single" w:sz="8" w:space="0" w:color="auto"/>
              <w:right w:val="single" w:sz="8" w:space="0" w:color="auto"/>
            </w:tcBorders>
            <w:shd w:val="clear" w:color="auto" w:fill="auto"/>
            <w:noWrap/>
            <w:vAlign w:val="center"/>
            <w:hideMark/>
          </w:tcPr>
          <w:p w14:paraId="7D9ADAC5"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38C7C27C"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627CDFE5"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448" w:type="pct"/>
            <w:tcBorders>
              <w:top w:val="nil"/>
              <w:left w:val="nil"/>
              <w:bottom w:val="single" w:sz="8" w:space="0" w:color="auto"/>
              <w:right w:val="single" w:sz="8" w:space="0" w:color="auto"/>
            </w:tcBorders>
            <w:shd w:val="clear" w:color="auto" w:fill="auto"/>
            <w:noWrap/>
            <w:vAlign w:val="center"/>
            <w:hideMark/>
          </w:tcPr>
          <w:p w14:paraId="6BA62DA7"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61325B39" w14:textId="77777777" w:rsidR="00B40527" w:rsidRPr="00CB100F" w:rsidRDefault="00B40527" w:rsidP="00B40527">
            <w:pPr>
              <w:jc w:val="right"/>
              <w:rPr>
                <w:rFonts w:cs="Arial"/>
                <w:color w:val="000000"/>
                <w:sz w:val="22"/>
                <w:szCs w:val="22"/>
              </w:rPr>
            </w:pPr>
            <w:r w:rsidRPr="00CB100F">
              <w:rPr>
                <w:rFonts w:cs="Arial"/>
                <w:color w:val="000000"/>
                <w:sz w:val="22"/>
                <w:szCs w:val="22"/>
              </w:rPr>
              <w:t>3-4%</w:t>
            </w:r>
          </w:p>
        </w:tc>
        <w:tc>
          <w:tcPr>
            <w:tcW w:w="427" w:type="pct"/>
            <w:tcBorders>
              <w:top w:val="nil"/>
              <w:left w:val="nil"/>
              <w:bottom w:val="single" w:sz="8" w:space="0" w:color="auto"/>
              <w:right w:val="single" w:sz="8" w:space="0" w:color="auto"/>
            </w:tcBorders>
            <w:shd w:val="clear" w:color="auto" w:fill="auto"/>
            <w:noWrap/>
            <w:vAlign w:val="center"/>
            <w:hideMark/>
          </w:tcPr>
          <w:p w14:paraId="63E287C6"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r>
      <w:tr w:rsidR="00B40527" w:rsidRPr="00CB100F" w14:paraId="17E0B5D3" w14:textId="77777777" w:rsidTr="00B40527">
        <w:tc>
          <w:tcPr>
            <w:tcW w:w="500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C25FC5" w14:textId="75FDB562" w:rsidR="00B40527" w:rsidRPr="00CB100F" w:rsidRDefault="00B40527" w:rsidP="00B40527">
            <w:pPr>
              <w:rPr>
                <w:rFonts w:cs="Arial"/>
                <w:b/>
                <w:bCs/>
                <w:color w:val="000000"/>
                <w:sz w:val="22"/>
                <w:szCs w:val="22"/>
              </w:rPr>
            </w:pPr>
            <w:r w:rsidRPr="00CB100F">
              <w:rPr>
                <w:rFonts w:cs="Arial"/>
                <w:b/>
                <w:bCs/>
                <w:color w:val="000000"/>
                <w:sz w:val="22"/>
                <w:szCs w:val="22"/>
              </w:rPr>
              <w:t>Neighbourhood Planning Area</w:t>
            </w:r>
          </w:p>
        </w:tc>
      </w:tr>
      <w:tr w:rsidR="00B40527" w:rsidRPr="00CB100F" w14:paraId="63604783"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22AC2E67" w14:textId="77777777" w:rsidR="00B40527" w:rsidRPr="00CB100F" w:rsidRDefault="00B40527" w:rsidP="00B40527">
            <w:pPr>
              <w:rPr>
                <w:rFonts w:cs="Arial"/>
                <w:color w:val="000000"/>
                <w:sz w:val="22"/>
                <w:szCs w:val="22"/>
              </w:rPr>
            </w:pPr>
            <w:r w:rsidRPr="00CB100F">
              <w:rPr>
                <w:rFonts w:cs="Arial"/>
                <w:color w:val="000000"/>
                <w:sz w:val="22"/>
                <w:szCs w:val="22"/>
              </w:rPr>
              <w:t>Cliffe and Cliffe Wood</w:t>
            </w:r>
          </w:p>
        </w:tc>
        <w:tc>
          <w:tcPr>
            <w:tcW w:w="447" w:type="pct"/>
            <w:tcBorders>
              <w:top w:val="nil"/>
              <w:left w:val="nil"/>
              <w:bottom w:val="single" w:sz="8" w:space="0" w:color="auto"/>
              <w:right w:val="single" w:sz="8" w:space="0" w:color="auto"/>
            </w:tcBorders>
            <w:shd w:val="clear" w:color="auto" w:fill="auto"/>
            <w:noWrap/>
            <w:vAlign w:val="center"/>
            <w:hideMark/>
          </w:tcPr>
          <w:p w14:paraId="427CFB96"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398" w:type="pct"/>
            <w:tcBorders>
              <w:top w:val="nil"/>
              <w:left w:val="nil"/>
              <w:bottom w:val="single" w:sz="8" w:space="0" w:color="auto"/>
              <w:right w:val="single" w:sz="8" w:space="0" w:color="auto"/>
            </w:tcBorders>
            <w:shd w:val="clear" w:color="auto" w:fill="auto"/>
            <w:noWrap/>
            <w:vAlign w:val="center"/>
            <w:hideMark/>
          </w:tcPr>
          <w:p w14:paraId="4FCC7EFC"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73306D0D" w14:textId="77777777" w:rsidR="00B40527" w:rsidRPr="00CB100F" w:rsidRDefault="00B40527" w:rsidP="00B40527">
            <w:pPr>
              <w:jc w:val="right"/>
              <w:rPr>
                <w:rFonts w:cs="Arial"/>
                <w:color w:val="000000"/>
                <w:sz w:val="22"/>
                <w:szCs w:val="22"/>
              </w:rPr>
            </w:pPr>
            <w:r w:rsidRPr="00CB100F">
              <w:rPr>
                <w:rFonts w:cs="Arial"/>
                <w:color w:val="000000"/>
                <w:sz w:val="22"/>
                <w:szCs w:val="22"/>
              </w:rPr>
              <w:t>40-45%</w:t>
            </w:r>
          </w:p>
        </w:tc>
        <w:tc>
          <w:tcPr>
            <w:tcW w:w="398" w:type="pct"/>
            <w:tcBorders>
              <w:top w:val="nil"/>
              <w:left w:val="nil"/>
              <w:bottom w:val="single" w:sz="8" w:space="0" w:color="auto"/>
              <w:right w:val="single" w:sz="8" w:space="0" w:color="auto"/>
            </w:tcBorders>
            <w:shd w:val="clear" w:color="auto" w:fill="auto"/>
            <w:noWrap/>
            <w:vAlign w:val="center"/>
            <w:hideMark/>
          </w:tcPr>
          <w:p w14:paraId="23D46DF5"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278B0894"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1BD4CE90"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448" w:type="pct"/>
            <w:tcBorders>
              <w:top w:val="nil"/>
              <w:left w:val="nil"/>
              <w:bottom w:val="single" w:sz="8" w:space="0" w:color="auto"/>
              <w:right w:val="single" w:sz="8" w:space="0" w:color="auto"/>
            </w:tcBorders>
            <w:shd w:val="clear" w:color="auto" w:fill="auto"/>
            <w:noWrap/>
            <w:vAlign w:val="center"/>
            <w:hideMark/>
          </w:tcPr>
          <w:p w14:paraId="4E053803"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3942B2CB"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427" w:type="pct"/>
            <w:tcBorders>
              <w:top w:val="nil"/>
              <w:left w:val="nil"/>
              <w:bottom w:val="single" w:sz="8" w:space="0" w:color="auto"/>
              <w:right w:val="single" w:sz="8" w:space="0" w:color="auto"/>
            </w:tcBorders>
            <w:shd w:val="clear" w:color="auto" w:fill="auto"/>
            <w:noWrap/>
            <w:vAlign w:val="center"/>
            <w:hideMark/>
          </w:tcPr>
          <w:p w14:paraId="4ED1D835" w14:textId="77777777" w:rsidR="00B40527" w:rsidRPr="00CB100F" w:rsidRDefault="00B40527" w:rsidP="00B40527">
            <w:pPr>
              <w:jc w:val="right"/>
              <w:rPr>
                <w:rFonts w:cs="Arial"/>
                <w:color w:val="000000"/>
                <w:sz w:val="22"/>
                <w:szCs w:val="22"/>
              </w:rPr>
            </w:pPr>
            <w:r w:rsidRPr="00CB100F">
              <w:rPr>
                <w:rFonts w:cs="Arial"/>
                <w:color w:val="000000"/>
                <w:sz w:val="22"/>
                <w:szCs w:val="22"/>
              </w:rPr>
              <w:t>4-5%</w:t>
            </w:r>
          </w:p>
        </w:tc>
      </w:tr>
      <w:tr w:rsidR="00B40527" w:rsidRPr="00CB100F" w14:paraId="1E405B7C"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7FA459C2" w14:textId="77777777" w:rsidR="00B40527" w:rsidRPr="00CB100F" w:rsidRDefault="00B40527" w:rsidP="00B40527">
            <w:pPr>
              <w:rPr>
                <w:rFonts w:cs="Arial"/>
                <w:color w:val="000000"/>
                <w:sz w:val="22"/>
                <w:szCs w:val="22"/>
              </w:rPr>
            </w:pPr>
            <w:proofErr w:type="spellStart"/>
            <w:r w:rsidRPr="00CB100F">
              <w:rPr>
                <w:rFonts w:cs="Arial"/>
                <w:color w:val="000000"/>
                <w:sz w:val="22"/>
                <w:szCs w:val="22"/>
              </w:rPr>
              <w:t>Frindsbury</w:t>
            </w:r>
            <w:proofErr w:type="spellEnd"/>
            <w:r w:rsidRPr="00CB100F">
              <w:rPr>
                <w:rFonts w:cs="Arial"/>
                <w:color w:val="000000"/>
                <w:sz w:val="22"/>
                <w:szCs w:val="22"/>
              </w:rPr>
              <w:t xml:space="preserve"> Extra</w:t>
            </w:r>
          </w:p>
        </w:tc>
        <w:tc>
          <w:tcPr>
            <w:tcW w:w="447" w:type="pct"/>
            <w:tcBorders>
              <w:top w:val="nil"/>
              <w:left w:val="nil"/>
              <w:bottom w:val="single" w:sz="8" w:space="0" w:color="auto"/>
              <w:right w:val="single" w:sz="8" w:space="0" w:color="auto"/>
            </w:tcBorders>
            <w:shd w:val="clear" w:color="auto" w:fill="auto"/>
            <w:noWrap/>
            <w:vAlign w:val="center"/>
            <w:hideMark/>
          </w:tcPr>
          <w:p w14:paraId="5F145A44"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2AD7C709"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32FB6010" w14:textId="77777777" w:rsidR="00B40527" w:rsidRPr="00CB100F" w:rsidRDefault="00B40527" w:rsidP="00B40527">
            <w:pPr>
              <w:jc w:val="right"/>
              <w:rPr>
                <w:rFonts w:cs="Arial"/>
                <w:color w:val="000000"/>
                <w:sz w:val="22"/>
                <w:szCs w:val="22"/>
              </w:rPr>
            </w:pPr>
            <w:r w:rsidRPr="00CB100F">
              <w:rPr>
                <w:rFonts w:cs="Arial"/>
                <w:color w:val="000000"/>
                <w:sz w:val="22"/>
                <w:szCs w:val="22"/>
              </w:rPr>
              <w:t>40-45%</w:t>
            </w:r>
          </w:p>
        </w:tc>
        <w:tc>
          <w:tcPr>
            <w:tcW w:w="398" w:type="pct"/>
            <w:tcBorders>
              <w:top w:val="nil"/>
              <w:left w:val="nil"/>
              <w:bottom w:val="single" w:sz="8" w:space="0" w:color="auto"/>
              <w:right w:val="single" w:sz="8" w:space="0" w:color="auto"/>
            </w:tcBorders>
            <w:shd w:val="clear" w:color="auto" w:fill="auto"/>
            <w:noWrap/>
            <w:vAlign w:val="center"/>
            <w:hideMark/>
          </w:tcPr>
          <w:p w14:paraId="70A11DB3"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6FFD5EB3"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6626F0D6"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448" w:type="pct"/>
            <w:tcBorders>
              <w:top w:val="nil"/>
              <w:left w:val="nil"/>
              <w:bottom w:val="single" w:sz="8" w:space="0" w:color="auto"/>
              <w:right w:val="single" w:sz="8" w:space="0" w:color="auto"/>
            </w:tcBorders>
            <w:shd w:val="clear" w:color="auto" w:fill="auto"/>
            <w:noWrap/>
            <w:vAlign w:val="center"/>
            <w:hideMark/>
          </w:tcPr>
          <w:p w14:paraId="7EF22CA9"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2BA85751" w14:textId="77777777" w:rsidR="00B40527" w:rsidRPr="00CB100F" w:rsidRDefault="00B40527" w:rsidP="00B40527">
            <w:pPr>
              <w:jc w:val="right"/>
              <w:rPr>
                <w:rFonts w:cs="Arial"/>
                <w:color w:val="000000"/>
                <w:sz w:val="22"/>
                <w:szCs w:val="22"/>
              </w:rPr>
            </w:pPr>
            <w:r w:rsidRPr="00CB100F">
              <w:rPr>
                <w:rFonts w:cs="Arial"/>
                <w:color w:val="000000"/>
                <w:sz w:val="22"/>
                <w:szCs w:val="22"/>
              </w:rPr>
              <w:t>3-4%</w:t>
            </w:r>
          </w:p>
        </w:tc>
        <w:tc>
          <w:tcPr>
            <w:tcW w:w="427" w:type="pct"/>
            <w:tcBorders>
              <w:top w:val="nil"/>
              <w:left w:val="nil"/>
              <w:bottom w:val="single" w:sz="8" w:space="0" w:color="auto"/>
              <w:right w:val="single" w:sz="8" w:space="0" w:color="auto"/>
            </w:tcBorders>
            <w:shd w:val="clear" w:color="auto" w:fill="auto"/>
            <w:noWrap/>
            <w:vAlign w:val="center"/>
            <w:hideMark/>
          </w:tcPr>
          <w:p w14:paraId="742A8515"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r>
      <w:tr w:rsidR="00B40527" w:rsidRPr="00CB100F" w14:paraId="04C90080"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26026A68" w14:textId="77777777" w:rsidR="00B40527" w:rsidRPr="00CB100F" w:rsidRDefault="00B40527" w:rsidP="00B40527">
            <w:pPr>
              <w:rPr>
                <w:rFonts w:cs="Arial"/>
                <w:color w:val="000000"/>
                <w:sz w:val="22"/>
                <w:szCs w:val="22"/>
              </w:rPr>
            </w:pPr>
            <w:r w:rsidRPr="00CB100F">
              <w:rPr>
                <w:rFonts w:cs="Arial"/>
                <w:color w:val="000000"/>
                <w:sz w:val="22"/>
                <w:szCs w:val="22"/>
              </w:rPr>
              <w:t xml:space="preserve">High </w:t>
            </w:r>
            <w:proofErr w:type="spellStart"/>
            <w:r w:rsidRPr="00CB100F">
              <w:rPr>
                <w:rFonts w:cs="Arial"/>
                <w:color w:val="000000"/>
                <w:sz w:val="22"/>
                <w:szCs w:val="22"/>
              </w:rPr>
              <w:t>Halstow</w:t>
            </w:r>
            <w:proofErr w:type="spellEnd"/>
          </w:p>
        </w:tc>
        <w:tc>
          <w:tcPr>
            <w:tcW w:w="447" w:type="pct"/>
            <w:tcBorders>
              <w:top w:val="nil"/>
              <w:left w:val="nil"/>
              <w:bottom w:val="single" w:sz="8" w:space="0" w:color="auto"/>
              <w:right w:val="single" w:sz="8" w:space="0" w:color="auto"/>
            </w:tcBorders>
            <w:shd w:val="clear" w:color="auto" w:fill="auto"/>
            <w:noWrap/>
            <w:vAlign w:val="center"/>
            <w:hideMark/>
          </w:tcPr>
          <w:p w14:paraId="45B8E0C3"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60936F88"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132A9451" w14:textId="77777777" w:rsidR="00B40527" w:rsidRPr="00CB100F" w:rsidRDefault="00B40527" w:rsidP="00B40527">
            <w:pPr>
              <w:jc w:val="right"/>
              <w:rPr>
                <w:rFonts w:cs="Arial"/>
                <w:color w:val="000000"/>
                <w:sz w:val="22"/>
                <w:szCs w:val="22"/>
              </w:rPr>
            </w:pPr>
            <w:r w:rsidRPr="00CB100F">
              <w:rPr>
                <w:rFonts w:cs="Arial"/>
                <w:color w:val="000000"/>
                <w:sz w:val="22"/>
                <w:szCs w:val="22"/>
              </w:rPr>
              <w:t>30-35%</w:t>
            </w:r>
          </w:p>
        </w:tc>
        <w:tc>
          <w:tcPr>
            <w:tcW w:w="398" w:type="pct"/>
            <w:tcBorders>
              <w:top w:val="nil"/>
              <w:left w:val="nil"/>
              <w:bottom w:val="single" w:sz="8" w:space="0" w:color="auto"/>
              <w:right w:val="single" w:sz="8" w:space="0" w:color="auto"/>
            </w:tcBorders>
            <w:shd w:val="clear" w:color="auto" w:fill="auto"/>
            <w:noWrap/>
            <w:vAlign w:val="center"/>
            <w:hideMark/>
          </w:tcPr>
          <w:p w14:paraId="6388AE15" w14:textId="77777777" w:rsidR="00B40527" w:rsidRPr="00CB100F" w:rsidRDefault="00B40527" w:rsidP="00B40527">
            <w:pPr>
              <w:jc w:val="right"/>
              <w:rPr>
                <w:rFonts w:cs="Arial"/>
                <w:color w:val="000000"/>
                <w:sz w:val="22"/>
                <w:szCs w:val="22"/>
              </w:rPr>
            </w:pPr>
            <w:r w:rsidRPr="00CB100F">
              <w:rPr>
                <w:rFonts w:cs="Arial"/>
                <w:color w:val="000000"/>
                <w:sz w:val="22"/>
                <w:szCs w:val="22"/>
              </w:rPr>
              <w:t>20-25%</w:t>
            </w:r>
          </w:p>
        </w:tc>
        <w:tc>
          <w:tcPr>
            <w:tcW w:w="398" w:type="pct"/>
            <w:tcBorders>
              <w:top w:val="nil"/>
              <w:left w:val="nil"/>
              <w:bottom w:val="single" w:sz="8" w:space="0" w:color="auto"/>
              <w:right w:val="single" w:sz="8" w:space="0" w:color="auto"/>
            </w:tcBorders>
            <w:shd w:val="clear" w:color="auto" w:fill="auto"/>
            <w:noWrap/>
            <w:vAlign w:val="center"/>
            <w:hideMark/>
          </w:tcPr>
          <w:p w14:paraId="0D8B407C"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32359B41"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448" w:type="pct"/>
            <w:tcBorders>
              <w:top w:val="nil"/>
              <w:left w:val="nil"/>
              <w:bottom w:val="single" w:sz="8" w:space="0" w:color="auto"/>
              <w:right w:val="single" w:sz="8" w:space="0" w:color="auto"/>
            </w:tcBorders>
            <w:shd w:val="clear" w:color="auto" w:fill="auto"/>
            <w:noWrap/>
            <w:vAlign w:val="center"/>
            <w:hideMark/>
          </w:tcPr>
          <w:p w14:paraId="4D91EE05"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726514BF" w14:textId="77777777" w:rsidR="00B40527" w:rsidRPr="00CB100F" w:rsidRDefault="00B40527" w:rsidP="00B40527">
            <w:pPr>
              <w:jc w:val="right"/>
              <w:rPr>
                <w:rFonts w:cs="Arial"/>
                <w:color w:val="000000"/>
                <w:sz w:val="22"/>
                <w:szCs w:val="22"/>
              </w:rPr>
            </w:pPr>
            <w:r w:rsidRPr="00CB100F">
              <w:rPr>
                <w:rFonts w:cs="Arial"/>
                <w:color w:val="000000"/>
                <w:sz w:val="22"/>
                <w:szCs w:val="22"/>
              </w:rPr>
              <w:t>5-6%</w:t>
            </w:r>
          </w:p>
        </w:tc>
        <w:tc>
          <w:tcPr>
            <w:tcW w:w="427" w:type="pct"/>
            <w:tcBorders>
              <w:top w:val="nil"/>
              <w:left w:val="nil"/>
              <w:bottom w:val="single" w:sz="8" w:space="0" w:color="auto"/>
              <w:right w:val="single" w:sz="8" w:space="0" w:color="auto"/>
            </w:tcBorders>
            <w:shd w:val="clear" w:color="auto" w:fill="auto"/>
            <w:noWrap/>
            <w:vAlign w:val="center"/>
            <w:hideMark/>
          </w:tcPr>
          <w:p w14:paraId="2AD9E8E9" w14:textId="77777777" w:rsidR="00B40527" w:rsidRPr="00CB100F" w:rsidRDefault="00B40527" w:rsidP="00B40527">
            <w:pPr>
              <w:jc w:val="right"/>
              <w:rPr>
                <w:rFonts w:cs="Arial"/>
                <w:color w:val="000000"/>
                <w:sz w:val="22"/>
                <w:szCs w:val="22"/>
              </w:rPr>
            </w:pPr>
            <w:r w:rsidRPr="00CB100F">
              <w:rPr>
                <w:rFonts w:cs="Arial"/>
                <w:color w:val="000000"/>
                <w:sz w:val="22"/>
                <w:szCs w:val="22"/>
              </w:rPr>
              <w:t>5-6%</w:t>
            </w:r>
          </w:p>
        </w:tc>
      </w:tr>
      <w:tr w:rsidR="00B40527" w:rsidRPr="00CB100F" w14:paraId="05B2AC8E"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2E24D76A" w14:textId="77777777" w:rsidR="00B40527" w:rsidRPr="00CB100F" w:rsidRDefault="00B40527" w:rsidP="00B40527">
            <w:pPr>
              <w:rPr>
                <w:rFonts w:cs="Arial"/>
                <w:color w:val="000000"/>
                <w:sz w:val="22"/>
                <w:szCs w:val="22"/>
              </w:rPr>
            </w:pPr>
            <w:proofErr w:type="spellStart"/>
            <w:r w:rsidRPr="00CB100F">
              <w:rPr>
                <w:rFonts w:cs="Arial"/>
                <w:color w:val="000000" w:themeColor="text1"/>
                <w:sz w:val="22"/>
                <w:szCs w:val="22"/>
              </w:rPr>
              <w:t>Hoo</w:t>
            </w:r>
            <w:proofErr w:type="spellEnd"/>
            <w:r w:rsidRPr="00CB100F">
              <w:rPr>
                <w:rFonts w:cs="Arial"/>
                <w:color w:val="000000" w:themeColor="text1"/>
                <w:sz w:val="22"/>
                <w:szCs w:val="22"/>
              </w:rPr>
              <w:t xml:space="preserve"> St </w:t>
            </w:r>
            <w:proofErr w:type="spellStart"/>
            <w:r w:rsidRPr="00CB100F">
              <w:rPr>
                <w:rFonts w:cs="Arial"/>
                <w:color w:val="000000" w:themeColor="text1"/>
                <w:sz w:val="22"/>
                <w:szCs w:val="22"/>
              </w:rPr>
              <w:t>Werburgh</w:t>
            </w:r>
            <w:proofErr w:type="spellEnd"/>
            <w:r w:rsidRPr="00CB100F">
              <w:rPr>
                <w:rFonts w:cs="Arial"/>
                <w:color w:val="000000" w:themeColor="text1"/>
                <w:sz w:val="22"/>
                <w:szCs w:val="22"/>
              </w:rPr>
              <w:t>/Rural Town</w:t>
            </w:r>
          </w:p>
        </w:tc>
        <w:tc>
          <w:tcPr>
            <w:tcW w:w="447" w:type="pct"/>
            <w:tcBorders>
              <w:top w:val="nil"/>
              <w:left w:val="nil"/>
              <w:bottom w:val="single" w:sz="8" w:space="0" w:color="auto"/>
              <w:right w:val="single" w:sz="8" w:space="0" w:color="auto"/>
            </w:tcBorders>
            <w:shd w:val="clear" w:color="auto" w:fill="auto"/>
            <w:noWrap/>
            <w:vAlign w:val="center"/>
            <w:hideMark/>
          </w:tcPr>
          <w:p w14:paraId="5668B7BA"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0A5D3995"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3576C8E5" w14:textId="77777777" w:rsidR="00B40527" w:rsidRPr="00CB100F" w:rsidRDefault="00B40527" w:rsidP="00B40527">
            <w:pPr>
              <w:jc w:val="right"/>
              <w:rPr>
                <w:rFonts w:cs="Arial"/>
                <w:color w:val="000000"/>
                <w:sz w:val="22"/>
                <w:szCs w:val="22"/>
              </w:rPr>
            </w:pPr>
            <w:r w:rsidRPr="00CB100F">
              <w:rPr>
                <w:rFonts w:cs="Arial"/>
                <w:color w:val="000000"/>
                <w:sz w:val="22"/>
                <w:szCs w:val="22"/>
              </w:rPr>
              <w:t>40-45%</w:t>
            </w:r>
          </w:p>
        </w:tc>
        <w:tc>
          <w:tcPr>
            <w:tcW w:w="398" w:type="pct"/>
            <w:tcBorders>
              <w:top w:val="nil"/>
              <w:left w:val="nil"/>
              <w:bottom w:val="single" w:sz="8" w:space="0" w:color="auto"/>
              <w:right w:val="single" w:sz="8" w:space="0" w:color="auto"/>
            </w:tcBorders>
            <w:shd w:val="clear" w:color="auto" w:fill="auto"/>
            <w:noWrap/>
            <w:vAlign w:val="center"/>
            <w:hideMark/>
          </w:tcPr>
          <w:p w14:paraId="2905C2C6"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5D0DE7A4"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398" w:type="pct"/>
            <w:tcBorders>
              <w:top w:val="nil"/>
              <w:left w:val="nil"/>
              <w:bottom w:val="single" w:sz="8" w:space="0" w:color="auto"/>
              <w:right w:val="single" w:sz="8" w:space="0" w:color="auto"/>
            </w:tcBorders>
            <w:shd w:val="clear" w:color="auto" w:fill="auto"/>
            <w:noWrap/>
            <w:vAlign w:val="center"/>
            <w:hideMark/>
          </w:tcPr>
          <w:p w14:paraId="797C63E1" w14:textId="77777777" w:rsidR="00B40527" w:rsidRPr="00CB100F" w:rsidRDefault="00B40527" w:rsidP="00B40527">
            <w:pPr>
              <w:jc w:val="right"/>
              <w:rPr>
                <w:rFonts w:cs="Arial"/>
                <w:color w:val="000000"/>
                <w:sz w:val="22"/>
                <w:szCs w:val="22"/>
              </w:rPr>
            </w:pPr>
            <w:r w:rsidRPr="00CB100F">
              <w:rPr>
                <w:rFonts w:cs="Arial"/>
                <w:color w:val="000000"/>
                <w:sz w:val="22"/>
                <w:szCs w:val="22"/>
              </w:rPr>
              <w:t>10-15%</w:t>
            </w:r>
          </w:p>
        </w:tc>
        <w:tc>
          <w:tcPr>
            <w:tcW w:w="448" w:type="pct"/>
            <w:tcBorders>
              <w:top w:val="nil"/>
              <w:left w:val="nil"/>
              <w:bottom w:val="single" w:sz="8" w:space="0" w:color="auto"/>
              <w:right w:val="single" w:sz="8" w:space="0" w:color="auto"/>
            </w:tcBorders>
            <w:shd w:val="clear" w:color="auto" w:fill="auto"/>
            <w:noWrap/>
            <w:vAlign w:val="center"/>
            <w:hideMark/>
          </w:tcPr>
          <w:p w14:paraId="34109EC2"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7CA7413B" w14:textId="77777777" w:rsidR="00B40527" w:rsidRPr="00CB100F" w:rsidRDefault="00B40527" w:rsidP="00B40527">
            <w:pPr>
              <w:jc w:val="right"/>
              <w:rPr>
                <w:rFonts w:cs="Arial"/>
                <w:color w:val="000000"/>
                <w:sz w:val="22"/>
                <w:szCs w:val="22"/>
              </w:rPr>
            </w:pPr>
            <w:r w:rsidRPr="00CB100F">
              <w:rPr>
                <w:rFonts w:cs="Arial"/>
                <w:color w:val="000000"/>
                <w:sz w:val="22"/>
                <w:szCs w:val="22"/>
              </w:rPr>
              <w:t>3-4%</w:t>
            </w:r>
          </w:p>
        </w:tc>
        <w:tc>
          <w:tcPr>
            <w:tcW w:w="427" w:type="pct"/>
            <w:tcBorders>
              <w:top w:val="nil"/>
              <w:left w:val="nil"/>
              <w:bottom w:val="single" w:sz="8" w:space="0" w:color="auto"/>
              <w:right w:val="single" w:sz="8" w:space="0" w:color="auto"/>
            </w:tcBorders>
            <w:shd w:val="clear" w:color="auto" w:fill="auto"/>
            <w:noWrap/>
            <w:vAlign w:val="center"/>
            <w:hideMark/>
          </w:tcPr>
          <w:p w14:paraId="377E5C96"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r>
      <w:tr w:rsidR="00B40527" w:rsidRPr="00CB100F" w14:paraId="3F2DC2E1" w14:textId="77777777" w:rsidTr="00B40527">
        <w:tc>
          <w:tcPr>
            <w:tcW w:w="1290" w:type="pct"/>
            <w:tcBorders>
              <w:top w:val="nil"/>
              <w:left w:val="single" w:sz="8" w:space="0" w:color="auto"/>
              <w:bottom w:val="single" w:sz="8" w:space="0" w:color="auto"/>
              <w:right w:val="single" w:sz="8" w:space="0" w:color="auto"/>
            </w:tcBorders>
            <w:shd w:val="clear" w:color="auto" w:fill="auto"/>
            <w:noWrap/>
            <w:vAlign w:val="center"/>
            <w:hideMark/>
          </w:tcPr>
          <w:p w14:paraId="329270B2" w14:textId="77777777" w:rsidR="00B40527" w:rsidRPr="00CB100F" w:rsidRDefault="00B40527" w:rsidP="00B40527">
            <w:pPr>
              <w:rPr>
                <w:rFonts w:cs="Arial"/>
                <w:color w:val="000000"/>
                <w:sz w:val="22"/>
                <w:szCs w:val="22"/>
              </w:rPr>
            </w:pPr>
            <w:r w:rsidRPr="00CB100F">
              <w:rPr>
                <w:rFonts w:cs="Arial"/>
                <w:color w:val="000000"/>
                <w:sz w:val="22"/>
                <w:szCs w:val="22"/>
              </w:rPr>
              <w:t>Arches (Chatham)</w:t>
            </w:r>
          </w:p>
        </w:tc>
        <w:tc>
          <w:tcPr>
            <w:tcW w:w="447" w:type="pct"/>
            <w:tcBorders>
              <w:top w:val="nil"/>
              <w:left w:val="nil"/>
              <w:bottom w:val="single" w:sz="8" w:space="0" w:color="auto"/>
              <w:right w:val="single" w:sz="8" w:space="0" w:color="auto"/>
            </w:tcBorders>
            <w:shd w:val="clear" w:color="auto" w:fill="auto"/>
            <w:noWrap/>
            <w:vAlign w:val="center"/>
            <w:hideMark/>
          </w:tcPr>
          <w:p w14:paraId="36FA1D7A"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3449AFBB" w14:textId="77777777" w:rsidR="00B40527" w:rsidRPr="00CB100F" w:rsidRDefault="00B40527" w:rsidP="00B40527">
            <w:pPr>
              <w:jc w:val="right"/>
              <w:rPr>
                <w:rFonts w:cs="Arial"/>
                <w:color w:val="000000"/>
                <w:sz w:val="22"/>
                <w:szCs w:val="22"/>
              </w:rPr>
            </w:pPr>
            <w:r w:rsidRPr="00CB100F">
              <w:rPr>
                <w:rFonts w:cs="Arial"/>
                <w:color w:val="000000"/>
                <w:sz w:val="22"/>
                <w:szCs w:val="22"/>
              </w:rPr>
              <w:t>15-20%</w:t>
            </w:r>
          </w:p>
        </w:tc>
        <w:tc>
          <w:tcPr>
            <w:tcW w:w="398" w:type="pct"/>
            <w:tcBorders>
              <w:top w:val="nil"/>
              <w:left w:val="nil"/>
              <w:bottom w:val="single" w:sz="8" w:space="0" w:color="auto"/>
              <w:right w:val="single" w:sz="8" w:space="0" w:color="auto"/>
            </w:tcBorders>
            <w:shd w:val="clear" w:color="auto" w:fill="auto"/>
            <w:noWrap/>
            <w:vAlign w:val="center"/>
            <w:hideMark/>
          </w:tcPr>
          <w:p w14:paraId="09E76DAE" w14:textId="77777777" w:rsidR="00B40527" w:rsidRPr="00CB100F" w:rsidRDefault="00B40527" w:rsidP="00B40527">
            <w:pPr>
              <w:jc w:val="right"/>
              <w:rPr>
                <w:rFonts w:cs="Arial"/>
                <w:color w:val="000000"/>
                <w:sz w:val="22"/>
                <w:szCs w:val="22"/>
              </w:rPr>
            </w:pPr>
            <w:r w:rsidRPr="00CB100F">
              <w:rPr>
                <w:rFonts w:cs="Arial"/>
                <w:color w:val="000000"/>
                <w:sz w:val="22"/>
                <w:szCs w:val="22"/>
              </w:rPr>
              <w:t>35-40%</w:t>
            </w:r>
          </w:p>
        </w:tc>
        <w:tc>
          <w:tcPr>
            <w:tcW w:w="398" w:type="pct"/>
            <w:tcBorders>
              <w:top w:val="nil"/>
              <w:left w:val="nil"/>
              <w:bottom w:val="single" w:sz="8" w:space="0" w:color="auto"/>
              <w:right w:val="single" w:sz="8" w:space="0" w:color="auto"/>
            </w:tcBorders>
            <w:shd w:val="clear" w:color="auto" w:fill="auto"/>
            <w:noWrap/>
            <w:vAlign w:val="center"/>
            <w:hideMark/>
          </w:tcPr>
          <w:p w14:paraId="0E677066" w14:textId="77777777" w:rsidR="00B40527" w:rsidRPr="00CB100F" w:rsidRDefault="00B40527" w:rsidP="00B40527">
            <w:pPr>
              <w:jc w:val="right"/>
              <w:rPr>
                <w:rFonts w:cs="Arial"/>
                <w:color w:val="000000"/>
                <w:sz w:val="22"/>
                <w:szCs w:val="22"/>
              </w:rPr>
            </w:pPr>
            <w:r w:rsidRPr="00CB100F">
              <w:rPr>
                <w:rFonts w:cs="Arial"/>
                <w:color w:val="000000"/>
                <w:sz w:val="22"/>
                <w:szCs w:val="22"/>
              </w:rPr>
              <w:t>5-10%</w:t>
            </w:r>
          </w:p>
        </w:tc>
        <w:tc>
          <w:tcPr>
            <w:tcW w:w="398" w:type="pct"/>
            <w:tcBorders>
              <w:top w:val="nil"/>
              <w:left w:val="nil"/>
              <w:bottom w:val="single" w:sz="8" w:space="0" w:color="auto"/>
              <w:right w:val="single" w:sz="8" w:space="0" w:color="auto"/>
            </w:tcBorders>
            <w:shd w:val="clear" w:color="auto" w:fill="auto"/>
            <w:noWrap/>
            <w:vAlign w:val="center"/>
            <w:hideMark/>
          </w:tcPr>
          <w:p w14:paraId="314FB7C5" w14:textId="77777777" w:rsidR="00B40527" w:rsidRPr="00CB100F" w:rsidRDefault="00B40527" w:rsidP="00B40527">
            <w:pPr>
              <w:jc w:val="right"/>
              <w:rPr>
                <w:rFonts w:cs="Arial"/>
                <w:color w:val="000000"/>
                <w:sz w:val="22"/>
                <w:szCs w:val="22"/>
              </w:rPr>
            </w:pPr>
            <w:r w:rsidRPr="00CB100F">
              <w:rPr>
                <w:rFonts w:cs="Arial"/>
                <w:color w:val="000000"/>
                <w:sz w:val="22"/>
                <w:szCs w:val="22"/>
              </w:rPr>
              <w:t>20-25%</w:t>
            </w:r>
          </w:p>
        </w:tc>
        <w:tc>
          <w:tcPr>
            <w:tcW w:w="398" w:type="pct"/>
            <w:tcBorders>
              <w:top w:val="nil"/>
              <w:left w:val="nil"/>
              <w:bottom w:val="single" w:sz="8" w:space="0" w:color="auto"/>
              <w:right w:val="single" w:sz="8" w:space="0" w:color="auto"/>
            </w:tcBorders>
            <w:shd w:val="clear" w:color="auto" w:fill="auto"/>
            <w:noWrap/>
            <w:vAlign w:val="center"/>
            <w:hideMark/>
          </w:tcPr>
          <w:p w14:paraId="5A49DBAE" w14:textId="77777777" w:rsidR="00B40527" w:rsidRPr="00CB100F" w:rsidRDefault="00B40527" w:rsidP="00B40527">
            <w:pPr>
              <w:jc w:val="right"/>
              <w:rPr>
                <w:rFonts w:cs="Arial"/>
                <w:color w:val="000000"/>
                <w:sz w:val="22"/>
                <w:szCs w:val="22"/>
              </w:rPr>
            </w:pPr>
            <w:r w:rsidRPr="00CB100F">
              <w:rPr>
                <w:rFonts w:cs="Arial"/>
                <w:color w:val="000000"/>
                <w:sz w:val="22"/>
                <w:szCs w:val="22"/>
              </w:rPr>
              <w:t>20-25%</w:t>
            </w:r>
          </w:p>
        </w:tc>
        <w:tc>
          <w:tcPr>
            <w:tcW w:w="448" w:type="pct"/>
            <w:tcBorders>
              <w:top w:val="nil"/>
              <w:left w:val="nil"/>
              <w:bottom w:val="single" w:sz="8" w:space="0" w:color="auto"/>
              <w:right w:val="single" w:sz="8" w:space="0" w:color="auto"/>
            </w:tcBorders>
            <w:shd w:val="clear" w:color="auto" w:fill="auto"/>
            <w:noWrap/>
            <w:vAlign w:val="center"/>
            <w:hideMark/>
          </w:tcPr>
          <w:p w14:paraId="5E7D7741"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c>
          <w:tcPr>
            <w:tcW w:w="398" w:type="pct"/>
            <w:tcBorders>
              <w:top w:val="nil"/>
              <w:left w:val="nil"/>
              <w:bottom w:val="single" w:sz="8" w:space="0" w:color="auto"/>
              <w:right w:val="single" w:sz="8" w:space="0" w:color="auto"/>
            </w:tcBorders>
            <w:shd w:val="clear" w:color="auto" w:fill="auto"/>
            <w:noWrap/>
            <w:vAlign w:val="center"/>
            <w:hideMark/>
          </w:tcPr>
          <w:p w14:paraId="0E54D8AD" w14:textId="77777777" w:rsidR="00B40527" w:rsidRPr="00CB100F" w:rsidRDefault="00B40527" w:rsidP="00B40527">
            <w:pPr>
              <w:jc w:val="right"/>
              <w:rPr>
                <w:rFonts w:cs="Arial"/>
                <w:color w:val="000000"/>
                <w:sz w:val="22"/>
                <w:szCs w:val="22"/>
              </w:rPr>
            </w:pPr>
            <w:r w:rsidRPr="00CB100F">
              <w:rPr>
                <w:rFonts w:cs="Arial"/>
                <w:color w:val="000000"/>
                <w:sz w:val="22"/>
                <w:szCs w:val="22"/>
              </w:rPr>
              <w:t>2-3%</w:t>
            </w:r>
          </w:p>
        </w:tc>
        <w:tc>
          <w:tcPr>
            <w:tcW w:w="427" w:type="pct"/>
            <w:tcBorders>
              <w:top w:val="nil"/>
              <w:left w:val="nil"/>
              <w:bottom w:val="single" w:sz="8" w:space="0" w:color="auto"/>
              <w:right w:val="single" w:sz="8" w:space="0" w:color="auto"/>
            </w:tcBorders>
            <w:shd w:val="clear" w:color="auto" w:fill="auto"/>
            <w:noWrap/>
            <w:vAlign w:val="center"/>
            <w:hideMark/>
          </w:tcPr>
          <w:p w14:paraId="68091314" w14:textId="77777777" w:rsidR="00B40527" w:rsidRPr="00CB100F" w:rsidRDefault="00B40527" w:rsidP="00B40527">
            <w:pPr>
              <w:jc w:val="right"/>
              <w:rPr>
                <w:rFonts w:cs="Arial"/>
                <w:color w:val="000000"/>
                <w:sz w:val="22"/>
                <w:szCs w:val="22"/>
              </w:rPr>
            </w:pPr>
            <w:r w:rsidRPr="00CB100F">
              <w:rPr>
                <w:rFonts w:cs="Arial"/>
                <w:color w:val="000000"/>
                <w:sz w:val="22"/>
                <w:szCs w:val="22"/>
              </w:rPr>
              <w:t>1-2%</w:t>
            </w:r>
          </w:p>
        </w:tc>
      </w:tr>
    </w:tbl>
    <w:p w14:paraId="061C5678" w14:textId="77777777" w:rsidR="00CE1BDB" w:rsidRPr="00FA4DC7" w:rsidRDefault="00CE1BDB" w:rsidP="00CE1BDB">
      <w:pPr>
        <w:rPr>
          <w:rFonts w:cs="Arial"/>
          <w:lang w:eastAsia="en-US"/>
        </w:rPr>
      </w:pPr>
    </w:p>
    <w:p w14:paraId="082DF6E4" w14:textId="77777777" w:rsidR="00CE1BDB" w:rsidRPr="00FA4DC7" w:rsidRDefault="00CE1BDB" w:rsidP="00CE1BDB">
      <w:pPr>
        <w:rPr>
          <w:rFonts w:cs="Arial"/>
          <w:lang w:eastAsia="en-US"/>
        </w:rPr>
      </w:pPr>
    </w:p>
    <w:p w14:paraId="71165907" w14:textId="77777777" w:rsidR="00CE1BDB" w:rsidRPr="00FA4DC7" w:rsidRDefault="00CE1BDB" w:rsidP="00CE1BDB">
      <w:pPr>
        <w:pStyle w:val="Heading1"/>
        <w:numPr>
          <w:ilvl w:val="0"/>
          <w:numId w:val="0"/>
        </w:numPr>
        <w:ind w:left="709" w:hanging="709"/>
        <w:rPr>
          <w:rFonts w:cs="Arial"/>
        </w:rPr>
        <w:sectPr w:rsidR="00CE1BDB" w:rsidRPr="00FA4DC7" w:rsidSect="00EF49A7">
          <w:pgSz w:w="16838" w:h="11906" w:orient="landscape" w:code="9"/>
          <w:pgMar w:top="1276" w:right="1134" w:bottom="1440" w:left="1440" w:header="709" w:footer="567" w:gutter="0"/>
          <w:cols w:space="708"/>
          <w:docGrid w:linePitch="360"/>
        </w:sectPr>
      </w:pPr>
    </w:p>
    <w:p w14:paraId="01625F47" w14:textId="77777777" w:rsidR="00CE1BDB" w:rsidRPr="00FA4DC7" w:rsidRDefault="00CE1BDB" w:rsidP="00B40527">
      <w:pPr>
        <w:pStyle w:val="Heading1"/>
        <w:numPr>
          <w:ilvl w:val="0"/>
          <w:numId w:val="0"/>
        </w:numPr>
        <w:rPr>
          <w:rFonts w:cs="Arial"/>
        </w:rPr>
      </w:pPr>
      <w:bookmarkStart w:id="656" w:name="_Toc83035709"/>
      <w:r w:rsidRPr="00FA4DC7">
        <w:rPr>
          <w:rFonts w:cs="Arial"/>
        </w:rPr>
        <w:lastRenderedPageBreak/>
        <w:t>Technical Appendix E: Stakeholder consultation responses and agent review</w:t>
      </w:r>
      <w:bookmarkEnd w:id="651"/>
      <w:bookmarkEnd w:id="652"/>
      <w:bookmarkEnd w:id="653"/>
      <w:bookmarkEnd w:id="656"/>
    </w:p>
    <w:p w14:paraId="35EDD27A" w14:textId="77777777" w:rsidR="00CE1BDB" w:rsidRPr="00FA4DC7" w:rsidRDefault="00CE1BDB" w:rsidP="00CE1BDB">
      <w:pPr>
        <w:rPr>
          <w:rFonts w:cs="Arial"/>
          <w:highlight w:val="yellow"/>
          <w:lang w:eastAsia="en-US"/>
        </w:rPr>
      </w:pPr>
      <w:bookmarkStart w:id="657" w:name="_Toc55856224"/>
      <w:bookmarkStart w:id="658" w:name="_Toc56426647"/>
      <w:bookmarkStart w:id="659" w:name="_Toc56502873"/>
    </w:p>
    <w:p w14:paraId="7FB06830" w14:textId="77777777" w:rsidR="00CE1BDB" w:rsidRPr="00FA4DC7" w:rsidRDefault="00CE1BDB" w:rsidP="00B40527">
      <w:pPr>
        <w:pStyle w:val="Heading2"/>
        <w:rPr>
          <w:color w:val="FF0000"/>
        </w:rPr>
      </w:pPr>
      <w:bookmarkStart w:id="660" w:name="_Toc23506634"/>
      <w:bookmarkStart w:id="661" w:name="_Toc83035710"/>
      <w:r w:rsidRPr="00FA4DC7">
        <w:t xml:space="preserve">General </w:t>
      </w:r>
      <w:r w:rsidRPr="00B40527">
        <w:t>stakeholder</w:t>
      </w:r>
      <w:r w:rsidRPr="00FA4DC7">
        <w:t xml:space="preserve"> responses summary</w:t>
      </w:r>
      <w:bookmarkEnd w:id="660"/>
      <w:bookmarkEnd w:id="661"/>
      <w:r w:rsidRPr="00FA4DC7">
        <w:t xml:space="preserve"> </w:t>
      </w:r>
    </w:p>
    <w:p w14:paraId="2D99E4E3" w14:textId="2AC23CBC" w:rsidR="00CE1BDB" w:rsidRPr="00FA4DC7" w:rsidRDefault="00CE1BDB" w:rsidP="00CE1BDB">
      <w:pPr>
        <w:pStyle w:val="Maintext"/>
        <w:numPr>
          <w:ilvl w:val="1"/>
          <w:numId w:val="68"/>
        </w:numPr>
        <w:tabs>
          <w:tab w:val="left" w:pos="1418"/>
        </w:tabs>
        <w:rPr>
          <w:rFonts w:ascii="Arial" w:hAnsi="Arial" w:cs="Arial"/>
        </w:rPr>
      </w:pPr>
      <w:r w:rsidRPr="00FA4DC7">
        <w:rPr>
          <w:rFonts w:ascii="Arial" w:hAnsi="Arial" w:cs="Arial"/>
        </w:rPr>
        <w:t>Stakeholders were invited to participate in a general questionnaire survey aimed at identifying a range of information, including establishing the key perceived housing market issues in Medway. Stakeholders were asked to respond to any of the questions within the survey that they felt related to their area of knowledge or experience and certain sections of the survey related to certain stakeholder groups. A total of 1</w:t>
      </w:r>
      <w:r w:rsidR="00F34361">
        <w:rPr>
          <w:rFonts w:ascii="Arial" w:hAnsi="Arial" w:cs="Arial"/>
        </w:rPr>
        <w:t>6</w:t>
      </w:r>
      <w:r w:rsidRPr="00FA4DC7">
        <w:rPr>
          <w:rFonts w:ascii="Arial" w:hAnsi="Arial" w:cs="Arial"/>
        </w:rPr>
        <w:t xml:space="preserve"> separate responses to the stakeholder consultation were obtained</w:t>
      </w:r>
      <w:r w:rsidR="00F34361">
        <w:rPr>
          <w:rFonts w:ascii="Arial" w:hAnsi="Arial" w:cs="Arial"/>
        </w:rPr>
        <w:t xml:space="preserve"> from a total of 115 people and organisations contacted. </w:t>
      </w:r>
      <w:r w:rsidRPr="00FA4DC7">
        <w:rPr>
          <w:rFonts w:ascii="Arial" w:hAnsi="Arial" w:cs="Arial"/>
        </w:rPr>
        <w:t xml:space="preserve"> Respondents were asked to answer only the questions that they felt were relevant to their knowledge and experience. This is a qualitative summary of the views expressed by stakeholders responding to the online survey and is split into the different stakeholder groups.</w:t>
      </w:r>
    </w:p>
    <w:p w14:paraId="03EE9E3A"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84% of stakeholders responding to the survey stated that they work within the Medway area, and 16% of stakeholders stated that work outside of the borough.</w:t>
      </w:r>
    </w:p>
    <w:p w14:paraId="7438CEAA" w14:textId="77777777" w:rsidR="00CE1BDB" w:rsidRPr="00FA4DC7" w:rsidRDefault="00CE1BDB" w:rsidP="00B40527">
      <w:bookmarkStart w:id="662" w:name="_Toc23506635"/>
    </w:p>
    <w:p w14:paraId="425D476B" w14:textId="77777777" w:rsidR="00CE1BDB" w:rsidRPr="00FA4DC7" w:rsidRDefault="00CE1BDB" w:rsidP="00B40527">
      <w:pPr>
        <w:pStyle w:val="Heading2"/>
      </w:pPr>
      <w:bookmarkStart w:id="663" w:name="_Toc83035711"/>
      <w:r w:rsidRPr="00FA4DC7">
        <w:t xml:space="preserve">All </w:t>
      </w:r>
      <w:r w:rsidRPr="00B40527">
        <w:t>stakeholders</w:t>
      </w:r>
      <w:bookmarkEnd w:id="662"/>
      <w:bookmarkEnd w:id="663"/>
      <w:r w:rsidRPr="00FA4DC7">
        <w:t xml:space="preserve"> </w:t>
      </w:r>
    </w:p>
    <w:p w14:paraId="0F89B0DC"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All stakeholders responding to the survey were asked to describe the local housing market in Medway. Stakeholders gave a range of views which are detailed below:</w:t>
      </w:r>
    </w:p>
    <w:p w14:paraId="3052AB5C" w14:textId="485AE002" w:rsidR="00CE1BDB" w:rsidRPr="00FA4DC7" w:rsidRDefault="00CE1BDB" w:rsidP="00B40527">
      <w:pPr>
        <w:pStyle w:val="bullet"/>
      </w:pPr>
      <w:r w:rsidRPr="00FA4DC7">
        <w:t>The housing market in Medway is one that has changed greatly in the last 2 to 3 decades, the closure of Chatham’s dockyard</w:t>
      </w:r>
      <w:r w:rsidR="00F2167F">
        <w:t>.</w:t>
      </w:r>
      <w:r w:rsidRPr="00FA4DC7">
        <w:t xml:space="preserve">  </w:t>
      </w:r>
    </w:p>
    <w:p w14:paraId="6E84AE2D" w14:textId="77777777" w:rsidR="00CE1BDB" w:rsidRPr="00FA4DC7" w:rsidRDefault="00CE1BDB" w:rsidP="00B40527">
      <w:pPr>
        <w:pStyle w:val="bullet"/>
      </w:pPr>
      <w:r w:rsidRPr="00FA4DC7">
        <w:t xml:space="preserve">As an aspiring city, Medway has the potential to learn from emerging and thriving cities and to replicate their successes, but not their failures. Medway is a short stone throw away from London via </w:t>
      </w:r>
      <w:proofErr w:type="gramStart"/>
      <w:r w:rsidRPr="00FA4DC7">
        <w:t>high speed</w:t>
      </w:r>
      <w:proofErr w:type="gramEnd"/>
      <w:r w:rsidRPr="00FA4DC7">
        <w:t xml:space="preserve"> train network, we have a thriving cultural and historical offer, despite this, Medway struggles. The case for Medway should be, we’re a city with none of the associated problems (property/land prices, pollution, overcrowding, etc).  </w:t>
      </w:r>
    </w:p>
    <w:p w14:paraId="68123836" w14:textId="736E297F" w:rsidR="00F2167F" w:rsidRDefault="00F2167F" w:rsidP="00B40527">
      <w:pPr>
        <w:pStyle w:val="bullet"/>
      </w:pPr>
      <w:r>
        <w:t xml:space="preserve">Developments are changing the range of dwellings available to local communities and people moving to the area - in particular </w:t>
      </w:r>
      <w:proofErr w:type="gramStart"/>
      <w:r>
        <w:t>1 and 2 bedroom</w:t>
      </w:r>
      <w:proofErr w:type="gramEnd"/>
      <w:r>
        <w:t xml:space="preserve"> apartments </w:t>
      </w:r>
    </w:p>
    <w:p w14:paraId="6CC2AFEE" w14:textId="77777777" w:rsidR="00CE1BDB" w:rsidRPr="00FA4DC7" w:rsidRDefault="00CE1BDB" w:rsidP="00B40527">
      <w:pPr>
        <w:pStyle w:val="bullet"/>
      </w:pPr>
      <w:r w:rsidRPr="00FA4DC7">
        <w:t xml:space="preserve">Mixed housing market with a range of private rent, housing association, council and owner occupier is needed. </w:t>
      </w:r>
    </w:p>
    <w:p w14:paraId="03E42863" w14:textId="662B7D9F" w:rsidR="00CE1BDB" w:rsidRDefault="00CE1BDB" w:rsidP="00B40527">
      <w:pPr>
        <w:pStyle w:val="bullet"/>
      </w:pPr>
      <w:r w:rsidRPr="00FA4DC7">
        <w:t xml:space="preserve">The market in many parts is generally very mixed however it is defined by pockets of social, </w:t>
      </w:r>
      <w:proofErr w:type="gramStart"/>
      <w:r w:rsidRPr="00FA4DC7">
        <w:t>affordable</w:t>
      </w:r>
      <w:proofErr w:type="gramEnd"/>
      <w:r w:rsidRPr="00FA4DC7">
        <w:t xml:space="preserve"> and private rented and private sale. </w:t>
      </w:r>
    </w:p>
    <w:p w14:paraId="2D7F310D" w14:textId="500E648F" w:rsidR="00F2167F" w:rsidRPr="00FA4DC7" w:rsidRDefault="00F2167F" w:rsidP="00B40527">
      <w:pPr>
        <w:pStyle w:val="bullet"/>
      </w:pPr>
      <w:r>
        <w:t>Shortage of all types of housing, but particularly affordable rented.</w:t>
      </w:r>
    </w:p>
    <w:p w14:paraId="634AE045" w14:textId="29E67C97" w:rsidR="00CE1BDB" w:rsidRPr="00F34361"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All stakeholders responding to the survey were asked to give their opinion with regards to the strengths and weaknesses of Medway’s housing market. Stakeholders gave a range of views which are detailed below:</w:t>
      </w:r>
    </w:p>
    <w:p w14:paraId="4126D426" w14:textId="77777777" w:rsidR="001877C1" w:rsidRDefault="001877C1">
      <w:pPr>
        <w:rPr>
          <w:rFonts w:cs="Arial"/>
          <w:lang w:eastAsia="en-US"/>
        </w:rPr>
      </w:pPr>
      <w:r>
        <w:rPr>
          <w:rFonts w:cs="Arial"/>
        </w:rPr>
        <w:br w:type="page"/>
      </w:r>
    </w:p>
    <w:p w14:paraId="4A8AB03A" w14:textId="27E2C185"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lastRenderedPageBreak/>
        <w:t>Strengths:</w:t>
      </w:r>
    </w:p>
    <w:p w14:paraId="45976FE5" w14:textId="77777777" w:rsidR="00CE1BDB" w:rsidRPr="00FA4DC7" w:rsidRDefault="00CE1BDB" w:rsidP="00B40527">
      <w:pPr>
        <w:pStyle w:val="bullet"/>
      </w:pPr>
      <w:r w:rsidRPr="00FA4DC7">
        <w:t xml:space="preserve">Fantastic road and rail infrastructure making it attractive to people outside of the area. </w:t>
      </w:r>
    </w:p>
    <w:p w14:paraId="5DAC8153" w14:textId="448591E2" w:rsidR="00CE1BDB" w:rsidRPr="00FA4DC7" w:rsidRDefault="00CE1BDB" w:rsidP="00B40527">
      <w:pPr>
        <w:pStyle w:val="bullet"/>
      </w:pPr>
      <w:r w:rsidRPr="00FA4DC7">
        <w:t xml:space="preserve">Plenty of stock for ‘first homes’ </w:t>
      </w:r>
      <w:proofErr w:type="gramStart"/>
      <w:r w:rsidRPr="00FA4DC7">
        <w:t>i.e.</w:t>
      </w:r>
      <w:proofErr w:type="gramEnd"/>
      <w:r w:rsidRPr="00FA4DC7">
        <w:t xml:space="preserve"> Victorian terraced properties, particularly in and near town centres</w:t>
      </w:r>
      <w:r w:rsidR="00F34361">
        <w:t xml:space="preserve"> and larger properties in towns</w:t>
      </w:r>
      <w:r w:rsidRPr="00FA4DC7">
        <w:t xml:space="preserve">. </w:t>
      </w:r>
    </w:p>
    <w:p w14:paraId="3DEA44E3" w14:textId="77777777" w:rsidR="00CE1BDB" w:rsidRPr="00FA4DC7" w:rsidRDefault="00CE1BDB" w:rsidP="00B40527">
      <w:pPr>
        <w:pStyle w:val="bullet"/>
      </w:pPr>
      <w:r w:rsidRPr="00FA4DC7">
        <w:t xml:space="preserve">A comparative good supply of developable land compared to some other areas however there are many constraints which need to be factored in. </w:t>
      </w:r>
    </w:p>
    <w:p w14:paraId="5F619C58" w14:textId="77777777" w:rsidR="00CE1BDB" w:rsidRPr="00FA4DC7" w:rsidRDefault="00CE1BDB" w:rsidP="00B40527">
      <w:pPr>
        <w:pStyle w:val="bullet"/>
      </w:pPr>
      <w:r w:rsidRPr="00FA4DC7">
        <w:t xml:space="preserve">The location in north Kent has good accessibility to strategic transport networks. </w:t>
      </w:r>
    </w:p>
    <w:p w14:paraId="3EB7BAAE" w14:textId="77777777" w:rsidR="00CE1BDB" w:rsidRPr="00FA4DC7" w:rsidRDefault="00CE1BDB" w:rsidP="00B40527">
      <w:pPr>
        <w:pStyle w:val="bullet"/>
      </w:pPr>
      <w:r w:rsidRPr="00FA4DC7">
        <w:t xml:space="preserve">Medway provides a wide range of housing types within a large urban area and some villages. </w:t>
      </w:r>
    </w:p>
    <w:p w14:paraId="29816F77" w14:textId="77777777" w:rsidR="00CE1BDB" w:rsidRPr="00FA4DC7" w:rsidRDefault="00CE1BDB" w:rsidP="00B40527">
      <w:pPr>
        <w:pStyle w:val="bullet"/>
      </w:pPr>
      <w:r w:rsidRPr="00FA4DC7">
        <w:t>The area has lower house prices than neighbouring areas, which attracts inward moves from London and neighbouring local authorities to the west.</w:t>
      </w:r>
    </w:p>
    <w:p w14:paraId="659E024B" w14:textId="77777777" w:rsidR="00CE1BDB" w:rsidRPr="00FA4DC7" w:rsidRDefault="00CE1BDB" w:rsidP="00B40527">
      <w:pPr>
        <w:pStyle w:val="bullet"/>
      </w:pPr>
      <w:r w:rsidRPr="00FA4DC7">
        <w:t>Positive and established relationships with registered providers which increases the options for maximising the delivery of affordable housing.</w:t>
      </w:r>
    </w:p>
    <w:p w14:paraId="79CADDD2" w14:textId="77777777" w:rsidR="00CE1BDB" w:rsidRPr="00FA4DC7" w:rsidRDefault="00CE1BDB" w:rsidP="00B40527">
      <w:pPr>
        <w:pStyle w:val="bullet"/>
      </w:pPr>
      <w:r w:rsidRPr="00FA4DC7">
        <w:t>Plenty of old solid housing stock but a lack of new affordable housing.</w:t>
      </w:r>
    </w:p>
    <w:p w14:paraId="76ACB4AD" w14:textId="77777777" w:rsidR="00CE1BDB" w:rsidRPr="00FA4DC7" w:rsidRDefault="00CE1BDB" w:rsidP="00CE1BDB">
      <w:pPr>
        <w:pStyle w:val="Maintext"/>
        <w:numPr>
          <w:ilvl w:val="1"/>
          <w:numId w:val="68"/>
        </w:numPr>
        <w:tabs>
          <w:tab w:val="left" w:pos="0"/>
          <w:tab w:val="left" w:pos="1418"/>
        </w:tabs>
        <w:rPr>
          <w:rFonts w:ascii="Arial" w:hAnsi="Arial" w:cs="Arial"/>
          <w:bCs/>
          <w:iCs/>
          <w:color w:val="000000" w:themeColor="text1"/>
        </w:rPr>
      </w:pPr>
      <w:r w:rsidRPr="00FA4DC7">
        <w:rPr>
          <w:rFonts w:ascii="Arial" w:hAnsi="Arial" w:cs="Arial"/>
        </w:rPr>
        <w:t>Weaknesses</w:t>
      </w:r>
      <w:r w:rsidRPr="00FA4DC7">
        <w:rPr>
          <w:rFonts w:ascii="Arial" w:hAnsi="Arial" w:cs="Arial"/>
          <w:bCs/>
          <w:iCs/>
          <w:color w:val="000000" w:themeColor="text1"/>
        </w:rPr>
        <w:t>:</w:t>
      </w:r>
    </w:p>
    <w:p w14:paraId="5A9C468F" w14:textId="77777777" w:rsidR="00CE1BDB" w:rsidRPr="00FA4DC7" w:rsidRDefault="00CE1BDB" w:rsidP="00B40527">
      <w:pPr>
        <w:pStyle w:val="bullet"/>
      </w:pPr>
      <w:r w:rsidRPr="00FA4DC7">
        <w:t>Pressured and mixed in terms of affordability and desirability.</w:t>
      </w:r>
    </w:p>
    <w:p w14:paraId="384BC393" w14:textId="77777777" w:rsidR="00CE1BDB" w:rsidRPr="00FA4DC7" w:rsidRDefault="00CE1BDB" w:rsidP="00B40527">
      <w:pPr>
        <w:pStyle w:val="bullet"/>
        <w:rPr>
          <w:bCs/>
          <w:iCs/>
          <w:color w:val="000000" w:themeColor="text1"/>
        </w:rPr>
      </w:pPr>
      <w:r w:rsidRPr="00FA4DC7">
        <w:rPr>
          <w:bCs/>
          <w:iCs/>
          <w:color w:val="000000" w:themeColor="text1"/>
        </w:rPr>
        <w:t>Inadequate supply of ‘next homes’ stock seeing movement outwards away from London to other areas.</w:t>
      </w:r>
    </w:p>
    <w:p w14:paraId="4D9AC042" w14:textId="77777777" w:rsidR="00CE1BDB" w:rsidRPr="00FA4DC7" w:rsidRDefault="00CE1BDB" w:rsidP="00B40527">
      <w:pPr>
        <w:pStyle w:val="bullet"/>
      </w:pPr>
      <w:r w:rsidRPr="00FA4DC7">
        <w:t xml:space="preserve">There is some perception that Medway is less attractive than more rural areas in Kent and is marked by its former industrial identity and decline. This is reflected in lower house prices and until recently more muted interest from developers. </w:t>
      </w:r>
    </w:p>
    <w:p w14:paraId="44CE865C" w14:textId="77777777" w:rsidR="00CE1BDB" w:rsidRPr="00FA4DC7" w:rsidRDefault="00CE1BDB" w:rsidP="00B40527">
      <w:pPr>
        <w:pStyle w:val="bullet"/>
      </w:pPr>
      <w:r w:rsidRPr="00FA4DC7">
        <w:t xml:space="preserve">Many of the development opportunities are on brownfield sites in regeneration areas. There are additional development costs and viability can be challenged and returns to developers can be reduced. </w:t>
      </w:r>
    </w:p>
    <w:p w14:paraId="42053DDB" w14:textId="77777777" w:rsidR="00CE1BDB" w:rsidRPr="00FA4DC7" w:rsidRDefault="00CE1BDB" w:rsidP="00B40527">
      <w:pPr>
        <w:pStyle w:val="bullet"/>
      </w:pPr>
      <w:r w:rsidRPr="00FA4DC7">
        <w:t xml:space="preserve">Medway has a high housing target, which is significantly higher than demographic projections of housing need. </w:t>
      </w:r>
    </w:p>
    <w:p w14:paraId="5E22CA81" w14:textId="77777777" w:rsidR="00CE1BDB" w:rsidRPr="00FA4DC7" w:rsidRDefault="00CE1BDB" w:rsidP="00B40527">
      <w:pPr>
        <w:pStyle w:val="bullet"/>
      </w:pPr>
      <w:r w:rsidRPr="00FA4DC7">
        <w:t>Delivering the range of housing types required in a range of locations to a high standard while observing all sustainability considerations is challenging.</w:t>
      </w:r>
    </w:p>
    <w:p w14:paraId="77BFAFCB" w14:textId="77777777" w:rsidR="00CE1BDB" w:rsidRPr="00FA4DC7" w:rsidRDefault="00CE1BDB" w:rsidP="00B40527">
      <w:pPr>
        <w:pStyle w:val="bullet"/>
      </w:pPr>
      <w:r w:rsidRPr="00FA4DC7">
        <w:t xml:space="preserve">Implementing sufficient housing permissions to meet targets while attracting infrastructure investment and balancing environmental impacts is an issue. </w:t>
      </w:r>
    </w:p>
    <w:p w14:paraId="0FC80565" w14:textId="77777777" w:rsidR="00CE1BDB" w:rsidRPr="00FA4DC7" w:rsidRDefault="00CE1BDB" w:rsidP="00B40527">
      <w:pPr>
        <w:pStyle w:val="bullet"/>
      </w:pPr>
      <w:r w:rsidRPr="00FA4DC7">
        <w:t>There are a number of examples of poor housing resulting from use of prior approval under Permitted Development Rights (PDR). There are concerns that the extension of PDR will threaten the vitality of town centres and undermine plans for strategic renewal and investment, with speculative planning applications providing for a limited range of housing products, directed towards meeting temporary accommodation requirements, including from London boroughs.</w:t>
      </w:r>
    </w:p>
    <w:p w14:paraId="0783B6E8" w14:textId="77777777" w:rsidR="00CE1BDB" w:rsidRPr="00FA4DC7" w:rsidRDefault="00CE1BDB" w:rsidP="00B40527">
      <w:pPr>
        <w:pStyle w:val="bullet"/>
      </w:pPr>
      <w:r w:rsidRPr="00FA4DC7">
        <w:lastRenderedPageBreak/>
        <w:t xml:space="preserve">Housing affordability is an issue in Medway with the house prices against local earnings making options limited for many local people. </w:t>
      </w:r>
    </w:p>
    <w:p w14:paraId="630C9322" w14:textId="77777777" w:rsidR="00CE1BDB" w:rsidRPr="00FA4DC7" w:rsidRDefault="00CE1BDB" w:rsidP="00B40527">
      <w:pPr>
        <w:pStyle w:val="bullet"/>
      </w:pPr>
      <w:r w:rsidRPr="00FA4DC7">
        <w:t>Very low level of affordable housing to rent or buy.</w:t>
      </w:r>
    </w:p>
    <w:p w14:paraId="747569AC" w14:textId="77777777" w:rsidR="00CE1BDB" w:rsidRPr="00FA4DC7" w:rsidRDefault="00CE1BDB" w:rsidP="00B40527">
      <w:pPr>
        <w:pStyle w:val="bullet"/>
      </w:pPr>
      <w:r w:rsidRPr="00FA4DC7">
        <w:t xml:space="preserve">Lack of social and supported housing especially for single people. </w:t>
      </w:r>
    </w:p>
    <w:p w14:paraId="021153AF" w14:textId="4C3E4F98" w:rsidR="00F34361" w:rsidRDefault="00CE1BDB" w:rsidP="00B40527">
      <w:pPr>
        <w:pStyle w:val="bullet"/>
      </w:pPr>
      <w:r w:rsidRPr="00FA4DC7">
        <w:t xml:space="preserve">Lack of accommodation to enable people with disabilities to live independently. </w:t>
      </w:r>
    </w:p>
    <w:p w14:paraId="0D805962" w14:textId="1FB06DC8" w:rsidR="00F34361" w:rsidRDefault="00F34361" w:rsidP="00B40527">
      <w:pPr>
        <w:pStyle w:val="bullet"/>
      </w:pPr>
      <w:r>
        <w:t>Limited supply of small unit specialist provision and difficult to deliver amongst general housing</w:t>
      </w:r>
    </w:p>
    <w:p w14:paraId="1DCF422A" w14:textId="562B74F4" w:rsidR="00F34361" w:rsidRPr="00F34361" w:rsidRDefault="00F34361" w:rsidP="00B40527">
      <w:pPr>
        <w:pStyle w:val="bullet"/>
      </w:pPr>
      <w:r>
        <w:t>Lack of larger 4+ bedroom generally.</w:t>
      </w:r>
    </w:p>
    <w:p w14:paraId="2DE2C172" w14:textId="77777777" w:rsidR="00CE1BDB" w:rsidRPr="00FA4DC7" w:rsidRDefault="00CE1BDB" w:rsidP="00B40527">
      <w:pPr>
        <w:pStyle w:val="bullet"/>
        <w:rPr>
          <w:bCs/>
          <w:color w:val="000000" w:themeColor="text1"/>
        </w:rPr>
      </w:pPr>
      <w:r w:rsidRPr="00FA4DC7">
        <w:rPr>
          <w:bCs/>
          <w:color w:val="000000" w:themeColor="text1"/>
        </w:rPr>
        <w:t xml:space="preserve">Private rents are ever increasing, with significant shortfalls between the LHA rate and market rents.  </w:t>
      </w:r>
    </w:p>
    <w:p w14:paraId="6F23EDE8" w14:textId="77777777" w:rsidR="00CE1BDB" w:rsidRPr="00FA4DC7" w:rsidRDefault="00CE1BDB" w:rsidP="00B40527">
      <w:pPr>
        <w:pStyle w:val="bullet"/>
        <w:rPr>
          <w:bCs/>
          <w:color w:val="000000" w:themeColor="text1"/>
        </w:rPr>
      </w:pPr>
      <w:r w:rsidRPr="00FA4DC7">
        <w:rPr>
          <w:bCs/>
          <w:color w:val="000000" w:themeColor="text1"/>
        </w:rPr>
        <w:t>Increased number of re-housing placements from London Borough Councils and Kent Local Authorities due to cheaper rents in Medway compared to London, which is increasing pressures on housing supply for local residents.</w:t>
      </w:r>
    </w:p>
    <w:p w14:paraId="2A47A344"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Stakeholders were asked what measures should be implemented to address the strengths and weaknesses in Medway. The comments received are detailed below:</w:t>
      </w:r>
    </w:p>
    <w:p w14:paraId="194F3E9F" w14:textId="77777777" w:rsidR="00CE1BDB" w:rsidRPr="00FA4DC7" w:rsidRDefault="00CE1BDB" w:rsidP="00B40527">
      <w:pPr>
        <w:pStyle w:val="bullet"/>
      </w:pPr>
      <w:bookmarkStart w:id="664" w:name="_Toc23506636"/>
      <w:r w:rsidRPr="00FA4DC7">
        <w:t xml:space="preserve">There is a need for job creation to match housing delivery if out-commuting is going to be addressed. </w:t>
      </w:r>
    </w:p>
    <w:p w14:paraId="10222837" w14:textId="77777777" w:rsidR="00CE1BDB" w:rsidRPr="00FA4DC7" w:rsidRDefault="00CE1BDB" w:rsidP="00B40527">
      <w:pPr>
        <w:pStyle w:val="bullet"/>
      </w:pPr>
      <w:r w:rsidRPr="00FA4DC7">
        <w:t xml:space="preserve">There needs to be a realistic housing target. The ‘Standard Method’ formula does not align with demographic projections, and there is a risk that land supply is greater than demand, and developers ‘cherry pick’ sites, and undermine the wider growth strategy.  </w:t>
      </w:r>
    </w:p>
    <w:p w14:paraId="096D8047" w14:textId="77777777" w:rsidR="00CE1BDB" w:rsidRPr="00FA4DC7" w:rsidRDefault="00CE1BDB" w:rsidP="00B40527">
      <w:pPr>
        <w:pStyle w:val="bullet"/>
      </w:pPr>
      <w:r w:rsidRPr="00FA4DC7">
        <w:t xml:space="preserve">There needs to be a national policy that takes pressure off London and the </w:t>
      </w:r>
      <w:proofErr w:type="gramStart"/>
      <w:r w:rsidRPr="00FA4DC7">
        <w:t>South East</w:t>
      </w:r>
      <w:proofErr w:type="gramEnd"/>
      <w:r w:rsidRPr="00FA4DC7">
        <w:t xml:space="preserve"> to distribute growth more evenly across the whole country.</w:t>
      </w:r>
    </w:p>
    <w:p w14:paraId="48DEE368" w14:textId="77777777" w:rsidR="00CE1BDB" w:rsidRPr="00FA4DC7" w:rsidRDefault="00CE1BDB" w:rsidP="00B40527">
      <w:pPr>
        <w:pStyle w:val="bullet"/>
        <w:rPr>
          <w:bCs/>
        </w:rPr>
      </w:pPr>
      <w:r w:rsidRPr="00FA4DC7">
        <w:rPr>
          <w:bCs/>
        </w:rPr>
        <w:t xml:space="preserve">The government should focus on delivering a wider range of innovative housing products through local authorities or other agents in order to tackle housing affordability rather than relying on high, unrealistic housing targets which won’t necessarily address the issue of affordability. This could involve new initiatives for key worker housing, and different sectors of the community. </w:t>
      </w:r>
    </w:p>
    <w:p w14:paraId="29C6EECA" w14:textId="77777777" w:rsidR="00CE1BDB" w:rsidRPr="00FA4DC7" w:rsidRDefault="00CE1BDB" w:rsidP="00B40527">
      <w:pPr>
        <w:pStyle w:val="bullet"/>
        <w:rPr>
          <w:bCs/>
        </w:rPr>
      </w:pPr>
      <w:r w:rsidRPr="00FA4DC7">
        <w:rPr>
          <w:bCs/>
        </w:rPr>
        <w:t>There needs to be a wider range of building companies from small to large to be able to compete to deliver sites to a high standard and at a volume to need LPA targets.</w:t>
      </w:r>
    </w:p>
    <w:p w14:paraId="4FC38556" w14:textId="77777777" w:rsidR="00CE1BDB" w:rsidRPr="00FA4DC7" w:rsidRDefault="00CE1BDB" w:rsidP="00B40527">
      <w:pPr>
        <w:pStyle w:val="bullet"/>
        <w:rPr>
          <w:bCs/>
        </w:rPr>
      </w:pPr>
      <w:r w:rsidRPr="00FA4DC7">
        <w:rPr>
          <w:bCs/>
        </w:rPr>
        <w:t xml:space="preserve">Medway has an increasingly shrinking opportunity to improve the housing market via a series of inclusive, inspiring and affordable large-scale developments which inspire wider change and regeneration </w:t>
      </w:r>
      <w:proofErr w:type="gramStart"/>
      <w:r w:rsidRPr="00FA4DC7">
        <w:rPr>
          <w:bCs/>
        </w:rPr>
        <w:t>e.g.</w:t>
      </w:r>
      <w:proofErr w:type="gramEnd"/>
      <w:r w:rsidRPr="00FA4DC7">
        <w:rPr>
          <w:bCs/>
        </w:rPr>
        <w:t xml:space="preserve"> Marmalade Lane (Cambridge), Goldsmiths Street (Norwich), Dujardin Mews (Enfield).  </w:t>
      </w:r>
    </w:p>
    <w:p w14:paraId="1ADF18CC" w14:textId="77777777" w:rsidR="00CE1BDB" w:rsidRPr="00FA4DC7" w:rsidRDefault="00CE1BDB" w:rsidP="00B40527">
      <w:pPr>
        <w:pStyle w:val="bullet"/>
        <w:rPr>
          <w:bCs/>
        </w:rPr>
      </w:pPr>
      <w:r w:rsidRPr="00FA4DC7">
        <w:t>Build more social housing for people who work but are on low incomes.</w:t>
      </w:r>
    </w:p>
    <w:p w14:paraId="7BC71ACE" w14:textId="77777777" w:rsidR="00CE1BDB" w:rsidRPr="00FA4DC7" w:rsidRDefault="00CE1BDB" w:rsidP="00B40527">
      <w:pPr>
        <w:pStyle w:val="bullet"/>
      </w:pPr>
      <w:r w:rsidRPr="00FA4DC7">
        <w:t>Greater spread of family homes should be built.</w:t>
      </w:r>
    </w:p>
    <w:p w14:paraId="205C42BB" w14:textId="77777777" w:rsidR="00CE1BDB" w:rsidRPr="00FA4DC7" w:rsidRDefault="00CE1BDB" w:rsidP="00B40527">
      <w:pPr>
        <w:pStyle w:val="bullet"/>
        <w:rPr>
          <w:bCs/>
          <w:color w:val="000000" w:themeColor="text1"/>
        </w:rPr>
      </w:pPr>
      <w:r w:rsidRPr="00FA4DC7">
        <w:rPr>
          <w:bCs/>
          <w:color w:val="000000" w:themeColor="text1"/>
        </w:rPr>
        <w:t xml:space="preserve">Maximising and enabling the delivery of affordable housing and ensuring it is of the right type/tenure mix to meet the needs of Medway residents (social rent, affordable </w:t>
      </w:r>
      <w:proofErr w:type="gramStart"/>
      <w:r w:rsidRPr="00FA4DC7">
        <w:rPr>
          <w:bCs/>
          <w:color w:val="000000" w:themeColor="text1"/>
        </w:rPr>
        <w:t>rent</w:t>
      </w:r>
      <w:proofErr w:type="gramEnd"/>
      <w:r w:rsidRPr="00FA4DC7">
        <w:rPr>
          <w:bCs/>
          <w:color w:val="000000" w:themeColor="text1"/>
        </w:rPr>
        <w:t xml:space="preserve"> and shared ownership).</w:t>
      </w:r>
    </w:p>
    <w:p w14:paraId="0E78B702" w14:textId="77777777" w:rsidR="00CE1BDB" w:rsidRPr="00FA4DC7" w:rsidRDefault="00CE1BDB" w:rsidP="00B40527">
      <w:pPr>
        <w:pStyle w:val="bullet"/>
      </w:pPr>
      <w:r w:rsidRPr="00FA4DC7">
        <w:lastRenderedPageBreak/>
        <w:t>Regeneration schemes to promote economic growth and revitalise areas.</w:t>
      </w:r>
    </w:p>
    <w:p w14:paraId="48118E9C" w14:textId="77777777" w:rsidR="00CE1BDB" w:rsidRPr="00FA4DC7" w:rsidRDefault="00CE1BDB" w:rsidP="00B40527">
      <w:pPr>
        <w:pStyle w:val="bullet"/>
      </w:pPr>
      <w:r w:rsidRPr="00FA4DC7">
        <w:t xml:space="preserve">Increasing opportunities to bring long term empty properties back to use as rented or owner- occupied housing.  </w:t>
      </w:r>
    </w:p>
    <w:p w14:paraId="6498CA11" w14:textId="77777777" w:rsidR="00CE1BDB" w:rsidRPr="00FA4DC7" w:rsidRDefault="00CE1BDB" w:rsidP="00B40527">
      <w:pPr>
        <w:pStyle w:val="bullet"/>
      </w:pPr>
      <w:r w:rsidRPr="00FA4DC7">
        <w:t>Exploring alternative housing initiatives such as modular homes for example.</w:t>
      </w:r>
    </w:p>
    <w:p w14:paraId="548CCE62" w14:textId="77777777" w:rsidR="00CE1BDB" w:rsidRPr="00FA4DC7" w:rsidRDefault="00CE1BDB" w:rsidP="00B40527">
      <w:pPr>
        <w:pStyle w:val="bullet"/>
      </w:pPr>
      <w:r w:rsidRPr="00FA4DC7">
        <w:t>Working with Kent Housing Group to understand local needs and respond to any challenges.</w:t>
      </w:r>
    </w:p>
    <w:p w14:paraId="38D66822" w14:textId="77777777" w:rsidR="00CE1BDB" w:rsidRPr="00FA4DC7" w:rsidRDefault="00CE1BDB" w:rsidP="00B40527">
      <w:pPr>
        <w:pStyle w:val="bullet"/>
      </w:pPr>
      <w:r w:rsidRPr="00FA4DC7">
        <w:t>Need more wheelchair accessible properties in both areas and adaptable properties.</w:t>
      </w:r>
    </w:p>
    <w:p w14:paraId="1465B4B9" w14:textId="77777777" w:rsidR="00CE1BDB" w:rsidRPr="00FA4DC7" w:rsidRDefault="00CE1BDB" w:rsidP="00B40527">
      <w:pPr>
        <w:pStyle w:val="bullet"/>
      </w:pPr>
      <w:r w:rsidRPr="00FA4DC7">
        <w:t>Invite the private rented players to participate in a programme. There are lots of sites with planning not coming forward and this is where it could work with intervention.</w:t>
      </w:r>
    </w:p>
    <w:p w14:paraId="1CD2E4EA" w14:textId="5C329945" w:rsidR="00CE1BDB" w:rsidRPr="00F34361" w:rsidRDefault="00CE1BDB" w:rsidP="00B40527">
      <w:pPr>
        <w:pStyle w:val="bullet"/>
        <w:rPr>
          <w:color w:val="FF0000"/>
        </w:rPr>
      </w:pPr>
      <w:r w:rsidRPr="00FA4DC7">
        <w:t>Positive Local Plan allocations and development management decisions for specialist and affordable housing. Review leisure strategies. Consider council house provision.</w:t>
      </w:r>
    </w:p>
    <w:p w14:paraId="28E7EE25" w14:textId="77777777" w:rsidR="00F34361" w:rsidRPr="00F34361" w:rsidRDefault="00F34361" w:rsidP="00B40527">
      <w:pPr>
        <w:pStyle w:val="bullet"/>
        <w:rPr>
          <w:bCs/>
          <w:color w:val="FF0000"/>
        </w:rPr>
      </w:pPr>
      <w:r>
        <w:t xml:space="preserve">Council housing needed </w:t>
      </w:r>
      <w:proofErr w:type="gramStart"/>
      <w:r>
        <w:t>and  council</w:t>
      </w:r>
      <w:proofErr w:type="gramEnd"/>
      <w:r>
        <w:t xml:space="preserve"> should lead on development for the right type of housing. </w:t>
      </w:r>
    </w:p>
    <w:p w14:paraId="1C2EC3BC" w14:textId="7E6A2D74" w:rsidR="00F34361" w:rsidRPr="00F34361" w:rsidRDefault="00F34361" w:rsidP="00B40527">
      <w:pPr>
        <w:pStyle w:val="bullet"/>
        <w:rPr>
          <w:bCs/>
          <w:color w:val="FF0000"/>
        </w:rPr>
      </w:pPr>
      <w:r>
        <w:t>Council should facilitate the renting of housing at affordable levels, address poor landlords and enforcement around HMOs needed.</w:t>
      </w:r>
    </w:p>
    <w:p w14:paraId="27310DEA" w14:textId="77777777" w:rsidR="00F34361" w:rsidRPr="00FA4DC7" w:rsidRDefault="00F34361" w:rsidP="00F34361">
      <w:pPr>
        <w:pStyle w:val="ListParagraph"/>
        <w:rPr>
          <w:rFonts w:ascii="Arial" w:hAnsi="Arial" w:cs="Arial"/>
          <w:bCs/>
          <w:color w:val="FF0000"/>
        </w:rPr>
      </w:pPr>
    </w:p>
    <w:p w14:paraId="61A4B854" w14:textId="77777777" w:rsidR="00CE1BDB" w:rsidRPr="00FA4DC7" w:rsidRDefault="00CE1BDB" w:rsidP="00B40527">
      <w:pPr>
        <w:pStyle w:val="Heading2"/>
      </w:pPr>
      <w:bookmarkStart w:id="665" w:name="_Toc83035712"/>
      <w:r w:rsidRPr="00FA4DC7">
        <w:t xml:space="preserve">Registered </w:t>
      </w:r>
      <w:r w:rsidRPr="00B40527">
        <w:t>Providers</w:t>
      </w:r>
      <w:bookmarkEnd w:id="664"/>
      <w:r w:rsidRPr="00FA4DC7">
        <w:t xml:space="preserve"> </w:t>
      </w:r>
      <w:commentRangeStart w:id="666"/>
      <w:commentRangeEnd w:id="666"/>
      <w:r w:rsidRPr="00FA4DC7">
        <w:rPr>
          <w:rStyle w:val="CommentReference"/>
          <w:rFonts w:cs="Arial"/>
        </w:rPr>
        <w:commentReference w:id="666"/>
      </w:r>
      <w:commentRangeStart w:id="667"/>
      <w:commentRangeEnd w:id="667"/>
      <w:r w:rsidRPr="00FA4DC7">
        <w:rPr>
          <w:rStyle w:val="CommentReference"/>
          <w:rFonts w:cs="Arial"/>
        </w:rPr>
        <w:commentReference w:id="667"/>
      </w:r>
      <w:bookmarkEnd w:id="665"/>
    </w:p>
    <w:p w14:paraId="074047C2" w14:textId="2D697BE3" w:rsidR="00CE1BDB" w:rsidRDefault="00CE1BDB" w:rsidP="00CE1BDB">
      <w:pPr>
        <w:pStyle w:val="Maintext"/>
        <w:numPr>
          <w:ilvl w:val="1"/>
          <w:numId w:val="68"/>
        </w:numPr>
        <w:tabs>
          <w:tab w:val="left" w:pos="0"/>
          <w:tab w:val="left" w:pos="1418"/>
        </w:tabs>
        <w:rPr>
          <w:rFonts w:ascii="Arial" w:hAnsi="Arial" w:cs="Arial"/>
        </w:rPr>
      </w:pPr>
      <w:bookmarkStart w:id="668" w:name="_Toc23506637"/>
      <w:r w:rsidRPr="00FA4DC7">
        <w:rPr>
          <w:rFonts w:ascii="Arial" w:hAnsi="Arial" w:cs="Arial"/>
        </w:rPr>
        <w:t>No responses from registered providers were received.</w:t>
      </w:r>
    </w:p>
    <w:p w14:paraId="42C282D0" w14:textId="77777777" w:rsidR="00B40527" w:rsidRPr="00FA4DC7" w:rsidRDefault="00B40527" w:rsidP="00B40527">
      <w:pPr>
        <w:pStyle w:val="Maintext"/>
        <w:numPr>
          <w:ilvl w:val="0"/>
          <w:numId w:val="0"/>
        </w:numPr>
        <w:tabs>
          <w:tab w:val="left" w:pos="0"/>
          <w:tab w:val="left" w:pos="1418"/>
        </w:tabs>
        <w:ind w:left="709"/>
        <w:rPr>
          <w:rFonts w:ascii="Arial" w:hAnsi="Arial" w:cs="Arial"/>
        </w:rPr>
      </w:pPr>
    </w:p>
    <w:p w14:paraId="480D9DC4" w14:textId="77777777" w:rsidR="00CE1BDB" w:rsidRPr="00FA4DC7" w:rsidRDefault="00CE1BDB" w:rsidP="00B40527">
      <w:pPr>
        <w:pStyle w:val="Heading2"/>
      </w:pPr>
      <w:bookmarkStart w:id="669" w:name="_Toc83035713"/>
      <w:r w:rsidRPr="00FA4DC7">
        <w:t xml:space="preserve">Developers and </w:t>
      </w:r>
      <w:r w:rsidRPr="00B40527">
        <w:t>Housebuilders</w:t>
      </w:r>
      <w:bookmarkEnd w:id="668"/>
      <w:bookmarkEnd w:id="669"/>
    </w:p>
    <w:p w14:paraId="4D6A3C32"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survey asked stakeholders to confirm what the type and size of housing is in the greatest demand in Medway. The comments received are detailed below:</w:t>
      </w:r>
    </w:p>
    <w:p w14:paraId="7F943BC0" w14:textId="77777777" w:rsidR="00CE1BDB" w:rsidRPr="00FA4DC7" w:rsidRDefault="00CE1BDB" w:rsidP="00B40527">
      <w:pPr>
        <w:pStyle w:val="bullet"/>
      </w:pPr>
      <w:r w:rsidRPr="00FA4DC7">
        <w:t>Wheelchair accessible properties.</w:t>
      </w:r>
    </w:p>
    <w:p w14:paraId="74C54309" w14:textId="77777777" w:rsidR="00CE1BDB" w:rsidRPr="00FA4DC7" w:rsidRDefault="00CE1BDB" w:rsidP="00B40527">
      <w:pPr>
        <w:pStyle w:val="bullet"/>
      </w:pPr>
      <w:r w:rsidRPr="00FA4DC7">
        <w:t>2 and 3-bed houses with private gardens for families.</w:t>
      </w:r>
    </w:p>
    <w:p w14:paraId="4EA9AE13" w14:textId="77777777" w:rsidR="00CE1BDB" w:rsidRPr="00FA4DC7" w:rsidRDefault="00CE1BDB" w:rsidP="00B40527">
      <w:pPr>
        <w:pStyle w:val="bullet"/>
      </w:pPr>
      <w:r w:rsidRPr="00FA4DC7">
        <w:t xml:space="preserve">Family 3 and 4-bedroom homes for council tenants. </w:t>
      </w:r>
    </w:p>
    <w:p w14:paraId="5E87E7D7" w14:textId="77777777" w:rsidR="00CE1BDB" w:rsidRPr="00FA4DC7" w:rsidRDefault="00CE1BDB" w:rsidP="00B40527">
      <w:pPr>
        <w:pStyle w:val="bullet"/>
      </w:pPr>
      <w:r w:rsidRPr="00FA4DC7">
        <w:t xml:space="preserve">Single units for individuals such as studio flats, or smaller dwelling in smaller community-based dwellings for all ages including 60+. </w:t>
      </w:r>
    </w:p>
    <w:p w14:paraId="1ED61440" w14:textId="77777777" w:rsidR="00CE1BDB" w:rsidRPr="00FA4DC7" w:rsidRDefault="00CE1BDB" w:rsidP="00B40527">
      <w:pPr>
        <w:pStyle w:val="bullet"/>
      </w:pPr>
      <w:r w:rsidRPr="00FA4DC7">
        <w:t>Smaller 2-bedroom bungalows for older residents to downsize.</w:t>
      </w:r>
    </w:p>
    <w:p w14:paraId="15D3995E"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Stakeholders were asked what the main challenges were facing the delivery of new homes in Medway. The comments received are detailed below:</w:t>
      </w:r>
    </w:p>
    <w:p w14:paraId="71AF74E0" w14:textId="77777777" w:rsidR="00CE1BDB" w:rsidRPr="00FA4DC7" w:rsidRDefault="00CE1BDB" w:rsidP="00B40527">
      <w:pPr>
        <w:pStyle w:val="bullet"/>
      </w:pPr>
      <w:r w:rsidRPr="00FA4DC7">
        <w:t xml:space="preserve">Low values and high build costs. </w:t>
      </w:r>
    </w:p>
    <w:p w14:paraId="7323AB62" w14:textId="77777777" w:rsidR="00CE1BDB" w:rsidRPr="00FA4DC7" w:rsidRDefault="00CE1BDB" w:rsidP="00B40527">
      <w:pPr>
        <w:pStyle w:val="bullet"/>
      </w:pPr>
      <w:r w:rsidRPr="00FA4DC7">
        <w:t>Lots of contaminated brownfield land in low value areas.</w:t>
      </w:r>
    </w:p>
    <w:p w14:paraId="3A72D21A" w14:textId="77777777" w:rsidR="00CE1BDB" w:rsidRPr="00FA4DC7" w:rsidRDefault="00CE1BDB" w:rsidP="00B40527">
      <w:pPr>
        <w:pStyle w:val="bullet"/>
      </w:pPr>
      <w:r w:rsidRPr="00FA4DC7">
        <w:t xml:space="preserve">Delays in securing necessary planning approvals. </w:t>
      </w:r>
    </w:p>
    <w:p w14:paraId="61F300E4" w14:textId="77777777" w:rsidR="00CE1BDB" w:rsidRPr="00FA4DC7" w:rsidRDefault="00CE1BDB" w:rsidP="00B40527">
      <w:pPr>
        <w:pStyle w:val="bullet"/>
      </w:pPr>
      <w:r w:rsidRPr="00FA4DC7">
        <w:t>Need for increased specialist member training on housing issues and need.</w:t>
      </w:r>
    </w:p>
    <w:p w14:paraId="427615AD" w14:textId="77777777" w:rsidR="00CE1BDB" w:rsidRPr="00FA4DC7" w:rsidRDefault="00CE1BDB" w:rsidP="00B40527">
      <w:pPr>
        <w:pStyle w:val="bullet"/>
      </w:pPr>
      <w:r w:rsidRPr="00FA4DC7">
        <w:t xml:space="preserve">Lack of council properties in the rural communities. </w:t>
      </w:r>
    </w:p>
    <w:p w14:paraId="472A6870" w14:textId="77777777" w:rsidR="00CE1BDB" w:rsidRPr="00FA4DC7" w:rsidRDefault="00CE1BDB" w:rsidP="00B40527">
      <w:pPr>
        <w:pStyle w:val="bullet"/>
      </w:pPr>
      <w:r w:rsidRPr="00FA4DC7">
        <w:lastRenderedPageBreak/>
        <w:t>Addressing the neglected older style properties with untraceable landlords from abroad who bought property at the height of investment opportunities and have now left them empty.</w:t>
      </w:r>
    </w:p>
    <w:p w14:paraId="40F55B51"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Stakeholders were asked what could be done to improve the housing market in Medway, the following were suggested:</w:t>
      </w:r>
    </w:p>
    <w:p w14:paraId="1FBD08F8" w14:textId="77777777" w:rsidR="00CE1BDB" w:rsidRPr="00FA4DC7" w:rsidRDefault="00CE1BDB" w:rsidP="00B40527">
      <w:pPr>
        <w:pStyle w:val="bullet"/>
      </w:pPr>
      <w:r w:rsidRPr="00FA4DC7">
        <w:t xml:space="preserve">Private rented is missing on a larger scale. </w:t>
      </w:r>
    </w:p>
    <w:p w14:paraId="320DE411" w14:textId="77777777" w:rsidR="00CE1BDB" w:rsidRPr="00FA4DC7" w:rsidRDefault="00CE1BDB" w:rsidP="00B40527">
      <w:pPr>
        <w:pStyle w:val="bullet"/>
      </w:pPr>
      <w:r w:rsidRPr="00FA4DC7">
        <w:t xml:space="preserve">There is too much social rented in large pockets. </w:t>
      </w:r>
    </w:p>
    <w:p w14:paraId="59F32F13" w14:textId="77777777" w:rsidR="00CE1BDB" w:rsidRPr="00FA4DC7" w:rsidRDefault="00CE1BDB" w:rsidP="00B40527">
      <w:pPr>
        <w:pStyle w:val="bullet"/>
      </w:pPr>
      <w:r w:rsidRPr="00FA4DC7">
        <w:t xml:space="preserve">Look at changing some of the shared ownership tenure mix that is hard to sell. </w:t>
      </w:r>
    </w:p>
    <w:p w14:paraId="6161D001"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Stakeholders were asked who the typical customers for new homes in Medway were and whether they were first-time buyers, second stage movers, down sizers, locals, people moving out of London. Stakeholders felt that the customers were all of these but mainly first-time buyers and movers from London. </w:t>
      </w:r>
    </w:p>
    <w:p w14:paraId="0075A9FB"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Stakeholders were then asked whether these customers are looking for rent or sale. Stakeholders felt that in Medway it was rent and sale, but the majority would purchase if they can gain a mortgage.</w:t>
      </w:r>
    </w:p>
    <w:p w14:paraId="3D06C013"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bCs/>
          <w:color w:val="000000" w:themeColor="text1"/>
        </w:rPr>
        <w:t>Stakeholders were asked whether there would be any demand for ‘Build to Rent’ products and all mentioned that this tenure would be popular in Medway.</w:t>
      </w:r>
    </w:p>
    <w:p w14:paraId="47037417"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In </w:t>
      </w:r>
      <w:proofErr w:type="gramStart"/>
      <w:r w:rsidRPr="00FA4DC7">
        <w:rPr>
          <w:rFonts w:ascii="Arial" w:hAnsi="Arial" w:cs="Arial"/>
        </w:rPr>
        <w:t>addition</w:t>
      </w:r>
      <w:proofErr w:type="gramEnd"/>
      <w:r w:rsidRPr="00FA4DC7">
        <w:rPr>
          <w:rFonts w:ascii="Arial" w:hAnsi="Arial" w:cs="Arial"/>
        </w:rPr>
        <w:t xml:space="preserve"> the following suggestions were made in terms of increasing the delivery of new homes in Medway:</w:t>
      </w:r>
    </w:p>
    <w:p w14:paraId="6A897DD4" w14:textId="77777777" w:rsidR="00CE1BDB" w:rsidRPr="00FA4DC7" w:rsidRDefault="00CE1BDB" w:rsidP="00B40527">
      <w:pPr>
        <w:pStyle w:val="bullet"/>
      </w:pPr>
      <w:r w:rsidRPr="00FA4DC7">
        <w:t xml:space="preserve">A fixed programme of Build to Rent for private rented sector clients, supported by grant and the local authority. </w:t>
      </w:r>
    </w:p>
    <w:p w14:paraId="37AD284D" w14:textId="6B31DFDF" w:rsidR="00CE1BDB" w:rsidRDefault="00CE1BDB" w:rsidP="00B40527">
      <w:pPr>
        <w:pStyle w:val="bullet"/>
      </w:pPr>
      <w:r w:rsidRPr="00FA4DC7">
        <w:t>Positive approach to proposals, speedy decisions, specific and binding pre app advice.</w:t>
      </w:r>
    </w:p>
    <w:p w14:paraId="7366715C" w14:textId="77777777" w:rsidR="00B40527" w:rsidRPr="00FA4DC7" w:rsidRDefault="00B40527" w:rsidP="00B40527">
      <w:pPr>
        <w:pStyle w:val="bullet"/>
        <w:numPr>
          <w:ilvl w:val="0"/>
          <w:numId w:val="0"/>
        </w:numPr>
        <w:ind w:left="1069"/>
      </w:pPr>
    </w:p>
    <w:p w14:paraId="08EFD63C" w14:textId="77777777" w:rsidR="00CE1BDB" w:rsidRPr="00FA4DC7" w:rsidRDefault="00CE1BDB" w:rsidP="00B40527">
      <w:pPr>
        <w:pStyle w:val="Heading2"/>
      </w:pPr>
      <w:bookmarkStart w:id="670" w:name="_Toc23506638"/>
      <w:bookmarkStart w:id="671" w:name="_Toc83035714"/>
      <w:r w:rsidRPr="00FA4DC7">
        <w:t xml:space="preserve">Specialist Housing </w:t>
      </w:r>
      <w:r w:rsidRPr="00B40527">
        <w:t>Providers</w:t>
      </w:r>
      <w:bookmarkEnd w:id="670"/>
      <w:bookmarkEnd w:id="671"/>
      <w:r w:rsidRPr="00FA4DC7">
        <w:t xml:space="preserve"> </w:t>
      </w:r>
    </w:p>
    <w:p w14:paraId="73FA817A"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survey asked whether existing and future specialist housing need in Medway is being met. The comments received are detailed below:</w:t>
      </w:r>
    </w:p>
    <w:p w14:paraId="6C4622AC" w14:textId="77777777" w:rsidR="00CE1BDB" w:rsidRPr="00FA4DC7" w:rsidRDefault="00CE1BDB" w:rsidP="00B40527">
      <w:pPr>
        <w:pStyle w:val="bullet"/>
      </w:pPr>
      <w:r w:rsidRPr="00FA4DC7">
        <w:t>Establishing a level of need for specialist housing appears to be extremely difficult to estimate.</w:t>
      </w:r>
    </w:p>
    <w:p w14:paraId="59AD1C57" w14:textId="77777777" w:rsidR="00CE1BDB" w:rsidRPr="00FA4DC7" w:rsidRDefault="00CE1BDB" w:rsidP="00B40527">
      <w:pPr>
        <w:pStyle w:val="bullet"/>
      </w:pPr>
      <w:r w:rsidRPr="00FA4DC7">
        <w:rPr>
          <w:bCs/>
          <w:color w:val="000000" w:themeColor="text1"/>
        </w:rPr>
        <w:t xml:space="preserve">Need to build homes that are adaptable </w:t>
      </w:r>
      <w:proofErr w:type="gramStart"/>
      <w:r w:rsidRPr="00FA4DC7">
        <w:rPr>
          <w:bCs/>
          <w:color w:val="000000" w:themeColor="text1"/>
        </w:rPr>
        <w:t>i.e.</w:t>
      </w:r>
      <w:proofErr w:type="gramEnd"/>
      <w:r w:rsidRPr="00FA4DC7">
        <w:rPr>
          <w:bCs/>
          <w:color w:val="000000" w:themeColor="text1"/>
        </w:rPr>
        <w:t xml:space="preserve"> low thresholds, bathrooms that are adaptable and stairs that could accommodate a stair lift.</w:t>
      </w:r>
    </w:p>
    <w:p w14:paraId="6125192F" w14:textId="45B0226E" w:rsidR="00CE1BDB" w:rsidRDefault="00CE1BDB" w:rsidP="00B40527">
      <w:pPr>
        <w:pStyle w:val="bullet"/>
      </w:pPr>
      <w:r w:rsidRPr="00FA4DC7">
        <w:t>Need more wheelchair accessible properties.</w:t>
      </w:r>
    </w:p>
    <w:p w14:paraId="1125B067" w14:textId="78A0B8BB" w:rsidR="00F2167F" w:rsidRDefault="00F2167F" w:rsidP="00B40527">
      <w:pPr>
        <w:pStyle w:val="bullet"/>
      </w:pPr>
      <w:r>
        <w:t>Lack of move on accommodation for domestic violence cases.</w:t>
      </w:r>
    </w:p>
    <w:p w14:paraId="48DBE63A" w14:textId="78CA1C05" w:rsidR="00F34361" w:rsidRDefault="00F34361" w:rsidP="00B40527">
      <w:pPr>
        <w:pStyle w:val="bullet"/>
      </w:pPr>
      <w:r>
        <w:t>Increasing numbers of older people and a need to increase provision which provides safe spaces to live which helps peace of mind, general wellbeing (particularly if family/friends are not living nearby) and frees up existing accommodation).</w:t>
      </w:r>
    </w:p>
    <w:p w14:paraId="51C2183C" w14:textId="2AD42D22" w:rsidR="00F34361" w:rsidRDefault="00F34361" w:rsidP="00B40527">
      <w:pPr>
        <w:pStyle w:val="bullet"/>
      </w:pPr>
      <w:r>
        <w:t>Better co-ordination in the delivery of kitchen/bathroom adaptations.</w:t>
      </w:r>
    </w:p>
    <w:p w14:paraId="28D44247" w14:textId="2E138A60" w:rsidR="00F34361" w:rsidRDefault="00F34361" w:rsidP="00B40527">
      <w:pPr>
        <w:pStyle w:val="bullet"/>
      </w:pPr>
      <w:r>
        <w:t xml:space="preserve">Improve preventative measures to minimise falls and reduce hospital admissions. </w:t>
      </w:r>
    </w:p>
    <w:p w14:paraId="1EE60C5C" w14:textId="016BCCF5" w:rsidR="00F34361" w:rsidRDefault="00F34361" w:rsidP="00B40527">
      <w:pPr>
        <w:pStyle w:val="bullet"/>
      </w:pPr>
      <w:r>
        <w:lastRenderedPageBreak/>
        <w:t>Limited supply of accommodation for people with learning disabilities. Being close to existing family and friendship networks is important.</w:t>
      </w:r>
    </w:p>
    <w:p w14:paraId="1FA27A32" w14:textId="77777777" w:rsidR="00B40527" w:rsidRPr="00F34361" w:rsidRDefault="00B40527" w:rsidP="00B40527">
      <w:pPr>
        <w:pStyle w:val="bullet"/>
        <w:numPr>
          <w:ilvl w:val="0"/>
          <w:numId w:val="0"/>
        </w:numPr>
        <w:ind w:left="1069"/>
      </w:pPr>
    </w:p>
    <w:p w14:paraId="67440945" w14:textId="47348E3B" w:rsidR="00CE1BDB" w:rsidRPr="00FA4DC7" w:rsidRDefault="00CE1BDB" w:rsidP="00B40527">
      <w:pPr>
        <w:pStyle w:val="Heading2"/>
      </w:pPr>
      <w:bookmarkStart w:id="672" w:name="_Toc23506639"/>
      <w:bookmarkStart w:id="673" w:name="_Toc83035715"/>
      <w:r w:rsidRPr="00FA4DC7">
        <w:t>Medway Local Authority staff</w:t>
      </w:r>
      <w:bookmarkEnd w:id="672"/>
      <w:r w:rsidRPr="00FA4DC7">
        <w:t xml:space="preserve"> </w:t>
      </w:r>
      <w:r w:rsidR="00B852CF">
        <w:t>and Elected Members</w:t>
      </w:r>
      <w:bookmarkEnd w:id="673"/>
    </w:p>
    <w:p w14:paraId="38249D2B"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survey asked if there were any comments regarding housing standards, the need for accessible housing including adaptable homes and wheelchair accessible housing in Medway. Medway Council confirmed the following:</w:t>
      </w:r>
    </w:p>
    <w:p w14:paraId="0DBA26BE" w14:textId="77777777" w:rsidR="00CE1BDB" w:rsidRPr="00FA4DC7" w:rsidRDefault="00CE1BDB" w:rsidP="00B40527">
      <w:pPr>
        <w:pStyle w:val="bullet"/>
      </w:pPr>
      <w:r w:rsidRPr="00FA4DC7">
        <w:t>As part of our policy on Developer Contributions and Obligations, Medway Council require that a minimum of 5% of all new affordable housing properties are wheelchair compliant.</w:t>
      </w:r>
    </w:p>
    <w:p w14:paraId="23C49E55" w14:textId="77777777" w:rsidR="00CE1BDB" w:rsidRPr="00FA4DC7" w:rsidRDefault="00CE1BDB" w:rsidP="00B40527">
      <w:pPr>
        <w:pStyle w:val="bullet"/>
      </w:pPr>
      <w:r w:rsidRPr="00FA4DC7">
        <w:t>Medway Council also specify that all affordable housing must meet the Nationally Described Space Standards as set out by government.</w:t>
      </w:r>
    </w:p>
    <w:p w14:paraId="5A7CAD0A" w14:textId="616BE0CA" w:rsidR="00CE1BDB" w:rsidRDefault="00CE1BDB" w:rsidP="00B40527">
      <w:pPr>
        <w:pStyle w:val="bullet"/>
      </w:pPr>
      <w:r w:rsidRPr="00FA4DC7">
        <w:t>Medway, as with many other areas, has an ageing population so it is important that new housing is accessible and appropriate so that people can remain independent in their homes for as long as possible.</w:t>
      </w:r>
    </w:p>
    <w:p w14:paraId="219B73F0" w14:textId="4C83DBBF" w:rsidR="00F34361" w:rsidRDefault="00F34361" w:rsidP="00B40527">
      <w:pPr>
        <w:pStyle w:val="bullet"/>
      </w:pPr>
      <w:r>
        <w:t xml:space="preserve">Better consultation about specialist housing </w:t>
      </w:r>
      <w:proofErr w:type="gramStart"/>
      <w:r>
        <w:t>e.g</w:t>
      </w:r>
      <w:r w:rsidR="00D3278C">
        <w:t>.</w:t>
      </w:r>
      <w:proofErr w:type="gramEnd"/>
      <w:r>
        <w:t xml:space="preserve"> door sizes, windows over sinks and have more user group input at an early stage in developments. Be mindful about flammability, ligatures, fire doors, CCTV, visibility in supported living which are key design considerations. </w:t>
      </w:r>
    </w:p>
    <w:p w14:paraId="01E17695" w14:textId="636E8EEC" w:rsidR="00D3278C" w:rsidRDefault="00F34361" w:rsidP="00B40527">
      <w:pPr>
        <w:pStyle w:val="bullet"/>
      </w:pPr>
      <w:r>
        <w:t>Lot of stock is old, not maintained and in poor condition, with landlords not maintai</w:t>
      </w:r>
      <w:r w:rsidR="00D3278C">
        <w:t xml:space="preserve">ning stock. </w:t>
      </w:r>
    </w:p>
    <w:p w14:paraId="3FA09AF7" w14:textId="7186B5F6" w:rsidR="00D3278C" w:rsidRDefault="00D3278C" w:rsidP="00B40527">
      <w:pPr>
        <w:pStyle w:val="bullet"/>
      </w:pPr>
      <w:r>
        <w:t>Need to consider reusing space – consider higher density using modern techniques to ensure good design, modern materials, good light.</w:t>
      </w:r>
    </w:p>
    <w:p w14:paraId="57FFA0AB" w14:textId="478F5B2E" w:rsidR="00D3278C" w:rsidRPr="00FA4DC7" w:rsidRDefault="00D3278C" w:rsidP="00B40527">
      <w:pPr>
        <w:pStyle w:val="bullet"/>
      </w:pPr>
      <w:r>
        <w:t>Need truly integrated transport and recreation spaces close to housing and a wider environmental benefit. People need to be able to dispose of rubbish easily, with recycling facilities close to housing</w:t>
      </w:r>
    </w:p>
    <w:p w14:paraId="3CA94C4D"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The survey asked stakeholders to advise on what gaps in housing supply was apparent in Medway and what could be done to improve the housing market. </w:t>
      </w:r>
    </w:p>
    <w:p w14:paraId="45E0F03A" w14:textId="77777777" w:rsidR="00CE1BDB" w:rsidRPr="00FA4DC7" w:rsidRDefault="00CE1BDB" w:rsidP="00B40527">
      <w:pPr>
        <w:pStyle w:val="bullet"/>
      </w:pPr>
      <w:r w:rsidRPr="00FA4DC7">
        <w:t xml:space="preserve">Medway appears to have a high housing target, a very high affordable housing need. The council only have so much influence over delivery rates. There are limited examples of Build to Rent, and specialist older people’s accommodation, </w:t>
      </w:r>
      <w:proofErr w:type="gramStart"/>
      <w:r w:rsidRPr="00FA4DC7">
        <w:t>e.g.</w:t>
      </w:r>
      <w:proofErr w:type="gramEnd"/>
      <w:r w:rsidRPr="00FA4DC7">
        <w:t xml:space="preserve"> ‘retirement villages/complexes’. It is thought that this reflects lower values in Medway. </w:t>
      </w:r>
    </w:p>
    <w:p w14:paraId="616CBB22" w14:textId="77777777" w:rsidR="00CE1BDB" w:rsidRPr="00FA4DC7" w:rsidRDefault="00CE1BDB" w:rsidP="00B40527">
      <w:pPr>
        <w:pStyle w:val="bullet"/>
      </w:pPr>
      <w:r w:rsidRPr="00FA4DC7">
        <w:t xml:space="preserve">Some areas of Medway are increasingly becoming private rented housing. It’s now not uncommon to find streets which are almost entirely privately rented despite being 80/90% owner occupied in the 1990s. </w:t>
      </w:r>
    </w:p>
    <w:p w14:paraId="2353EDEE" w14:textId="77777777" w:rsidR="00CE1BDB" w:rsidRPr="00FA4DC7" w:rsidRDefault="00CE1BDB" w:rsidP="00B40527">
      <w:pPr>
        <w:pStyle w:val="bullet"/>
      </w:pPr>
      <w:r w:rsidRPr="00FA4DC7">
        <w:t xml:space="preserve">Medway has had very little, if any, family homes built in the last decade aimed at market housing owned with or without a mortgage. Affordability is complicated locally, but if affordability means fit for purpose and quality, then we have very little affordable housing.  </w:t>
      </w:r>
    </w:p>
    <w:p w14:paraId="65DB907C" w14:textId="77777777" w:rsidR="00CE1BDB" w:rsidRPr="00FA4DC7" w:rsidRDefault="00CE1BDB" w:rsidP="00B40527">
      <w:pPr>
        <w:pStyle w:val="bullet"/>
      </w:pPr>
      <w:r w:rsidRPr="00FA4DC7">
        <w:t>Average waiting times for social housing in Medway 2019/20 (showing a high demand for 3 and 4-bed family size housing):</w:t>
      </w:r>
    </w:p>
    <w:p w14:paraId="3342DAC3" w14:textId="77777777" w:rsidR="00CE1BDB" w:rsidRPr="00FA4DC7" w:rsidRDefault="00CE1BDB" w:rsidP="00B40527">
      <w:pPr>
        <w:pStyle w:val="bulletlevel2"/>
      </w:pPr>
      <w:r w:rsidRPr="00FA4DC7">
        <w:t>Sheltered accommodation = 18 months</w:t>
      </w:r>
    </w:p>
    <w:p w14:paraId="26CF2C08" w14:textId="77777777" w:rsidR="00CE1BDB" w:rsidRPr="00FA4DC7" w:rsidRDefault="00CE1BDB" w:rsidP="00B40527">
      <w:pPr>
        <w:pStyle w:val="bulletlevel2"/>
      </w:pPr>
      <w:r w:rsidRPr="00FA4DC7">
        <w:lastRenderedPageBreak/>
        <w:t>1 bed flat = 10 months</w:t>
      </w:r>
    </w:p>
    <w:p w14:paraId="74D8E36E" w14:textId="77777777" w:rsidR="00CE1BDB" w:rsidRPr="00FA4DC7" w:rsidRDefault="00CE1BDB" w:rsidP="00B40527">
      <w:pPr>
        <w:pStyle w:val="bulletlevel2"/>
      </w:pPr>
      <w:r w:rsidRPr="00FA4DC7">
        <w:t>2 bed flat/maisonette = 10 months</w:t>
      </w:r>
    </w:p>
    <w:p w14:paraId="3F99D977" w14:textId="77777777" w:rsidR="00CE1BDB" w:rsidRPr="00FA4DC7" w:rsidRDefault="00CE1BDB" w:rsidP="00B40527">
      <w:pPr>
        <w:pStyle w:val="bulletlevel2"/>
      </w:pPr>
      <w:r w:rsidRPr="00FA4DC7">
        <w:t>2 bed house = 12 months</w:t>
      </w:r>
    </w:p>
    <w:p w14:paraId="0C38704B" w14:textId="77777777" w:rsidR="00CE1BDB" w:rsidRPr="00FA4DC7" w:rsidRDefault="00CE1BDB" w:rsidP="00B40527">
      <w:pPr>
        <w:pStyle w:val="bulletlevel2"/>
      </w:pPr>
      <w:r w:rsidRPr="00FA4DC7">
        <w:t>3 bed flat/maisonette = 11 months</w:t>
      </w:r>
    </w:p>
    <w:p w14:paraId="6C389A5A" w14:textId="77777777" w:rsidR="00CE1BDB" w:rsidRPr="00FA4DC7" w:rsidRDefault="00CE1BDB" w:rsidP="00B40527">
      <w:pPr>
        <w:pStyle w:val="bulletlevel2"/>
      </w:pPr>
      <w:r w:rsidRPr="00FA4DC7">
        <w:t>3 bed house = 15 months</w:t>
      </w:r>
    </w:p>
    <w:p w14:paraId="528655DF" w14:textId="77777777" w:rsidR="00CE1BDB" w:rsidRPr="00FA4DC7" w:rsidRDefault="00CE1BDB" w:rsidP="00B40527">
      <w:pPr>
        <w:pStyle w:val="bulletlevel2"/>
      </w:pPr>
      <w:r w:rsidRPr="00FA4DC7">
        <w:t>4 bed house = 16 months</w:t>
      </w:r>
    </w:p>
    <w:p w14:paraId="3D0025D9"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The survey asked local authority staff what challenges existed currently in Medway and how could they be </w:t>
      </w:r>
      <w:proofErr w:type="gramStart"/>
      <w:r w:rsidRPr="00FA4DC7">
        <w:rPr>
          <w:rFonts w:ascii="Arial" w:hAnsi="Arial" w:cs="Arial"/>
        </w:rPr>
        <w:t>addressed,</w:t>
      </w:r>
      <w:proofErr w:type="gramEnd"/>
      <w:r w:rsidRPr="00FA4DC7">
        <w:rPr>
          <w:rFonts w:ascii="Arial" w:hAnsi="Arial" w:cs="Arial"/>
        </w:rPr>
        <w:t xml:space="preserve"> the following statements were mentioned:</w:t>
      </w:r>
    </w:p>
    <w:p w14:paraId="49B8DC42" w14:textId="77777777" w:rsidR="00CE1BDB" w:rsidRPr="00B40527" w:rsidRDefault="00CE1BDB" w:rsidP="00B40527">
      <w:pPr>
        <w:pStyle w:val="bullet"/>
      </w:pPr>
      <w:r w:rsidRPr="00B40527">
        <w:t xml:space="preserve">Potential economic downturn as a result of the COVID-19 pandemic, which could have a negative effect on viability.  </w:t>
      </w:r>
    </w:p>
    <w:p w14:paraId="53E6B56E" w14:textId="77777777" w:rsidR="00CE1BDB" w:rsidRPr="00B40527" w:rsidRDefault="00CE1BDB" w:rsidP="00B40527">
      <w:pPr>
        <w:pStyle w:val="bullet"/>
      </w:pPr>
      <w:r w:rsidRPr="00B40527">
        <w:t>Ensuring a sufficient land supply in future without compromising green spaces.</w:t>
      </w:r>
    </w:p>
    <w:p w14:paraId="54CB148D" w14:textId="77777777" w:rsidR="00CE1BDB" w:rsidRPr="00B40527" w:rsidRDefault="00CE1BDB" w:rsidP="00B40527">
      <w:pPr>
        <w:pStyle w:val="bullet"/>
      </w:pPr>
      <w:r w:rsidRPr="00B40527">
        <w:t>A lack of affordable housing to meet demand.</w:t>
      </w:r>
    </w:p>
    <w:p w14:paraId="0DE04C07" w14:textId="77777777" w:rsidR="00CE1BDB" w:rsidRPr="00B40527" w:rsidRDefault="00CE1BDB" w:rsidP="00B40527">
      <w:pPr>
        <w:pStyle w:val="bullet"/>
      </w:pPr>
      <w:r w:rsidRPr="00B40527">
        <w:t>Viability/deliverability of S106 sites, particularly smaller scale.</w:t>
      </w:r>
    </w:p>
    <w:p w14:paraId="70D1641C" w14:textId="77777777" w:rsidR="00CE1BDB" w:rsidRPr="00B40527" w:rsidRDefault="00CE1BDB" w:rsidP="00B40527">
      <w:pPr>
        <w:pStyle w:val="bullet"/>
      </w:pPr>
      <w:r w:rsidRPr="00B40527">
        <w:t>Ageing housing stock (significant amount of older, terraced housing) leading to disrepair issues for owners and landlords.</w:t>
      </w:r>
    </w:p>
    <w:p w14:paraId="2BFA6F86" w14:textId="77777777" w:rsidR="00CE1BDB" w:rsidRPr="00B40527" w:rsidRDefault="00CE1BDB" w:rsidP="00B40527">
      <w:pPr>
        <w:pStyle w:val="bullet"/>
      </w:pPr>
      <w:r w:rsidRPr="00B40527">
        <w:t>Indices of multiple deprivation impacts on quality of stock/disrepair.</w:t>
      </w:r>
    </w:p>
    <w:p w14:paraId="41952A24" w14:textId="77777777" w:rsidR="00CE1BDB" w:rsidRPr="00B40527" w:rsidRDefault="00CE1BDB" w:rsidP="00B40527">
      <w:pPr>
        <w:pStyle w:val="bullet"/>
      </w:pPr>
      <w:r w:rsidRPr="00B40527">
        <w:t>Making best use of existing stock, such as under-occupation of family size housing in social housing stock.</w:t>
      </w:r>
    </w:p>
    <w:p w14:paraId="127E8557" w14:textId="77777777" w:rsidR="00CE1BDB" w:rsidRPr="00B40527" w:rsidRDefault="00CE1BDB" w:rsidP="00B40527">
      <w:pPr>
        <w:pStyle w:val="bullet"/>
      </w:pPr>
      <w:r w:rsidRPr="00B40527">
        <w:t>Right to Buy depletes overall affordable stock.</w:t>
      </w:r>
    </w:p>
    <w:p w14:paraId="1ACE216A" w14:textId="77777777" w:rsidR="00CE1BDB" w:rsidRPr="00B40527" w:rsidRDefault="00CE1BDB" w:rsidP="00B40527">
      <w:pPr>
        <w:pStyle w:val="bullet"/>
      </w:pPr>
      <w:r w:rsidRPr="00B40527">
        <w:t>Medway Development Company – opportunities for building new homes, regeneration of existing stock and improving economic growth.</w:t>
      </w:r>
    </w:p>
    <w:p w14:paraId="70E4ABEF" w14:textId="77777777" w:rsidR="00CE1BDB" w:rsidRPr="00FA4DC7" w:rsidRDefault="00CE1BDB" w:rsidP="00B40527">
      <w:pPr>
        <w:pStyle w:val="bullet"/>
      </w:pPr>
      <w:r w:rsidRPr="00B40527">
        <w:t>HRA (Housing</w:t>
      </w:r>
      <w:r w:rsidRPr="00FA4DC7">
        <w:t xml:space="preserve"> Revenue Account) opportunities for making best use of existing Council housing stock.</w:t>
      </w:r>
    </w:p>
    <w:p w14:paraId="0FA4D428"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survey asked about Houses in Multiple Occupation (HMOs) and whether staff have an estimate of HMOs, where they are located, the types of dwelling occupied, quality and who is living in them. Medway Council mentioned the following:</w:t>
      </w:r>
    </w:p>
    <w:p w14:paraId="416BBE66" w14:textId="77777777" w:rsidR="00CE1BDB" w:rsidRPr="00FA4DC7" w:rsidRDefault="00CE1BDB" w:rsidP="00B40527">
      <w:pPr>
        <w:pStyle w:val="bullet"/>
      </w:pPr>
      <w:r w:rsidRPr="00FA4DC7">
        <w:t>Hard to estimate as Medway Council do not operate a selective licensing scheme, creation of small HMO’s is not policed.</w:t>
      </w:r>
    </w:p>
    <w:p w14:paraId="5D742DEA" w14:textId="77777777" w:rsidR="00CE1BDB" w:rsidRPr="00FA4DC7" w:rsidRDefault="00CE1BDB" w:rsidP="00B40527">
      <w:pPr>
        <w:pStyle w:val="bullet"/>
      </w:pPr>
      <w:r w:rsidRPr="00FA4DC7">
        <w:t>220+ licenced HMOs which increases weekly.</w:t>
      </w:r>
    </w:p>
    <w:p w14:paraId="4D124233" w14:textId="77777777" w:rsidR="00CE1BDB" w:rsidRPr="00FA4DC7" w:rsidRDefault="00CE1BDB" w:rsidP="00B40527">
      <w:pPr>
        <w:pStyle w:val="bullet"/>
      </w:pPr>
      <w:r w:rsidRPr="00FA4DC7">
        <w:rPr>
          <w:bCs/>
          <w:color w:val="000000" w:themeColor="text1"/>
        </w:rPr>
        <w:t>Due to the fact that there are potentially a large number of unlicensed HMO’s, the council are not able to estimate how many meet energy efficiency standards and a number of these could be of a less than suitable quality.</w:t>
      </w:r>
    </w:p>
    <w:p w14:paraId="50827059" w14:textId="77777777" w:rsidR="00CE1BDB" w:rsidRPr="00FA4DC7" w:rsidRDefault="00CE1BDB" w:rsidP="00B40527">
      <w:pPr>
        <w:pStyle w:val="bullet"/>
      </w:pPr>
      <w:r w:rsidRPr="00FA4DC7">
        <w:t xml:space="preserve">Predominately, HMOs are located within Gillingham, Chatham &amp; Rochester. </w:t>
      </w:r>
    </w:p>
    <w:p w14:paraId="371CEDA9" w14:textId="77777777" w:rsidR="00CE1BDB" w:rsidRPr="00FA4DC7" w:rsidRDefault="00CE1BDB" w:rsidP="00B40527">
      <w:pPr>
        <w:pStyle w:val="bullet"/>
      </w:pPr>
      <w:r w:rsidRPr="00FA4DC7">
        <w:t xml:space="preserve">Medway properties cater for a large student community, resulting in creation of small HMOs. </w:t>
      </w:r>
      <w:r w:rsidRPr="00FA4DC7">
        <w:rPr>
          <w:iCs/>
        </w:rPr>
        <w:t>Gillingham is hot spot for these.</w:t>
      </w:r>
    </w:p>
    <w:p w14:paraId="6BD63260" w14:textId="77777777" w:rsidR="00CE1BDB" w:rsidRPr="00FA4DC7" w:rsidRDefault="00CE1BDB" w:rsidP="00B40527">
      <w:pPr>
        <w:pStyle w:val="bullet"/>
      </w:pPr>
      <w:r w:rsidRPr="00FA4DC7">
        <w:t xml:space="preserve">Standard of licenced HMO’s is relatively high, always improving. </w:t>
      </w:r>
    </w:p>
    <w:p w14:paraId="13577FBE" w14:textId="77777777" w:rsidR="00CE1BDB" w:rsidRPr="00FA4DC7" w:rsidRDefault="00CE1BDB" w:rsidP="00B40527">
      <w:pPr>
        <w:pStyle w:val="bullet"/>
      </w:pPr>
      <w:r w:rsidRPr="00FA4DC7">
        <w:lastRenderedPageBreak/>
        <w:t>The HMOs specifically designed for professionals are often to a very high standard and specification.</w:t>
      </w:r>
    </w:p>
    <w:p w14:paraId="1ECC6109" w14:textId="4BF4EE86" w:rsidR="00CE1BDB" w:rsidRDefault="00CE1BDB" w:rsidP="00B40527">
      <w:pPr>
        <w:pStyle w:val="bullet"/>
      </w:pPr>
      <w:r w:rsidRPr="00FA4DC7">
        <w:t>Occupants range from street homeless placed via charities &amp; authorities, supported housing, temporary accommodation, students, licences &amp; AST’s, working professionals, mum &amp; baby units, probation placements, immigration placements etc.</w:t>
      </w:r>
    </w:p>
    <w:p w14:paraId="0E6F59E2" w14:textId="77777777" w:rsidR="00B40527" w:rsidRPr="00FA4DC7" w:rsidRDefault="00B40527" w:rsidP="00B40527">
      <w:pPr>
        <w:pStyle w:val="bullet"/>
        <w:numPr>
          <w:ilvl w:val="0"/>
          <w:numId w:val="0"/>
        </w:numPr>
        <w:ind w:left="1069"/>
      </w:pPr>
    </w:p>
    <w:p w14:paraId="21B354E9" w14:textId="77777777" w:rsidR="00CE1BDB" w:rsidRPr="00FA4DC7" w:rsidRDefault="00CE1BDB" w:rsidP="00B40527">
      <w:pPr>
        <w:pStyle w:val="Heading2"/>
      </w:pPr>
      <w:bookmarkStart w:id="674" w:name="_Toc23506640"/>
      <w:bookmarkStart w:id="675" w:name="_Toc83035716"/>
      <w:r w:rsidRPr="00FA4DC7">
        <w:t>Neighbouring or adjacent Local Authority staff</w:t>
      </w:r>
      <w:bookmarkEnd w:id="674"/>
      <w:bookmarkEnd w:id="675"/>
    </w:p>
    <w:p w14:paraId="77CD42C9"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survey asked neighbouring authorities what should be considered when setting future housing standards. The following comments were mentioned below:</w:t>
      </w:r>
    </w:p>
    <w:p w14:paraId="1888188D" w14:textId="77777777" w:rsidR="00CE1BDB" w:rsidRPr="00FA4DC7" w:rsidRDefault="00CE1BDB" w:rsidP="00B40527">
      <w:pPr>
        <w:pStyle w:val="bullet"/>
      </w:pPr>
      <w:r w:rsidRPr="00FA4DC7">
        <w:t xml:space="preserve">If space standards for new homes are higher, this would provide greater longevity for the occupier.  It also has the potential to ease the burden placed on social housing services when mobility issues arise from occupants in private sector housing.  </w:t>
      </w:r>
    </w:p>
    <w:p w14:paraId="382292B2" w14:textId="77777777" w:rsidR="00CE1BDB" w:rsidRPr="00FA4DC7" w:rsidRDefault="00CE1BDB" w:rsidP="00B40527">
      <w:pPr>
        <w:pStyle w:val="bullet"/>
      </w:pPr>
      <w:r w:rsidRPr="00FA4DC7">
        <w:t>Greater proliferation of higher standards would make the housing stock/market more robust.</w:t>
      </w:r>
    </w:p>
    <w:p w14:paraId="2162765B"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The survey also asked neighbouring authorities whether there were any </w:t>
      </w:r>
      <w:proofErr w:type="gramStart"/>
      <w:r w:rsidRPr="00FA4DC7">
        <w:rPr>
          <w:rFonts w:ascii="Arial" w:hAnsi="Arial" w:cs="Arial"/>
        </w:rPr>
        <w:t>cross boundary</w:t>
      </w:r>
      <w:proofErr w:type="gramEnd"/>
      <w:r w:rsidRPr="00FA4DC7">
        <w:rPr>
          <w:rFonts w:ascii="Arial" w:hAnsi="Arial" w:cs="Arial"/>
        </w:rPr>
        <w:t xml:space="preserve"> issues that needed to be addressed/considered. The following were provided by Swale Borough Council for Medway: ‘</w:t>
      </w:r>
      <w:r w:rsidRPr="00FA4DC7">
        <w:rPr>
          <w:rFonts w:ascii="Arial" w:hAnsi="Arial" w:cs="Arial"/>
          <w:i/>
        </w:rPr>
        <w:t>Cross-boundary issues around road capacity along the A2, A249 and M2 junction 5 have been discussed for many years with joint working to secure HIF bid funding and for improvements to M2 junction 5 that are due to be completed by 2023’.</w:t>
      </w:r>
    </w:p>
    <w:p w14:paraId="596343AB"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In addition, Dartford Borough Council stated that cross boundary issues for Medway </w:t>
      </w:r>
      <w:r w:rsidRPr="00FA4DC7">
        <w:rPr>
          <w:rFonts w:ascii="Arial" w:hAnsi="Arial" w:cs="Arial"/>
          <w:i/>
        </w:rPr>
        <w:t xml:space="preserve">need to ‘be itemised via Statement of Common Ground </w:t>
      </w:r>
      <w:proofErr w:type="gramStart"/>
      <w:r w:rsidRPr="00FA4DC7">
        <w:rPr>
          <w:rFonts w:ascii="Arial" w:hAnsi="Arial" w:cs="Arial"/>
          <w:i/>
        </w:rPr>
        <w:t>discussions’</w:t>
      </w:r>
      <w:proofErr w:type="gramEnd"/>
      <w:r w:rsidRPr="00FA4DC7">
        <w:rPr>
          <w:rFonts w:ascii="Arial" w:hAnsi="Arial" w:cs="Arial"/>
          <w:i/>
        </w:rPr>
        <w:t>.</w:t>
      </w:r>
    </w:p>
    <w:p w14:paraId="5027E351"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Maidstone Borough Council listed the following cross-boundary issues:</w:t>
      </w:r>
    </w:p>
    <w:p w14:paraId="25487F5B" w14:textId="77777777" w:rsidR="00CE1BDB" w:rsidRPr="00FA4DC7" w:rsidRDefault="00CE1BDB" w:rsidP="00B40527">
      <w:pPr>
        <w:pStyle w:val="bullet"/>
      </w:pPr>
      <w:r w:rsidRPr="00FA4DC7">
        <w:t>Maidstone Borough adjoins Medway.  Accordingly, there are a number of strategic, cross boundary issues between the two boroughs which are listed below:</w:t>
      </w:r>
    </w:p>
    <w:p w14:paraId="694A933C" w14:textId="77777777" w:rsidR="00CE1BDB" w:rsidRPr="00FA4DC7" w:rsidRDefault="00CE1BDB" w:rsidP="00B40527">
      <w:pPr>
        <w:pStyle w:val="bulletlevel2"/>
      </w:pPr>
      <w:r w:rsidRPr="00FA4DC7">
        <w:t>Meeting the borough’s local housing need and helping to meet needs across the relevant Housing Market Area/s</w:t>
      </w:r>
    </w:p>
    <w:p w14:paraId="6CFF4215" w14:textId="77777777" w:rsidR="00CE1BDB" w:rsidRPr="00FA4DC7" w:rsidRDefault="00CE1BDB" w:rsidP="00B40527">
      <w:pPr>
        <w:pStyle w:val="bulletlevel2"/>
      </w:pPr>
      <w:r w:rsidRPr="00FA4DC7">
        <w:t>Ensuring there is a sufficient supply of affordable housing</w:t>
      </w:r>
    </w:p>
    <w:p w14:paraId="1796FEF1" w14:textId="77777777" w:rsidR="00CE1BDB" w:rsidRPr="00FA4DC7" w:rsidRDefault="00CE1BDB" w:rsidP="00B40527">
      <w:pPr>
        <w:pStyle w:val="bulletlevel2"/>
      </w:pPr>
      <w:r w:rsidRPr="00FA4DC7">
        <w:t>Ensuring sufficient land and floorspace is provided to support economic growth in the borough and to contribute to the needs of the wider economic market area</w:t>
      </w:r>
    </w:p>
    <w:p w14:paraId="16BF18D4" w14:textId="77777777" w:rsidR="00CE1BDB" w:rsidRPr="00FA4DC7" w:rsidRDefault="00CE1BDB" w:rsidP="00B40527">
      <w:pPr>
        <w:pStyle w:val="bulletlevel2"/>
      </w:pPr>
      <w:r w:rsidRPr="00FA4DC7">
        <w:rPr>
          <w:i/>
        </w:rPr>
        <w:t xml:space="preserve">Ensuring that Maidstone has a vital and vibrant town centre which </w:t>
      </w:r>
      <w:r w:rsidRPr="00FA4DC7">
        <w:t>maintains its role in the sub-region and that a network of local centres continue to serve local retail and service needs.</w:t>
      </w:r>
    </w:p>
    <w:p w14:paraId="3C28361D" w14:textId="77777777" w:rsidR="00CE1BDB" w:rsidRPr="00FA4DC7" w:rsidRDefault="00CE1BDB" w:rsidP="00B40527">
      <w:pPr>
        <w:pStyle w:val="bulletlevel2"/>
      </w:pPr>
      <w:r w:rsidRPr="00FA4DC7">
        <w:t xml:space="preserve">Ensuring that the borough’s environmental assets such as the Area of Outstanding Natural Beauty, Landscapes of Local Value, the </w:t>
      </w:r>
      <w:proofErr w:type="gramStart"/>
      <w:r w:rsidRPr="00FA4DC7">
        <w:t>countryside</w:t>
      </w:r>
      <w:proofErr w:type="gramEnd"/>
      <w:r w:rsidRPr="00FA4DC7">
        <w:t xml:space="preserve"> and Green Belt are suitably protected</w:t>
      </w:r>
    </w:p>
    <w:p w14:paraId="6DB0B9BE" w14:textId="77777777" w:rsidR="00CE1BDB" w:rsidRPr="00FA4DC7" w:rsidRDefault="00CE1BDB" w:rsidP="00B40527">
      <w:pPr>
        <w:pStyle w:val="bulletlevel2"/>
      </w:pPr>
      <w:r w:rsidRPr="00FA4DC7">
        <w:t>Ensuring that the borough’s biodiversity and wildlife habitats are suitably protected and enhanced</w:t>
      </w:r>
    </w:p>
    <w:p w14:paraId="2FD2AB9B" w14:textId="77777777" w:rsidR="00CE1BDB" w:rsidRPr="00FA4DC7" w:rsidRDefault="00CE1BDB" w:rsidP="00B40527">
      <w:pPr>
        <w:pStyle w:val="bulletlevel2"/>
      </w:pPr>
      <w:r w:rsidRPr="00FA4DC7">
        <w:lastRenderedPageBreak/>
        <w:t>Contributing to an overall improvement in air quality, in particular in the Maidstone Air Quality Management Area.</w:t>
      </w:r>
    </w:p>
    <w:p w14:paraId="400E1D45" w14:textId="77777777" w:rsidR="00CE1BDB" w:rsidRPr="00FA4DC7" w:rsidRDefault="00CE1BDB" w:rsidP="00B40527">
      <w:pPr>
        <w:pStyle w:val="bulletlevel2"/>
      </w:pPr>
      <w:r w:rsidRPr="00FA4DC7">
        <w:t>Taking a proactive approach to mitigating and adapting to climate change</w:t>
      </w:r>
    </w:p>
    <w:p w14:paraId="7885B03D" w14:textId="77777777" w:rsidR="00CE1BDB" w:rsidRPr="00FA4DC7" w:rsidRDefault="00CE1BDB" w:rsidP="00B40527">
      <w:pPr>
        <w:pStyle w:val="bulletlevel2"/>
      </w:pPr>
      <w:r w:rsidRPr="00FA4DC7">
        <w:t>Ensuring sufficient transport infrastructure is provided to serve the new development that is planned.</w:t>
      </w:r>
    </w:p>
    <w:p w14:paraId="5BB07035" w14:textId="6BA766CD" w:rsidR="00CE1BDB" w:rsidRPr="00982F2F" w:rsidRDefault="00CE1BDB" w:rsidP="00B40527">
      <w:pPr>
        <w:pStyle w:val="bulletlevel2"/>
      </w:pPr>
      <w:r w:rsidRPr="00FA4DC7">
        <w:t>Maidstone is seeking to address these issues through its duty to cooperate.</w:t>
      </w:r>
    </w:p>
    <w:p w14:paraId="1ACD92D9" w14:textId="77777777" w:rsidR="00CE1BDB" w:rsidRPr="00FA4DC7" w:rsidRDefault="00CE1BDB" w:rsidP="00CE1BDB">
      <w:pPr>
        <w:pStyle w:val="Maintext"/>
        <w:numPr>
          <w:ilvl w:val="1"/>
          <w:numId w:val="68"/>
        </w:numPr>
        <w:tabs>
          <w:tab w:val="left" w:pos="0"/>
          <w:tab w:val="left" w:pos="1418"/>
        </w:tabs>
        <w:rPr>
          <w:rFonts w:ascii="Arial" w:hAnsi="Arial" w:cs="Arial"/>
          <w:bCs/>
          <w:i/>
          <w:color w:val="000000" w:themeColor="text1"/>
        </w:rPr>
      </w:pPr>
      <w:r w:rsidRPr="00FA4DC7">
        <w:rPr>
          <w:rFonts w:ascii="Arial" w:hAnsi="Arial" w:cs="Arial"/>
        </w:rPr>
        <w:t>Stakeholders were asked if there were any significant infrastructure developments near to the boundary of Medway. Dartford Borough Council noted the ‘</w:t>
      </w:r>
      <w:r w:rsidRPr="00FA4DC7">
        <w:rPr>
          <w:rFonts w:ascii="Arial" w:hAnsi="Arial" w:cs="Arial"/>
          <w:i/>
        </w:rPr>
        <w:t xml:space="preserve">Lower Thames Crossing is essential to the growth of north Kent and regions in southern England. </w:t>
      </w:r>
      <w:proofErr w:type="gramStart"/>
      <w:r w:rsidRPr="00FA4DC7">
        <w:rPr>
          <w:rFonts w:ascii="Arial" w:hAnsi="Arial" w:cs="Arial"/>
          <w:i/>
        </w:rPr>
        <w:t>Also</w:t>
      </w:r>
      <w:proofErr w:type="gramEnd"/>
      <w:r w:rsidRPr="00FA4DC7">
        <w:rPr>
          <w:rFonts w:ascii="Arial" w:hAnsi="Arial" w:cs="Arial"/>
          <w:i/>
        </w:rPr>
        <w:t xml:space="preserve"> that Dartford and Gravesham Councils and partners are also involved in long-term rail-based transport infrastructure options’.</w:t>
      </w:r>
    </w:p>
    <w:p w14:paraId="5B875065" w14:textId="77777777" w:rsidR="00CE1BDB" w:rsidRPr="00FA4DC7" w:rsidRDefault="00CE1BDB" w:rsidP="00CE1BDB">
      <w:pPr>
        <w:pStyle w:val="Maintext"/>
        <w:numPr>
          <w:ilvl w:val="1"/>
          <w:numId w:val="68"/>
        </w:numPr>
        <w:tabs>
          <w:tab w:val="left" w:pos="0"/>
          <w:tab w:val="left" w:pos="1418"/>
        </w:tabs>
        <w:rPr>
          <w:rFonts w:ascii="Arial" w:hAnsi="Arial" w:cs="Arial"/>
          <w:bCs/>
          <w:i/>
          <w:color w:val="000000" w:themeColor="text1"/>
        </w:rPr>
      </w:pPr>
      <w:r w:rsidRPr="00FA4DC7">
        <w:rPr>
          <w:rFonts w:ascii="Arial" w:hAnsi="Arial" w:cs="Arial"/>
        </w:rPr>
        <w:t>The survey also asked neighbouring authorities whether they were able to meet the additional housing needs of Medway within their local authority area. Swale Borough Council stated ‘</w:t>
      </w:r>
      <w:r w:rsidRPr="00FA4DC7">
        <w:rPr>
          <w:rFonts w:ascii="Arial" w:hAnsi="Arial" w:cs="Arial"/>
          <w:i/>
        </w:rPr>
        <w:t xml:space="preserve">our need is published as 1,038 per annum for the years 2022 to 2038 (period of the Local Plan Review).  However, this figure will increase to 1,048 approx. by submission due to the recently published affordable housing ratio figures. Swale Borough is intending to meet its own need and understands that its neighbouring authorities are planning to meet their own needs.  Therefore, there is no agreement for Swale to meet unmet need from other </w:t>
      </w:r>
      <w:proofErr w:type="gramStart"/>
      <w:r w:rsidRPr="00FA4DC7">
        <w:rPr>
          <w:rFonts w:ascii="Arial" w:hAnsi="Arial" w:cs="Arial"/>
          <w:i/>
        </w:rPr>
        <w:t>areas’</w:t>
      </w:r>
      <w:proofErr w:type="gramEnd"/>
      <w:r w:rsidRPr="00FA4DC7">
        <w:rPr>
          <w:rFonts w:ascii="Arial" w:hAnsi="Arial" w:cs="Arial"/>
          <w:i/>
        </w:rPr>
        <w:t>.</w:t>
      </w:r>
      <w:r w:rsidRPr="00FA4DC7">
        <w:rPr>
          <w:rFonts w:ascii="Arial" w:hAnsi="Arial" w:cs="Arial"/>
        </w:rPr>
        <w:t xml:space="preserve"> </w:t>
      </w:r>
    </w:p>
    <w:p w14:paraId="71240A0E" w14:textId="77777777" w:rsidR="00CE1BDB" w:rsidRPr="00FA4DC7" w:rsidRDefault="00CE1BDB" w:rsidP="00CE1BDB">
      <w:pPr>
        <w:pStyle w:val="Maintext"/>
        <w:numPr>
          <w:ilvl w:val="1"/>
          <w:numId w:val="68"/>
        </w:numPr>
        <w:tabs>
          <w:tab w:val="left" w:pos="0"/>
          <w:tab w:val="left" w:pos="1418"/>
        </w:tabs>
        <w:rPr>
          <w:rFonts w:ascii="Arial" w:hAnsi="Arial" w:cs="Arial"/>
          <w:bCs/>
          <w:i/>
          <w:color w:val="000000" w:themeColor="text1"/>
        </w:rPr>
      </w:pPr>
      <w:r w:rsidRPr="00FA4DC7">
        <w:rPr>
          <w:rFonts w:ascii="Arial" w:hAnsi="Arial" w:cs="Arial"/>
        </w:rPr>
        <w:t>Dartford stated ‘</w:t>
      </w:r>
      <w:r w:rsidRPr="00FA4DC7">
        <w:rPr>
          <w:rFonts w:ascii="Arial" w:hAnsi="Arial" w:cs="Arial"/>
          <w:i/>
        </w:rPr>
        <w:t xml:space="preserve">the standard method Local Housing Need output for Dartford is now 750 following the release of the latest affordability data. No Local Plans have been adopted so far on the basis of Dartford helping </w:t>
      </w:r>
      <w:proofErr w:type="gramStart"/>
      <w:r w:rsidRPr="00FA4DC7">
        <w:rPr>
          <w:rFonts w:ascii="Arial" w:hAnsi="Arial" w:cs="Arial"/>
          <w:i/>
        </w:rPr>
        <w:t>meeting</w:t>
      </w:r>
      <w:proofErr w:type="gramEnd"/>
      <w:r w:rsidRPr="00FA4DC7">
        <w:rPr>
          <w:rFonts w:ascii="Arial" w:hAnsi="Arial" w:cs="Arial"/>
          <w:i/>
        </w:rPr>
        <w:t xml:space="preserve"> their need’.</w:t>
      </w:r>
      <w:r w:rsidRPr="00FA4DC7">
        <w:rPr>
          <w:rFonts w:ascii="Arial" w:hAnsi="Arial" w:cs="Arial"/>
        </w:rPr>
        <w:t xml:space="preserve"> </w:t>
      </w:r>
    </w:p>
    <w:p w14:paraId="0EA2B359" w14:textId="77777777" w:rsidR="00CE1BDB" w:rsidRPr="00FA4DC7" w:rsidRDefault="00CE1BDB" w:rsidP="00CE1BDB">
      <w:pPr>
        <w:pStyle w:val="Maintext"/>
        <w:numPr>
          <w:ilvl w:val="1"/>
          <w:numId w:val="68"/>
        </w:numPr>
        <w:tabs>
          <w:tab w:val="left" w:pos="0"/>
          <w:tab w:val="left" w:pos="1418"/>
        </w:tabs>
        <w:rPr>
          <w:rFonts w:ascii="Arial" w:hAnsi="Arial" w:cs="Arial"/>
          <w:bCs/>
          <w:i/>
          <w:color w:val="000000" w:themeColor="text1"/>
        </w:rPr>
      </w:pPr>
      <w:r w:rsidRPr="00FA4DC7">
        <w:rPr>
          <w:rFonts w:ascii="Arial" w:hAnsi="Arial" w:cs="Arial"/>
        </w:rPr>
        <w:t>Maidstone mentioned they were addressing their own needs only.</w:t>
      </w:r>
    </w:p>
    <w:p w14:paraId="12C72557" w14:textId="77777777" w:rsidR="00CE1BDB" w:rsidRPr="00FA4DC7" w:rsidRDefault="00CE1BDB" w:rsidP="00CE1BDB">
      <w:pPr>
        <w:rPr>
          <w:rFonts w:cs="Arial"/>
          <w:bCs/>
        </w:rPr>
      </w:pPr>
    </w:p>
    <w:p w14:paraId="7CF0436F" w14:textId="77777777" w:rsidR="00CE1BDB" w:rsidRPr="00FA4DC7" w:rsidRDefault="00CE1BDB" w:rsidP="00B40527">
      <w:pPr>
        <w:pStyle w:val="Heading2"/>
      </w:pPr>
      <w:bookmarkStart w:id="676" w:name="_Toc23506641"/>
      <w:bookmarkStart w:id="677" w:name="_Toc83035717"/>
      <w:r w:rsidRPr="00FA4DC7">
        <w:t xml:space="preserve">Selling and </w:t>
      </w:r>
      <w:r w:rsidRPr="00B40527">
        <w:t>lettings</w:t>
      </w:r>
      <w:r w:rsidRPr="00FA4DC7">
        <w:t xml:space="preserve"> agents</w:t>
      </w:r>
      <w:bookmarkEnd w:id="676"/>
      <w:bookmarkEnd w:id="677"/>
    </w:p>
    <w:p w14:paraId="2857E872" w14:textId="0FB00039" w:rsidR="00CE1BDB"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following comments were obtained through a review of the current rental and sales market via Right Move and Zoopla and telephone interviews in May 2021:</w:t>
      </w:r>
    </w:p>
    <w:p w14:paraId="6E053989" w14:textId="77777777" w:rsidR="00B40527" w:rsidRPr="00FA4DC7" w:rsidRDefault="00B40527" w:rsidP="00B40527">
      <w:pPr>
        <w:pStyle w:val="Maintext"/>
        <w:numPr>
          <w:ilvl w:val="0"/>
          <w:numId w:val="0"/>
        </w:numPr>
        <w:tabs>
          <w:tab w:val="left" w:pos="0"/>
          <w:tab w:val="left" w:pos="1418"/>
        </w:tabs>
        <w:ind w:left="709"/>
        <w:rPr>
          <w:rFonts w:ascii="Arial" w:hAnsi="Arial" w:cs="Arial"/>
        </w:rPr>
      </w:pPr>
    </w:p>
    <w:p w14:paraId="4F7D1F47" w14:textId="77777777" w:rsidR="00CE1BDB" w:rsidRPr="00B40527" w:rsidRDefault="00CE1BDB" w:rsidP="00B40527">
      <w:pPr>
        <w:pStyle w:val="Heading3"/>
      </w:pPr>
      <w:bookmarkStart w:id="678" w:name="_Toc23506642"/>
      <w:r w:rsidRPr="00FA4DC7">
        <w:t>Gillingham</w:t>
      </w:r>
    </w:p>
    <w:p w14:paraId="0E25B3AC"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House prices in Gillingham have seen a steady increase over the past 5 years with some properties increasing by £100k in value. In May 2021, there were 305 properties up for sale in Gillingham.  There was a wide range of available properties for sale including 6-bed detached properties from £900k, 5-bed detached properties starting from £825k, 4 bed houses from £700k, 3-bed properties from £420k, 2-bed properties from £210k, 2-bed flats from £350k and 1-bed flats from £230k. </w:t>
      </w:r>
    </w:p>
    <w:p w14:paraId="576A8EE5"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In terms of properties to rent there were 141 in Gillingham. The properties for rent included 5-bed houses from £1,400pm, 4-bed houses from £1,350pm, 3-bed houses from £1,250pm, 2-bed houses from £1,075pm and 1-bed houses from £675pm. In terms of apartments, 1-beds were from £1,000pm, 2-beds were from £1,350pm and 3-beds were from £1,300pm.</w:t>
      </w:r>
    </w:p>
    <w:p w14:paraId="2DF8D6FC" w14:textId="101FB0A6" w:rsidR="00CE1BDB" w:rsidRPr="00FA4DC7" w:rsidRDefault="00CE1BDB" w:rsidP="00CE1BDB">
      <w:pPr>
        <w:pStyle w:val="Maintext"/>
        <w:numPr>
          <w:ilvl w:val="1"/>
          <w:numId w:val="68"/>
        </w:numPr>
        <w:tabs>
          <w:tab w:val="left" w:pos="1418"/>
        </w:tabs>
        <w:rPr>
          <w:rFonts w:ascii="Arial" w:hAnsi="Arial" w:cs="Arial"/>
        </w:rPr>
      </w:pPr>
      <w:r w:rsidRPr="00FA4DC7">
        <w:rPr>
          <w:rFonts w:ascii="Arial" w:hAnsi="Arial" w:cs="Arial"/>
        </w:rPr>
        <w:lastRenderedPageBreak/>
        <w:t xml:space="preserve">Active agents in Medway </w:t>
      </w:r>
      <w:proofErr w:type="gramStart"/>
      <w:r w:rsidRPr="00FA4DC7">
        <w:rPr>
          <w:rFonts w:ascii="Arial" w:hAnsi="Arial" w:cs="Arial"/>
        </w:rPr>
        <w:t>include:</w:t>
      </w:r>
      <w:proofErr w:type="gramEnd"/>
      <w:r w:rsidRPr="00FA4DC7">
        <w:rPr>
          <w:rFonts w:ascii="Arial" w:hAnsi="Arial" w:cs="Arial"/>
        </w:rPr>
        <w:t xml:space="preserve">  Century Residential, Cobblestones, Hooper Homes, Mann, Phoenix Property Services, Purple Property, X1 Lettings, Your Move, Wards and Wright &amp; Co.</w:t>
      </w:r>
    </w:p>
    <w:p w14:paraId="3E5C5BB0" w14:textId="2AC8929E" w:rsidR="00CE1BDB" w:rsidRPr="00FA4DC7" w:rsidRDefault="00CE1BDB" w:rsidP="00CE1BDB">
      <w:pPr>
        <w:pStyle w:val="Maintext"/>
        <w:numPr>
          <w:ilvl w:val="1"/>
          <w:numId w:val="68"/>
        </w:numPr>
        <w:tabs>
          <w:tab w:val="left" w:pos="1418"/>
        </w:tabs>
        <w:rPr>
          <w:rFonts w:ascii="Arial" w:hAnsi="Arial" w:cs="Arial"/>
        </w:rPr>
      </w:pPr>
      <w:r w:rsidRPr="00FA4DC7">
        <w:rPr>
          <w:rFonts w:ascii="Arial" w:hAnsi="Arial" w:cs="Arial"/>
        </w:rPr>
        <w:t>After speaking to two of the agents they confirmed that Gillingham is a very popular area which has increased in popularity over the past few years due to the Medway Waterfront Regeneration that has created a number of 1, 2 and 3- bedroom luxury apartments along the River Medway.  Agents advised that Gillingham is also the location for the three Medway University’s student accommodation, which is mainly situated on the waterfront</w:t>
      </w:r>
      <w:r w:rsidRPr="00982F2F">
        <w:rPr>
          <w:rFonts w:ascii="Arial" w:hAnsi="Arial" w:cs="Arial"/>
        </w:rPr>
        <w:t>.</w:t>
      </w:r>
      <w:r w:rsidRPr="00FA4DC7">
        <w:rPr>
          <w:rFonts w:ascii="Arial" w:hAnsi="Arial" w:cs="Arial"/>
        </w:rPr>
        <w:t xml:space="preserve"> Agents didn’t have any view on how the increase in students had impacted on the area and said that they haven’t had graduates approach them after they have finished at university wanting to stay within the area.  Agents felt that the new build purpose build student accommodation on the waterfront complemented the other developments comprising of luxury apartments as well as apartments for shared ownership, thus creating mixed communities in the area. </w:t>
      </w:r>
    </w:p>
    <w:p w14:paraId="7836361E" w14:textId="77777777" w:rsidR="00CE1BDB" w:rsidRPr="00FA4DC7" w:rsidRDefault="00CE1BDB" w:rsidP="00B40527"/>
    <w:p w14:paraId="52C70C2B" w14:textId="77777777" w:rsidR="00CE1BDB" w:rsidRPr="00FA4DC7" w:rsidRDefault="00CE1BDB" w:rsidP="00B40527">
      <w:pPr>
        <w:pStyle w:val="Heading3"/>
      </w:pPr>
      <w:r w:rsidRPr="00FA4DC7">
        <w:t>Chatham</w:t>
      </w:r>
    </w:p>
    <w:p w14:paraId="392A9D6C"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House prices in Chatham have seen a steady increase over the past 5 years with some properties increasing by £50k in value. In May 2021, there were 296 properties up for sale in Chatham. There was a wide range of available properties for sale including 5-bed detached properties starting from £925k, 4-bed houses from £750k, 3-bed properties from £650k, 2-bed properties from £400k, and 1- bed properties from £300k.</w:t>
      </w:r>
    </w:p>
    <w:p w14:paraId="32E5FCDF"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In terms of properties to rent there were 63 in Chatham. The properties for rent included 4-bed houses from £1,500pm, 3-bed houses from £1,700pm, 2-bed houses from £1,000pm and 1-bed houses from £750pm. In terms of apartments, 1-beds were from £925pm, 2-beds were from £1,250pm and 3-beds were from £1,000pm.</w:t>
      </w:r>
    </w:p>
    <w:p w14:paraId="3C22B92D" w14:textId="6BAD87B8" w:rsidR="00CE1BDB" w:rsidRPr="00FA4DC7" w:rsidRDefault="00CE1BDB" w:rsidP="00CE1BDB">
      <w:pPr>
        <w:pStyle w:val="Maintext"/>
        <w:numPr>
          <w:ilvl w:val="1"/>
          <w:numId w:val="68"/>
        </w:numPr>
        <w:tabs>
          <w:tab w:val="left" w:pos="1418"/>
        </w:tabs>
        <w:rPr>
          <w:rFonts w:ascii="Arial" w:hAnsi="Arial" w:cs="Arial"/>
        </w:rPr>
      </w:pPr>
      <w:r w:rsidRPr="00FA4DC7">
        <w:rPr>
          <w:rFonts w:ascii="Arial" w:hAnsi="Arial" w:cs="Arial"/>
        </w:rPr>
        <w:t>There are 6 active agents in Chatham: Mann Lettings, Living, Reeds Rains, Robinson Michael &amp; Jackson, Wards and Your Move.</w:t>
      </w:r>
    </w:p>
    <w:p w14:paraId="1B26B5BD"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After speaking to two of the agents they confirmed that Chatham is a popular area for families due to the majority of properties on offer being 3-bed houses in the area. They mentioned a number of recent developments including a large development of shared ownership houses in Capstone Green which were really popular showing that there is a growing need for more affordable family housing in the area. In addition, the redevelopment of the historic dockyard into family accommodation with parking has seen a change in demographic, bringing young professionals and families into the area who commute to London for work.  </w:t>
      </w:r>
      <w:proofErr w:type="gramStart"/>
      <w:r w:rsidRPr="00FA4DC7">
        <w:rPr>
          <w:rFonts w:ascii="Arial" w:hAnsi="Arial" w:cs="Arial"/>
        </w:rPr>
        <w:t>Also</w:t>
      </w:r>
      <w:proofErr w:type="gramEnd"/>
      <w:r w:rsidRPr="00FA4DC7">
        <w:rPr>
          <w:rFonts w:ascii="Arial" w:hAnsi="Arial" w:cs="Arial"/>
        </w:rPr>
        <w:t xml:space="preserve"> agents mentioned the re-development of the old army barracks into family housing has been a huge asset to the area bringing new and existing families into Chatham.  Agents mentioned that the University of Greenwich is located in Chatham, however agents felt that the majority of students choose to live in Gillingham rather than Chatham due to the other universities being located there and the purpose build student accommodation available in Gillingham. </w:t>
      </w:r>
    </w:p>
    <w:p w14:paraId="3716C497" w14:textId="77777777" w:rsidR="00CE1BDB" w:rsidRPr="00FA4DC7" w:rsidRDefault="00CE1BDB" w:rsidP="00B40527"/>
    <w:p w14:paraId="7F809FC8" w14:textId="77777777" w:rsidR="00CE1BDB" w:rsidRPr="00FA4DC7" w:rsidRDefault="00CE1BDB" w:rsidP="00B40527">
      <w:pPr>
        <w:pStyle w:val="Heading3"/>
      </w:pPr>
      <w:r w:rsidRPr="00FA4DC7">
        <w:lastRenderedPageBreak/>
        <w:t>Rochester</w:t>
      </w:r>
    </w:p>
    <w:p w14:paraId="047EAE13"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House prices in Rochester have seen a steady increase over the past 5 years with properties increasing by £100k. In May 2021, there were 219 properties up for sale in the area. There was a wide range of available properties for sale including 7-bed properties from £1.2m, 6-bed properties from £800k, 5-bed properties from £1m, 4-bed houses from £740k, 3-bed properties from £535k and 2-bed properties from £430k. </w:t>
      </w:r>
    </w:p>
    <w:p w14:paraId="0AE8D078"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In terms of properties to rent there were 43 in Rochester. The properties for rent included 3-bed houses from £1,500pm, 2-bed houses from £1,050pm and 1-bed houses from £995pm. In terms of apartments, 1-beds were from £950pm, 2-beds were from £1,150pm and 3-beds were from £925pm.</w:t>
      </w:r>
    </w:p>
    <w:p w14:paraId="20923C99"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The majority of the agents who were advertising properties in this area were from outside of Medway in Brighton and London. There are 13 active agents in Rochester: Acorn, Belvoir, Country Lettings, Dockside, Greenleaf, Haart, Mann, Martin &amp; Co, Michael Parkes, Regal, Rochester, Wards &amp; Your Move.  </w:t>
      </w:r>
    </w:p>
    <w:p w14:paraId="252B8B7B"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After speaking to the one of the agents they confirmed that Rochester is a popular and historical area of Medway. The area has seen a number of new build developments over the last few years particularly along the waterfront with the creation of a number of 1 and 2-bed luxury apartments with views of the River Medway which has brought a number of new households to the area that have chosen Rochester due to the regeneration activity and its locality to London for commuters.  In additional there have been a number of larger 3 and 4-bed family homes which is what the area needed. Agents confirmed that Rochester has a buoyant housing market that has increased recently due to the ‘no stamp duty’ initiative. Agents have also found movement due to the pandemic and families needed more room internal and externally due to now working from home.</w:t>
      </w:r>
    </w:p>
    <w:p w14:paraId="1292B59E" w14:textId="77777777" w:rsidR="00CE1BDB" w:rsidRPr="00FA4DC7" w:rsidRDefault="00CE1BDB" w:rsidP="00B40527"/>
    <w:p w14:paraId="214E3043" w14:textId="77777777" w:rsidR="00CE1BDB" w:rsidRPr="00FA4DC7" w:rsidRDefault="00CE1BDB" w:rsidP="00B40527">
      <w:pPr>
        <w:pStyle w:val="Heading3"/>
      </w:pPr>
      <w:r w:rsidRPr="00FA4DC7">
        <w:t>Hempstead</w:t>
      </w:r>
    </w:p>
    <w:p w14:paraId="4F9E4737" w14:textId="77777777" w:rsidR="00CE1BDB" w:rsidRPr="00FA4DC7" w:rsidRDefault="00CE1BDB" w:rsidP="00CE1BDB">
      <w:pPr>
        <w:pStyle w:val="Maintext"/>
        <w:numPr>
          <w:ilvl w:val="1"/>
          <w:numId w:val="68"/>
        </w:numPr>
        <w:tabs>
          <w:tab w:val="left" w:pos="1418"/>
        </w:tabs>
        <w:rPr>
          <w:rFonts w:ascii="Arial" w:hAnsi="Arial" w:cs="Arial"/>
        </w:rPr>
      </w:pPr>
      <w:r w:rsidRPr="00FA4DC7">
        <w:rPr>
          <w:rFonts w:ascii="Arial" w:hAnsi="Arial" w:cs="Arial"/>
        </w:rPr>
        <w:t>House prices in Hempstead has seen a steady increase over the past 5 years, with some properties seeing a £100k increase during this time. In May 2021, there were 13 properties up for sale in the area. There was a wide range of available properties for sale including 5-bed homes from £800k, 4-bed houses from £630k, 3-bed properties from £385k to, 2-bed properties from £250k and 1- bed properties from £220k.</w:t>
      </w:r>
    </w:p>
    <w:p w14:paraId="061EF0C3"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In terms of properties to rent there weren’t any to rent in Hempstead.</w:t>
      </w:r>
    </w:p>
    <w:p w14:paraId="6C070BE7"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majority of the agents who were advertising properties in this area were from outside of Medway in London or Maidstone. There weren’t any active agents in Hempstead as the majority were from neighbouring Rainham.</w:t>
      </w:r>
    </w:p>
    <w:p w14:paraId="65609D6B"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After speaking with one of the neighbouring agents they confirmed that Hempstead is a popular area for families, and that there has been a considerable amount of new build development over the past 5 years which has increased the population and demographics in the area particularly large families moving from London into a semi-rural location. Agents advised that the stamp duty holiday has increased activity in the area and that the housing market is very buoyant. Agents felt that the rental market wasn’t as buoyant and that there is an overall shortage of quality properties for rent in the area.</w:t>
      </w:r>
    </w:p>
    <w:p w14:paraId="4683FF7E" w14:textId="77777777" w:rsidR="00CE1BDB" w:rsidRPr="00FA4DC7" w:rsidRDefault="00CE1BDB" w:rsidP="00B40527">
      <w:pPr>
        <w:pStyle w:val="Heading3"/>
      </w:pPr>
      <w:r w:rsidRPr="00FA4DC7">
        <w:lastRenderedPageBreak/>
        <w:t>Rainham</w:t>
      </w:r>
    </w:p>
    <w:p w14:paraId="50ED54A5" w14:textId="77777777" w:rsidR="00CE1BDB" w:rsidRPr="00FA4DC7" w:rsidRDefault="00CE1BDB" w:rsidP="00CE1BDB">
      <w:pPr>
        <w:pStyle w:val="Maintext"/>
        <w:numPr>
          <w:ilvl w:val="1"/>
          <w:numId w:val="68"/>
        </w:numPr>
        <w:tabs>
          <w:tab w:val="left" w:pos="1418"/>
        </w:tabs>
        <w:rPr>
          <w:rFonts w:ascii="Arial" w:hAnsi="Arial" w:cs="Arial"/>
        </w:rPr>
      </w:pPr>
      <w:r w:rsidRPr="00FA4DC7">
        <w:rPr>
          <w:rFonts w:ascii="Arial" w:hAnsi="Arial" w:cs="Arial"/>
        </w:rPr>
        <w:t xml:space="preserve">House prices in Rainham has seen a steady increase over the past 5 years, with some properties seeing a £125k increase during this time. In May 2021, there were 99 properties up for sale in the area. There was a wide range of available properties for sale including 4-bed houses from £1m, 3-bed properties from £419k, 2-bed properties from £275k and 1-bed properties from £210k. </w:t>
      </w:r>
    </w:p>
    <w:p w14:paraId="3BD52FE8"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In terms of properties to rent there were 13 in Rainham. The properties for rent included 3-bed houses from £1,300pm and 2-bed houses from £1,075pm. In terms of apartments, 1-beds were from £695m and 2 beds from £905pm. </w:t>
      </w:r>
    </w:p>
    <w:p w14:paraId="7C9BBBAF"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The majority of the agents who were advertising properties in this area were from outside of Medway in Maidstone and London. There are 6 active agents in Rainham: Your Move, Kayleigh Stevens, Acorn, Harrisons, Phoenix and Mann.</w:t>
      </w:r>
    </w:p>
    <w:p w14:paraId="7D7C11B2"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After speaking to one of the agents they confirmed that Rainham is a very popular and affluent area of Medway. The area has a number of properties that attract the super-rich as they are priced over £1m. The area has also seen a number of new build developments by Linden, Countryside, Redrow, Persimmon and Bellway offering large family 3, 4 and 5-bed homes for sale on semi-rural locations. These new developments have attracted both existing and new households to the area and particularly during the pandemic when households wanted more space for a home office and extended garden space.  Agents advised that there is a need for more affordable housing as some of the existing residents have had to move out of the area due to the increase in house prices. Agents confirmed that the rental market is also popular, however there is a shortage of properties which is pushing the rental prices up in the area.</w:t>
      </w:r>
    </w:p>
    <w:p w14:paraId="1BBFD3E0" w14:textId="597D2AC3" w:rsidR="00CE1BDB" w:rsidRPr="00FA4DC7" w:rsidRDefault="00CE1BDB" w:rsidP="00B40527">
      <w:pPr>
        <w:rPr>
          <w:lang w:eastAsia="en-US"/>
        </w:rPr>
      </w:pPr>
    </w:p>
    <w:p w14:paraId="27A64DA5" w14:textId="77777777" w:rsidR="00794AA3" w:rsidRDefault="00794AA3">
      <w:pPr>
        <w:rPr>
          <w:bCs/>
          <w:iCs/>
          <w:color w:val="006666"/>
          <w:sz w:val="32"/>
          <w:szCs w:val="28"/>
          <w:lang w:eastAsia="en-US"/>
        </w:rPr>
      </w:pPr>
      <w:r>
        <w:br w:type="page"/>
      </w:r>
    </w:p>
    <w:p w14:paraId="292FF5BE" w14:textId="068B436D" w:rsidR="00CE1BDB" w:rsidRPr="00FA4DC7" w:rsidRDefault="00CE1BDB" w:rsidP="00B40527">
      <w:pPr>
        <w:pStyle w:val="Heading2"/>
      </w:pPr>
      <w:bookmarkStart w:id="679" w:name="_Toc83035718"/>
      <w:r w:rsidRPr="00B40527">
        <w:lastRenderedPageBreak/>
        <w:t>Summary</w:t>
      </w:r>
      <w:bookmarkEnd w:id="678"/>
      <w:bookmarkEnd w:id="679"/>
      <w:r w:rsidRPr="00FA4DC7">
        <w:t xml:space="preserve"> </w:t>
      </w:r>
    </w:p>
    <w:p w14:paraId="2FF34ACC" w14:textId="77777777" w:rsidR="00CE1BDB" w:rsidRPr="00FA4DC7" w:rsidRDefault="00CE1BDB" w:rsidP="00CE1BDB">
      <w:pPr>
        <w:pStyle w:val="Maintext"/>
        <w:numPr>
          <w:ilvl w:val="1"/>
          <w:numId w:val="68"/>
        </w:numPr>
        <w:tabs>
          <w:tab w:val="left" w:pos="0"/>
          <w:tab w:val="left" w:pos="1418"/>
        </w:tabs>
        <w:rPr>
          <w:rFonts w:ascii="Arial" w:hAnsi="Arial" w:cs="Arial"/>
        </w:rPr>
      </w:pPr>
      <w:r w:rsidRPr="00FA4DC7">
        <w:rPr>
          <w:rFonts w:ascii="Arial" w:hAnsi="Arial" w:cs="Arial"/>
        </w:rPr>
        <w:t xml:space="preserve">From all of the challenges facing the Medway housing market, stakeholders were asked what the key priorities are for themselves or their organisation. The key priorities identified for are detailed below: </w:t>
      </w:r>
    </w:p>
    <w:p w14:paraId="2389469C" w14:textId="77777777" w:rsidR="00CE1BDB" w:rsidRPr="00FA4DC7" w:rsidRDefault="00CE1BDB" w:rsidP="00B40527">
      <w:pPr>
        <w:pStyle w:val="bullet"/>
      </w:pPr>
      <w:r w:rsidRPr="00FA4DC7">
        <w:t xml:space="preserve">Allocating development in areas where investment will yield the most benefit for existing communities as well as new communities, focussing on a more dispersed distribution of housing across the borough overall when the adopted Local Plan and Local Plan review are considered together. </w:t>
      </w:r>
    </w:p>
    <w:p w14:paraId="6466819F" w14:textId="77777777" w:rsidR="00CE1BDB" w:rsidRPr="00FA4DC7" w:rsidRDefault="00CE1BDB" w:rsidP="00B40527">
      <w:pPr>
        <w:pStyle w:val="bullet"/>
      </w:pPr>
      <w:r w:rsidRPr="00FA4DC7">
        <w:t xml:space="preserve">Working towards submission of draft Local Plan, to secure delivery of a sustainable growth strategy, through investment in urban regeneration and </w:t>
      </w:r>
      <w:proofErr w:type="spellStart"/>
      <w:r w:rsidRPr="00FA4DC7">
        <w:t>Hoo</w:t>
      </w:r>
      <w:proofErr w:type="spellEnd"/>
      <w:r w:rsidRPr="00FA4DC7">
        <w:t xml:space="preserve"> Rural Town that provide for infrastructure improvements and a broad housing mix and avoiding unsustainable suburban sprawl. </w:t>
      </w:r>
    </w:p>
    <w:p w14:paraId="4B879E62" w14:textId="77777777" w:rsidR="00CE1BDB" w:rsidRPr="00FA4DC7" w:rsidRDefault="00CE1BDB" w:rsidP="00B40527">
      <w:pPr>
        <w:pStyle w:val="bullet"/>
      </w:pPr>
      <w:r w:rsidRPr="00FA4DC7">
        <w:t>Affordable, quality one-bedroom move on accommodation.</w:t>
      </w:r>
    </w:p>
    <w:p w14:paraId="2CD3E57A" w14:textId="77777777" w:rsidR="00CE1BDB" w:rsidRPr="00FA4DC7" w:rsidRDefault="00CE1BDB" w:rsidP="00B40527">
      <w:pPr>
        <w:pStyle w:val="bullet"/>
      </w:pPr>
      <w:r w:rsidRPr="00FA4DC7">
        <w:t xml:space="preserve">To support Chatham in delivering inclusive, </w:t>
      </w:r>
      <w:proofErr w:type="gramStart"/>
      <w:r w:rsidRPr="00FA4DC7">
        <w:t>inspiring</w:t>
      </w:r>
      <w:proofErr w:type="gramEnd"/>
      <w:r w:rsidRPr="00FA4DC7">
        <w:t xml:space="preserve"> and affordable change.  </w:t>
      </w:r>
    </w:p>
    <w:p w14:paraId="581744EC" w14:textId="77777777" w:rsidR="00CE1BDB" w:rsidRPr="00FA4DC7" w:rsidRDefault="00CE1BDB" w:rsidP="00B40527">
      <w:pPr>
        <w:pStyle w:val="bullet"/>
      </w:pPr>
      <w:r w:rsidRPr="00FA4DC7">
        <w:t>Maximising the delivery of affordable housing and work closely with landowners/developers to achieve this.</w:t>
      </w:r>
    </w:p>
    <w:p w14:paraId="0FBBF624" w14:textId="77777777" w:rsidR="00CE1BDB" w:rsidRPr="00FA4DC7" w:rsidRDefault="00CE1BDB" w:rsidP="00B40527">
      <w:pPr>
        <w:pStyle w:val="bullet"/>
      </w:pPr>
      <w:r w:rsidRPr="00FA4DC7">
        <w:t>Achieve the target of 204 affordable homes delivered per year.</w:t>
      </w:r>
    </w:p>
    <w:p w14:paraId="38DE85D7" w14:textId="77777777" w:rsidR="00CE1BDB" w:rsidRPr="00FA4DC7" w:rsidRDefault="00CE1BDB" w:rsidP="00B40527">
      <w:pPr>
        <w:pStyle w:val="bullet"/>
      </w:pPr>
      <w:r w:rsidRPr="00FA4DC7">
        <w:t>Delivering new homes to meet the needs of Medway’s residents.</w:t>
      </w:r>
    </w:p>
    <w:p w14:paraId="4BC15CE0" w14:textId="77777777" w:rsidR="00CE1BDB" w:rsidRPr="00FA4DC7" w:rsidRDefault="00CE1BDB" w:rsidP="00B40527">
      <w:pPr>
        <w:pStyle w:val="bullet"/>
      </w:pPr>
      <w:r w:rsidRPr="00FA4DC7">
        <w:t>Larger sites of 20/30/40 houses or flats with planning in the north Kent and central areas.</w:t>
      </w:r>
    </w:p>
    <w:bookmarkEnd w:id="446"/>
    <w:bookmarkEnd w:id="447"/>
    <w:bookmarkEnd w:id="448"/>
    <w:bookmarkEnd w:id="449"/>
    <w:bookmarkEnd w:id="450"/>
    <w:bookmarkEnd w:id="451"/>
    <w:bookmarkEnd w:id="454"/>
    <w:bookmarkEnd w:id="455"/>
    <w:bookmarkEnd w:id="456"/>
    <w:bookmarkEnd w:id="457"/>
    <w:bookmarkEnd w:id="657"/>
    <w:bookmarkEnd w:id="658"/>
    <w:bookmarkEnd w:id="659"/>
    <w:p w14:paraId="5414DA0F" w14:textId="77777777" w:rsidR="00CE1BDB" w:rsidRPr="00FA4DC7" w:rsidRDefault="00CE1BDB" w:rsidP="00CE1BDB">
      <w:pPr>
        <w:ind w:left="360"/>
        <w:rPr>
          <w:rFonts w:cs="Arial"/>
        </w:rPr>
      </w:pPr>
    </w:p>
    <w:sectPr w:rsidR="00CE1BDB" w:rsidRPr="00FA4DC7" w:rsidSect="00EF49A7">
      <w:pgSz w:w="11906" w:h="16838" w:code="9"/>
      <w:pgMar w:top="1440" w:right="1276" w:bottom="1134" w:left="1440" w:header="709"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6" w:author="stephens, tim" w:date="2021-07-26T14:59:00Z" w:initials="st">
    <w:p w14:paraId="4A84B403" w14:textId="77777777" w:rsidR="007F5D13" w:rsidRDefault="007F5D13" w:rsidP="00CE1BDB">
      <w:pPr>
        <w:pStyle w:val="CommentText"/>
      </w:pPr>
      <w:r>
        <w:t>We supplied details of RPs for the survey and a fair number overlap with Medway and Gravesham. We note Gravesham have RP comments in their report - can we check that no comments were made for Medway. RPs covering Medway as follows: Golding Homes,  Home Group,  Hyde, London &amp; Quadrant  Housing Trust,  MHS homes,  Moat Homes, Optiva,  Orbit,  Sage Housing, West Kent Housing Associaton.</w:t>
      </w:r>
      <w:r>
        <w:rPr>
          <w:rStyle w:val="CommentReference"/>
        </w:rPr>
        <w:annotationRef/>
      </w:r>
    </w:p>
    <w:p w14:paraId="5B4093BF" w14:textId="127D1F45" w:rsidR="007F5D13" w:rsidRDefault="007F5D13" w:rsidP="00CE1BDB">
      <w:pPr>
        <w:pStyle w:val="CommentText"/>
      </w:pPr>
      <w:r w:rsidRPr="00982F2F">
        <w:rPr>
          <w:highlight w:val="cyan"/>
        </w:rPr>
        <w:t>DOUBLE CHECKED THIS</w:t>
      </w:r>
      <w:r>
        <w:t xml:space="preserve"> </w:t>
      </w:r>
      <w:r w:rsidRPr="00982F2F">
        <w:rPr>
          <w:highlight w:val="cyan"/>
        </w:rPr>
        <w:t>– none received</w:t>
      </w:r>
    </w:p>
  </w:comment>
  <w:comment w:id="667" w:author="smith, catherine" w:date="2021-07-28T11:43:00Z" w:initials="sc">
    <w:p w14:paraId="421AB4E6" w14:textId="77777777" w:rsidR="007F5D13" w:rsidRDefault="007F5D13" w:rsidP="00CE1BDB">
      <w:pPr>
        <w:pStyle w:val="CommentText"/>
      </w:pPr>
      <w:r>
        <w:t>MC to chase up to see if further comments can be provided.</w:t>
      </w:r>
      <w:r>
        <w:rPr>
          <w:rStyle w:val="CommentReference"/>
        </w:rPr>
        <w:annotationRef/>
      </w:r>
    </w:p>
    <w:p w14:paraId="5770EC70" w14:textId="7DF6BD3C" w:rsidR="007F5D13" w:rsidRDefault="007F5D13" w:rsidP="00CE1BDB">
      <w:pPr>
        <w:pStyle w:val="CommentText"/>
      </w:pPr>
      <w:r>
        <w:t>Confirm no responses recevied from Medway RPS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4093BF" w15:done="1"/>
  <w15:commentEx w15:paraId="5770EC70" w15:paraIdParent="5B4093B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83CCCA" w16cex:dateUtc="2021-07-26T13:59:00Z"/>
  <w16cex:commentExtensible w16cex:durableId="46781D58" w16cex:dateUtc="2021-07-28T1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4093BF" w16cid:durableId="1F83CCCA"/>
  <w16cid:commentId w16cid:paraId="5770EC70" w16cid:durableId="46781D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B7AB7" w14:textId="77777777" w:rsidR="00F517FE" w:rsidRDefault="00F517FE" w:rsidP="00CE1BDB">
      <w:r>
        <w:separator/>
      </w:r>
    </w:p>
  </w:endnote>
  <w:endnote w:type="continuationSeparator" w:id="0">
    <w:p w14:paraId="19B4ADA5" w14:textId="77777777" w:rsidR="00F517FE" w:rsidRDefault="00F517FE" w:rsidP="00CE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
    <w:altName w:val="Arial"/>
    <w:charset w:val="B1"/>
    <w:family w:val="swiss"/>
    <w:pitch w:val="variable"/>
    <w:sig w:usb0="80000A67" w:usb1="00000000" w:usb2="00000000" w:usb3="00000000" w:csb0="000001F7" w:csb1="00000000"/>
  </w:font>
  <w:font w:name="GillSans Light">
    <w:charset w:val="B1"/>
    <w:family w:val="swiss"/>
    <w:pitch w:val="variable"/>
    <w:sig w:usb0="80000A67"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auto"/>
    <w:pitch w:val="variable"/>
    <w:sig w:usb0="E00002FF" w:usb1="5000785B" w:usb2="00000000" w:usb3="00000000" w:csb0="0000019F" w:csb1="00000000"/>
  </w:font>
  <w:font w:name="Gill Sans MT Pro Medium">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F194" w14:textId="77777777" w:rsidR="007F5D13" w:rsidRDefault="007F5D13" w:rsidP="00EF49A7">
    <w:pPr>
      <w:pStyle w:val="Footer-Abra"/>
      <w:pBdr>
        <w:top w:val="single" w:sz="18" w:space="1" w:color="0D5F5D"/>
      </w:pBdr>
      <w:tabs>
        <w:tab w:val="clear" w:pos="8640"/>
        <w:tab w:val="right" w:pos="9356"/>
        <w:tab w:val="right" w:pos="14742"/>
      </w:tabs>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60288" behindDoc="1" locked="0" layoutInCell="1" allowOverlap="1" wp14:anchorId="35DDBA0F" wp14:editId="6AC457F5">
          <wp:simplePos x="0" y="0"/>
          <wp:positionH relativeFrom="column">
            <wp:posOffset>5293360</wp:posOffset>
          </wp:positionH>
          <wp:positionV relativeFrom="paragraph">
            <wp:posOffset>45720</wp:posOffset>
          </wp:positionV>
          <wp:extent cx="466725" cy="269875"/>
          <wp:effectExtent l="0" t="0" r="9525" b="0"/>
          <wp:wrapThrough wrapText="bothSides">
            <wp:wrapPolygon edited="0">
              <wp:start x="0" y="0"/>
              <wp:lineTo x="0" y="19821"/>
              <wp:lineTo x="21159" y="19821"/>
              <wp:lineTo x="21159" y="0"/>
              <wp:lineTo x="0" y="0"/>
            </wp:wrapPolygon>
          </wp:wrapThrough>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BBEB726" w14:textId="77777777" w:rsidR="007F5D13" w:rsidRPr="00F5081B" w:rsidRDefault="007F5D13" w:rsidP="00EF49A7">
    <w:pPr>
      <w:pStyle w:val="Footer-Abra"/>
      <w:tabs>
        <w:tab w:val="clear" w:pos="8640"/>
        <w:tab w:val="right" w:pos="9356"/>
        <w:tab w:val="right" w:pos="14742"/>
      </w:tabs>
      <w:rPr>
        <w:rFonts w:ascii="Arial" w:hAnsi="Arial" w:cs="Arial"/>
        <w:color w:val="009999"/>
        <w:sz w:val="18"/>
        <w:szCs w:val="20"/>
      </w:rPr>
    </w:pPr>
    <w:r>
      <w:rPr>
        <w:rFonts w:ascii="Arial" w:hAnsi="Arial" w:cs="Arial"/>
        <w:color w:val="009999"/>
        <w:sz w:val="18"/>
        <w:szCs w:val="20"/>
      </w:rPr>
      <w:t>November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986A" w14:textId="77777777" w:rsidR="00514258" w:rsidRPr="00A05D32" w:rsidRDefault="00514258" w:rsidP="00514258">
    <w:pPr>
      <w:pStyle w:val="Footer-Abra"/>
      <w:pBdr>
        <w:top w:val="single" w:sz="18" w:space="1" w:color="0D5F5D"/>
      </w:pBdr>
      <w:tabs>
        <w:tab w:val="clear" w:pos="8640"/>
        <w:tab w:val="right" w:pos="9356"/>
        <w:tab w:val="right" w:pos="14742"/>
      </w:tabs>
      <w:spacing w:before="0" w:after="0"/>
      <w:rPr>
        <w:rFonts w:ascii="Arial" w:hAnsi="Arial" w:cs="Arial"/>
        <w:color w:val="0070C0"/>
        <w:sz w:val="20"/>
        <w:szCs w:val="20"/>
      </w:rPr>
    </w:pPr>
    <w:r w:rsidRPr="00A05D32">
      <w:rPr>
        <w:rFonts w:ascii="Arial" w:hAnsi="Arial" w:cs="Arial"/>
        <w:noProof/>
        <w:color w:val="0070C0"/>
        <w:sz w:val="20"/>
        <w:szCs w:val="20"/>
        <w:lang w:eastAsia="en-GB"/>
      </w:rPr>
      <w:drawing>
        <wp:anchor distT="0" distB="0" distL="114300" distR="114300" simplePos="0" relativeHeight="251692032" behindDoc="1" locked="0" layoutInCell="1" allowOverlap="1" wp14:anchorId="3B2057D9" wp14:editId="62D6E2D1">
          <wp:simplePos x="0" y="0"/>
          <wp:positionH relativeFrom="margin">
            <wp:align>right</wp:align>
          </wp:positionH>
          <wp:positionV relativeFrom="paragraph">
            <wp:posOffset>47625</wp:posOffset>
          </wp:positionV>
          <wp:extent cx="466725" cy="269875"/>
          <wp:effectExtent l="0" t="0" r="9525" b="0"/>
          <wp:wrapNone/>
          <wp:docPr id="7509" name="Picture 7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0014DAF3" w14:textId="77777777" w:rsidR="00514258" w:rsidRPr="00A05D32" w:rsidRDefault="00514258" w:rsidP="00514258">
    <w:pPr>
      <w:pStyle w:val="Footer-Abra"/>
      <w:tabs>
        <w:tab w:val="clear" w:pos="4320"/>
        <w:tab w:val="clear" w:pos="8640"/>
        <w:tab w:val="left" w:pos="2205"/>
      </w:tabs>
      <w:spacing w:before="0" w:after="0"/>
      <w:rPr>
        <w:rFonts w:ascii="Arial" w:hAnsi="Arial" w:cs="Arial"/>
        <w:color w:val="006666"/>
        <w:sz w:val="18"/>
        <w:szCs w:val="20"/>
      </w:rPr>
    </w:pPr>
    <w:r w:rsidRPr="00A05D32">
      <w:rPr>
        <w:rFonts w:ascii="Arial" w:hAnsi="Arial" w:cs="Arial"/>
        <w:color w:val="006666"/>
        <w:sz w:val="18"/>
        <w:szCs w:val="20"/>
      </w:rPr>
      <w:t>September 2021</w:t>
    </w:r>
    <w:r w:rsidRPr="00A05D32">
      <w:rPr>
        <w:rFonts w:ascii="Arial" w:hAnsi="Arial" w:cs="Arial"/>
        <w:color w:val="006666"/>
        <w:sz w:val="18"/>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5BA1" w14:textId="77777777" w:rsidR="007F5D13" w:rsidRPr="00495843" w:rsidRDefault="007F5D13" w:rsidP="00EF49A7">
    <w:pPr>
      <w:pStyle w:val="Footer-Abra"/>
      <w:pBdr>
        <w:top w:val="single" w:sz="4" w:space="1" w:color="008080"/>
      </w:pBdr>
      <w:tabs>
        <w:tab w:val="clear" w:pos="4320"/>
        <w:tab w:val="clear" w:pos="8640"/>
        <w:tab w:val="right" w:pos="9356"/>
      </w:tabs>
      <w:rPr>
        <w:rFonts w:ascii="Arial" w:hAnsi="Arial" w:cs="Arial"/>
        <w:szCs w:val="24"/>
      </w:rPr>
    </w:pPr>
    <w:r w:rsidRPr="00495843">
      <w:rPr>
        <w:rFonts w:ascii="Arial" w:hAnsi="Arial" w:cs="Arial"/>
        <w:szCs w:val="24"/>
      </w:rPr>
      <w:t>arc</w:t>
    </w:r>
    <w:r w:rsidRPr="00495843">
      <w:rPr>
        <w:rFonts w:ascii="Arial" w:hAnsi="Arial" w:cs="Arial"/>
        <w:szCs w:val="24"/>
        <w:vertAlign w:val="superscript"/>
      </w:rPr>
      <w:t>4</w:t>
    </w:r>
    <w:r>
      <w:rPr>
        <w:rFonts w:ascii="Arial" w:hAnsi="Arial" w:cs="Arial"/>
        <w:noProof/>
        <w:szCs w:val="24"/>
        <w:lang w:val="en-US"/>
      </w:rPr>
      <mc:AlternateContent>
        <mc:Choice Requires="wps">
          <w:drawing>
            <wp:anchor distT="0" distB="0" distL="114300" distR="114300" simplePos="0" relativeHeight="251663360" behindDoc="0" locked="0" layoutInCell="1" allowOverlap="1" wp14:anchorId="15DE49E8" wp14:editId="46A37E34">
              <wp:simplePos x="0" y="0"/>
              <wp:positionH relativeFrom="column">
                <wp:posOffset>660400</wp:posOffset>
              </wp:positionH>
              <wp:positionV relativeFrom="paragraph">
                <wp:posOffset>3716020</wp:posOffset>
              </wp:positionV>
              <wp:extent cx="1753870" cy="722630"/>
              <wp:effectExtent l="0" t="0" r="24130" b="13970"/>
              <wp:wrapNone/>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14:paraId="23F1BC07" w14:textId="77777777" w:rsidR="007F5D13" w:rsidRDefault="007F5D13" w:rsidP="00EF49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E49E8" id="_x0000_t202" coordsize="21600,21600" o:spt="202" path="m,l,21600r21600,l21600,xe">
              <v:stroke joinstyle="miter"/>
              <v:path gradientshapeok="t" o:connecttype="rect"/>
            </v:shapetype>
            <v:shape id="Text Box 52" o:spid="_x0000_s1026" type="#_x0000_t202" alt="&quot;&quot;" style="position:absolute;left:0;text-align:left;margin-left:52pt;margin-top:292.6pt;width:138.1pt;height: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">
              <v:textbox>
                <w:txbxContent>
                  <w:p w14:paraId="23F1BC07" w14:textId="77777777" w:rsidR="007F5D13" w:rsidRDefault="007F5D13" w:rsidP="00EF49A7"/>
                </w:txbxContent>
              </v:textbox>
            </v:shape>
          </w:pict>
        </mc:Fallback>
      </mc:AlternateContent>
    </w:r>
    <w:r>
      <w:rPr>
        <w:rFonts w:ascii="Arial" w:hAnsi="Arial" w:cs="Arial"/>
        <w:szCs w:val="24"/>
        <w:vertAlign w:val="superscript"/>
      </w:rPr>
      <w:tab/>
    </w:r>
    <w:r w:rsidRPr="0061095C">
      <w:rPr>
        <w:rStyle w:val="PageNumber"/>
        <w:rFonts w:ascii="Arial" w:hAnsi="Arial" w:cs="Arial"/>
      </w:rPr>
      <w:fldChar w:fldCharType="begin"/>
    </w:r>
    <w:r w:rsidRPr="0061095C">
      <w:rPr>
        <w:rStyle w:val="PageNumber"/>
        <w:rFonts w:ascii="Arial" w:hAnsi="Arial" w:cs="Arial"/>
      </w:rPr>
      <w:instrText xml:space="preserve"> PAGE </w:instrText>
    </w:r>
    <w:r w:rsidRPr="0061095C">
      <w:rPr>
        <w:rStyle w:val="PageNumber"/>
        <w:rFonts w:ascii="Arial" w:hAnsi="Arial" w:cs="Arial"/>
      </w:rPr>
      <w:fldChar w:fldCharType="separate"/>
    </w:r>
    <w:r>
      <w:rPr>
        <w:rStyle w:val="PageNumber"/>
        <w:rFonts w:ascii="Arial" w:hAnsi="Arial" w:cs="Arial"/>
        <w:noProof/>
      </w:rPr>
      <w:t>72</w:t>
    </w:r>
    <w:r w:rsidRPr="0061095C">
      <w:rPr>
        <w:rStyle w:val="PageNumber"/>
        <w:rFonts w:ascii="Arial" w:hAnsi="Arial" w:cs="Arial"/>
      </w:rPr>
      <w:fldChar w:fldCharType="end"/>
    </w:r>
  </w:p>
  <w:p w14:paraId="792C0654" w14:textId="77777777" w:rsidR="007F5D13" w:rsidRPr="00CF4DE7" w:rsidRDefault="007F5D13" w:rsidP="00EF49A7">
    <w:pPr>
      <w:pStyle w:val="Footer"/>
      <w:rPr>
        <w:color w:val="008080"/>
        <w:sz w:val="20"/>
        <w:szCs w:val="20"/>
      </w:rPr>
    </w:pPr>
    <w:r w:rsidRPr="00CF4DE7">
      <w:rPr>
        <w:rFonts w:cs="Arial"/>
        <w:color w:val="008080"/>
        <w:sz w:val="20"/>
        <w:szCs w:val="20"/>
      </w:rPr>
      <w:t xml:space="preserve">Barnsley Metropolitan Borough 2014 </w:t>
    </w:r>
    <w:r>
      <w:rPr>
        <w:rFonts w:cs="Arial"/>
        <w:color w:val="008080"/>
        <w:sz w:val="20"/>
        <w:szCs w:val="20"/>
      </w:rPr>
      <w:t>Housing Need Assessment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olor w:val="auto"/>
        <w:sz w:val="20"/>
        <w:szCs w:val="20"/>
        <w:lang w:val="x-none"/>
      </w:rPr>
      <w:id w:val="1771350630"/>
      <w:docPartObj>
        <w:docPartGallery w:val="Page Numbers (Bottom of Page)"/>
        <w:docPartUnique/>
      </w:docPartObj>
    </w:sdtPr>
    <w:sdtEndPr>
      <w:rPr>
        <w:rFonts w:ascii="Calibri" w:hAnsi="Calibri"/>
        <w:color w:val="008080"/>
        <w:lang w:val="en-GB"/>
      </w:rPr>
    </w:sdtEndPr>
    <w:sdtContent>
      <w:sdt>
        <w:sdtPr>
          <w:rPr>
            <w:rFonts w:ascii="Arial" w:hAnsi="Arial"/>
            <w:color w:val="auto"/>
            <w:sz w:val="20"/>
            <w:szCs w:val="20"/>
            <w:lang w:val="x-none"/>
          </w:rPr>
          <w:id w:val="1934397864"/>
          <w:docPartObj>
            <w:docPartGallery w:val="Page Numbers (Bottom of Page)"/>
            <w:docPartUnique/>
          </w:docPartObj>
        </w:sdtPr>
        <w:sdtEndPr>
          <w:rPr>
            <w:rFonts w:ascii="Calibri" w:hAnsi="Calibri"/>
            <w:color w:val="008080"/>
            <w:lang w:val="en-GB"/>
          </w:rPr>
        </w:sdtEndPr>
        <w:sdtContent>
          <w:p w14:paraId="2398EE3F" w14:textId="77777777" w:rsidR="007F5D13" w:rsidRPr="00495843" w:rsidRDefault="007F5D13" w:rsidP="00EF49A7">
            <w:pPr>
              <w:pStyle w:val="Footer-Abra"/>
              <w:pBdr>
                <w:top w:val="single" w:sz="4" w:space="1" w:color="008080"/>
              </w:pBdr>
              <w:tabs>
                <w:tab w:val="clear" w:pos="8640"/>
                <w:tab w:val="right" w:pos="14034"/>
              </w:tabs>
              <w:rPr>
                <w:rFonts w:ascii="Arial" w:hAnsi="Arial" w:cs="Arial"/>
                <w:szCs w:val="24"/>
              </w:rPr>
            </w:pPr>
            <w:r w:rsidRPr="00495843">
              <w:rPr>
                <w:rFonts w:ascii="Arial" w:hAnsi="Arial" w:cs="Arial"/>
                <w:szCs w:val="24"/>
              </w:rPr>
              <w:t>arc</w:t>
            </w:r>
            <w:r w:rsidRPr="00495843">
              <w:rPr>
                <w:rFonts w:ascii="Arial" w:hAnsi="Arial" w:cs="Arial"/>
                <w:szCs w:val="24"/>
                <w:vertAlign w:val="superscript"/>
              </w:rPr>
              <w:t>4</w:t>
            </w:r>
            <w:r>
              <w:rPr>
                <w:rFonts w:ascii="Arial" w:hAnsi="Arial" w:cs="Arial"/>
                <w:noProof/>
                <w:szCs w:val="24"/>
                <w:lang w:eastAsia="en-GB"/>
              </w:rPr>
              <mc:AlternateContent>
                <mc:Choice Requires="wps">
                  <w:drawing>
                    <wp:anchor distT="0" distB="0" distL="114300" distR="114300" simplePos="0" relativeHeight="251659264" behindDoc="0" locked="0" layoutInCell="1" allowOverlap="1" wp14:anchorId="2C7F1339" wp14:editId="5311340E">
                      <wp:simplePos x="0" y="0"/>
                      <wp:positionH relativeFrom="column">
                        <wp:posOffset>660400</wp:posOffset>
                      </wp:positionH>
                      <wp:positionV relativeFrom="paragraph">
                        <wp:posOffset>3716020</wp:posOffset>
                      </wp:positionV>
                      <wp:extent cx="1753870" cy="722630"/>
                      <wp:effectExtent l="0" t="0" r="24130" b="13970"/>
                      <wp:wrapNone/>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14:paraId="6ECBA5FC" w14:textId="77777777" w:rsidR="007F5D13" w:rsidRDefault="007F5D13" w:rsidP="00EF49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F1339" id="_x0000_t202" coordsize="21600,21600" o:spt="202" path="m,l,21600r21600,l21600,xe">
                      <v:stroke joinstyle="miter"/>
                      <v:path gradientshapeok="t" o:connecttype="rect"/>
                    </v:shapetype>
                    <v:shape id="Text Box 48" o:spid="_x0000_s1027" type="#_x0000_t202" alt="&quot;&quot;" style="position:absolute;left:0;text-align:left;margin-left:52pt;margin-top:292.6pt;width:138.1pt;height:5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">
                      <v:textbox>
                        <w:txbxContent>
                          <w:p w14:paraId="6ECBA5FC" w14:textId="77777777" w:rsidR="007F5D13" w:rsidRDefault="007F5D13" w:rsidP="00EF49A7"/>
                        </w:txbxContent>
                      </v:textbox>
                    </v:shape>
                  </w:pict>
                </mc:Fallback>
              </mc:AlternateContent>
            </w:r>
            <w:r w:rsidRPr="00495843">
              <w:rPr>
                <w:rFonts w:ascii="Arial" w:hAnsi="Arial" w:cs="Arial"/>
                <w:szCs w:val="24"/>
                <w:vertAlign w:val="superscript"/>
              </w:rPr>
              <w:tab/>
            </w:r>
            <w:r>
              <w:rPr>
                <w:rFonts w:ascii="Arial" w:hAnsi="Arial" w:cs="Arial"/>
                <w:szCs w:val="24"/>
                <w:vertAlign w:val="superscript"/>
              </w:rPr>
              <w:tab/>
            </w:r>
            <w:r w:rsidRPr="0061095C">
              <w:rPr>
                <w:rStyle w:val="PageNumber"/>
                <w:rFonts w:ascii="Arial" w:hAnsi="Arial" w:cs="Arial"/>
              </w:rPr>
              <w:fldChar w:fldCharType="begin"/>
            </w:r>
            <w:r w:rsidRPr="0061095C">
              <w:rPr>
                <w:rStyle w:val="PageNumber"/>
                <w:rFonts w:ascii="Arial" w:hAnsi="Arial" w:cs="Arial"/>
              </w:rPr>
              <w:instrText xml:space="preserve"> PAGE </w:instrText>
            </w:r>
            <w:r w:rsidRPr="0061095C">
              <w:rPr>
                <w:rStyle w:val="PageNumber"/>
                <w:rFonts w:ascii="Arial" w:hAnsi="Arial" w:cs="Arial"/>
              </w:rPr>
              <w:fldChar w:fldCharType="separate"/>
            </w:r>
            <w:r>
              <w:rPr>
                <w:rStyle w:val="PageNumber"/>
                <w:rFonts w:ascii="Arial" w:hAnsi="Arial" w:cs="Arial"/>
                <w:noProof/>
              </w:rPr>
              <w:t>41</w:t>
            </w:r>
            <w:r w:rsidRPr="0061095C">
              <w:rPr>
                <w:rStyle w:val="PageNumber"/>
                <w:rFonts w:ascii="Arial" w:hAnsi="Arial" w:cs="Arial"/>
              </w:rPr>
              <w:fldChar w:fldCharType="end"/>
            </w:r>
          </w:p>
          <w:p w14:paraId="3CF8B08B" w14:textId="77777777" w:rsidR="007F5D13" w:rsidRPr="00CF4DE7" w:rsidRDefault="007F5D13" w:rsidP="00EF49A7">
            <w:pPr>
              <w:pStyle w:val="Footer"/>
              <w:rPr>
                <w:color w:val="008080"/>
                <w:sz w:val="20"/>
                <w:szCs w:val="20"/>
              </w:rPr>
            </w:pPr>
            <w:r w:rsidRPr="00CF4DE7">
              <w:rPr>
                <w:rFonts w:cs="Arial"/>
                <w:color w:val="008080"/>
                <w:sz w:val="20"/>
                <w:szCs w:val="20"/>
              </w:rPr>
              <w:t xml:space="preserve">Barnsley </w:t>
            </w:r>
            <w:r>
              <w:rPr>
                <w:rFonts w:cs="Arial"/>
                <w:color w:val="008080"/>
                <w:sz w:val="20"/>
                <w:szCs w:val="20"/>
              </w:rPr>
              <w:t>Borough</w:t>
            </w:r>
            <w:r w:rsidRPr="00CF4DE7">
              <w:rPr>
                <w:rFonts w:cs="Arial"/>
                <w:color w:val="008080"/>
                <w:sz w:val="20"/>
                <w:szCs w:val="20"/>
              </w:rPr>
              <w:t xml:space="preserve"> 2014 Strategic Housing Market Assessment</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olor w:val="auto"/>
        <w:sz w:val="20"/>
        <w:szCs w:val="20"/>
        <w:lang w:val="x-none"/>
      </w:rPr>
      <w:id w:val="1199440845"/>
      <w:docPartObj>
        <w:docPartGallery w:val="Page Numbers (Bottom of Page)"/>
        <w:docPartUnique/>
      </w:docPartObj>
    </w:sdtPr>
    <w:sdtEndPr>
      <w:rPr>
        <w:rFonts w:ascii="Calibri" w:hAnsi="Calibri"/>
        <w:color w:val="008080"/>
        <w:lang w:val="en-GB"/>
      </w:rPr>
    </w:sdtEndPr>
    <w:sdtContent>
      <w:sdt>
        <w:sdtPr>
          <w:rPr>
            <w:rFonts w:ascii="Arial" w:hAnsi="Arial"/>
            <w:color w:val="auto"/>
            <w:sz w:val="20"/>
            <w:szCs w:val="20"/>
            <w:lang w:val="x-none"/>
          </w:rPr>
          <w:id w:val="660354481"/>
          <w:docPartObj>
            <w:docPartGallery w:val="Page Numbers (Bottom of Page)"/>
            <w:docPartUnique/>
          </w:docPartObj>
        </w:sdtPr>
        <w:sdtEndPr>
          <w:rPr>
            <w:rFonts w:ascii="Calibri" w:hAnsi="Calibri"/>
            <w:color w:val="008080"/>
            <w:lang w:val="en-GB"/>
          </w:rPr>
        </w:sdtEndPr>
        <w:sdtContent>
          <w:p w14:paraId="016EED74" w14:textId="77777777" w:rsidR="007F5D13" w:rsidRPr="00495843" w:rsidRDefault="007F5D13" w:rsidP="00EF49A7">
            <w:pPr>
              <w:pStyle w:val="Footer-Abra"/>
              <w:pBdr>
                <w:top w:val="single" w:sz="4" w:space="1" w:color="008080"/>
              </w:pBdr>
              <w:tabs>
                <w:tab w:val="clear" w:pos="8640"/>
                <w:tab w:val="right" w:pos="14034"/>
              </w:tabs>
              <w:rPr>
                <w:rFonts w:ascii="Arial" w:hAnsi="Arial" w:cs="Arial"/>
                <w:szCs w:val="24"/>
              </w:rPr>
            </w:pPr>
            <w:r w:rsidRPr="00495843">
              <w:rPr>
                <w:rFonts w:ascii="Arial" w:hAnsi="Arial" w:cs="Arial"/>
                <w:szCs w:val="24"/>
              </w:rPr>
              <w:t>arc</w:t>
            </w:r>
            <w:r w:rsidRPr="00495843">
              <w:rPr>
                <w:rFonts w:ascii="Arial" w:hAnsi="Arial" w:cs="Arial"/>
                <w:szCs w:val="24"/>
                <w:vertAlign w:val="superscript"/>
              </w:rPr>
              <w:t>4</w:t>
            </w:r>
            <w:r>
              <w:rPr>
                <w:rFonts w:ascii="Arial" w:hAnsi="Arial" w:cs="Arial"/>
                <w:noProof/>
                <w:szCs w:val="24"/>
                <w:lang w:eastAsia="en-GB"/>
              </w:rPr>
              <mc:AlternateContent>
                <mc:Choice Requires="wps">
                  <w:drawing>
                    <wp:anchor distT="0" distB="0" distL="114300" distR="114300" simplePos="0" relativeHeight="251661312" behindDoc="0" locked="0" layoutInCell="1" allowOverlap="1" wp14:anchorId="5072116D" wp14:editId="283C7AD2">
                      <wp:simplePos x="0" y="0"/>
                      <wp:positionH relativeFrom="column">
                        <wp:posOffset>660400</wp:posOffset>
                      </wp:positionH>
                      <wp:positionV relativeFrom="paragraph">
                        <wp:posOffset>3716020</wp:posOffset>
                      </wp:positionV>
                      <wp:extent cx="1753870" cy="722630"/>
                      <wp:effectExtent l="0" t="0" r="24130" b="13970"/>
                      <wp:wrapNone/>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14:paraId="75DD8B88" w14:textId="77777777" w:rsidR="007F5D13" w:rsidRDefault="007F5D13" w:rsidP="00EF49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2116D" id="_x0000_t202" coordsize="21600,21600" o:spt="202" path="m,l,21600r21600,l21600,xe">
                      <v:stroke joinstyle="miter"/>
                      <v:path gradientshapeok="t" o:connecttype="rect"/>
                    </v:shapetype>
                    <v:shape id="Text Box 51" o:spid="_x0000_s1028" type="#_x0000_t202" alt="&quot;&quot;" style="position:absolute;left:0;text-align:left;margin-left:52pt;margin-top:292.6pt;width:138.1pt;height:5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">
                      <v:textbox>
                        <w:txbxContent>
                          <w:p w14:paraId="75DD8B88" w14:textId="77777777" w:rsidR="007F5D13" w:rsidRDefault="007F5D13" w:rsidP="00EF49A7"/>
                        </w:txbxContent>
                      </v:textbox>
                    </v:shape>
                  </w:pict>
                </mc:Fallback>
              </mc:AlternateContent>
            </w:r>
            <w:r w:rsidRPr="00495843">
              <w:rPr>
                <w:rFonts w:ascii="Arial" w:hAnsi="Arial" w:cs="Arial"/>
                <w:szCs w:val="24"/>
                <w:vertAlign w:val="superscript"/>
              </w:rPr>
              <w:tab/>
            </w:r>
            <w:r>
              <w:rPr>
                <w:rFonts w:ascii="Arial" w:hAnsi="Arial" w:cs="Arial"/>
                <w:szCs w:val="24"/>
                <w:vertAlign w:val="superscript"/>
              </w:rPr>
              <w:tab/>
            </w:r>
            <w:r w:rsidRPr="0061095C">
              <w:rPr>
                <w:rStyle w:val="PageNumber"/>
                <w:rFonts w:ascii="Arial" w:hAnsi="Arial" w:cs="Arial"/>
              </w:rPr>
              <w:fldChar w:fldCharType="begin"/>
            </w:r>
            <w:r w:rsidRPr="0061095C">
              <w:rPr>
                <w:rStyle w:val="PageNumber"/>
                <w:rFonts w:ascii="Arial" w:hAnsi="Arial" w:cs="Arial"/>
              </w:rPr>
              <w:instrText xml:space="preserve"> PAGE </w:instrText>
            </w:r>
            <w:r w:rsidRPr="0061095C">
              <w:rPr>
                <w:rStyle w:val="PageNumber"/>
                <w:rFonts w:ascii="Arial" w:hAnsi="Arial" w:cs="Arial"/>
              </w:rPr>
              <w:fldChar w:fldCharType="separate"/>
            </w:r>
            <w:r>
              <w:rPr>
                <w:rStyle w:val="PageNumber"/>
                <w:rFonts w:ascii="Arial" w:hAnsi="Arial" w:cs="Arial"/>
                <w:noProof/>
              </w:rPr>
              <w:t>41</w:t>
            </w:r>
            <w:r w:rsidRPr="0061095C">
              <w:rPr>
                <w:rStyle w:val="PageNumber"/>
                <w:rFonts w:ascii="Arial" w:hAnsi="Arial" w:cs="Arial"/>
              </w:rPr>
              <w:fldChar w:fldCharType="end"/>
            </w:r>
          </w:p>
          <w:p w14:paraId="17983DFB" w14:textId="77777777" w:rsidR="007F5D13" w:rsidRPr="00CF4DE7" w:rsidRDefault="007F5D13" w:rsidP="00EF49A7">
            <w:pPr>
              <w:pStyle w:val="Footer"/>
              <w:rPr>
                <w:color w:val="008080"/>
                <w:sz w:val="20"/>
                <w:szCs w:val="20"/>
              </w:rPr>
            </w:pPr>
            <w:r w:rsidRPr="00CF4DE7">
              <w:rPr>
                <w:rFonts w:cs="Arial"/>
                <w:color w:val="008080"/>
                <w:sz w:val="20"/>
                <w:szCs w:val="20"/>
              </w:rPr>
              <w:t xml:space="preserve">Barnsley </w:t>
            </w:r>
            <w:r>
              <w:rPr>
                <w:rFonts w:cs="Arial"/>
                <w:color w:val="008080"/>
                <w:sz w:val="20"/>
                <w:szCs w:val="20"/>
              </w:rPr>
              <w:t>Borough</w:t>
            </w:r>
            <w:r w:rsidRPr="00CF4DE7">
              <w:rPr>
                <w:rFonts w:cs="Arial"/>
                <w:color w:val="008080"/>
                <w:sz w:val="20"/>
                <w:szCs w:val="20"/>
              </w:rPr>
              <w:t xml:space="preserve"> 2014 Strategic Housing Market Assessment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D2E3E" w14:textId="77777777" w:rsidR="00F517FE" w:rsidRDefault="00F517FE" w:rsidP="00CE1BDB">
      <w:r>
        <w:separator/>
      </w:r>
    </w:p>
  </w:footnote>
  <w:footnote w:type="continuationSeparator" w:id="0">
    <w:p w14:paraId="2BD522FE" w14:textId="77777777" w:rsidR="00F517FE" w:rsidRDefault="00F517FE" w:rsidP="00CE1BDB">
      <w:r>
        <w:continuationSeparator/>
      </w:r>
    </w:p>
  </w:footnote>
  <w:footnote w:id="1">
    <w:p w14:paraId="70119C51" w14:textId="77777777" w:rsidR="007F5D13" w:rsidRPr="00F94771" w:rsidRDefault="007F5D13" w:rsidP="00CE1BDB">
      <w:pPr>
        <w:rPr>
          <w:sz w:val="16"/>
          <w:szCs w:val="16"/>
        </w:rPr>
      </w:pPr>
      <w:r w:rsidRPr="00F94771">
        <w:rPr>
          <w:rStyle w:val="FootnoteReference"/>
          <w:sz w:val="16"/>
          <w:szCs w:val="16"/>
        </w:rPr>
        <w:footnoteRef/>
      </w:r>
      <w:r w:rsidRPr="00F94771">
        <w:rPr>
          <w:rFonts w:asciiTheme="minorHAnsi" w:hAnsiTheme="minorHAnsi" w:cstheme="minorHAnsi"/>
          <w:sz w:val="16"/>
          <w:szCs w:val="16"/>
        </w:rPr>
        <w:t xml:space="preserve"> PPG 2019 </w:t>
      </w:r>
      <w:r w:rsidRPr="00F94771">
        <w:rPr>
          <w:rFonts w:asciiTheme="minorHAnsi" w:hAnsiTheme="minorHAnsi" w:cstheme="minorHAnsi"/>
          <w:color w:val="0B0C0C"/>
          <w:sz w:val="16"/>
          <w:szCs w:val="16"/>
          <w:shd w:val="clear" w:color="auto" w:fill="FFFFFF"/>
        </w:rPr>
        <w:t>Paragraph: 001 Reference ID: 2a-001-20190220</w:t>
      </w:r>
    </w:p>
  </w:footnote>
  <w:footnote w:id="2">
    <w:p w14:paraId="6EA6D0F9" w14:textId="77777777" w:rsidR="007F5D13" w:rsidRPr="00E662BE" w:rsidRDefault="007F5D13" w:rsidP="00CE1BDB">
      <w:pPr>
        <w:rPr>
          <w:rFonts w:asciiTheme="minorHAnsi" w:hAnsiTheme="minorHAnsi" w:cstheme="minorHAnsi"/>
          <w:szCs w:val="16"/>
          <w:lang w:val="en-US"/>
        </w:rPr>
      </w:pPr>
      <w:r w:rsidRPr="00E662BE">
        <w:rPr>
          <w:rStyle w:val="FootnoteReference"/>
          <w:rFonts w:asciiTheme="minorHAnsi" w:hAnsiTheme="minorHAnsi" w:cstheme="minorHAnsi"/>
          <w:sz w:val="16"/>
          <w:szCs w:val="16"/>
        </w:rPr>
        <w:footnoteRef/>
      </w:r>
      <w:r w:rsidRPr="00E662BE">
        <w:rPr>
          <w:rFonts w:asciiTheme="minorHAnsi" w:hAnsiTheme="minorHAnsi" w:cstheme="minorHAnsi"/>
          <w:sz w:val="16"/>
          <w:szCs w:val="16"/>
        </w:rPr>
        <w:t xml:space="preserve"> </w:t>
      </w:r>
      <w:r>
        <w:rPr>
          <w:rFonts w:asciiTheme="minorHAnsi" w:hAnsiTheme="minorHAnsi" w:cstheme="minorHAnsi"/>
          <w:sz w:val="16"/>
          <w:szCs w:val="16"/>
        </w:rPr>
        <w:t xml:space="preserve">PPG 2019 </w:t>
      </w:r>
      <w:r w:rsidRPr="00E662BE">
        <w:rPr>
          <w:rFonts w:asciiTheme="minorHAnsi" w:hAnsiTheme="minorHAnsi" w:cstheme="minorHAnsi"/>
          <w:color w:val="0B0C0C"/>
          <w:sz w:val="16"/>
          <w:szCs w:val="16"/>
          <w:shd w:val="clear" w:color="auto" w:fill="FFFFFF"/>
        </w:rPr>
        <w:t>Paragraph: 0</w:t>
      </w:r>
      <w:r>
        <w:rPr>
          <w:rFonts w:asciiTheme="minorHAnsi" w:hAnsiTheme="minorHAnsi" w:cstheme="minorHAnsi"/>
          <w:color w:val="0B0C0C"/>
          <w:sz w:val="16"/>
          <w:szCs w:val="16"/>
          <w:shd w:val="clear" w:color="auto" w:fill="FFFFFF"/>
        </w:rPr>
        <w:t>18</w:t>
      </w:r>
      <w:r w:rsidRPr="00E662BE">
        <w:rPr>
          <w:rFonts w:asciiTheme="minorHAnsi" w:hAnsiTheme="minorHAnsi" w:cstheme="minorHAnsi"/>
          <w:color w:val="0B0C0C"/>
          <w:sz w:val="16"/>
          <w:szCs w:val="16"/>
          <w:shd w:val="clear" w:color="auto" w:fill="FFFFFF"/>
        </w:rPr>
        <w:t xml:space="preserve"> Reference ID: 2a-0</w:t>
      </w:r>
      <w:r>
        <w:rPr>
          <w:rFonts w:asciiTheme="minorHAnsi" w:hAnsiTheme="minorHAnsi" w:cstheme="minorHAnsi"/>
          <w:color w:val="0B0C0C"/>
          <w:sz w:val="16"/>
          <w:szCs w:val="16"/>
          <w:shd w:val="clear" w:color="auto" w:fill="FFFFFF"/>
        </w:rPr>
        <w:t>18</w:t>
      </w:r>
      <w:r w:rsidRPr="00E662BE">
        <w:rPr>
          <w:rFonts w:asciiTheme="minorHAnsi" w:hAnsiTheme="minorHAnsi" w:cstheme="minorHAnsi"/>
          <w:color w:val="0B0C0C"/>
          <w:sz w:val="16"/>
          <w:szCs w:val="16"/>
          <w:shd w:val="clear" w:color="auto" w:fill="FFFFFF"/>
        </w:rPr>
        <w:t>-201</w:t>
      </w:r>
      <w:r>
        <w:rPr>
          <w:rFonts w:asciiTheme="minorHAnsi" w:hAnsiTheme="minorHAnsi" w:cstheme="minorHAnsi"/>
          <w:color w:val="0B0C0C"/>
          <w:sz w:val="16"/>
          <w:szCs w:val="16"/>
          <w:shd w:val="clear" w:color="auto" w:fill="FFFFFF"/>
        </w:rPr>
        <w:t>90220</w:t>
      </w:r>
    </w:p>
  </w:footnote>
  <w:footnote w:id="3">
    <w:p w14:paraId="10ABE2E9" w14:textId="77777777" w:rsidR="007F5D13" w:rsidRPr="00A916E6" w:rsidRDefault="007F5D13" w:rsidP="00CE1BDB">
      <w:pPr>
        <w:pStyle w:val="FootnoteText"/>
        <w:rPr>
          <w:lang w:val="en-US"/>
        </w:rPr>
      </w:pPr>
      <w:r w:rsidRPr="00E662BE">
        <w:rPr>
          <w:rStyle w:val="FootnoteReference"/>
          <w:rFonts w:asciiTheme="minorHAnsi" w:hAnsiTheme="minorHAnsi" w:cstheme="minorHAnsi"/>
          <w:szCs w:val="16"/>
        </w:rPr>
        <w:footnoteRef/>
      </w:r>
      <w:r w:rsidRPr="00E662BE">
        <w:rPr>
          <w:rFonts w:asciiTheme="minorHAnsi" w:hAnsiTheme="minorHAnsi" w:cstheme="minorHAnsi"/>
          <w:szCs w:val="16"/>
        </w:rPr>
        <w:t xml:space="preserve"> </w:t>
      </w:r>
      <w:r>
        <w:rPr>
          <w:rFonts w:asciiTheme="minorHAnsi" w:hAnsiTheme="minorHAnsi" w:cstheme="minorHAnsi"/>
          <w:szCs w:val="16"/>
        </w:rPr>
        <w:t xml:space="preserve">PPG 2019 </w:t>
      </w:r>
      <w:r w:rsidRPr="00E662BE">
        <w:rPr>
          <w:rFonts w:asciiTheme="minorHAnsi" w:hAnsiTheme="minorHAnsi" w:cstheme="minorHAnsi"/>
          <w:color w:val="0B0C0C"/>
          <w:szCs w:val="16"/>
          <w:shd w:val="clear" w:color="auto" w:fill="FFFFFF"/>
        </w:rPr>
        <w:t>Paragraph: 0</w:t>
      </w:r>
      <w:r>
        <w:rPr>
          <w:rFonts w:asciiTheme="minorHAnsi" w:hAnsiTheme="minorHAnsi" w:cstheme="minorHAnsi"/>
          <w:color w:val="0B0C0C"/>
          <w:szCs w:val="16"/>
          <w:shd w:val="clear" w:color="auto" w:fill="FFFFFF"/>
        </w:rPr>
        <w:t>19</w:t>
      </w:r>
      <w:r w:rsidRPr="00E662BE">
        <w:rPr>
          <w:rFonts w:asciiTheme="minorHAnsi" w:hAnsiTheme="minorHAnsi" w:cstheme="minorHAnsi"/>
          <w:color w:val="0B0C0C"/>
          <w:szCs w:val="16"/>
          <w:shd w:val="clear" w:color="auto" w:fill="FFFFFF"/>
        </w:rPr>
        <w:t xml:space="preserve"> Reference ID: 2a-0</w:t>
      </w:r>
      <w:r>
        <w:rPr>
          <w:rFonts w:asciiTheme="minorHAnsi" w:hAnsiTheme="minorHAnsi" w:cstheme="minorHAnsi"/>
          <w:color w:val="0B0C0C"/>
          <w:szCs w:val="16"/>
          <w:shd w:val="clear" w:color="auto" w:fill="FFFFFF"/>
        </w:rPr>
        <w:t>19</w:t>
      </w:r>
      <w:r w:rsidRPr="00E662BE">
        <w:rPr>
          <w:rFonts w:asciiTheme="minorHAnsi" w:hAnsiTheme="minorHAnsi" w:cstheme="minorHAnsi"/>
          <w:color w:val="0B0C0C"/>
          <w:szCs w:val="16"/>
          <w:shd w:val="clear" w:color="auto" w:fill="FFFFFF"/>
        </w:rPr>
        <w:t>-20</w:t>
      </w:r>
      <w:r>
        <w:rPr>
          <w:rFonts w:asciiTheme="minorHAnsi" w:hAnsiTheme="minorHAnsi" w:cstheme="minorHAnsi"/>
          <w:color w:val="0B0C0C"/>
          <w:szCs w:val="16"/>
          <w:shd w:val="clear" w:color="auto" w:fill="FFFFFF"/>
        </w:rPr>
        <w:t>190220</w:t>
      </w:r>
    </w:p>
  </w:footnote>
  <w:footnote w:id="4">
    <w:p w14:paraId="2D2CC143" w14:textId="77777777" w:rsidR="007F5D13" w:rsidRPr="00CD7713" w:rsidRDefault="007F5D13" w:rsidP="00CE1BDB">
      <w:pPr>
        <w:pStyle w:val="FootnoteText"/>
        <w:rPr>
          <w:lang w:val="en-US"/>
        </w:rPr>
      </w:pPr>
      <w:r>
        <w:rPr>
          <w:rStyle w:val="FootnoteReference"/>
        </w:rPr>
        <w:footnoteRef/>
      </w:r>
      <w:r>
        <w:t xml:space="preserve"> </w:t>
      </w:r>
      <w:r>
        <w:rPr>
          <w:lang w:val="en-US"/>
        </w:rPr>
        <w:t>PPG 2019 Paragraph 021 Reference ID 2a-021-20190220</w:t>
      </w:r>
    </w:p>
  </w:footnote>
  <w:footnote w:id="5">
    <w:p w14:paraId="28FEFF28" w14:textId="77777777" w:rsidR="007F5D13" w:rsidRPr="007525DB" w:rsidRDefault="007F5D13" w:rsidP="00CE1BDB">
      <w:pPr>
        <w:pStyle w:val="FootnoteText"/>
        <w:rPr>
          <w:lang w:val="en-US"/>
        </w:rPr>
      </w:pPr>
      <w:r>
        <w:rPr>
          <w:rStyle w:val="FootnoteReference"/>
        </w:rPr>
        <w:footnoteRef/>
      </w:r>
      <w:r>
        <w:t xml:space="preserve"> D</w:t>
      </w:r>
      <w:r>
        <w:rPr>
          <w:lang w:val="en-US"/>
        </w:rPr>
        <w:t>CLG Strategic Housing Market Assessments Practice Guidance Version 2 August 2007</w:t>
      </w:r>
    </w:p>
  </w:footnote>
  <w:footnote w:id="6">
    <w:p w14:paraId="598F76E0" w14:textId="77777777" w:rsidR="007F5D13" w:rsidRPr="007525DB" w:rsidRDefault="007F5D13" w:rsidP="00CE1BDB">
      <w:pPr>
        <w:pStyle w:val="FootnoteText"/>
        <w:rPr>
          <w:lang w:val="en-US"/>
        </w:rPr>
      </w:pPr>
      <w:r>
        <w:rPr>
          <w:rStyle w:val="FootnoteReference"/>
        </w:rPr>
        <w:footnoteRef/>
      </w:r>
      <w:r>
        <w:t xml:space="preserve"> </w:t>
      </w:r>
      <w:r>
        <w:rPr>
          <w:lang w:val="en-US"/>
        </w:rPr>
        <w:t>This is the maximum single or joint household income multiple offered by First Direct July 2020</w:t>
      </w:r>
    </w:p>
  </w:footnote>
  <w:footnote w:id="7">
    <w:p w14:paraId="6FD044F1" w14:textId="77777777" w:rsidR="007F5D13" w:rsidRPr="007F4BB0" w:rsidRDefault="007F5D13" w:rsidP="00CE1BDB">
      <w:pPr>
        <w:pStyle w:val="FootnoteText"/>
        <w:rPr>
          <w:rFonts w:asciiTheme="minorHAnsi" w:hAnsiTheme="minorHAnsi" w:cstheme="minorHAnsi"/>
          <w:szCs w:val="16"/>
          <w:lang w:val="en-US"/>
        </w:rPr>
      </w:pPr>
      <w:r w:rsidRPr="007F4BB0">
        <w:rPr>
          <w:rStyle w:val="FootnoteReference"/>
          <w:rFonts w:asciiTheme="minorHAnsi" w:hAnsiTheme="minorHAnsi" w:cstheme="minorHAnsi"/>
          <w:szCs w:val="16"/>
        </w:rPr>
        <w:footnoteRef/>
      </w:r>
      <w:r w:rsidRPr="007F4BB0">
        <w:rPr>
          <w:rFonts w:asciiTheme="minorHAnsi" w:hAnsiTheme="minorHAnsi" w:cstheme="minorHAnsi"/>
          <w:szCs w:val="16"/>
        </w:rPr>
        <w:t xml:space="preserve"> </w:t>
      </w:r>
      <w:r w:rsidRPr="007F4BB0">
        <w:rPr>
          <w:rFonts w:asciiTheme="minorHAnsi" w:hAnsiTheme="minorHAnsi" w:cstheme="minorHAnsi"/>
          <w:color w:val="0B0C0C"/>
          <w:szCs w:val="16"/>
          <w:shd w:val="clear" w:color="auto" w:fill="FFFFFF"/>
        </w:rPr>
        <w:t>Paragraph: 02</w:t>
      </w:r>
      <w:r>
        <w:rPr>
          <w:rFonts w:asciiTheme="minorHAnsi" w:hAnsiTheme="minorHAnsi" w:cstheme="minorHAnsi"/>
          <w:color w:val="0B0C0C"/>
          <w:szCs w:val="16"/>
          <w:shd w:val="clear" w:color="auto" w:fill="FFFFFF"/>
        </w:rPr>
        <w:t>0</w:t>
      </w:r>
      <w:r w:rsidRPr="007F4BB0">
        <w:rPr>
          <w:rFonts w:asciiTheme="minorHAnsi" w:hAnsiTheme="minorHAnsi" w:cstheme="minorHAnsi"/>
          <w:color w:val="0B0C0C"/>
          <w:szCs w:val="16"/>
          <w:shd w:val="clear" w:color="auto" w:fill="FFFFFF"/>
        </w:rPr>
        <w:t xml:space="preserve"> Reference ID: 2a-021-201</w:t>
      </w:r>
      <w:r>
        <w:rPr>
          <w:rFonts w:asciiTheme="minorHAnsi" w:hAnsiTheme="minorHAnsi" w:cstheme="minorHAnsi"/>
          <w:color w:val="0B0C0C"/>
          <w:szCs w:val="16"/>
          <w:shd w:val="clear" w:color="auto" w:fill="FFFFFF"/>
        </w:rPr>
        <w:t>90220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8D81" w14:textId="77777777" w:rsidR="007F5D13" w:rsidRPr="004B1CF8" w:rsidRDefault="001163AD" w:rsidP="00EF49A7">
    <w:pPr>
      <w:pStyle w:val="Header"/>
      <w:pBdr>
        <w:bottom w:val="single" w:sz="18" w:space="1" w:color="0D5F5D"/>
      </w:pBdr>
      <w:tabs>
        <w:tab w:val="clear" w:pos="4153"/>
        <w:tab w:val="clear" w:pos="8306"/>
        <w:tab w:val="left" w:pos="6855"/>
        <w:tab w:val="right" w:pos="9072"/>
        <w:tab w:val="right" w:pos="14034"/>
      </w:tabs>
      <w:ind w:right="-29"/>
      <w:rPr>
        <w:b/>
        <w:bCs/>
        <w:color w:val="009999"/>
        <w:sz w:val="18"/>
        <w:szCs w:val="18"/>
      </w:rPr>
    </w:pPr>
    <w:sdt>
      <w:sdtPr>
        <w:rPr>
          <w:color w:val="009999"/>
          <w:sz w:val="18"/>
          <w:szCs w:val="18"/>
        </w:rPr>
        <w:id w:val="488839456"/>
        <w:docPartObj>
          <w:docPartGallery w:val="Page Numbers (Top of Page)"/>
          <w:docPartUnique/>
        </w:docPartObj>
      </w:sdtPr>
      <w:sdtEndPr>
        <w:rPr>
          <w:b/>
          <w:bCs/>
          <w:noProof/>
        </w:rPr>
      </w:sdtEndPr>
      <w:sdtContent>
        <w:r w:rsidR="007F5D13">
          <w:rPr>
            <w:color w:val="009999"/>
            <w:sz w:val="18"/>
            <w:szCs w:val="18"/>
          </w:rPr>
          <w:t>State of the Market Report Trafford MBC</w:t>
        </w:r>
        <w:r w:rsidR="007F5D13" w:rsidRPr="004B1CF8">
          <w:rPr>
            <w:color w:val="009999"/>
            <w:sz w:val="18"/>
            <w:szCs w:val="18"/>
          </w:rPr>
          <w:tab/>
        </w:r>
        <w:r w:rsidR="007F5D13">
          <w:rPr>
            <w:color w:val="009999"/>
            <w:sz w:val="18"/>
            <w:szCs w:val="18"/>
          </w:rPr>
          <w:tab/>
        </w:r>
        <w:r w:rsidR="007F5D13" w:rsidRPr="004B1CF8">
          <w:rPr>
            <w:color w:val="009999"/>
            <w:sz w:val="18"/>
            <w:szCs w:val="18"/>
          </w:rPr>
          <w:t xml:space="preserve"> Page | </w:t>
        </w:r>
        <w:r w:rsidR="007F5D13" w:rsidRPr="004B1CF8">
          <w:rPr>
            <w:color w:val="009999"/>
            <w:sz w:val="18"/>
            <w:szCs w:val="18"/>
          </w:rPr>
          <w:fldChar w:fldCharType="begin"/>
        </w:r>
        <w:r w:rsidR="007F5D13" w:rsidRPr="004B1CF8">
          <w:rPr>
            <w:color w:val="009999"/>
            <w:sz w:val="18"/>
            <w:szCs w:val="18"/>
          </w:rPr>
          <w:instrText xml:space="preserve"> PAGE   \* MERGEFORMAT </w:instrText>
        </w:r>
        <w:r w:rsidR="007F5D13" w:rsidRPr="004B1CF8">
          <w:rPr>
            <w:color w:val="009999"/>
            <w:sz w:val="18"/>
            <w:szCs w:val="18"/>
          </w:rPr>
          <w:fldChar w:fldCharType="separate"/>
        </w:r>
        <w:r w:rsidR="007F5D13" w:rsidRPr="009F4C14">
          <w:rPr>
            <w:b/>
            <w:bCs/>
            <w:noProof/>
            <w:color w:val="009999"/>
            <w:sz w:val="18"/>
            <w:szCs w:val="18"/>
          </w:rPr>
          <w:t>26</w:t>
        </w:r>
        <w:r w:rsidR="007F5D13" w:rsidRPr="004B1CF8">
          <w:rPr>
            <w:b/>
            <w:bCs/>
            <w:noProof/>
            <w:color w:val="009999"/>
            <w:sz w:val="18"/>
            <w:szCs w:val="18"/>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A404" w14:textId="77777777" w:rsidR="007F5D13" w:rsidRPr="00193601" w:rsidRDefault="007F5D13" w:rsidP="00EF49A7">
    <w:pPr>
      <w:pStyle w:val="Header"/>
      <w:pBdr>
        <w:bottom w:val="single" w:sz="18" w:space="1" w:color="0D5F5D"/>
      </w:pBdr>
      <w:tabs>
        <w:tab w:val="clear" w:pos="4153"/>
        <w:tab w:val="clear" w:pos="8306"/>
        <w:tab w:val="right" w:pos="14175"/>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ADCC" w14:textId="77777777" w:rsidR="007F5D13" w:rsidRPr="00193601" w:rsidRDefault="007F5D13" w:rsidP="00EF49A7">
    <w:pPr>
      <w:pStyle w:val="Header"/>
      <w:pBdr>
        <w:bottom w:val="single" w:sz="18" w:space="1" w:color="0D5F5D"/>
      </w:pBdr>
      <w:tabs>
        <w:tab w:val="clear" w:pos="4153"/>
        <w:tab w:val="clear" w:pos="8306"/>
        <w:tab w:val="right" w:pos="9214"/>
        <w:tab w:val="right" w:pos="14175"/>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8BF8" w14:textId="77777777" w:rsidR="007F5D13" w:rsidRPr="00193601" w:rsidRDefault="007F5D13" w:rsidP="00E871A8">
    <w:pPr>
      <w:pStyle w:val="Header"/>
      <w:pBdr>
        <w:bottom w:val="single" w:sz="18" w:space="1" w:color="0D5F5D"/>
      </w:pBdr>
      <w:tabs>
        <w:tab w:val="clear" w:pos="4153"/>
        <w:tab w:val="clear" w:pos="8306"/>
        <w:tab w:val="right" w:pos="15024"/>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AB5A" w14:textId="77777777" w:rsidR="007F5D13" w:rsidRPr="00193601" w:rsidRDefault="007F5D13" w:rsidP="00E871A8">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8297" w14:textId="64C6FB67" w:rsidR="007F5D13" w:rsidRPr="00193601" w:rsidRDefault="007F5D13" w:rsidP="00E871A8">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sidRPr="00193601">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3068" w14:textId="77777777" w:rsidR="007F5D13" w:rsidRPr="00193601" w:rsidRDefault="007F5D13" w:rsidP="00EF49A7">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sidRPr="00193601">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ADD4" w14:textId="77777777" w:rsidR="007F5D13" w:rsidRPr="00193601" w:rsidRDefault="007F5D13" w:rsidP="00EF49A7">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sidRPr="00193601">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B171" w14:textId="77777777" w:rsidR="007F5D13" w:rsidRPr="00193601" w:rsidRDefault="007F5D13" w:rsidP="00EF49A7">
    <w:pPr>
      <w:pStyle w:val="Header"/>
      <w:pBdr>
        <w:bottom w:val="single" w:sz="18" w:space="1" w:color="0D5F5D"/>
      </w:pBdr>
      <w:tabs>
        <w:tab w:val="clear" w:pos="4153"/>
        <w:tab w:val="clear" w:pos="8306"/>
        <w:tab w:val="right" w:pos="9214"/>
        <w:tab w:val="right" w:pos="14175"/>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sidRPr="00193601">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346C" w14:textId="77777777" w:rsidR="007F5D13" w:rsidRPr="00193601" w:rsidRDefault="007F5D13" w:rsidP="00EF49A7">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sidRPr="00193601">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9B0D" w14:textId="77777777" w:rsidR="007F5D13" w:rsidRPr="00193601" w:rsidRDefault="007F5D13" w:rsidP="00EF49A7">
    <w:pPr>
      <w:pStyle w:val="Header"/>
      <w:pBdr>
        <w:bottom w:val="single" w:sz="18" w:space="1" w:color="0D5F5D"/>
      </w:pBdr>
      <w:tabs>
        <w:tab w:val="clear" w:pos="4153"/>
        <w:tab w:val="clear" w:pos="8306"/>
        <w:tab w:val="right" w:pos="14175"/>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D888" w14:textId="77777777" w:rsidR="007F5D13" w:rsidRPr="00193601" w:rsidRDefault="007F5D13" w:rsidP="00EF49A7">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7B45" w14:textId="77777777" w:rsidR="007F5D13" w:rsidRPr="00193601" w:rsidRDefault="007F5D13" w:rsidP="00E871A8">
    <w:pPr>
      <w:pStyle w:val="Header"/>
      <w:pBdr>
        <w:bottom w:val="single" w:sz="18" w:space="1" w:color="0D5F5D"/>
      </w:pBdr>
      <w:tabs>
        <w:tab w:val="clear" w:pos="4153"/>
        <w:tab w:val="clear" w:pos="8306"/>
        <w:tab w:val="right" w:pos="14293"/>
      </w:tabs>
      <w:ind w:right="-29"/>
      <w:rPr>
        <w:rFonts w:ascii="Arial" w:hAnsi="Arial" w:cs="Arial"/>
        <w:b/>
        <w:bCs/>
        <w:color w:val="006666"/>
        <w:sz w:val="18"/>
        <w:szCs w:val="18"/>
      </w:rPr>
    </w:pPr>
    <w:r>
      <w:rPr>
        <w:rFonts w:ascii="Arial" w:hAnsi="Arial" w:cs="Arial"/>
        <w:color w:val="006666"/>
        <w:sz w:val="18"/>
        <w:szCs w:val="18"/>
      </w:rPr>
      <w:t>Medway Local Housing Needs Assessment 2021</w:t>
    </w:r>
    <w:r w:rsidRPr="00193601">
      <w:rPr>
        <w:rFonts w:ascii="Arial" w:hAnsi="Arial" w:cs="Arial"/>
        <w:color w:val="006666"/>
        <w:sz w:val="18"/>
        <w:szCs w:val="18"/>
      </w:rPr>
      <w:tab/>
      <w:t xml:space="preserve"> Page | </w:t>
    </w:r>
    <w:r w:rsidRPr="00193601">
      <w:rPr>
        <w:rFonts w:ascii="Arial" w:hAnsi="Arial" w:cs="Arial"/>
        <w:color w:val="006666"/>
        <w:sz w:val="18"/>
        <w:szCs w:val="18"/>
      </w:rPr>
      <w:fldChar w:fldCharType="begin"/>
    </w:r>
    <w:r w:rsidRPr="00193601">
      <w:rPr>
        <w:rFonts w:ascii="Arial" w:hAnsi="Arial" w:cs="Arial"/>
        <w:color w:val="006666"/>
        <w:sz w:val="18"/>
        <w:szCs w:val="18"/>
      </w:rPr>
      <w:instrText xml:space="preserve"> PAGE   \* MERGEFORMAT </w:instrText>
    </w:r>
    <w:r w:rsidRPr="00193601">
      <w:rPr>
        <w:rFonts w:ascii="Arial" w:hAnsi="Arial" w:cs="Arial"/>
        <w:color w:val="006666"/>
        <w:sz w:val="18"/>
        <w:szCs w:val="18"/>
      </w:rPr>
      <w:fldChar w:fldCharType="separate"/>
    </w:r>
    <w:r>
      <w:rPr>
        <w:rFonts w:ascii="Arial" w:hAnsi="Arial" w:cs="Arial"/>
        <w:color w:val="006666"/>
        <w:sz w:val="18"/>
        <w:szCs w:val="18"/>
      </w:rPr>
      <w:t>2</w:t>
    </w:r>
    <w:r w:rsidRPr="00193601">
      <w:rPr>
        <w:rFonts w:ascii="Arial" w:hAnsi="Arial" w:cs="Arial"/>
        <w:b/>
        <w:bCs/>
        <w:noProof/>
        <w:color w:val="006666"/>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17B097C"/>
    <w:multiLevelType w:val="multilevel"/>
    <w:tmpl w:val="1818CD5E"/>
    <w:lvl w:ilvl="0">
      <w:start w:val="1"/>
      <w:numFmt w:val="bullet"/>
      <w:lvlText w:val=""/>
      <w:lvlJc w:val="left"/>
      <w:pPr>
        <w:tabs>
          <w:tab w:val="num" w:pos="432"/>
        </w:tabs>
        <w:ind w:left="432" w:hanging="432"/>
      </w:pPr>
      <w:rPr>
        <w:rFonts w:ascii="Symbol" w:hAnsi="Symbol" w:hint="default"/>
      </w:rPr>
    </w:lvl>
    <w:lvl w:ilvl="1">
      <w:start w:val="1"/>
      <w:numFmt w:val="bullet"/>
      <w:pStyle w:val="Bulletindent"/>
      <w:lvlText w:val="-"/>
      <w:lvlJc w:val="left"/>
      <w:pPr>
        <w:tabs>
          <w:tab w:val="num" w:pos="709"/>
        </w:tabs>
        <w:ind w:left="709" w:hanging="709"/>
      </w:pPr>
      <w:rPr>
        <w:rFonts w:ascii="Arial" w:hAnsi="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3405206"/>
    <w:multiLevelType w:val="multilevel"/>
    <w:tmpl w:val="59D0DBE4"/>
    <w:lvl w:ilvl="0">
      <w:start w:val="5"/>
      <w:numFmt w:val="upperLetter"/>
      <w:lvlText w:val="%1"/>
      <w:lvlJc w:val="left"/>
      <w:pPr>
        <w:tabs>
          <w:tab w:val="num" w:pos="709"/>
        </w:tabs>
        <w:ind w:left="709" w:hanging="709"/>
      </w:pPr>
      <w:rPr>
        <w:rFonts w:hint="default"/>
      </w:rPr>
    </w:lvl>
    <w:lvl w:ilvl="1">
      <w:start w:val="1"/>
      <w:numFmt w:val="decimal"/>
      <w:lvlText w:val="D.%2"/>
      <w:lvlJc w:val="left"/>
      <w:pPr>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color w:val="009999"/>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681064"/>
    <w:multiLevelType w:val="hybridMultilevel"/>
    <w:tmpl w:val="BD108FBC"/>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91293"/>
    <w:multiLevelType w:val="hybridMultilevel"/>
    <w:tmpl w:val="FF0C0936"/>
    <w:lvl w:ilvl="0" w:tplc="DC32F0AE">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5" w15:restartNumberingAfterBreak="0">
    <w:nsid w:val="107A50CC"/>
    <w:multiLevelType w:val="hybridMultilevel"/>
    <w:tmpl w:val="EAAEBC46"/>
    <w:lvl w:ilvl="0" w:tplc="08090001">
      <w:start w:val="1"/>
      <w:numFmt w:val="bullet"/>
      <w:lvlText w:val=""/>
      <w:lvlJc w:val="left"/>
      <w:pPr>
        <w:ind w:left="1080" w:hanging="360"/>
      </w:pPr>
      <w:rPr>
        <w:rFonts w:ascii="Symbol" w:hAnsi="Symbol" w:hint="default"/>
      </w:rPr>
    </w:lvl>
    <w:lvl w:ilvl="1" w:tplc="E16C81A0">
      <w:start w:val="1"/>
      <w:numFmt w:val="bullet"/>
      <w:pStyle w:val="bullet2"/>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132639BB"/>
    <w:multiLevelType w:val="hybridMultilevel"/>
    <w:tmpl w:val="F136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64D72"/>
    <w:multiLevelType w:val="hybridMultilevel"/>
    <w:tmpl w:val="00BA4A80"/>
    <w:lvl w:ilvl="0" w:tplc="ABF2D5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949C7"/>
    <w:multiLevelType w:val="hybridMultilevel"/>
    <w:tmpl w:val="3196B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1B5D78"/>
    <w:multiLevelType w:val="multilevel"/>
    <w:tmpl w:val="05C8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3708E2"/>
    <w:multiLevelType w:val="multilevel"/>
    <w:tmpl w:val="051C5794"/>
    <w:lvl w:ilvl="0">
      <w:start w:val="1"/>
      <w:numFmt w:val="decimal"/>
      <w:pStyle w:val="Heading1"/>
      <w:lvlText w:val="%1."/>
      <w:lvlJc w:val="left"/>
      <w:pPr>
        <w:tabs>
          <w:tab w:val="num" w:pos="709"/>
        </w:tabs>
        <w:ind w:left="709" w:hanging="709"/>
      </w:pPr>
      <w:rPr>
        <w:rFonts w:ascii="Arial" w:hAnsi="Arial" w:hint="default"/>
        <w:b w:val="0"/>
        <w:i w:val="0"/>
        <w:color w:val="006666"/>
        <w:sz w:val="40"/>
      </w:rPr>
    </w:lvl>
    <w:lvl w:ilvl="1">
      <w:start w:val="1"/>
      <w:numFmt w:val="decimal"/>
      <w:pStyle w:val="Reporttext"/>
      <w:lvlText w:val="%1.%2"/>
      <w:lvlJc w:val="left"/>
      <w:pPr>
        <w:tabs>
          <w:tab w:val="num" w:pos="2128"/>
        </w:tabs>
        <w:ind w:left="709" w:hanging="709"/>
      </w:pPr>
      <w:rPr>
        <w:rFonts w:ascii="Arial" w:hAnsi="Arial" w:cs="Arial"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FBB7EC9"/>
    <w:multiLevelType w:val="hybridMultilevel"/>
    <w:tmpl w:val="4F90DB48"/>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8519A"/>
    <w:multiLevelType w:val="multilevel"/>
    <w:tmpl w:val="79EEFF4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3" w15:restartNumberingAfterBreak="0">
    <w:nsid w:val="22490B02"/>
    <w:multiLevelType w:val="hybridMultilevel"/>
    <w:tmpl w:val="83CC95B6"/>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A77E02"/>
    <w:multiLevelType w:val="hybridMultilevel"/>
    <w:tmpl w:val="C202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25F56"/>
    <w:multiLevelType w:val="hybridMultilevel"/>
    <w:tmpl w:val="22DCD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87C77"/>
    <w:multiLevelType w:val="hybridMultilevel"/>
    <w:tmpl w:val="65804E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2859075A"/>
    <w:multiLevelType w:val="hybridMultilevel"/>
    <w:tmpl w:val="73A26D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A59523B"/>
    <w:multiLevelType w:val="hybridMultilevel"/>
    <w:tmpl w:val="E49601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2B3E11BE"/>
    <w:multiLevelType w:val="hybridMultilevel"/>
    <w:tmpl w:val="5294697C"/>
    <w:lvl w:ilvl="0" w:tplc="5BC4C00C">
      <w:start w:val="1"/>
      <w:numFmt w:val="decimal"/>
      <w:pStyle w:val="Style2"/>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786DF4"/>
    <w:multiLevelType w:val="hybridMultilevel"/>
    <w:tmpl w:val="85F2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7F0893"/>
    <w:multiLevelType w:val="hybridMultilevel"/>
    <w:tmpl w:val="643CE06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2EC62C48"/>
    <w:multiLevelType w:val="multilevel"/>
    <w:tmpl w:val="99ACFB72"/>
    <w:lvl w:ilvl="0">
      <w:start w:val="5"/>
      <w:numFmt w:val="decimal"/>
      <w:lvlText w:val="%1"/>
      <w:lvlJc w:val="left"/>
      <w:pPr>
        <w:ind w:left="360" w:hanging="360"/>
      </w:pPr>
      <w:rPr>
        <w:rFonts w:cs="Arial"/>
      </w:rPr>
    </w:lvl>
    <w:lvl w:ilvl="1">
      <w:start w:val="4"/>
      <w:numFmt w:val="decimal"/>
      <w:pStyle w:val="StyleJustified"/>
      <w:lvlText w:val="%1.%2"/>
      <w:lvlJc w:val="left"/>
      <w:pPr>
        <w:ind w:left="360" w:hanging="360"/>
      </w:pPr>
      <w:rPr>
        <w:rFonts w:cs="Arial"/>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1800" w:hanging="1800"/>
      </w:pPr>
      <w:rPr>
        <w:rFonts w:cs="Arial"/>
      </w:rPr>
    </w:lvl>
  </w:abstractNum>
  <w:abstractNum w:abstractNumId="23" w15:restartNumberingAfterBreak="0">
    <w:nsid w:val="30D80842"/>
    <w:multiLevelType w:val="hybridMultilevel"/>
    <w:tmpl w:val="E520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717F76"/>
    <w:multiLevelType w:val="hybridMultilevel"/>
    <w:tmpl w:val="1994A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1C0844"/>
    <w:multiLevelType w:val="multilevel"/>
    <w:tmpl w:val="DFE031BE"/>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461278C"/>
    <w:multiLevelType w:val="multilevel"/>
    <w:tmpl w:val="D0A033C4"/>
    <w:lvl w:ilvl="0">
      <w:start w:val="1"/>
      <w:numFmt w:val="decimal"/>
      <w:pStyle w:val="Heading31"/>
      <w:lvlText w:val="%1."/>
      <w:lvlJc w:val="left"/>
      <w:pPr>
        <w:ind w:left="1429" w:hanging="360"/>
      </w:pPr>
      <w:rPr>
        <w:rFonts w:cs="Times New Roman"/>
      </w:rPr>
    </w:lvl>
    <w:lvl w:ilvl="1">
      <w:start w:val="1"/>
      <w:numFmt w:val="decimal"/>
      <w:lvlText w:val="%2."/>
      <w:lvlJc w:val="left"/>
      <w:pPr>
        <w:ind w:left="1804" w:hanging="735"/>
      </w:pPr>
      <w:rPr>
        <w:rFonts w:cs="Times New Roman" w:hint="default"/>
      </w:rPr>
    </w:lvl>
    <w:lvl w:ilvl="2">
      <w:start w:val="1"/>
      <w:numFmt w:val="decimal"/>
      <w:isLgl/>
      <w:lvlText w:val="%1.%2.%3"/>
      <w:lvlJc w:val="left"/>
      <w:pPr>
        <w:ind w:left="1804" w:hanging="735"/>
      </w:pPr>
      <w:rPr>
        <w:rFonts w:cs="Times New Roman" w:hint="default"/>
      </w:rPr>
    </w:lvl>
    <w:lvl w:ilvl="3">
      <w:start w:val="1"/>
      <w:numFmt w:val="decimal"/>
      <w:isLgl/>
      <w:lvlText w:val="%1.%2.%3.%4"/>
      <w:lvlJc w:val="left"/>
      <w:pPr>
        <w:ind w:left="1804" w:hanging="735"/>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7" w15:restartNumberingAfterBreak="0">
    <w:nsid w:val="3AB73B02"/>
    <w:multiLevelType w:val="hybridMultilevel"/>
    <w:tmpl w:val="35568996"/>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tentative="1">
      <w:start w:val="1"/>
      <w:numFmt w:val="bullet"/>
      <w:lvlText w:val=""/>
      <w:lvlJc w:val="left"/>
      <w:pPr>
        <w:tabs>
          <w:tab w:val="num" w:pos="2940"/>
        </w:tabs>
        <w:ind w:left="2940" w:hanging="360"/>
      </w:pPr>
      <w:rPr>
        <w:rFonts w:ascii="Wingdings" w:hAnsi="Wingdings" w:hint="default"/>
      </w:rPr>
    </w:lvl>
    <w:lvl w:ilvl="3" w:tplc="754E956E" w:tentative="1">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28" w15:restartNumberingAfterBreak="0">
    <w:nsid w:val="3AD65F52"/>
    <w:multiLevelType w:val="hybridMultilevel"/>
    <w:tmpl w:val="09B8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67238E"/>
    <w:multiLevelType w:val="hybridMultilevel"/>
    <w:tmpl w:val="CDC0EF9A"/>
    <w:lvl w:ilvl="0" w:tplc="03CE6226">
      <w:start w:val="1"/>
      <w:numFmt w:val="upperLetter"/>
      <w:lvlText w:val="%1."/>
      <w:lvlJc w:val="left"/>
      <w:pPr>
        <w:ind w:left="533" w:hanging="360"/>
      </w:pPr>
      <w:rPr>
        <w:rFonts w:hint="default"/>
      </w:rPr>
    </w:lvl>
    <w:lvl w:ilvl="1" w:tplc="08090019" w:tentative="1">
      <w:start w:val="1"/>
      <w:numFmt w:val="lowerLetter"/>
      <w:lvlText w:val="%2."/>
      <w:lvlJc w:val="left"/>
      <w:pPr>
        <w:ind w:left="1253" w:hanging="360"/>
      </w:pPr>
    </w:lvl>
    <w:lvl w:ilvl="2" w:tplc="0809001B" w:tentative="1">
      <w:start w:val="1"/>
      <w:numFmt w:val="lowerRoman"/>
      <w:lvlText w:val="%3."/>
      <w:lvlJc w:val="right"/>
      <w:pPr>
        <w:ind w:left="1973" w:hanging="180"/>
      </w:pPr>
    </w:lvl>
    <w:lvl w:ilvl="3" w:tplc="0809000F" w:tentative="1">
      <w:start w:val="1"/>
      <w:numFmt w:val="decimal"/>
      <w:lvlText w:val="%4."/>
      <w:lvlJc w:val="left"/>
      <w:pPr>
        <w:ind w:left="2693" w:hanging="360"/>
      </w:pPr>
    </w:lvl>
    <w:lvl w:ilvl="4" w:tplc="08090019" w:tentative="1">
      <w:start w:val="1"/>
      <w:numFmt w:val="lowerLetter"/>
      <w:lvlText w:val="%5."/>
      <w:lvlJc w:val="left"/>
      <w:pPr>
        <w:ind w:left="3413" w:hanging="360"/>
      </w:pPr>
    </w:lvl>
    <w:lvl w:ilvl="5" w:tplc="0809001B" w:tentative="1">
      <w:start w:val="1"/>
      <w:numFmt w:val="lowerRoman"/>
      <w:lvlText w:val="%6."/>
      <w:lvlJc w:val="right"/>
      <w:pPr>
        <w:ind w:left="4133" w:hanging="180"/>
      </w:pPr>
    </w:lvl>
    <w:lvl w:ilvl="6" w:tplc="0809000F" w:tentative="1">
      <w:start w:val="1"/>
      <w:numFmt w:val="decimal"/>
      <w:lvlText w:val="%7."/>
      <w:lvlJc w:val="left"/>
      <w:pPr>
        <w:ind w:left="4853" w:hanging="360"/>
      </w:pPr>
    </w:lvl>
    <w:lvl w:ilvl="7" w:tplc="08090019" w:tentative="1">
      <w:start w:val="1"/>
      <w:numFmt w:val="lowerLetter"/>
      <w:lvlText w:val="%8."/>
      <w:lvlJc w:val="left"/>
      <w:pPr>
        <w:ind w:left="5573" w:hanging="360"/>
      </w:pPr>
    </w:lvl>
    <w:lvl w:ilvl="8" w:tplc="0809001B" w:tentative="1">
      <w:start w:val="1"/>
      <w:numFmt w:val="lowerRoman"/>
      <w:lvlText w:val="%9."/>
      <w:lvlJc w:val="right"/>
      <w:pPr>
        <w:ind w:left="6293" w:hanging="180"/>
      </w:pPr>
    </w:lvl>
  </w:abstractNum>
  <w:abstractNum w:abstractNumId="30" w15:restartNumberingAfterBreak="0">
    <w:nsid w:val="3CE01B29"/>
    <w:multiLevelType w:val="multilevel"/>
    <w:tmpl w:val="7466F0BC"/>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3F513A64"/>
    <w:multiLevelType w:val="hybridMultilevel"/>
    <w:tmpl w:val="5F4684D4"/>
    <w:lvl w:ilvl="0" w:tplc="190898DE">
      <w:start w:val="1"/>
      <w:numFmt w:val="bullet"/>
      <w:pStyle w:val="Bulletarc4"/>
      <w:lvlText w:val=""/>
      <w:lvlJc w:val="left"/>
      <w:pPr>
        <w:tabs>
          <w:tab w:val="num" w:pos="720"/>
        </w:tabs>
        <w:ind w:left="720" w:hanging="360"/>
      </w:pPr>
      <w:rPr>
        <w:rFonts w:ascii="Symbol" w:hAnsi="Symbol" w:cs="Symbol" w:hint="default"/>
      </w:rPr>
    </w:lvl>
    <w:lvl w:ilvl="1" w:tplc="E7E49476">
      <w:start w:val="1"/>
      <w:numFmt w:val="bullet"/>
      <w:lvlText w:val="o"/>
      <w:lvlJc w:val="left"/>
      <w:pPr>
        <w:tabs>
          <w:tab w:val="num" w:pos="1440"/>
        </w:tabs>
        <w:ind w:left="1440" w:hanging="360"/>
      </w:pPr>
      <w:rPr>
        <w:rFonts w:ascii="Courier New" w:hAnsi="Courier New" w:cs="Courier New" w:hint="default"/>
      </w:rPr>
    </w:lvl>
    <w:lvl w:ilvl="2" w:tplc="ECF044DA">
      <w:start w:val="1"/>
      <w:numFmt w:val="bullet"/>
      <w:lvlText w:val=""/>
      <w:lvlJc w:val="left"/>
      <w:pPr>
        <w:tabs>
          <w:tab w:val="num" w:pos="2160"/>
        </w:tabs>
        <w:ind w:left="2160" w:hanging="360"/>
      </w:pPr>
      <w:rPr>
        <w:rFonts w:ascii="Wingdings" w:hAnsi="Wingdings" w:cs="Wingdings" w:hint="default"/>
      </w:rPr>
    </w:lvl>
    <w:lvl w:ilvl="3" w:tplc="ED0A3636">
      <w:start w:val="1"/>
      <w:numFmt w:val="bullet"/>
      <w:lvlText w:val=""/>
      <w:lvlJc w:val="left"/>
      <w:pPr>
        <w:tabs>
          <w:tab w:val="num" w:pos="2880"/>
        </w:tabs>
        <w:ind w:left="2880" w:hanging="360"/>
      </w:pPr>
      <w:rPr>
        <w:rFonts w:ascii="Symbol" w:hAnsi="Symbol" w:cs="Symbol" w:hint="default"/>
      </w:rPr>
    </w:lvl>
    <w:lvl w:ilvl="4" w:tplc="4288DC7E">
      <w:start w:val="1"/>
      <w:numFmt w:val="bullet"/>
      <w:lvlText w:val="o"/>
      <w:lvlJc w:val="left"/>
      <w:pPr>
        <w:tabs>
          <w:tab w:val="num" w:pos="3600"/>
        </w:tabs>
        <w:ind w:left="3600" w:hanging="360"/>
      </w:pPr>
      <w:rPr>
        <w:rFonts w:ascii="Courier New" w:hAnsi="Courier New" w:cs="Courier New" w:hint="default"/>
      </w:rPr>
    </w:lvl>
    <w:lvl w:ilvl="5" w:tplc="83AE40F4">
      <w:start w:val="1"/>
      <w:numFmt w:val="bullet"/>
      <w:lvlText w:val=""/>
      <w:lvlJc w:val="left"/>
      <w:pPr>
        <w:tabs>
          <w:tab w:val="num" w:pos="4320"/>
        </w:tabs>
        <w:ind w:left="4320" w:hanging="360"/>
      </w:pPr>
      <w:rPr>
        <w:rFonts w:ascii="Wingdings" w:hAnsi="Wingdings" w:cs="Wingdings" w:hint="default"/>
      </w:rPr>
    </w:lvl>
    <w:lvl w:ilvl="6" w:tplc="373458DC">
      <w:start w:val="1"/>
      <w:numFmt w:val="bullet"/>
      <w:lvlText w:val=""/>
      <w:lvlJc w:val="left"/>
      <w:pPr>
        <w:tabs>
          <w:tab w:val="num" w:pos="5040"/>
        </w:tabs>
        <w:ind w:left="5040" w:hanging="360"/>
      </w:pPr>
      <w:rPr>
        <w:rFonts w:ascii="Symbol" w:hAnsi="Symbol" w:cs="Symbol" w:hint="default"/>
      </w:rPr>
    </w:lvl>
    <w:lvl w:ilvl="7" w:tplc="768EA056">
      <w:start w:val="1"/>
      <w:numFmt w:val="bullet"/>
      <w:lvlText w:val="o"/>
      <w:lvlJc w:val="left"/>
      <w:pPr>
        <w:tabs>
          <w:tab w:val="num" w:pos="5760"/>
        </w:tabs>
        <w:ind w:left="5760" w:hanging="360"/>
      </w:pPr>
      <w:rPr>
        <w:rFonts w:ascii="Courier New" w:hAnsi="Courier New" w:cs="Courier New" w:hint="default"/>
      </w:rPr>
    </w:lvl>
    <w:lvl w:ilvl="8" w:tplc="9052232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40734BE5"/>
    <w:multiLevelType w:val="hybridMultilevel"/>
    <w:tmpl w:val="5846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1F0834"/>
    <w:multiLevelType w:val="multilevel"/>
    <w:tmpl w:val="E796E644"/>
    <w:lvl w:ilvl="0">
      <w:start w:val="5"/>
      <w:numFmt w:val="upperLetter"/>
      <w:lvlText w:val="%1"/>
      <w:lvlJc w:val="left"/>
      <w:pPr>
        <w:tabs>
          <w:tab w:val="num" w:pos="709"/>
        </w:tabs>
        <w:ind w:left="709" w:hanging="709"/>
      </w:pPr>
      <w:rPr>
        <w:rFonts w:hint="default"/>
      </w:rPr>
    </w:lvl>
    <w:lvl w:ilvl="1">
      <w:start w:val="1"/>
      <w:numFmt w:val="decimal"/>
      <w:lvlText w:val="E.%2"/>
      <w:lvlJc w:val="left"/>
      <w:pPr>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color w:val="009999"/>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496727D"/>
    <w:multiLevelType w:val="hybridMultilevel"/>
    <w:tmpl w:val="DAA6922A"/>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463C3D5C"/>
    <w:multiLevelType w:val="hybridMultilevel"/>
    <w:tmpl w:val="6D721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6E200B"/>
    <w:multiLevelType w:val="multilevel"/>
    <w:tmpl w:val="1C10DBAA"/>
    <w:styleLink w:val="Reportnumberingstyle"/>
    <w:lvl w:ilvl="0">
      <w:start w:val="1"/>
      <w:numFmt w:val="decimal"/>
      <w:lvlText w:val="%1."/>
      <w:lvlJc w:val="left"/>
      <w:pPr>
        <w:ind w:left="709" w:hanging="709"/>
      </w:pPr>
      <w:rPr>
        <w:rFonts w:ascii="Arial" w:hAnsi="Arial" w:hint="default"/>
        <w:color w:val="0070C0"/>
        <w:sz w:val="40"/>
      </w:rPr>
    </w:lvl>
    <w:lvl w:ilvl="1">
      <w:start w:val="1"/>
      <w:numFmt w:val="decimal"/>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37" w15:restartNumberingAfterBreak="0">
    <w:nsid w:val="4AB96564"/>
    <w:multiLevelType w:val="multilevel"/>
    <w:tmpl w:val="AAAADB12"/>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4CA940F3"/>
    <w:multiLevelType w:val="hybridMultilevel"/>
    <w:tmpl w:val="E662DC2A"/>
    <w:lvl w:ilvl="0" w:tplc="08090001">
      <w:start w:val="1"/>
      <w:numFmt w:val="bullet"/>
      <w:lvlText w:val=""/>
      <w:lvlJc w:val="left"/>
      <w:pPr>
        <w:ind w:left="1429" w:hanging="360"/>
      </w:pPr>
      <w:rPr>
        <w:rFonts w:ascii="Symbol" w:hAnsi="Symbol" w:cs="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cs="Wingdings" w:hint="default"/>
      </w:rPr>
    </w:lvl>
    <w:lvl w:ilvl="3" w:tplc="08090001" w:tentative="1">
      <w:start w:val="1"/>
      <w:numFmt w:val="bullet"/>
      <w:lvlText w:val=""/>
      <w:lvlJc w:val="left"/>
      <w:pPr>
        <w:ind w:left="3589" w:hanging="360"/>
      </w:pPr>
      <w:rPr>
        <w:rFonts w:ascii="Symbol" w:hAnsi="Symbol" w:cs="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cs="Wingdings" w:hint="default"/>
      </w:rPr>
    </w:lvl>
    <w:lvl w:ilvl="6" w:tplc="08090001" w:tentative="1">
      <w:start w:val="1"/>
      <w:numFmt w:val="bullet"/>
      <w:lvlText w:val=""/>
      <w:lvlJc w:val="left"/>
      <w:pPr>
        <w:ind w:left="5749" w:hanging="360"/>
      </w:pPr>
      <w:rPr>
        <w:rFonts w:ascii="Symbol" w:hAnsi="Symbol" w:cs="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cs="Wingdings" w:hint="default"/>
      </w:rPr>
    </w:lvl>
  </w:abstractNum>
  <w:abstractNum w:abstractNumId="39" w15:restartNumberingAfterBreak="0">
    <w:nsid w:val="4E10754F"/>
    <w:multiLevelType w:val="multilevel"/>
    <w:tmpl w:val="A502B9AE"/>
    <w:styleLink w:val="Reportnumberingstyle5"/>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4F7E6AD0"/>
    <w:multiLevelType w:val="multilevel"/>
    <w:tmpl w:val="7B3AFE68"/>
    <w:lvl w:ilvl="0">
      <w:start w:val="2"/>
      <w:numFmt w:val="upperLetter"/>
      <w:lvlText w:val="%1"/>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009999"/>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4F8D1415"/>
    <w:multiLevelType w:val="hybridMultilevel"/>
    <w:tmpl w:val="406C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505B88"/>
    <w:multiLevelType w:val="hybridMultilevel"/>
    <w:tmpl w:val="94AE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73240A"/>
    <w:multiLevelType w:val="multilevel"/>
    <w:tmpl w:val="E0245D9C"/>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3F40C9A"/>
    <w:multiLevelType w:val="hybridMultilevel"/>
    <w:tmpl w:val="0562F7C6"/>
    <w:lvl w:ilvl="0" w:tplc="04090001">
      <w:start w:val="1"/>
      <w:numFmt w:val="bullet"/>
      <w:lvlText w:val=""/>
      <w:lvlJc w:val="left"/>
      <w:pPr>
        <w:ind w:left="1429" w:hanging="360"/>
      </w:pPr>
      <w:rPr>
        <w:rFonts w:ascii="Symbol" w:hAnsi="Symbol" w:hint="default"/>
      </w:rPr>
    </w:lvl>
    <w:lvl w:ilvl="1" w:tplc="2068AC82">
      <w:numFmt w:val="bullet"/>
      <w:lvlText w:val="•"/>
      <w:lvlJc w:val="left"/>
      <w:pPr>
        <w:ind w:left="2149" w:hanging="360"/>
      </w:pPr>
      <w:rPr>
        <w:rFonts w:ascii="Calibri" w:eastAsia="Times New Roman" w:hAnsi="Calibri" w:cs="Calibri"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5441000F"/>
    <w:multiLevelType w:val="multilevel"/>
    <w:tmpl w:val="1A5A74D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595D1D62"/>
    <w:multiLevelType w:val="hybridMultilevel"/>
    <w:tmpl w:val="84EAA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A9A2144"/>
    <w:multiLevelType w:val="hybridMultilevel"/>
    <w:tmpl w:val="40B4945E"/>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3E11C0"/>
    <w:multiLevelType w:val="hybridMultilevel"/>
    <w:tmpl w:val="50E03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9C342A"/>
    <w:multiLevelType w:val="hybridMultilevel"/>
    <w:tmpl w:val="B4A0D23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0" w15:restartNumberingAfterBreak="0">
    <w:nsid w:val="5EE25171"/>
    <w:multiLevelType w:val="multilevel"/>
    <w:tmpl w:val="6F30121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1" w15:restartNumberingAfterBreak="0">
    <w:nsid w:val="61E852B3"/>
    <w:multiLevelType w:val="hybridMultilevel"/>
    <w:tmpl w:val="DABAB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EE298A"/>
    <w:multiLevelType w:val="hybridMultilevel"/>
    <w:tmpl w:val="4650EAF0"/>
    <w:lvl w:ilvl="0" w:tplc="0BE4677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3" w15:restartNumberingAfterBreak="0">
    <w:nsid w:val="640A2912"/>
    <w:multiLevelType w:val="hybridMultilevel"/>
    <w:tmpl w:val="868665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4" w15:restartNumberingAfterBreak="0">
    <w:nsid w:val="650B22A0"/>
    <w:multiLevelType w:val="hybridMultilevel"/>
    <w:tmpl w:val="2C66C8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5" w15:restartNumberingAfterBreak="0">
    <w:nsid w:val="68AB2CCA"/>
    <w:multiLevelType w:val="hybridMultilevel"/>
    <w:tmpl w:val="0E486536"/>
    <w:lvl w:ilvl="0" w:tplc="2014E4FE">
      <w:start w:val="1"/>
      <w:numFmt w:val="decimal"/>
      <w:pStyle w:val="3bullet"/>
      <w:lvlText w:val="%1."/>
      <w:lvlJc w:val="left"/>
      <w:pPr>
        <w:tabs>
          <w:tab w:val="num" w:pos="928"/>
        </w:tabs>
        <w:ind w:left="928" w:hanging="360"/>
      </w:pPr>
      <w:rPr>
        <w:rFonts w:ascii="Arial" w:hAnsi="Arial" w:hint="default"/>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95D72A7"/>
    <w:multiLevelType w:val="hybridMultilevel"/>
    <w:tmpl w:val="7E1423F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7" w15:restartNumberingAfterBreak="0">
    <w:nsid w:val="696058B9"/>
    <w:multiLevelType w:val="hybridMultilevel"/>
    <w:tmpl w:val="D1789F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59" w15:restartNumberingAfterBreak="0">
    <w:nsid w:val="6B864B62"/>
    <w:multiLevelType w:val="hybridMultilevel"/>
    <w:tmpl w:val="62D285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6BC77F76"/>
    <w:multiLevelType w:val="hybridMultilevel"/>
    <w:tmpl w:val="46FC90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1" w15:restartNumberingAfterBreak="0">
    <w:nsid w:val="6E4C1CEF"/>
    <w:multiLevelType w:val="multilevel"/>
    <w:tmpl w:val="B4FCC79C"/>
    <w:lvl w:ilvl="0">
      <w:start w:val="1"/>
      <w:numFmt w:val="decimal"/>
      <w:pStyle w:val="scheda"/>
      <w:lvlText w:val="%1"/>
      <w:lvlJc w:val="left"/>
      <w:pPr>
        <w:tabs>
          <w:tab w:val="num" w:pos="720"/>
        </w:tabs>
        <w:ind w:left="720" w:hanging="720"/>
      </w:pPr>
      <w:rPr>
        <w:rFonts w:hint="default"/>
      </w:rPr>
    </w:lvl>
    <w:lvl w:ilvl="1">
      <w:start w:val="1"/>
      <w:numFmt w:val="decimal"/>
      <w:pStyle w:val="schedb"/>
      <w:isLgl/>
      <w:lvlText w:val="%1.%2"/>
      <w:lvlJc w:val="left"/>
      <w:pPr>
        <w:tabs>
          <w:tab w:val="num" w:pos="1440"/>
        </w:tabs>
        <w:ind w:left="1440" w:hanging="720"/>
      </w:pPr>
      <w:rPr>
        <w:rFonts w:hint="default"/>
      </w:rPr>
    </w:lvl>
    <w:lvl w:ilvl="2">
      <w:start w:val="1"/>
      <w:numFmt w:val="decimal"/>
      <w:pStyle w:val="schedc"/>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62"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3" w15:restartNumberingAfterBreak="0">
    <w:nsid w:val="71CC62DD"/>
    <w:multiLevelType w:val="hybridMultilevel"/>
    <w:tmpl w:val="3ED876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4" w15:restartNumberingAfterBreak="0">
    <w:nsid w:val="71E000C0"/>
    <w:multiLevelType w:val="hybridMultilevel"/>
    <w:tmpl w:val="D952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D61255"/>
    <w:multiLevelType w:val="multilevel"/>
    <w:tmpl w:val="1F0420CC"/>
    <w:lvl w:ilvl="0">
      <w:start w:val="1"/>
      <w:numFmt w:val="decimal"/>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Level2"/>
      <w:lvlText w:val="%1.%2"/>
      <w:lvlJc w:val="left"/>
      <w:pPr>
        <w:tabs>
          <w:tab w:val="num" w:pos="720"/>
        </w:tabs>
        <w:ind w:left="720" w:hanging="720"/>
      </w:pPr>
      <w:rPr>
        <w:rFonts w:ascii="Arial" w:hAnsi="Arial" w:cs="Arial" w:hint="default"/>
        <w:b w:val="0"/>
        <w:i w:val="0"/>
        <w:caps w:val="0"/>
        <w:sz w:val="20"/>
        <w:szCs w:val="20"/>
      </w:rPr>
    </w:lvl>
    <w:lvl w:ilvl="2">
      <w:start w:val="1"/>
      <w:numFmt w:val="decimal"/>
      <w:pStyle w:val="BLevel3"/>
      <w:lvlText w:val="%1.%2.%3"/>
      <w:lvlJc w:val="left"/>
      <w:pPr>
        <w:tabs>
          <w:tab w:val="num" w:pos="1497"/>
        </w:tabs>
        <w:ind w:left="1497" w:hanging="777"/>
      </w:pPr>
      <w:rPr>
        <w:rFonts w:ascii="Arial" w:hAnsi="Arial" w:cs="Arial" w:hint="default"/>
        <w:b w:val="0"/>
        <w:i w:val="0"/>
        <w:sz w:val="20"/>
        <w:szCs w:val="20"/>
      </w:rPr>
    </w:lvl>
    <w:lvl w:ilvl="3">
      <w:start w:val="1"/>
      <w:numFmt w:val="decimal"/>
      <w:pStyle w:val="BLevel4"/>
      <w:lvlText w:val="%1.%2.%3.%4"/>
      <w:lvlJc w:val="left"/>
      <w:pPr>
        <w:tabs>
          <w:tab w:val="num" w:pos="2631"/>
        </w:tabs>
        <w:ind w:left="2631"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BLevel5"/>
      <w:lvlText w:val="(%5)"/>
      <w:lvlJc w:val="left"/>
      <w:pPr>
        <w:tabs>
          <w:tab w:val="num" w:pos="3878"/>
        </w:tabs>
        <w:ind w:left="3878" w:hanging="1247"/>
      </w:pPr>
      <w:rPr>
        <w:rFonts w:hint="default"/>
        <w:b w:val="0"/>
        <w:i w:val="0"/>
        <w:sz w:val="20"/>
        <w:szCs w:val="20"/>
      </w:rPr>
    </w:lvl>
    <w:lvl w:ilvl="5">
      <w:start w:val="1"/>
      <w:numFmt w:val="none"/>
      <w:lvlText w:val=""/>
      <w:lvlJc w:val="left"/>
      <w:pPr>
        <w:tabs>
          <w:tab w:val="num" w:pos="720"/>
        </w:tabs>
        <w:ind w:left="720" w:hanging="720"/>
      </w:pPr>
      <w:rPr>
        <w:rFonts w:ascii="Times New Roman" w:hAnsi="Times New Roman" w:hint="default"/>
        <w:b w:val="0"/>
        <w:i w:val="0"/>
        <w:sz w:val="24"/>
      </w:rPr>
    </w:lvl>
    <w:lvl w:ilvl="6">
      <w:start w:val="1"/>
      <w:numFmt w:val="none"/>
      <w:lvlText w:val=""/>
      <w:lvlJc w:val="left"/>
      <w:pPr>
        <w:tabs>
          <w:tab w:val="num" w:pos="1440"/>
        </w:tabs>
        <w:ind w:left="1440" w:hanging="720"/>
      </w:pPr>
      <w:rPr>
        <w:rFonts w:ascii="Times New Roman" w:hAnsi="Times New Roman" w:hint="default"/>
        <w:sz w:val="24"/>
      </w:rPr>
    </w:lvl>
    <w:lvl w:ilvl="7">
      <w:start w:val="1"/>
      <w:numFmt w:val="none"/>
      <w:lvlText w:val=""/>
      <w:lvlJc w:val="left"/>
      <w:pPr>
        <w:tabs>
          <w:tab w:val="num" w:pos="5040"/>
        </w:tabs>
        <w:ind w:left="5040" w:hanging="720"/>
      </w:pPr>
      <w:rPr>
        <w:rFonts w:ascii="Times New Roman" w:hAnsi="Times New Roman" w:hint="default"/>
        <w:b w:val="0"/>
        <w:i w:val="0"/>
        <w:sz w:val="22"/>
      </w:rPr>
    </w:lvl>
    <w:lvl w:ilvl="8">
      <w:start w:val="1"/>
      <w:numFmt w:val="none"/>
      <w:lvlText w:val=""/>
      <w:lvlJc w:val="left"/>
      <w:pPr>
        <w:tabs>
          <w:tab w:val="num" w:pos="5760"/>
        </w:tabs>
        <w:ind w:left="5760" w:hanging="720"/>
      </w:pPr>
      <w:rPr>
        <w:rFonts w:ascii="Times New Roman" w:hAnsi="Times New Roman" w:hint="default"/>
        <w:b w:val="0"/>
        <w:i w:val="0"/>
        <w:sz w:val="22"/>
      </w:rPr>
    </w:lvl>
  </w:abstractNum>
  <w:abstractNum w:abstractNumId="66" w15:restartNumberingAfterBreak="0">
    <w:nsid w:val="77DA34AE"/>
    <w:multiLevelType w:val="multilevel"/>
    <w:tmpl w:val="99364AAE"/>
    <w:lvl w:ilvl="0">
      <w:start w:val="1"/>
      <w:numFmt w:val="decimal"/>
      <w:lvlText w:val="%1."/>
      <w:lvlJc w:val="left"/>
      <w:pPr>
        <w:ind w:left="360" w:hanging="360"/>
      </w:pPr>
      <w:rPr>
        <w:rFonts w:cs="Times New Roman"/>
      </w:rPr>
    </w:lvl>
    <w:lvl w:ilvl="1">
      <w:start w:val="1"/>
      <w:numFmt w:val="decimal"/>
      <w:pStyle w:val="Para"/>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4"/>
  </w:num>
  <w:num w:numId="2">
    <w:abstractNumId w:val="10"/>
  </w:num>
  <w:num w:numId="3">
    <w:abstractNumId w:val="55"/>
  </w:num>
  <w:num w:numId="4">
    <w:abstractNumId w:val="58"/>
  </w:num>
  <w:num w:numId="5">
    <w:abstractNumId w:val="65"/>
  </w:num>
  <w:num w:numId="6">
    <w:abstractNumId w:val="27"/>
  </w:num>
  <w:num w:numId="7">
    <w:abstractNumId w:val="25"/>
  </w:num>
  <w:num w:numId="8">
    <w:abstractNumId w:val="68"/>
  </w:num>
  <w:num w:numId="9">
    <w:abstractNumId w:val="31"/>
  </w:num>
  <w:num w:numId="10">
    <w:abstractNumId w:val="1"/>
  </w:num>
  <w:num w:numId="11">
    <w:abstractNumId w:val="11"/>
  </w:num>
  <w:num w:numId="12">
    <w:abstractNumId w:val="5"/>
  </w:num>
  <w:num w:numId="13">
    <w:abstractNumId w:val="47"/>
  </w:num>
  <w:num w:numId="14">
    <w:abstractNumId w:val="67"/>
  </w:num>
  <w:num w:numId="15">
    <w:abstractNumId w:val="30"/>
  </w:num>
  <w:num w:numId="16">
    <w:abstractNumId w:val="26"/>
  </w:num>
  <w:num w:numId="17">
    <w:abstractNumId w:val="0"/>
  </w:num>
  <w:num w:numId="18">
    <w:abstractNumId w:val="3"/>
  </w:num>
  <w:num w:numId="19">
    <w:abstractNumId w:val="66"/>
  </w:num>
  <w:num w:numId="20">
    <w:abstractNumId w:val="50"/>
  </w:num>
  <w:num w:numId="21">
    <w:abstractNumId w:val="36"/>
  </w:num>
  <w:num w:numId="22">
    <w:abstractNumId w:val="39"/>
  </w:num>
  <w:num w:numId="23">
    <w:abstractNumId w:val="61"/>
  </w:num>
  <w:num w:numId="24">
    <w:abstractNumId w:val="2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3"/>
  </w:num>
  <w:num w:numId="27">
    <w:abstractNumId w:val="62"/>
  </w:num>
  <w:num w:numId="28">
    <w:abstractNumId w:val="19"/>
  </w:num>
  <w:num w:numId="29">
    <w:abstractNumId w:val="18"/>
  </w:num>
  <w:num w:numId="30">
    <w:abstractNumId w:val="44"/>
  </w:num>
  <w:num w:numId="31">
    <w:abstractNumId w:val="34"/>
  </w:num>
  <w:num w:numId="32">
    <w:abstractNumId w:val="9"/>
  </w:num>
  <w:num w:numId="33">
    <w:abstractNumId w:val="2"/>
  </w:num>
  <w:num w:numId="34">
    <w:abstractNumId w:val="40"/>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C.%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color w:val="009999"/>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5">
    <w:abstractNumId w:val="45"/>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1.%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6">
    <w:abstractNumId w:val="40"/>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C.%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7">
    <w:abstractNumId w:val="38"/>
  </w:num>
  <w:num w:numId="38">
    <w:abstractNumId w:val="13"/>
  </w:num>
  <w:num w:numId="39">
    <w:abstractNumId w:val="29"/>
  </w:num>
  <w:num w:numId="40">
    <w:abstractNumId w:val="57"/>
  </w:num>
  <w:num w:numId="41">
    <w:abstractNumId w:val="21"/>
  </w:num>
  <w:num w:numId="42">
    <w:abstractNumId w:val="63"/>
  </w:num>
  <w:num w:numId="43">
    <w:abstractNumId w:val="59"/>
  </w:num>
  <w:num w:numId="44">
    <w:abstractNumId w:val="54"/>
  </w:num>
  <w:num w:numId="45">
    <w:abstractNumId w:val="52"/>
  </w:num>
  <w:num w:numId="46">
    <w:abstractNumId w:val="7"/>
  </w:num>
  <w:num w:numId="47">
    <w:abstractNumId w:val="35"/>
  </w:num>
  <w:num w:numId="48">
    <w:abstractNumId w:val="32"/>
  </w:num>
  <w:num w:numId="49">
    <w:abstractNumId w:val="23"/>
  </w:num>
  <w:num w:numId="50">
    <w:abstractNumId w:val="41"/>
  </w:num>
  <w:num w:numId="51">
    <w:abstractNumId w:val="6"/>
  </w:num>
  <w:num w:numId="52">
    <w:abstractNumId w:val="64"/>
  </w:num>
  <w:num w:numId="53">
    <w:abstractNumId w:val="12"/>
  </w:num>
  <w:num w:numId="54">
    <w:abstractNumId w:val="49"/>
  </w:num>
  <w:num w:numId="55">
    <w:abstractNumId w:val="60"/>
  </w:num>
  <w:num w:numId="56">
    <w:abstractNumId w:val="20"/>
  </w:num>
  <w:num w:numId="57">
    <w:abstractNumId w:val="46"/>
  </w:num>
  <w:num w:numId="58">
    <w:abstractNumId w:val="15"/>
  </w:num>
  <w:num w:numId="59">
    <w:abstractNumId w:val="24"/>
  </w:num>
  <w:num w:numId="60">
    <w:abstractNumId w:val="42"/>
  </w:num>
  <w:num w:numId="61">
    <w:abstractNumId w:val="51"/>
  </w:num>
  <w:num w:numId="62">
    <w:abstractNumId w:val="48"/>
  </w:num>
  <w:num w:numId="63">
    <w:abstractNumId w:val="8"/>
  </w:num>
  <w:num w:numId="64">
    <w:abstractNumId w:val="28"/>
  </w:num>
  <w:num w:numId="65">
    <w:abstractNumId w:val="17"/>
  </w:num>
  <w:num w:numId="66">
    <w:abstractNumId w:val="16"/>
  </w:num>
  <w:num w:numId="67">
    <w:abstractNumId w:val="56"/>
  </w:num>
  <w:num w:numId="68">
    <w:abstractNumId w:val="33"/>
  </w:num>
  <w:num w:numId="69">
    <w:abstractNumId w:val="14"/>
  </w:num>
  <w:num w:numId="70">
    <w:abstractNumId w:val="53"/>
  </w:num>
  <w:num w:numId="71">
    <w:abstractNumId w:val="10"/>
  </w:num>
  <w:num w:numId="72">
    <w:abstractNumId w:val="40"/>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C.%2"/>
        <w:lvlJc w:val="left"/>
        <w:pPr>
          <w:tabs>
            <w:tab w:val="num" w:pos="709"/>
          </w:tabs>
          <w:ind w:left="709" w:hanging="709"/>
        </w:pPr>
        <w:rPr>
          <w:rFonts w:ascii="Arial" w:hAnsi="Arial" w:cs="Arial" w:hint="default"/>
          <w:b w:val="0"/>
          <w:i w:val="0"/>
          <w:color w:val="auto"/>
          <w:sz w:val="24"/>
          <w:szCs w:val="24"/>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phens, tim">
    <w15:presenceInfo w15:providerId="AD" w15:userId="S::tim.stephens@medway.gov.uk::ef333794-ee88-4676-b907-29c2f1fe4b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BDB"/>
    <w:rsid w:val="000468C8"/>
    <w:rsid w:val="00066699"/>
    <w:rsid w:val="000831AF"/>
    <w:rsid w:val="000957EE"/>
    <w:rsid w:val="000A3A5C"/>
    <w:rsid w:val="000B1956"/>
    <w:rsid w:val="000B304C"/>
    <w:rsid w:val="000D492D"/>
    <w:rsid w:val="000E6448"/>
    <w:rsid w:val="001163AD"/>
    <w:rsid w:val="00141494"/>
    <w:rsid w:val="00165EFA"/>
    <w:rsid w:val="001668AB"/>
    <w:rsid w:val="00175B23"/>
    <w:rsid w:val="00180669"/>
    <w:rsid w:val="00185CB9"/>
    <w:rsid w:val="001877C1"/>
    <w:rsid w:val="001A51F7"/>
    <w:rsid w:val="001C5180"/>
    <w:rsid w:val="001E6B07"/>
    <w:rsid w:val="00263141"/>
    <w:rsid w:val="00270657"/>
    <w:rsid w:val="00296D30"/>
    <w:rsid w:val="002A5111"/>
    <w:rsid w:val="002A5D35"/>
    <w:rsid w:val="002E0B25"/>
    <w:rsid w:val="003118C5"/>
    <w:rsid w:val="0035224C"/>
    <w:rsid w:val="00397A58"/>
    <w:rsid w:val="003A3017"/>
    <w:rsid w:val="003D1C65"/>
    <w:rsid w:val="00430E56"/>
    <w:rsid w:val="00461114"/>
    <w:rsid w:val="0047100B"/>
    <w:rsid w:val="0049141B"/>
    <w:rsid w:val="004F1FF1"/>
    <w:rsid w:val="00514258"/>
    <w:rsid w:val="0052460C"/>
    <w:rsid w:val="0053620D"/>
    <w:rsid w:val="005432D2"/>
    <w:rsid w:val="00555ADE"/>
    <w:rsid w:val="00625CD5"/>
    <w:rsid w:val="006C0594"/>
    <w:rsid w:val="007924AC"/>
    <w:rsid w:val="00794AA3"/>
    <w:rsid w:val="007B2FFD"/>
    <w:rsid w:val="007D604B"/>
    <w:rsid w:val="007F5D13"/>
    <w:rsid w:val="007F632C"/>
    <w:rsid w:val="0082072D"/>
    <w:rsid w:val="00834CE0"/>
    <w:rsid w:val="008868E0"/>
    <w:rsid w:val="00915029"/>
    <w:rsid w:val="009613E8"/>
    <w:rsid w:val="009626AC"/>
    <w:rsid w:val="00982F2F"/>
    <w:rsid w:val="00A1398B"/>
    <w:rsid w:val="00A61171"/>
    <w:rsid w:val="00A634FE"/>
    <w:rsid w:val="00A96B82"/>
    <w:rsid w:val="00B40527"/>
    <w:rsid w:val="00B852CF"/>
    <w:rsid w:val="00BA60CB"/>
    <w:rsid w:val="00BC3D36"/>
    <w:rsid w:val="00C3107C"/>
    <w:rsid w:val="00C40CA1"/>
    <w:rsid w:val="00C75F28"/>
    <w:rsid w:val="00CB100F"/>
    <w:rsid w:val="00CC7AF0"/>
    <w:rsid w:val="00CE1BDB"/>
    <w:rsid w:val="00D1568E"/>
    <w:rsid w:val="00D3278C"/>
    <w:rsid w:val="00D849C3"/>
    <w:rsid w:val="00DB5398"/>
    <w:rsid w:val="00DE57C4"/>
    <w:rsid w:val="00DF71DD"/>
    <w:rsid w:val="00E21C77"/>
    <w:rsid w:val="00E6747B"/>
    <w:rsid w:val="00E871A8"/>
    <w:rsid w:val="00E92E40"/>
    <w:rsid w:val="00EA1DB1"/>
    <w:rsid w:val="00ED41A2"/>
    <w:rsid w:val="00EF49A7"/>
    <w:rsid w:val="00F2167F"/>
    <w:rsid w:val="00F34361"/>
    <w:rsid w:val="00F517FE"/>
    <w:rsid w:val="00F519C1"/>
    <w:rsid w:val="00F5328D"/>
    <w:rsid w:val="00F808DF"/>
    <w:rsid w:val="00FA21F6"/>
    <w:rsid w:val="00FA4BB9"/>
    <w:rsid w:val="00FA4DC7"/>
    <w:rsid w:val="00FB6DC9"/>
    <w:rsid w:val="00FC07B8"/>
    <w:rsid w:val="00FC29FF"/>
    <w:rsid w:val="00FE13D1"/>
    <w:rsid w:val="00FE7692"/>
    <w:rsid w:val="00FF2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6202CD"/>
  <w15:chartTrackingRefBased/>
  <w15:docId w15:val="{EB58EDCB-2B8F-476A-AF73-9EE532C76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F28"/>
    <w:rPr>
      <w:rFonts w:ascii="Arial" w:eastAsia="Times New Roman" w:hAnsi="Arial" w:cs="Times New Roman"/>
      <w:sz w:val="24"/>
      <w:szCs w:val="24"/>
      <w:lang w:eastAsia="en-GB"/>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CE1BDB"/>
    <w:pPr>
      <w:keepNext/>
      <w:numPr>
        <w:numId w:val="2"/>
      </w:numPr>
      <w:spacing w:before="120" w:after="120"/>
      <w:outlineLvl w:val="0"/>
    </w:pPr>
    <w:rPr>
      <w:bCs/>
      <w:color w:val="006666"/>
      <w:kern w:val="32"/>
      <w:sz w:val="40"/>
      <w:szCs w:val="28"/>
      <w:lang w:eastAsia="en-US"/>
    </w:rPr>
  </w:style>
  <w:style w:type="paragraph" w:styleId="Heading2">
    <w:name w:val="heading 2"/>
    <w:basedOn w:val="Normal"/>
    <w:next w:val="Normal"/>
    <w:link w:val="Heading2Char"/>
    <w:qFormat/>
    <w:rsid w:val="00CE1BDB"/>
    <w:pPr>
      <w:keepNext/>
      <w:tabs>
        <w:tab w:val="num" w:pos="709"/>
      </w:tabs>
      <w:spacing w:before="120" w:after="120"/>
      <w:ind w:left="1418" w:hanging="709"/>
      <w:outlineLvl w:val="1"/>
    </w:pPr>
    <w:rPr>
      <w:bCs/>
      <w:iCs/>
      <w:color w:val="006666"/>
      <w:sz w:val="32"/>
      <w:szCs w:val="28"/>
      <w:lang w:eastAsia="en-US"/>
    </w:rPr>
  </w:style>
  <w:style w:type="paragraph" w:styleId="Heading3">
    <w:name w:val="heading 3"/>
    <w:aliases w:val="Heading3"/>
    <w:basedOn w:val="Normal"/>
    <w:next w:val="Normal"/>
    <w:link w:val="Heading3Char1"/>
    <w:qFormat/>
    <w:rsid w:val="00CE1BDB"/>
    <w:pPr>
      <w:keepNext/>
      <w:spacing w:before="120" w:after="120"/>
      <w:ind w:left="709"/>
      <w:outlineLvl w:val="2"/>
    </w:pPr>
    <w:rPr>
      <w:color w:val="006666"/>
      <w:sz w:val="28"/>
      <w:szCs w:val="28"/>
      <w:lang w:eastAsia="en-US"/>
    </w:rPr>
  </w:style>
  <w:style w:type="paragraph" w:styleId="Heading4">
    <w:name w:val="heading 4"/>
    <w:basedOn w:val="Normal"/>
    <w:next w:val="Normal"/>
    <w:link w:val="Heading4Char"/>
    <w:qFormat/>
    <w:rsid w:val="00CE1BDB"/>
    <w:pPr>
      <w:keepNext/>
      <w:spacing w:before="120" w:after="120"/>
      <w:ind w:left="720"/>
      <w:outlineLvl w:val="3"/>
    </w:pPr>
    <w:rPr>
      <w:bCs/>
      <w:color w:val="006666"/>
      <w:lang w:eastAsia="en-US"/>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rsid w:val="00CE1BDB"/>
    <w:pPr>
      <w:numPr>
        <w:ilvl w:val="4"/>
        <w:numId w:val="27"/>
      </w:numPr>
      <w:spacing w:before="240" w:after="60"/>
      <w:jc w:val="both"/>
      <w:outlineLvl w:val="4"/>
    </w:pPr>
    <w:rPr>
      <w:rFonts w:ascii="Calibri" w:hAnsi="Calibri"/>
      <w:b/>
      <w:bCs/>
      <w:i/>
      <w:iCs/>
      <w:sz w:val="26"/>
      <w:szCs w:val="26"/>
      <w:lang w:eastAsia="en-US"/>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rsid w:val="00CE1BDB"/>
    <w:pPr>
      <w:numPr>
        <w:ilvl w:val="5"/>
        <w:numId w:val="27"/>
      </w:numPr>
      <w:spacing w:before="240" w:after="60"/>
      <w:jc w:val="both"/>
      <w:outlineLvl w:val="5"/>
    </w:pPr>
    <w:rPr>
      <w:rFonts w:ascii="Calibri" w:hAnsi="Calibri"/>
      <w:b/>
      <w:bCs/>
      <w:szCs w:val="22"/>
      <w:lang w:eastAsia="en-US"/>
    </w:rPr>
  </w:style>
  <w:style w:type="paragraph" w:styleId="Heading7">
    <w:name w:val="heading 7"/>
    <w:aliases w:val="Do Not Use 7,Economics List (i),level 2 bullets,Legal Level 1.1."/>
    <w:basedOn w:val="Normal"/>
    <w:next w:val="Normal"/>
    <w:link w:val="Heading7Char"/>
    <w:rsid w:val="00CE1BDB"/>
    <w:pPr>
      <w:numPr>
        <w:ilvl w:val="6"/>
        <w:numId w:val="27"/>
      </w:numPr>
      <w:spacing w:before="240" w:after="60"/>
      <w:jc w:val="both"/>
      <w:outlineLvl w:val="6"/>
    </w:pPr>
    <w:rPr>
      <w:rFonts w:ascii="Calibri" w:hAnsi="Calibri"/>
      <w:lang w:eastAsia="en-US"/>
    </w:rPr>
  </w:style>
  <w:style w:type="paragraph" w:styleId="Heading8">
    <w:name w:val="heading 8"/>
    <w:aliases w:val="Do Not Use 8,Economics List (a),level 3 bullets,Legal Level 1.1.1.,Bullet 3"/>
    <w:basedOn w:val="Normal"/>
    <w:next w:val="Normal"/>
    <w:link w:val="Heading8Char"/>
    <w:rsid w:val="00CE1BDB"/>
    <w:pPr>
      <w:numPr>
        <w:ilvl w:val="7"/>
        <w:numId w:val="27"/>
      </w:numPr>
      <w:spacing w:before="240" w:after="60"/>
      <w:jc w:val="both"/>
      <w:outlineLvl w:val="7"/>
    </w:pPr>
    <w:rPr>
      <w:rFonts w:ascii="Calibri" w:hAnsi="Calibri"/>
      <w:i/>
      <w:iCs/>
      <w:lang w:eastAsia="en-US"/>
    </w:rPr>
  </w:style>
  <w:style w:type="paragraph" w:styleId="Heading9">
    <w:name w:val="heading 9"/>
    <w:aliases w:val="Do Not Use 9,Legal Level 1.1.1.1."/>
    <w:basedOn w:val="Normal"/>
    <w:next w:val="Normal"/>
    <w:link w:val="Heading9Char"/>
    <w:rsid w:val="00CE1BDB"/>
    <w:pPr>
      <w:numPr>
        <w:ilvl w:val="8"/>
        <w:numId w:val="27"/>
      </w:numPr>
      <w:spacing w:before="240" w:after="60"/>
      <w:jc w:val="both"/>
      <w:outlineLvl w:val="8"/>
    </w:pPr>
    <w:rPr>
      <w:rFonts w:ascii="Calibri" w:hAnsi="Calibr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basedOn w:val="DefaultParagraphFont"/>
    <w:link w:val="Heading1"/>
    <w:rsid w:val="00CE1BDB"/>
    <w:rPr>
      <w:rFonts w:ascii="Times New Roman" w:eastAsia="Times New Roman" w:hAnsi="Times New Roman" w:cs="Times New Roman"/>
      <w:bCs/>
      <w:color w:val="006666"/>
      <w:kern w:val="32"/>
      <w:sz w:val="40"/>
      <w:szCs w:val="28"/>
    </w:rPr>
  </w:style>
  <w:style w:type="character" w:customStyle="1" w:styleId="Heading2Char">
    <w:name w:val="Heading 2 Char"/>
    <w:basedOn w:val="DefaultParagraphFont"/>
    <w:link w:val="Heading2"/>
    <w:rsid w:val="00CE1BDB"/>
    <w:rPr>
      <w:rFonts w:ascii="Times New Roman" w:eastAsia="Times New Roman" w:hAnsi="Times New Roman" w:cs="Times New Roman"/>
      <w:bCs/>
      <w:iCs/>
      <w:color w:val="006666"/>
      <w:sz w:val="32"/>
      <w:szCs w:val="28"/>
    </w:rPr>
  </w:style>
  <w:style w:type="character" w:customStyle="1" w:styleId="Heading3Char">
    <w:name w:val="Heading 3 Char"/>
    <w:basedOn w:val="DefaultParagraphFont"/>
    <w:uiPriority w:val="9"/>
    <w:rsid w:val="00CE1BDB"/>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sid w:val="00CE1BDB"/>
    <w:rPr>
      <w:rFonts w:ascii="Times New Roman" w:eastAsia="Times New Roman" w:hAnsi="Times New Roman" w:cs="Times New Roman"/>
      <w:bCs/>
      <w:color w:val="006666"/>
      <w:sz w:val="24"/>
      <w:szCs w:val="24"/>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basedOn w:val="DefaultParagraphFont"/>
    <w:link w:val="Heading5"/>
    <w:rsid w:val="00CE1BDB"/>
    <w:rPr>
      <w:rFonts w:ascii="Calibri" w:eastAsia="Times New Roman" w:hAnsi="Calibri" w:cs="Times New Roman"/>
      <w:b/>
      <w:bCs/>
      <w:i/>
      <w:iCs/>
      <w:sz w:val="26"/>
      <w:szCs w:val="26"/>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basedOn w:val="DefaultParagraphFont"/>
    <w:link w:val="Heading6"/>
    <w:rsid w:val="00CE1BDB"/>
    <w:rPr>
      <w:rFonts w:ascii="Calibri" w:eastAsia="Times New Roman" w:hAnsi="Calibri" w:cs="Times New Roman"/>
      <w:b/>
      <w:bCs/>
      <w:sz w:val="24"/>
    </w:rPr>
  </w:style>
  <w:style w:type="character" w:customStyle="1" w:styleId="Heading7Char">
    <w:name w:val="Heading 7 Char"/>
    <w:aliases w:val="Do Not Use 7 Char,Economics List (i) Char,level 2 bullets Char,Legal Level 1.1. Char"/>
    <w:basedOn w:val="DefaultParagraphFont"/>
    <w:link w:val="Heading7"/>
    <w:rsid w:val="00CE1BDB"/>
    <w:rPr>
      <w:rFonts w:ascii="Calibri" w:eastAsia="Times New Roman" w:hAnsi="Calibri" w:cs="Times New Roman"/>
      <w:sz w:val="24"/>
      <w:szCs w:val="24"/>
    </w:rPr>
  </w:style>
  <w:style w:type="character" w:customStyle="1" w:styleId="Heading8Char">
    <w:name w:val="Heading 8 Char"/>
    <w:aliases w:val="Do Not Use 8 Char,Economics List (a) Char,level 3 bullets Char,Legal Level 1.1.1. Char,Bullet 3 Char"/>
    <w:basedOn w:val="DefaultParagraphFont"/>
    <w:link w:val="Heading8"/>
    <w:rsid w:val="00CE1BDB"/>
    <w:rPr>
      <w:rFonts w:ascii="Calibri" w:eastAsia="Times New Roman" w:hAnsi="Calibri" w:cs="Times New Roman"/>
      <w:i/>
      <w:iCs/>
      <w:sz w:val="24"/>
      <w:szCs w:val="24"/>
    </w:rPr>
  </w:style>
  <w:style w:type="character" w:customStyle="1" w:styleId="Heading9Char">
    <w:name w:val="Heading 9 Char"/>
    <w:aliases w:val="Do Not Use 9 Char,Legal Level 1.1.1.1. Char"/>
    <w:basedOn w:val="DefaultParagraphFont"/>
    <w:link w:val="Heading9"/>
    <w:rsid w:val="00CE1BDB"/>
    <w:rPr>
      <w:rFonts w:ascii="Calibri" w:eastAsia="Times New Roman" w:hAnsi="Calibri" w:cs="Times New Roman"/>
      <w:sz w:val="24"/>
    </w:rPr>
  </w:style>
  <w:style w:type="paragraph" w:customStyle="1" w:styleId="PageNumbersonConentsPage">
    <w:name w:val="Page Numbers on Conents Page"/>
    <w:basedOn w:val="Normal"/>
    <w:rsid w:val="00CE1BDB"/>
    <w:pPr>
      <w:spacing w:before="120" w:after="120"/>
      <w:jc w:val="right"/>
    </w:pPr>
    <w:rPr>
      <w:rFonts w:ascii="Calibri" w:hAnsi="Calibri"/>
      <w:b/>
      <w:bCs/>
      <w:szCs w:val="20"/>
      <w:lang w:eastAsia="en-US"/>
    </w:rPr>
  </w:style>
  <w:style w:type="paragraph" w:customStyle="1" w:styleId="Figure">
    <w:name w:val="Figure"/>
    <w:basedOn w:val="BodyCopy"/>
    <w:rsid w:val="00CE1BDB"/>
    <w:pPr>
      <w:spacing w:before="60"/>
    </w:pPr>
    <w:rPr>
      <w:rFonts w:ascii="GillSans" w:hAnsi="GillSans"/>
      <w:sz w:val="16"/>
    </w:rPr>
  </w:style>
  <w:style w:type="paragraph" w:styleId="TOC1">
    <w:name w:val="toc 1"/>
    <w:basedOn w:val="Normal"/>
    <w:next w:val="Normal"/>
    <w:autoRedefine/>
    <w:uiPriority w:val="39"/>
    <w:rsid w:val="00CE1BDB"/>
    <w:pPr>
      <w:tabs>
        <w:tab w:val="left" w:pos="720"/>
        <w:tab w:val="left" w:pos="1440"/>
        <w:tab w:val="right" w:leader="dot" w:pos="9185"/>
      </w:tabs>
      <w:spacing w:before="60" w:after="60"/>
      <w:ind w:left="1440" w:hanging="1440"/>
      <w:jc w:val="both"/>
    </w:pPr>
    <w:rPr>
      <w:rFonts w:cstheme="minorHAnsi"/>
      <w:bCs/>
      <w:noProof/>
      <w:lang w:eastAsia="en-US"/>
    </w:rPr>
  </w:style>
  <w:style w:type="paragraph" w:customStyle="1" w:styleId="ReportName">
    <w:name w:val="Report Name"/>
    <w:basedOn w:val="Normal"/>
    <w:rsid w:val="00CE1BDB"/>
    <w:pPr>
      <w:spacing w:before="120" w:after="120"/>
      <w:jc w:val="both"/>
    </w:pPr>
    <w:rPr>
      <w:rFonts w:ascii="GillSans" w:hAnsi="GillSans"/>
      <w:color w:val="FFFFFF"/>
      <w:sz w:val="38"/>
      <w:szCs w:val="38"/>
      <w:lang w:eastAsia="en-US"/>
    </w:rPr>
  </w:style>
  <w:style w:type="paragraph" w:customStyle="1" w:styleId="CoverPageDate">
    <w:name w:val="Cover Page Date"/>
    <w:basedOn w:val="Normal"/>
    <w:rsid w:val="00CE1BDB"/>
    <w:pPr>
      <w:spacing w:before="120" w:after="120"/>
      <w:jc w:val="both"/>
    </w:pPr>
    <w:rPr>
      <w:rFonts w:ascii="GillSans Light" w:hAnsi="GillSans Light"/>
      <w:color w:val="FFFFFF"/>
      <w:sz w:val="38"/>
      <w:szCs w:val="38"/>
      <w:lang w:eastAsia="en-US"/>
    </w:rPr>
  </w:style>
  <w:style w:type="paragraph" w:customStyle="1" w:styleId="Footer-Abra">
    <w:name w:val="Footer - Abra"/>
    <w:basedOn w:val="Normal"/>
    <w:rsid w:val="00CE1BDB"/>
    <w:pPr>
      <w:tabs>
        <w:tab w:val="center" w:pos="4320"/>
        <w:tab w:val="right" w:pos="8640"/>
      </w:tabs>
      <w:spacing w:before="120" w:after="120"/>
      <w:jc w:val="both"/>
    </w:pPr>
    <w:rPr>
      <w:rFonts w:ascii="Verdana" w:hAnsi="Verdana"/>
      <w:color w:val="008080"/>
      <w:szCs w:val="16"/>
      <w:lang w:eastAsia="en-US"/>
    </w:rPr>
  </w:style>
  <w:style w:type="character" w:styleId="PageNumber">
    <w:name w:val="page number"/>
    <w:uiPriority w:val="99"/>
    <w:rsid w:val="00CE1BDB"/>
    <w:rPr>
      <w:rFonts w:ascii="GillSans" w:hAnsi="GillSans"/>
      <w:color w:val="FFFFFF"/>
      <w:sz w:val="16"/>
    </w:rPr>
  </w:style>
  <w:style w:type="paragraph" w:customStyle="1" w:styleId="ContentsNumbers">
    <w:name w:val="Contents Numbers"/>
    <w:basedOn w:val="Normal"/>
    <w:rsid w:val="00CE1BDB"/>
    <w:pPr>
      <w:spacing w:before="120" w:after="120"/>
      <w:jc w:val="center"/>
    </w:pPr>
    <w:rPr>
      <w:rFonts w:ascii="Calibri" w:hAnsi="Calibri"/>
      <w:color w:val="FFFFFF"/>
      <w:sz w:val="20"/>
      <w:lang w:eastAsia="en-US"/>
    </w:rPr>
  </w:style>
  <w:style w:type="paragraph" w:customStyle="1" w:styleId="TitleHeading">
    <w:name w:val="Title Heading"/>
    <w:basedOn w:val="Heading1"/>
    <w:rsid w:val="00CE1BDB"/>
    <w:pPr>
      <w:spacing w:before="0"/>
    </w:pPr>
    <w:rPr>
      <w:bCs w:val="0"/>
      <w:sz w:val="44"/>
      <w:szCs w:val="20"/>
    </w:rPr>
  </w:style>
  <w:style w:type="paragraph" w:customStyle="1" w:styleId="BodyCopy">
    <w:name w:val="Body Copy"/>
    <w:basedOn w:val="Normal"/>
    <w:rsid w:val="00CE1BDB"/>
    <w:pPr>
      <w:numPr>
        <w:ilvl w:val="1"/>
        <w:numId w:val="22"/>
      </w:numPr>
      <w:spacing w:before="120" w:after="120"/>
      <w:jc w:val="both"/>
    </w:pPr>
    <w:rPr>
      <w:rFonts w:ascii="GillSans Light" w:hAnsi="GillSans Light"/>
      <w:sz w:val="20"/>
      <w:szCs w:val="20"/>
      <w:lang w:eastAsia="en-US"/>
    </w:rPr>
  </w:style>
  <w:style w:type="paragraph" w:customStyle="1" w:styleId="Maintext">
    <w:name w:val="Main text"/>
    <w:basedOn w:val="Normal"/>
    <w:link w:val="MaintextChar1"/>
    <w:rsid w:val="00CE1BDB"/>
    <w:pPr>
      <w:numPr>
        <w:ilvl w:val="1"/>
        <w:numId w:val="27"/>
      </w:numPr>
      <w:spacing w:before="120" w:after="120"/>
      <w:jc w:val="both"/>
    </w:pPr>
    <w:rPr>
      <w:rFonts w:ascii="Calibri" w:hAnsi="Calibri"/>
      <w:lang w:eastAsia="en-US"/>
    </w:rPr>
  </w:style>
  <w:style w:type="paragraph" w:styleId="ListBullet">
    <w:name w:val="List Bullet"/>
    <w:basedOn w:val="Normal"/>
    <w:autoRedefine/>
    <w:rsid w:val="00CE1BDB"/>
    <w:pPr>
      <w:numPr>
        <w:numId w:val="17"/>
      </w:numPr>
      <w:spacing w:before="120" w:after="120"/>
      <w:jc w:val="both"/>
    </w:pPr>
    <w:rPr>
      <w:rFonts w:ascii="Calibri" w:hAnsi="Calibri"/>
      <w:sz w:val="20"/>
      <w:lang w:eastAsia="en-US"/>
    </w:rPr>
  </w:style>
  <w:style w:type="paragraph" w:styleId="TOC2">
    <w:name w:val="toc 2"/>
    <w:basedOn w:val="Normal"/>
    <w:next w:val="Normal"/>
    <w:autoRedefine/>
    <w:uiPriority w:val="39"/>
    <w:rsid w:val="00CE1BDB"/>
    <w:pPr>
      <w:tabs>
        <w:tab w:val="right" w:pos="720"/>
        <w:tab w:val="right" w:leader="dot" w:pos="9185"/>
      </w:tabs>
      <w:spacing w:before="60" w:after="60"/>
      <w:ind w:left="720"/>
      <w:jc w:val="both"/>
    </w:pPr>
    <w:rPr>
      <w:bCs/>
      <w:noProof/>
      <w:szCs w:val="20"/>
      <w:lang w:eastAsia="en-US"/>
    </w:rPr>
  </w:style>
  <w:style w:type="paragraph" w:styleId="TOC3">
    <w:name w:val="toc 3"/>
    <w:basedOn w:val="Normal"/>
    <w:next w:val="Normal"/>
    <w:autoRedefine/>
    <w:uiPriority w:val="39"/>
    <w:rsid w:val="00CE1BDB"/>
    <w:pPr>
      <w:tabs>
        <w:tab w:val="right" w:leader="dot" w:pos="9322"/>
      </w:tabs>
      <w:spacing w:before="120" w:after="120"/>
      <w:ind w:left="240"/>
      <w:jc w:val="both"/>
    </w:pPr>
    <w:rPr>
      <w:rFonts w:ascii="Calibri" w:hAnsi="Calibri"/>
      <w:sz w:val="20"/>
      <w:szCs w:val="20"/>
      <w:lang w:eastAsia="en-US"/>
    </w:rPr>
  </w:style>
  <w:style w:type="paragraph" w:styleId="TOC4">
    <w:name w:val="toc 4"/>
    <w:basedOn w:val="Normal"/>
    <w:next w:val="Normal"/>
    <w:autoRedefine/>
    <w:uiPriority w:val="39"/>
    <w:rsid w:val="00CE1BDB"/>
    <w:pPr>
      <w:spacing w:before="120" w:after="120"/>
      <w:ind w:left="480"/>
      <w:jc w:val="both"/>
    </w:pPr>
    <w:rPr>
      <w:rFonts w:ascii="Calibri" w:hAnsi="Calibri"/>
      <w:sz w:val="20"/>
      <w:szCs w:val="20"/>
      <w:lang w:eastAsia="en-US"/>
    </w:rPr>
  </w:style>
  <w:style w:type="paragraph" w:styleId="TOC5">
    <w:name w:val="toc 5"/>
    <w:basedOn w:val="Normal"/>
    <w:next w:val="Normal"/>
    <w:autoRedefine/>
    <w:uiPriority w:val="39"/>
    <w:rsid w:val="00CE1BDB"/>
    <w:pPr>
      <w:spacing w:before="120" w:after="120"/>
      <w:ind w:left="720"/>
      <w:jc w:val="both"/>
    </w:pPr>
    <w:rPr>
      <w:rFonts w:ascii="Calibri" w:hAnsi="Calibri"/>
      <w:sz w:val="20"/>
      <w:szCs w:val="20"/>
      <w:lang w:eastAsia="en-US"/>
    </w:rPr>
  </w:style>
  <w:style w:type="paragraph" w:styleId="TOC6">
    <w:name w:val="toc 6"/>
    <w:basedOn w:val="Normal"/>
    <w:next w:val="Normal"/>
    <w:autoRedefine/>
    <w:uiPriority w:val="39"/>
    <w:rsid w:val="00CE1BDB"/>
    <w:pPr>
      <w:spacing w:before="120" w:after="120"/>
      <w:ind w:left="960"/>
      <w:jc w:val="both"/>
    </w:pPr>
    <w:rPr>
      <w:rFonts w:ascii="Calibri" w:hAnsi="Calibri"/>
      <w:sz w:val="20"/>
      <w:szCs w:val="20"/>
      <w:lang w:eastAsia="en-US"/>
    </w:rPr>
  </w:style>
  <w:style w:type="paragraph" w:styleId="TOC7">
    <w:name w:val="toc 7"/>
    <w:basedOn w:val="Normal"/>
    <w:next w:val="Normal"/>
    <w:autoRedefine/>
    <w:uiPriority w:val="39"/>
    <w:rsid w:val="00CE1BDB"/>
    <w:pPr>
      <w:spacing w:before="120" w:after="120"/>
      <w:ind w:left="1200"/>
      <w:jc w:val="both"/>
    </w:pPr>
    <w:rPr>
      <w:rFonts w:ascii="Calibri" w:hAnsi="Calibri"/>
      <w:sz w:val="20"/>
      <w:szCs w:val="20"/>
      <w:lang w:eastAsia="en-US"/>
    </w:rPr>
  </w:style>
  <w:style w:type="paragraph" w:styleId="TOC8">
    <w:name w:val="toc 8"/>
    <w:basedOn w:val="Normal"/>
    <w:next w:val="Normal"/>
    <w:autoRedefine/>
    <w:uiPriority w:val="39"/>
    <w:rsid w:val="00CE1BDB"/>
    <w:pPr>
      <w:spacing w:before="120" w:after="120"/>
      <w:ind w:left="1440"/>
      <w:jc w:val="both"/>
    </w:pPr>
    <w:rPr>
      <w:rFonts w:ascii="Calibri" w:hAnsi="Calibri"/>
      <w:sz w:val="20"/>
      <w:szCs w:val="20"/>
      <w:lang w:eastAsia="en-US"/>
    </w:rPr>
  </w:style>
  <w:style w:type="paragraph" w:styleId="TOC9">
    <w:name w:val="toc 9"/>
    <w:basedOn w:val="Normal"/>
    <w:next w:val="Normal"/>
    <w:autoRedefine/>
    <w:uiPriority w:val="39"/>
    <w:rsid w:val="00CE1BDB"/>
    <w:pPr>
      <w:spacing w:before="120" w:after="120"/>
      <w:ind w:left="1680"/>
      <w:jc w:val="both"/>
    </w:pPr>
    <w:rPr>
      <w:rFonts w:ascii="Calibri" w:hAnsi="Calibri"/>
      <w:sz w:val="20"/>
      <w:szCs w:val="20"/>
      <w:lang w:eastAsia="en-US"/>
    </w:rPr>
  </w:style>
  <w:style w:type="character" w:styleId="Hyperlink">
    <w:name w:val="Hyperlink"/>
    <w:uiPriority w:val="99"/>
    <w:rsid w:val="00CE1BDB"/>
    <w:rPr>
      <w:color w:val="0000FF"/>
      <w:u w:val="single"/>
    </w:rPr>
  </w:style>
  <w:style w:type="paragraph" w:styleId="Header">
    <w:name w:val="header"/>
    <w:basedOn w:val="Normal"/>
    <w:link w:val="HeaderChar"/>
    <w:uiPriority w:val="99"/>
    <w:rsid w:val="00CE1BDB"/>
    <w:pPr>
      <w:tabs>
        <w:tab w:val="center" w:pos="4153"/>
        <w:tab w:val="right" w:pos="8306"/>
      </w:tabs>
      <w:spacing w:before="120" w:after="120"/>
      <w:jc w:val="both"/>
    </w:pPr>
    <w:rPr>
      <w:rFonts w:ascii="Calibri" w:hAnsi="Calibri"/>
      <w:lang w:eastAsia="en-US"/>
    </w:rPr>
  </w:style>
  <w:style w:type="character" w:customStyle="1" w:styleId="HeaderChar">
    <w:name w:val="Header Char"/>
    <w:basedOn w:val="DefaultParagraphFont"/>
    <w:link w:val="Header"/>
    <w:uiPriority w:val="99"/>
    <w:rsid w:val="00CE1BDB"/>
    <w:rPr>
      <w:rFonts w:ascii="Calibri" w:eastAsia="Times New Roman" w:hAnsi="Calibri" w:cs="Times New Roman"/>
      <w:sz w:val="24"/>
      <w:szCs w:val="24"/>
    </w:rPr>
  </w:style>
  <w:style w:type="paragraph" w:styleId="Footer">
    <w:name w:val="footer"/>
    <w:basedOn w:val="Normal"/>
    <w:link w:val="FooterChar"/>
    <w:uiPriority w:val="99"/>
    <w:rsid w:val="00CE1BDB"/>
    <w:pPr>
      <w:tabs>
        <w:tab w:val="center" w:pos="4153"/>
        <w:tab w:val="right" w:pos="8306"/>
      </w:tabs>
      <w:spacing w:before="120" w:after="120"/>
      <w:jc w:val="both"/>
    </w:pPr>
    <w:rPr>
      <w:rFonts w:ascii="Calibri" w:hAnsi="Calibri"/>
      <w:lang w:eastAsia="en-US"/>
    </w:rPr>
  </w:style>
  <w:style w:type="character" w:customStyle="1" w:styleId="FooterChar">
    <w:name w:val="Footer Char"/>
    <w:basedOn w:val="DefaultParagraphFont"/>
    <w:link w:val="Footer"/>
    <w:uiPriority w:val="99"/>
    <w:rsid w:val="00CE1BDB"/>
    <w:rPr>
      <w:rFonts w:ascii="Calibri" w:eastAsia="Times New Roman" w:hAnsi="Calibri" w:cs="Times New Roman"/>
      <w:sz w:val="24"/>
      <w:szCs w:val="24"/>
    </w:rPr>
  </w:style>
  <w:style w:type="paragraph" w:styleId="FootnoteText">
    <w:name w:val="footnote text"/>
    <w:aliases w:val="EKOS Footnote Text"/>
    <w:basedOn w:val="Normal"/>
    <w:link w:val="FootnoteTextChar"/>
    <w:uiPriority w:val="99"/>
    <w:rsid w:val="00CE1BDB"/>
    <w:pPr>
      <w:spacing w:before="120" w:after="120"/>
      <w:jc w:val="both"/>
    </w:pPr>
    <w:rPr>
      <w:rFonts w:ascii="Calibri" w:hAnsi="Calibri"/>
      <w:sz w:val="16"/>
      <w:szCs w:val="20"/>
      <w:lang w:eastAsia="en-US"/>
    </w:rPr>
  </w:style>
  <w:style w:type="character" w:customStyle="1" w:styleId="FootnoteTextChar">
    <w:name w:val="Footnote Text Char"/>
    <w:aliases w:val="EKOS Footnote Text Char"/>
    <w:basedOn w:val="DefaultParagraphFont"/>
    <w:link w:val="FootnoteText"/>
    <w:uiPriority w:val="99"/>
    <w:rsid w:val="00CE1BDB"/>
    <w:rPr>
      <w:rFonts w:ascii="Calibri" w:eastAsia="Times New Roman" w:hAnsi="Calibri" w:cs="Times New Roman"/>
      <w:sz w:val="16"/>
      <w:szCs w:val="20"/>
    </w:rPr>
  </w:style>
  <w:style w:type="character" w:styleId="FootnoteReference">
    <w:name w:val="footnote reference"/>
    <w:aliases w:val="Footnote Reference (caveat)"/>
    <w:uiPriority w:val="99"/>
    <w:rsid w:val="00CE1BDB"/>
    <w:rPr>
      <w:vertAlign w:val="superscript"/>
    </w:rPr>
  </w:style>
  <w:style w:type="paragraph" w:customStyle="1" w:styleId="Char">
    <w:name w:val="Char"/>
    <w:basedOn w:val="Normal"/>
    <w:rsid w:val="00CE1BDB"/>
    <w:pPr>
      <w:spacing w:before="120" w:after="160" w:line="240" w:lineRule="exact"/>
      <w:jc w:val="both"/>
    </w:pPr>
    <w:rPr>
      <w:rFonts w:ascii="Calibri" w:hAnsi="Calibri"/>
      <w:sz w:val="20"/>
      <w:szCs w:val="20"/>
      <w:lang w:val="en-US" w:eastAsia="en-US"/>
    </w:rPr>
  </w:style>
  <w:style w:type="paragraph" w:customStyle="1" w:styleId="Style18ptBoldDarkBlueCentered">
    <w:name w:val="Style 18 pt Bold Dark Blue Centered"/>
    <w:basedOn w:val="Normal"/>
    <w:rsid w:val="00CE1BDB"/>
    <w:pPr>
      <w:spacing w:before="120" w:after="120"/>
      <w:jc w:val="center"/>
    </w:pPr>
    <w:rPr>
      <w:rFonts w:ascii="Calibri" w:hAnsi="Calibri"/>
      <w:b/>
      <w:bCs/>
      <w:color w:val="008080"/>
      <w:sz w:val="36"/>
      <w:szCs w:val="36"/>
      <w:lang w:eastAsia="en-US"/>
    </w:rPr>
  </w:style>
  <w:style w:type="character" w:customStyle="1" w:styleId="MaintextCharChar1">
    <w:name w:val="Main text Char Char1"/>
    <w:rsid w:val="00CE1BDB"/>
    <w:rPr>
      <w:rFonts w:ascii="Arial" w:hAnsi="Arial"/>
      <w:sz w:val="24"/>
      <w:szCs w:val="24"/>
      <w:lang w:eastAsia="en-US"/>
    </w:rPr>
  </w:style>
  <w:style w:type="paragraph" w:styleId="BodyText3">
    <w:name w:val="Body Text 3"/>
    <w:basedOn w:val="Normal"/>
    <w:link w:val="BodyText3Char"/>
    <w:rsid w:val="00CE1BDB"/>
    <w:pPr>
      <w:spacing w:before="120" w:after="120"/>
      <w:jc w:val="both"/>
    </w:pPr>
    <w:rPr>
      <w:rFonts w:ascii="Calibri" w:hAnsi="Calibri"/>
      <w:sz w:val="16"/>
      <w:szCs w:val="16"/>
      <w:lang w:eastAsia="en-US"/>
    </w:rPr>
  </w:style>
  <w:style w:type="character" w:customStyle="1" w:styleId="BodyText3Char">
    <w:name w:val="Body Text 3 Char"/>
    <w:basedOn w:val="DefaultParagraphFont"/>
    <w:link w:val="BodyText3"/>
    <w:rsid w:val="00CE1BDB"/>
    <w:rPr>
      <w:rFonts w:ascii="Calibri" w:eastAsia="Times New Roman" w:hAnsi="Calibri" w:cs="Times New Roman"/>
      <w:sz w:val="16"/>
      <w:szCs w:val="16"/>
    </w:rPr>
  </w:style>
  <w:style w:type="paragraph" w:customStyle="1" w:styleId="StyleTableBold">
    <w:name w:val="Style Table + Bold"/>
    <w:basedOn w:val="Normal"/>
    <w:rsid w:val="00CE1BDB"/>
    <w:pPr>
      <w:spacing w:before="60" w:after="60"/>
      <w:ind w:left="709"/>
      <w:jc w:val="both"/>
    </w:pPr>
    <w:rPr>
      <w:rFonts w:ascii="Calibri" w:hAnsi="Calibri"/>
      <w:b/>
      <w:bCs/>
      <w:szCs w:val="20"/>
      <w:lang w:eastAsia="en-US"/>
    </w:rPr>
  </w:style>
  <w:style w:type="paragraph" w:customStyle="1" w:styleId="StyleCentered">
    <w:name w:val="Style Centered"/>
    <w:basedOn w:val="Normal"/>
    <w:rsid w:val="00CE1BDB"/>
    <w:pPr>
      <w:spacing w:before="120" w:after="120"/>
      <w:jc w:val="center"/>
    </w:pPr>
    <w:rPr>
      <w:rFonts w:ascii="Calibri" w:hAnsi="Calibri"/>
      <w:szCs w:val="20"/>
      <w:lang w:eastAsia="en-US"/>
    </w:rPr>
  </w:style>
  <w:style w:type="paragraph" w:customStyle="1" w:styleId="StyleHeading312ptTeal">
    <w:name w:val="Style Heading 3 + 12 pt Teal"/>
    <w:basedOn w:val="Heading3"/>
    <w:rsid w:val="00CE1BDB"/>
    <w:pPr>
      <w:ind w:left="0"/>
    </w:pPr>
    <w:rPr>
      <w:b/>
      <w:bCs/>
      <w:sz w:val="24"/>
      <w:szCs w:val="26"/>
    </w:rPr>
  </w:style>
  <w:style w:type="paragraph" w:customStyle="1" w:styleId="StyleMaintextItalicFirstline0cm">
    <w:name w:val="Style Main text + Italic First line:  0 cm"/>
    <w:basedOn w:val="Maintext"/>
    <w:rsid w:val="00CE1BDB"/>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rsid w:val="00CE1BDB"/>
    <w:rPr>
      <w:b/>
      <w:bCs/>
      <w:color w:val="auto"/>
      <w:sz w:val="24"/>
      <w:szCs w:val="24"/>
      <w:lang w:val="en-US"/>
    </w:rPr>
  </w:style>
  <w:style w:type="paragraph" w:customStyle="1" w:styleId="StyleMaintextGillSansMT">
    <w:name w:val="Style Main text + Gill Sans MT"/>
    <w:basedOn w:val="Normal"/>
    <w:rsid w:val="00CE1BDB"/>
    <w:pPr>
      <w:numPr>
        <w:ilvl w:val="1"/>
        <w:numId w:val="25"/>
      </w:numPr>
      <w:tabs>
        <w:tab w:val="clear" w:pos="709"/>
        <w:tab w:val="num" w:pos="2149"/>
      </w:tabs>
      <w:spacing w:before="120" w:after="120"/>
      <w:jc w:val="both"/>
    </w:pPr>
    <w:rPr>
      <w:rFonts w:ascii="Calibri" w:hAnsi="Calibri"/>
      <w:lang w:val="en-US" w:eastAsia="en-US"/>
    </w:rPr>
  </w:style>
  <w:style w:type="character" w:customStyle="1" w:styleId="Char1CharChar">
    <w:name w:val="Char1 Char Char"/>
    <w:rsid w:val="00CE1BDB"/>
    <w:rPr>
      <w:rFonts w:ascii="Arial Bold" w:hAnsi="Arial Bold" w:cs="Arial"/>
      <w:b/>
      <w:bCs/>
      <w:color w:val="008080"/>
      <w:kern w:val="32"/>
      <w:sz w:val="32"/>
      <w:szCs w:val="28"/>
      <w:lang w:eastAsia="en-US"/>
    </w:rPr>
  </w:style>
  <w:style w:type="character" w:customStyle="1" w:styleId="CharChar14">
    <w:name w:val="Char Char14"/>
    <w:rsid w:val="00CE1BDB"/>
    <w:rPr>
      <w:rFonts w:ascii="Arial" w:hAnsi="Arial" w:cs="Arial"/>
      <w:b/>
      <w:bCs/>
      <w:iCs/>
      <w:color w:val="008080"/>
      <w:sz w:val="28"/>
      <w:szCs w:val="28"/>
      <w:lang w:val="en-GB" w:eastAsia="en-US" w:bidi="ar-SA"/>
    </w:rPr>
  </w:style>
  <w:style w:type="paragraph" w:styleId="BodyTextIndent">
    <w:name w:val="Body Text Indent"/>
    <w:basedOn w:val="Normal"/>
    <w:link w:val="BodyTextIndentChar"/>
    <w:rsid w:val="00CE1BDB"/>
    <w:pPr>
      <w:numPr>
        <w:numId w:val="6"/>
      </w:numPr>
      <w:tabs>
        <w:tab w:val="clear" w:pos="1914"/>
      </w:tabs>
      <w:spacing w:before="120" w:after="120"/>
      <w:jc w:val="both"/>
    </w:pPr>
    <w:rPr>
      <w:rFonts w:ascii="Calibri" w:hAnsi="Calibri"/>
      <w:lang w:eastAsia="en-US"/>
    </w:rPr>
  </w:style>
  <w:style w:type="character" w:customStyle="1" w:styleId="BodyTextIndentChar">
    <w:name w:val="Body Text Indent Char"/>
    <w:basedOn w:val="DefaultParagraphFont"/>
    <w:link w:val="BodyTextIndent"/>
    <w:rsid w:val="00CE1BDB"/>
    <w:rPr>
      <w:rFonts w:ascii="Calibri" w:eastAsia="Times New Roman" w:hAnsi="Calibri" w:cs="Times New Roman"/>
      <w:sz w:val="24"/>
      <w:szCs w:val="24"/>
    </w:rPr>
  </w:style>
  <w:style w:type="paragraph" w:customStyle="1" w:styleId="GVABullets">
    <w:name w:val="GVA Bullets"/>
    <w:basedOn w:val="Normal"/>
    <w:rsid w:val="00CE1BDB"/>
    <w:pPr>
      <w:numPr>
        <w:numId w:val="15"/>
      </w:numPr>
      <w:spacing w:before="120" w:after="120"/>
      <w:jc w:val="both"/>
    </w:pPr>
    <w:rPr>
      <w:rFonts w:ascii="Calibri" w:hAnsi="Calibri"/>
      <w:lang w:eastAsia="en-US"/>
    </w:rPr>
  </w:style>
  <w:style w:type="character" w:customStyle="1" w:styleId="MaintextCharChar">
    <w:name w:val="Main text Char Char"/>
    <w:rsid w:val="00CE1BDB"/>
    <w:rPr>
      <w:rFonts w:ascii="Arial" w:hAnsi="Arial"/>
      <w:sz w:val="24"/>
      <w:szCs w:val="24"/>
      <w:lang w:val="en-US" w:eastAsia="en-US" w:bidi="ar-SA"/>
    </w:rPr>
  </w:style>
  <w:style w:type="paragraph" w:styleId="BodyTextIndent3">
    <w:name w:val="Body Text Indent 3"/>
    <w:basedOn w:val="Normal"/>
    <w:link w:val="BodyTextIndent3Char"/>
    <w:rsid w:val="00CE1BDB"/>
    <w:pPr>
      <w:spacing w:before="120" w:after="120"/>
      <w:ind w:left="283"/>
      <w:jc w:val="both"/>
    </w:pPr>
    <w:rPr>
      <w:rFonts w:ascii="Calibri" w:hAnsi="Calibri"/>
      <w:sz w:val="16"/>
      <w:szCs w:val="16"/>
      <w:lang w:eastAsia="en-US"/>
    </w:rPr>
  </w:style>
  <w:style w:type="character" w:customStyle="1" w:styleId="BodyTextIndent3Char">
    <w:name w:val="Body Text Indent 3 Char"/>
    <w:basedOn w:val="DefaultParagraphFont"/>
    <w:link w:val="BodyTextIndent3"/>
    <w:rsid w:val="00CE1BDB"/>
    <w:rPr>
      <w:rFonts w:ascii="Calibri" w:eastAsia="Times New Roman" w:hAnsi="Calibri" w:cs="Times New Roman"/>
      <w:sz w:val="16"/>
      <w:szCs w:val="16"/>
    </w:rPr>
  </w:style>
  <w:style w:type="paragraph" w:customStyle="1" w:styleId="Default">
    <w:name w:val="Default"/>
    <w:rsid w:val="00CE1BDB"/>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rsid w:val="00CE1BDB"/>
    <w:pPr>
      <w:spacing w:before="120" w:after="120"/>
      <w:jc w:val="both"/>
    </w:pPr>
    <w:rPr>
      <w:rFonts w:ascii="Calibri" w:hAnsi="Calibri"/>
      <w:lang w:eastAsia="en-US"/>
    </w:rPr>
  </w:style>
  <w:style w:type="character" w:customStyle="1" w:styleId="BodyTextChar">
    <w:name w:val="Body Text Char"/>
    <w:basedOn w:val="DefaultParagraphFont"/>
    <w:link w:val="BodyText"/>
    <w:rsid w:val="00CE1BDB"/>
    <w:rPr>
      <w:rFonts w:ascii="Calibri" w:eastAsia="Times New Roman" w:hAnsi="Calibri" w:cs="Times New Roman"/>
      <w:sz w:val="24"/>
      <w:szCs w:val="24"/>
    </w:rPr>
  </w:style>
  <w:style w:type="paragraph" w:customStyle="1" w:styleId="StyleHeading312ptWhite">
    <w:name w:val="Style Heading 3 + 12 pt White"/>
    <w:basedOn w:val="Heading3"/>
    <w:rsid w:val="00CE1BDB"/>
    <w:pPr>
      <w:spacing w:before="0" w:after="0"/>
      <w:ind w:left="0"/>
    </w:pPr>
    <w:rPr>
      <w:b/>
      <w:bCs/>
      <w:color w:val="FFFFFF"/>
      <w:sz w:val="26"/>
      <w:szCs w:val="20"/>
      <w:lang w:val="en-US"/>
    </w:rPr>
  </w:style>
  <w:style w:type="paragraph" w:customStyle="1" w:styleId="bullets">
    <w:name w:val="bullets"/>
    <w:basedOn w:val="Normal"/>
    <w:rsid w:val="00CE1BDB"/>
    <w:pPr>
      <w:numPr>
        <w:numId w:val="13"/>
      </w:numPr>
      <w:tabs>
        <w:tab w:val="left" w:pos="1276"/>
      </w:tabs>
      <w:spacing w:before="120" w:after="120"/>
      <w:jc w:val="both"/>
    </w:pPr>
    <w:rPr>
      <w:rFonts w:ascii="Calibri" w:hAnsi="Calibri"/>
      <w:szCs w:val="22"/>
      <w:lang w:eastAsia="en-US"/>
    </w:rPr>
  </w:style>
  <w:style w:type="character" w:customStyle="1" w:styleId="bulletsChar2">
    <w:name w:val="bullets Char2"/>
    <w:rsid w:val="00CE1BDB"/>
    <w:rPr>
      <w:rFonts w:ascii="Arial" w:hAnsi="Arial"/>
      <w:sz w:val="22"/>
      <w:szCs w:val="22"/>
      <w:lang w:eastAsia="en-US"/>
    </w:rPr>
  </w:style>
  <w:style w:type="paragraph" w:styleId="BalloonText">
    <w:name w:val="Balloon Text"/>
    <w:basedOn w:val="Normal"/>
    <w:link w:val="BalloonTextChar"/>
    <w:uiPriority w:val="99"/>
    <w:semiHidden/>
    <w:rsid w:val="00CE1BDB"/>
    <w:pPr>
      <w:spacing w:before="120" w:after="120"/>
    </w:pPr>
    <w:rPr>
      <w:rFonts w:ascii="Tahoma" w:hAnsi="Tahoma"/>
      <w:sz w:val="16"/>
      <w:szCs w:val="16"/>
    </w:rPr>
  </w:style>
  <w:style w:type="character" w:customStyle="1" w:styleId="BalloonTextChar">
    <w:name w:val="Balloon Text Char"/>
    <w:basedOn w:val="DefaultParagraphFont"/>
    <w:link w:val="BalloonText"/>
    <w:uiPriority w:val="99"/>
    <w:semiHidden/>
    <w:rsid w:val="00CE1BDB"/>
    <w:rPr>
      <w:rFonts w:ascii="Tahoma" w:eastAsia="Times New Roman" w:hAnsi="Tahoma" w:cs="Times New Roman"/>
      <w:sz w:val="16"/>
      <w:szCs w:val="16"/>
      <w:lang w:eastAsia="en-GB"/>
    </w:rPr>
  </w:style>
  <w:style w:type="paragraph" w:styleId="DocumentMap">
    <w:name w:val="Document Map"/>
    <w:basedOn w:val="Normal"/>
    <w:link w:val="DocumentMapChar"/>
    <w:semiHidden/>
    <w:rsid w:val="00CE1BDB"/>
    <w:pPr>
      <w:shd w:val="clear" w:color="auto" w:fill="000080"/>
      <w:spacing w:before="120" w:after="120"/>
    </w:pPr>
    <w:rPr>
      <w:rFonts w:ascii="Tahoma" w:hAnsi="Tahoma"/>
    </w:rPr>
  </w:style>
  <w:style w:type="character" w:customStyle="1" w:styleId="DocumentMapChar">
    <w:name w:val="Document Map Char"/>
    <w:basedOn w:val="DefaultParagraphFont"/>
    <w:link w:val="DocumentMap"/>
    <w:semiHidden/>
    <w:rsid w:val="00CE1BDB"/>
    <w:rPr>
      <w:rFonts w:ascii="Tahoma" w:eastAsia="Times New Roman" w:hAnsi="Tahoma" w:cs="Times New Roman"/>
      <w:sz w:val="24"/>
      <w:szCs w:val="24"/>
      <w:shd w:val="clear" w:color="auto" w:fill="000080"/>
      <w:lang w:eastAsia="en-GB"/>
    </w:rPr>
  </w:style>
  <w:style w:type="character" w:customStyle="1" w:styleId="Hyperlink1">
    <w:name w:val="Hyperlink1"/>
    <w:rsid w:val="00CE1BDB"/>
    <w:rPr>
      <w:strike w:val="0"/>
      <w:dstrike w:val="0"/>
      <w:color w:val="008083"/>
      <w:u w:val="single"/>
      <w:effect w:val="none"/>
      <w:shd w:val="clear" w:color="auto" w:fill="auto"/>
    </w:rPr>
  </w:style>
  <w:style w:type="paragraph" w:customStyle="1" w:styleId="StyleMaintextJustified1">
    <w:name w:val="Style Main text + Justified1"/>
    <w:basedOn w:val="Maintext"/>
    <w:uiPriority w:val="99"/>
    <w:rsid w:val="00CE1BDB"/>
    <w:pPr>
      <w:numPr>
        <w:numId w:val="26"/>
      </w:numPr>
    </w:pPr>
    <w:rPr>
      <w:szCs w:val="20"/>
    </w:rPr>
  </w:style>
  <w:style w:type="character" w:customStyle="1" w:styleId="MaintextChar">
    <w:name w:val="Main text Char"/>
    <w:rsid w:val="00CE1BDB"/>
    <w:rPr>
      <w:rFonts w:ascii="Arial" w:hAnsi="Arial"/>
      <w:sz w:val="24"/>
      <w:szCs w:val="24"/>
      <w:lang w:val="en-GB" w:eastAsia="en-US" w:bidi="ar-SA"/>
    </w:rPr>
  </w:style>
  <w:style w:type="paragraph" w:customStyle="1" w:styleId="StyleMaintextLeft">
    <w:name w:val="Style Main text + Left"/>
    <w:basedOn w:val="Maintext"/>
    <w:rsid w:val="00CE1BDB"/>
    <w:rPr>
      <w:szCs w:val="20"/>
    </w:rPr>
  </w:style>
  <w:style w:type="paragraph" w:customStyle="1" w:styleId="StyleHeading3Firstline125cm">
    <w:name w:val="Style Heading 3 + First line:  1.25 cm"/>
    <w:basedOn w:val="Heading3"/>
    <w:rsid w:val="00CE1BDB"/>
    <w:pPr>
      <w:spacing w:before="0" w:after="0"/>
      <w:ind w:left="0" w:firstLine="709"/>
    </w:pPr>
    <w:rPr>
      <w:b/>
      <w:bCs/>
      <w:color w:val="auto"/>
      <w:sz w:val="26"/>
      <w:szCs w:val="20"/>
      <w:lang w:val="en-US"/>
    </w:rPr>
  </w:style>
  <w:style w:type="paragraph" w:styleId="EndnoteText">
    <w:name w:val="endnote text"/>
    <w:basedOn w:val="Normal"/>
    <w:link w:val="EndnoteTextChar"/>
    <w:semiHidden/>
    <w:unhideWhenUsed/>
    <w:rsid w:val="00CE1BDB"/>
    <w:pPr>
      <w:spacing w:before="120" w:after="120"/>
    </w:pPr>
    <w:rPr>
      <w:sz w:val="20"/>
      <w:szCs w:val="20"/>
    </w:rPr>
  </w:style>
  <w:style w:type="character" w:customStyle="1" w:styleId="EndnoteTextChar">
    <w:name w:val="Endnote Text Char"/>
    <w:basedOn w:val="DefaultParagraphFont"/>
    <w:link w:val="EndnoteText"/>
    <w:semiHidden/>
    <w:rsid w:val="00CE1BDB"/>
    <w:rPr>
      <w:rFonts w:ascii="Times New Roman" w:eastAsia="Times New Roman" w:hAnsi="Times New Roman" w:cs="Times New Roman"/>
      <w:sz w:val="20"/>
      <w:szCs w:val="20"/>
      <w:lang w:eastAsia="en-GB"/>
    </w:rPr>
  </w:style>
  <w:style w:type="character" w:customStyle="1" w:styleId="CharChar2">
    <w:name w:val="Char Char2"/>
    <w:semiHidden/>
    <w:rsid w:val="00CE1BDB"/>
    <w:rPr>
      <w:rFonts w:ascii="Arial" w:hAnsi="Arial"/>
      <w:lang w:eastAsia="en-US"/>
    </w:rPr>
  </w:style>
  <w:style w:type="character" w:styleId="EndnoteReference">
    <w:name w:val="endnote reference"/>
    <w:semiHidden/>
    <w:unhideWhenUsed/>
    <w:rsid w:val="00CE1BDB"/>
    <w:rPr>
      <w:vertAlign w:val="superscript"/>
    </w:rPr>
  </w:style>
  <w:style w:type="character" w:customStyle="1" w:styleId="CharChar13">
    <w:name w:val="Char Char13"/>
    <w:rsid w:val="00CE1BDB"/>
    <w:rPr>
      <w:rFonts w:ascii="Arial" w:hAnsi="Arial" w:cs="Arial"/>
      <w:color w:val="008080"/>
      <w:sz w:val="28"/>
      <w:szCs w:val="28"/>
      <w:lang w:eastAsia="en-US"/>
    </w:rPr>
  </w:style>
  <w:style w:type="character" w:customStyle="1" w:styleId="CharChar12">
    <w:name w:val="Char Char12"/>
    <w:rsid w:val="00CE1BDB"/>
    <w:rPr>
      <w:rFonts w:ascii="Arial" w:hAnsi="Arial"/>
      <w:bCs/>
      <w:i/>
      <w:color w:val="008080"/>
      <w:sz w:val="24"/>
      <w:szCs w:val="24"/>
      <w:lang w:eastAsia="en-US"/>
    </w:rPr>
  </w:style>
  <w:style w:type="character" w:customStyle="1" w:styleId="DoNotUse5CharChar">
    <w:name w:val="Do Not Use 5 Char Char"/>
    <w:rsid w:val="00CE1BDB"/>
    <w:rPr>
      <w:rFonts w:ascii="Arial" w:hAnsi="Arial"/>
      <w:b/>
      <w:bCs/>
      <w:i/>
      <w:iCs/>
      <w:sz w:val="26"/>
      <w:szCs w:val="26"/>
      <w:lang w:eastAsia="en-US"/>
    </w:rPr>
  </w:style>
  <w:style w:type="character" w:customStyle="1" w:styleId="DoNotUse6CharChar">
    <w:name w:val="Do Not Use 6 Char Char"/>
    <w:rsid w:val="00CE1BDB"/>
    <w:rPr>
      <w:b/>
      <w:bCs/>
      <w:sz w:val="22"/>
      <w:szCs w:val="22"/>
      <w:lang w:eastAsia="en-US"/>
    </w:rPr>
  </w:style>
  <w:style w:type="character" w:customStyle="1" w:styleId="DoNotUse7CharChar">
    <w:name w:val="Do Not Use 7 Char Char"/>
    <w:rsid w:val="00CE1BDB"/>
    <w:rPr>
      <w:sz w:val="24"/>
      <w:szCs w:val="24"/>
      <w:lang w:eastAsia="en-US"/>
    </w:rPr>
  </w:style>
  <w:style w:type="character" w:customStyle="1" w:styleId="DoNotUse8CharChar">
    <w:name w:val="Do Not Use 8 Char Char"/>
    <w:rsid w:val="00CE1BDB"/>
    <w:rPr>
      <w:i/>
      <w:iCs/>
      <w:sz w:val="24"/>
      <w:szCs w:val="24"/>
      <w:lang w:eastAsia="en-US"/>
    </w:rPr>
  </w:style>
  <w:style w:type="character" w:customStyle="1" w:styleId="DoNotUse9CharChar">
    <w:name w:val="Do Not Use 9 Char Char"/>
    <w:rsid w:val="00CE1BDB"/>
    <w:rPr>
      <w:rFonts w:ascii="Arial" w:hAnsi="Arial" w:cs="Arial"/>
      <w:sz w:val="22"/>
      <w:szCs w:val="22"/>
      <w:lang w:eastAsia="en-US"/>
    </w:rPr>
  </w:style>
  <w:style w:type="character" w:customStyle="1" w:styleId="CharChar11">
    <w:name w:val="Char Char11"/>
    <w:rsid w:val="00CE1BDB"/>
    <w:rPr>
      <w:rFonts w:ascii="Arial" w:hAnsi="Arial"/>
      <w:sz w:val="24"/>
      <w:szCs w:val="24"/>
      <w:lang w:eastAsia="en-US"/>
    </w:rPr>
  </w:style>
  <w:style w:type="character" w:customStyle="1" w:styleId="CharChar10">
    <w:name w:val="Char Char10"/>
    <w:rsid w:val="00CE1BDB"/>
    <w:rPr>
      <w:rFonts w:ascii="Arial" w:hAnsi="Arial"/>
      <w:sz w:val="24"/>
      <w:szCs w:val="24"/>
      <w:lang w:eastAsia="en-US"/>
    </w:rPr>
  </w:style>
  <w:style w:type="character" w:customStyle="1" w:styleId="CharChar9">
    <w:name w:val="Char Char9"/>
    <w:semiHidden/>
    <w:rsid w:val="00CE1BDB"/>
    <w:rPr>
      <w:rFonts w:ascii="Arial" w:hAnsi="Arial"/>
      <w:lang w:eastAsia="en-US"/>
    </w:rPr>
  </w:style>
  <w:style w:type="character" w:customStyle="1" w:styleId="CharChar8">
    <w:name w:val="Char Char8"/>
    <w:rsid w:val="00CE1BDB"/>
    <w:rPr>
      <w:sz w:val="16"/>
      <w:szCs w:val="16"/>
      <w:lang w:eastAsia="en-US"/>
    </w:rPr>
  </w:style>
  <w:style w:type="character" w:customStyle="1" w:styleId="CharChar7">
    <w:name w:val="Char Char7"/>
    <w:rsid w:val="00CE1BDB"/>
    <w:rPr>
      <w:rFonts w:ascii="Arial" w:hAnsi="Arial"/>
      <w:sz w:val="24"/>
      <w:szCs w:val="24"/>
      <w:lang w:eastAsia="en-US"/>
    </w:rPr>
  </w:style>
  <w:style w:type="character" w:customStyle="1" w:styleId="CharChar6">
    <w:name w:val="Char Char6"/>
    <w:rsid w:val="00CE1BDB"/>
    <w:rPr>
      <w:rFonts w:ascii="Arial" w:hAnsi="Arial"/>
      <w:sz w:val="16"/>
      <w:szCs w:val="16"/>
      <w:lang w:eastAsia="en-US"/>
    </w:rPr>
  </w:style>
  <w:style w:type="character" w:customStyle="1" w:styleId="CharChar5">
    <w:name w:val="Char Char5"/>
    <w:rsid w:val="00CE1BDB"/>
    <w:rPr>
      <w:sz w:val="24"/>
      <w:szCs w:val="24"/>
      <w:lang w:eastAsia="en-US"/>
    </w:rPr>
  </w:style>
  <w:style w:type="character" w:customStyle="1" w:styleId="CharChar4">
    <w:name w:val="Char Char4"/>
    <w:rsid w:val="00CE1BDB"/>
    <w:rPr>
      <w:rFonts w:ascii="Tahoma" w:hAnsi="Tahoma" w:cs="Tahoma"/>
      <w:sz w:val="16"/>
      <w:szCs w:val="16"/>
      <w:lang w:eastAsia="en-US"/>
    </w:rPr>
  </w:style>
  <w:style w:type="character" w:customStyle="1" w:styleId="CharChar3">
    <w:name w:val="Char Char3"/>
    <w:semiHidden/>
    <w:rsid w:val="00CE1BDB"/>
    <w:rPr>
      <w:rFonts w:ascii="Tahoma" w:hAnsi="Tahoma" w:cs="Tahoma"/>
      <w:sz w:val="24"/>
      <w:szCs w:val="24"/>
      <w:shd w:val="clear" w:color="auto" w:fill="000080"/>
      <w:lang w:eastAsia="en-US"/>
    </w:rPr>
  </w:style>
  <w:style w:type="character" w:styleId="CommentReference">
    <w:name w:val="annotation reference"/>
    <w:uiPriority w:val="99"/>
    <w:rsid w:val="00CE1BDB"/>
    <w:rPr>
      <w:sz w:val="16"/>
      <w:szCs w:val="16"/>
    </w:rPr>
  </w:style>
  <w:style w:type="paragraph" w:styleId="CommentText">
    <w:name w:val="annotation text"/>
    <w:basedOn w:val="Normal"/>
    <w:link w:val="CommentTextChar"/>
    <w:uiPriority w:val="99"/>
    <w:rsid w:val="00CE1BDB"/>
    <w:pPr>
      <w:spacing w:before="120" w:after="120"/>
      <w:jc w:val="both"/>
    </w:pPr>
    <w:rPr>
      <w:rFonts w:ascii="Calibri" w:hAnsi="Calibri"/>
      <w:sz w:val="20"/>
      <w:szCs w:val="20"/>
      <w:lang w:eastAsia="en-US"/>
    </w:rPr>
  </w:style>
  <w:style w:type="character" w:customStyle="1" w:styleId="CommentTextChar">
    <w:name w:val="Comment Text Char"/>
    <w:basedOn w:val="DefaultParagraphFont"/>
    <w:link w:val="CommentText"/>
    <w:uiPriority w:val="99"/>
    <w:rsid w:val="00CE1BDB"/>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CE1BDB"/>
    <w:rPr>
      <w:b/>
      <w:bCs/>
    </w:rPr>
  </w:style>
  <w:style w:type="character" w:customStyle="1" w:styleId="CommentSubjectChar">
    <w:name w:val="Comment Subject Char"/>
    <w:basedOn w:val="CommentTextChar"/>
    <w:link w:val="CommentSubject"/>
    <w:semiHidden/>
    <w:rsid w:val="00CE1BDB"/>
    <w:rPr>
      <w:rFonts w:ascii="Calibri" w:eastAsia="Times New Roman" w:hAnsi="Calibri" w:cs="Times New Roman"/>
      <w:b/>
      <w:bCs/>
      <w:sz w:val="20"/>
      <w:szCs w:val="20"/>
    </w:rPr>
  </w:style>
  <w:style w:type="paragraph" w:customStyle="1" w:styleId="Normal9pt">
    <w:name w:val="Normal + 9 pt"/>
    <w:basedOn w:val="Normal"/>
    <w:rsid w:val="00CE1BDB"/>
    <w:pPr>
      <w:spacing w:before="120" w:after="120" w:line="250" w:lineRule="exact"/>
      <w:jc w:val="both"/>
    </w:pPr>
    <w:rPr>
      <w:rFonts w:ascii="Calibri" w:hAnsi="Calibri"/>
      <w:sz w:val="18"/>
      <w:szCs w:val="20"/>
      <w:lang w:eastAsia="en-US"/>
    </w:rPr>
  </w:style>
  <w:style w:type="paragraph" w:styleId="BodyText2">
    <w:name w:val="Body Text 2"/>
    <w:basedOn w:val="Normal"/>
    <w:link w:val="BodyText2Char"/>
    <w:rsid w:val="00CE1BDB"/>
    <w:pPr>
      <w:spacing w:before="120" w:after="120" w:line="480" w:lineRule="auto"/>
      <w:jc w:val="both"/>
    </w:pPr>
    <w:rPr>
      <w:rFonts w:ascii="Calibri" w:hAnsi="Calibri"/>
      <w:lang w:eastAsia="en-US"/>
    </w:rPr>
  </w:style>
  <w:style w:type="character" w:customStyle="1" w:styleId="BodyText2Char">
    <w:name w:val="Body Text 2 Char"/>
    <w:basedOn w:val="DefaultParagraphFont"/>
    <w:link w:val="BodyText2"/>
    <w:rsid w:val="00CE1BDB"/>
    <w:rPr>
      <w:rFonts w:ascii="Calibri" w:eastAsia="Times New Roman" w:hAnsi="Calibri" w:cs="Times New Roman"/>
      <w:sz w:val="24"/>
      <w:szCs w:val="24"/>
    </w:rPr>
  </w:style>
  <w:style w:type="character" w:customStyle="1" w:styleId="CharChar1">
    <w:name w:val="Char Char1"/>
    <w:rsid w:val="00CE1BDB"/>
    <w:rPr>
      <w:rFonts w:ascii="Arial" w:hAnsi="Arial"/>
      <w:sz w:val="24"/>
      <w:szCs w:val="24"/>
      <w:lang w:eastAsia="en-US"/>
    </w:rPr>
  </w:style>
  <w:style w:type="paragraph" w:styleId="ListParagraph">
    <w:name w:val="List Paragraph"/>
    <w:aliases w:val="Sub Head,Main-bullets,List Paragraph1,F5 List Paragraph,List Paragraph11,Numbered Para 1,Dot pt,List Paragraph Char Char Char,Indicator Text,Bullet Points,MAIN CONTENT,List Paragraph12"/>
    <w:basedOn w:val="Normal"/>
    <w:link w:val="ListParagraphChar"/>
    <w:uiPriority w:val="34"/>
    <w:rsid w:val="00CE1BDB"/>
    <w:pPr>
      <w:spacing w:before="120" w:after="120"/>
      <w:ind w:left="720"/>
      <w:jc w:val="both"/>
    </w:pPr>
    <w:rPr>
      <w:rFonts w:ascii="Calibri" w:hAnsi="Calibri"/>
      <w:lang w:eastAsia="en-US"/>
    </w:rPr>
  </w:style>
  <w:style w:type="character" w:customStyle="1" w:styleId="clear">
    <w:name w:val="clear"/>
    <w:basedOn w:val="DefaultParagraphFont"/>
    <w:rsid w:val="00CE1BDB"/>
  </w:style>
  <w:style w:type="character" w:customStyle="1" w:styleId="apple-converted-space">
    <w:name w:val="apple-converted-space"/>
    <w:basedOn w:val="DefaultParagraphFont"/>
    <w:rsid w:val="00CE1BDB"/>
  </w:style>
  <w:style w:type="paragraph" w:styleId="Revision">
    <w:name w:val="Revision"/>
    <w:hidden/>
    <w:uiPriority w:val="99"/>
    <w:semiHidden/>
    <w:rsid w:val="00CE1BDB"/>
    <w:rPr>
      <w:rFonts w:ascii="Arial" w:eastAsia="Times New Roman" w:hAnsi="Arial" w:cs="Times New Roman"/>
      <w:sz w:val="24"/>
      <w:szCs w:val="24"/>
    </w:rPr>
  </w:style>
  <w:style w:type="character" w:customStyle="1" w:styleId="Heading3Char1">
    <w:name w:val="Heading 3 Char1"/>
    <w:aliases w:val="Heading3 Char"/>
    <w:link w:val="Heading3"/>
    <w:rsid w:val="00CE1BDB"/>
    <w:rPr>
      <w:rFonts w:ascii="Times New Roman" w:eastAsia="Times New Roman" w:hAnsi="Times New Roman" w:cs="Times New Roman"/>
      <w:color w:val="006666"/>
      <w:sz w:val="28"/>
      <w:szCs w:val="28"/>
    </w:rPr>
  </w:style>
  <w:style w:type="table" w:styleId="TableGrid">
    <w:name w:val="Table Grid"/>
    <w:basedOn w:val="TableNormal"/>
    <w:uiPriority w:val="39"/>
    <w:rsid w:val="00CE1BDB"/>
    <w:pPr>
      <w:spacing w:before="120" w:after="12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E1BDB"/>
    <w:rPr>
      <w:color w:val="800080"/>
      <w:u w:val="single"/>
    </w:rPr>
  </w:style>
  <w:style w:type="paragraph" w:styleId="PlainText">
    <w:name w:val="Plain Text"/>
    <w:basedOn w:val="Normal"/>
    <w:link w:val="PlainTextChar"/>
    <w:rsid w:val="00CE1BDB"/>
    <w:pPr>
      <w:spacing w:before="120" w:after="120"/>
      <w:jc w:val="both"/>
    </w:pPr>
    <w:rPr>
      <w:rFonts w:ascii="Calibri" w:hAnsi="Calibri"/>
      <w:sz w:val="20"/>
      <w:szCs w:val="20"/>
      <w:lang w:eastAsia="en-US"/>
    </w:rPr>
  </w:style>
  <w:style w:type="character" w:customStyle="1" w:styleId="PlainTextChar">
    <w:name w:val="Plain Text Char"/>
    <w:basedOn w:val="DefaultParagraphFont"/>
    <w:link w:val="PlainText"/>
    <w:rsid w:val="00CE1BDB"/>
    <w:rPr>
      <w:rFonts w:ascii="Calibri" w:eastAsia="Times New Roman" w:hAnsi="Calibri" w:cs="Times New Roman"/>
      <w:sz w:val="20"/>
      <w:szCs w:val="20"/>
    </w:rPr>
  </w:style>
  <w:style w:type="paragraph" w:customStyle="1" w:styleId="CM33">
    <w:name w:val="CM33"/>
    <w:basedOn w:val="Normal"/>
    <w:next w:val="Normal"/>
    <w:rsid w:val="00CE1BDB"/>
    <w:pPr>
      <w:widowControl w:val="0"/>
      <w:autoSpaceDE w:val="0"/>
      <w:autoSpaceDN w:val="0"/>
      <w:adjustRightInd w:val="0"/>
      <w:spacing w:before="120" w:after="268"/>
      <w:jc w:val="both"/>
    </w:pPr>
    <w:rPr>
      <w:rFonts w:ascii="Georgia" w:hAnsi="Georgia"/>
      <w:lang w:val="en-US" w:eastAsia="en-US"/>
    </w:rPr>
  </w:style>
  <w:style w:type="paragraph" w:customStyle="1" w:styleId="CM37">
    <w:name w:val="CM37"/>
    <w:basedOn w:val="Default"/>
    <w:next w:val="Default"/>
    <w:rsid w:val="00CE1BDB"/>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E1BDB"/>
    <w:pPr>
      <w:spacing w:before="100" w:beforeAutospacing="1" w:after="100" w:afterAutospacing="1"/>
      <w:jc w:val="both"/>
    </w:pPr>
    <w:rPr>
      <w:rFonts w:ascii="Calibri" w:hAnsi="Calibri"/>
    </w:rPr>
  </w:style>
  <w:style w:type="character" w:customStyle="1" w:styleId="legdslegrhslegp2text">
    <w:name w:val="legds legrhs legp2text"/>
    <w:basedOn w:val="DefaultParagraphFont"/>
    <w:rsid w:val="00CE1BDB"/>
  </w:style>
  <w:style w:type="character" w:customStyle="1" w:styleId="legdslegp1grouptitle">
    <w:name w:val="legds legp1grouptitle"/>
    <w:basedOn w:val="DefaultParagraphFont"/>
    <w:rsid w:val="00CE1BDB"/>
  </w:style>
  <w:style w:type="character" w:customStyle="1" w:styleId="BodytextdcChar">
    <w:name w:val="Body text dc Char"/>
    <w:link w:val="Bodytextdc"/>
    <w:locked/>
    <w:rsid w:val="00CE1BDB"/>
    <w:rPr>
      <w:rFonts w:ascii="TimesNewRomanPS" w:hAnsi="TimesNewRomanPS"/>
      <w:color w:val="000000"/>
      <w:sz w:val="28"/>
      <w:szCs w:val="28"/>
    </w:rPr>
  </w:style>
  <w:style w:type="paragraph" w:customStyle="1" w:styleId="Bodytextdc">
    <w:name w:val="Body text dc"/>
    <w:basedOn w:val="Normal"/>
    <w:link w:val="BodytextdcChar"/>
    <w:rsid w:val="00CE1BDB"/>
    <w:pPr>
      <w:widowControl w:val="0"/>
      <w:tabs>
        <w:tab w:val="left" w:pos="539"/>
        <w:tab w:val="left" w:pos="850"/>
      </w:tabs>
      <w:suppressAutoHyphens/>
      <w:autoSpaceDE w:val="0"/>
      <w:autoSpaceDN w:val="0"/>
      <w:adjustRightInd w:val="0"/>
      <w:spacing w:before="120" w:after="280" w:line="340" w:lineRule="atLeast"/>
      <w:jc w:val="both"/>
    </w:pPr>
    <w:rPr>
      <w:rFonts w:ascii="TimesNewRomanPS" w:eastAsiaTheme="minorHAnsi" w:hAnsi="TimesNewRomanPS" w:cstheme="minorBidi"/>
      <w:color w:val="000000"/>
      <w:sz w:val="28"/>
      <w:szCs w:val="28"/>
      <w:lang w:eastAsia="en-US"/>
    </w:rPr>
  </w:style>
  <w:style w:type="table" w:styleId="TableColumns3">
    <w:name w:val="Table Columns 3"/>
    <w:basedOn w:val="TableNormal"/>
    <w:rsid w:val="00CE1BDB"/>
    <w:pPr>
      <w:spacing w:before="120" w:after="120"/>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qFormat/>
    <w:rsid w:val="00CE1BDB"/>
    <w:pPr>
      <w:numPr>
        <w:numId w:val="2"/>
      </w:numPr>
      <w:jc w:val="left"/>
    </w:pPr>
    <w:rPr>
      <w:rFonts w:ascii="Arial" w:hAnsi="Arial" w:cs="Calibri"/>
    </w:rPr>
  </w:style>
  <w:style w:type="character" w:customStyle="1" w:styleId="MaintextChar1">
    <w:name w:val="Main text Char1"/>
    <w:link w:val="Maintext"/>
    <w:rsid w:val="00CE1BDB"/>
    <w:rPr>
      <w:rFonts w:ascii="Calibri" w:eastAsia="Times New Roman" w:hAnsi="Calibri" w:cs="Times New Roman"/>
      <w:sz w:val="24"/>
      <w:szCs w:val="24"/>
    </w:rPr>
  </w:style>
  <w:style w:type="character" w:customStyle="1" w:styleId="ReporttextChar">
    <w:name w:val="Report text Char"/>
    <w:link w:val="Reporttext"/>
    <w:rsid w:val="00CE1BDB"/>
    <w:rPr>
      <w:rFonts w:ascii="Arial" w:eastAsia="Times New Roman" w:hAnsi="Arial" w:cs="Calibri"/>
      <w:sz w:val="24"/>
      <w:szCs w:val="24"/>
    </w:rPr>
  </w:style>
  <w:style w:type="table" w:styleId="LightList-Accent4">
    <w:name w:val="Light List Accent 4"/>
    <w:basedOn w:val="TableNormal"/>
    <w:uiPriority w:val="61"/>
    <w:rsid w:val="00CE1BD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1"/>
    <w:rsid w:val="00CE1BDB"/>
    <w:rPr>
      <w:rFonts w:ascii="Calibri" w:eastAsia="Times New Roman" w:hAnsi="Calibri" w:cs="Times New Roman"/>
      <w:lang w:val="en-US"/>
    </w:rPr>
  </w:style>
  <w:style w:type="character" w:customStyle="1" w:styleId="NoSpacingChar">
    <w:name w:val="No Spacing Char"/>
    <w:link w:val="NoSpacing"/>
    <w:uiPriority w:val="1"/>
    <w:rsid w:val="00CE1BDB"/>
    <w:rPr>
      <w:rFonts w:ascii="Calibri" w:eastAsia="Times New Roman" w:hAnsi="Calibri" w:cs="Times New Roman"/>
      <w:lang w:val="en-US"/>
    </w:rPr>
  </w:style>
  <w:style w:type="table" w:customStyle="1" w:styleId="LightList-Accent11">
    <w:name w:val="Light List - Accent 11"/>
    <w:basedOn w:val="TableNormal"/>
    <w:uiPriority w:val="61"/>
    <w:rsid w:val="00CE1BDB"/>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rsid w:val="00CE1BDB"/>
    <w:rPr>
      <w:rFonts w:ascii="Arial" w:hAnsi="Arial"/>
      <w:sz w:val="48"/>
    </w:rPr>
  </w:style>
  <w:style w:type="paragraph" w:customStyle="1" w:styleId="abullet">
    <w:name w:val="a. bullet"/>
    <w:basedOn w:val="PlainText"/>
    <w:rsid w:val="00CE1BDB"/>
    <w:pPr>
      <w:numPr>
        <w:numId w:val="4"/>
      </w:numPr>
    </w:pPr>
    <w:rPr>
      <w:rFonts w:eastAsia="MS Mincho"/>
    </w:rPr>
  </w:style>
  <w:style w:type="paragraph" w:customStyle="1" w:styleId="1bullet">
    <w:name w:val="1. bullet"/>
    <w:basedOn w:val="PlainText"/>
    <w:rsid w:val="00CE1BDB"/>
    <w:pPr>
      <w:tabs>
        <w:tab w:val="num" w:pos="709"/>
      </w:tabs>
      <w:ind w:left="709" w:hanging="709"/>
    </w:pPr>
    <w:rPr>
      <w:rFonts w:eastAsia="MS Mincho"/>
    </w:rPr>
  </w:style>
  <w:style w:type="paragraph" w:customStyle="1" w:styleId="2bullet">
    <w:name w:val="2. bullet"/>
    <w:basedOn w:val="1bullet"/>
    <w:rsid w:val="00CE1BDB"/>
    <w:pPr>
      <w:tabs>
        <w:tab w:val="clear" w:pos="709"/>
        <w:tab w:val="num" w:pos="1134"/>
      </w:tabs>
      <w:ind w:left="1134" w:hanging="425"/>
    </w:pPr>
  </w:style>
  <w:style w:type="paragraph" w:customStyle="1" w:styleId="3bullet">
    <w:name w:val="3. bullet"/>
    <w:basedOn w:val="2bullet"/>
    <w:uiPriority w:val="99"/>
    <w:rsid w:val="00CE1BDB"/>
    <w:pPr>
      <w:numPr>
        <w:numId w:val="3"/>
      </w:numPr>
    </w:pPr>
  </w:style>
  <w:style w:type="paragraph" w:customStyle="1" w:styleId="xl24">
    <w:name w:val="xl24"/>
    <w:basedOn w:val="Normal"/>
    <w:rsid w:val="00CE1BDB"/>
    <w:pPr>
      <w:spacing w:before="100" w:beforeAutospacing="1" w:after="100" w:afterAutospacing="1"/>
      <w:jc w:val="both"/>
    </w:pPr>
    <w:rPr>
      <w:rFonts w:ascii="Calibri" w:hAnsi="Calibri" w:cs="Arial"/>
      <w:lang w:eastAsia="en-US"/>
    </w:rPr>
  </w:style>
  <w:style w:type="paragraph" w:customStyle="1" w:styleId="xl25">
    <w:name w:val="xl25"/>
    <w:basedOn w:val="Normal"/>
    <w:rsid w:val="00CE1BDB"/>
    <w:pPr>
      <w:spacing w:before="100" w:beforeAutospacing="1" w:after="100" w:afterAutospacing="1"/>
      <w:jc w:val="both"/>
    </w:pPr>
    <w:rPr>
      <w:rFonts w:ascii="Calibri" w:hAnsi="Calibri" w:cs="Arial"/>
      <w:sz w:val="16"/>
      <w:szCs w:val="16"/>
      <w:lang w:eastAsia="en-US"/>
    </w:rPr>
  </w:style>
  <w:style w:type="character" w:customStyle="1" w:styleId="highlightedsearchterm">
    <w:name w:val="highlightedsearchterm"/>
    <w:basedOn w:val="DefaultParagraphFont"/>
    <w:rsid w:val="00CE1BDB"/>
  </w:style>
  <w:style w:type="paragraph" w:customStyle="1" w:styleId="tableheading">
    <w:name w:val="tableheading"/>
    <w:basedOn w:val="Normal"/>
    <w:next w:val="Normal"/>
    <w:link w:val="tableheadingChar"/>
    <w:uiPriority w:val="99"/>
    <w:rsid w:val="00CE1BDB"/>
    <w:pPr>
      <w:spacing w:before="120" w:after="120"/>
      <w:jc w:val="both"/>
    </w:pPr>
    <w:rPr>
      <w:rFonts w:ascii="Calibri" w:hAnsi="Calibri" w:cs="Arial"/>
      <w:b/>
      <w:color w:val="FFFFFF" w:themeColor="background1"/>
      <w:sz w:val="22"/>
      <w:lang w:eastAsia="en-US"/>
    </w:rPr>
  </w:style>
  <w:style w:type="paragraph" w:customStyle="1" w:styleId="bullet">
    <w:name w:val="bullet"/>
    <w:basedOn w:val="ListParagraph"/>
    <w:link w:val="bulletChar"/>
    <w:qFormat/>
    <w:rsid w:val="00CE1BDB"/>
    <w:pPr>
      <w:numPr>
        <w:numId w:val="1"/>
      </w:numPr>
      <w:jc w:val="left"/>
    </w:pPr>
    <w:rPr>
      <w:rFonts w:ascii="Arial" w:hAnsi="Arial"/>
    </w:rPr>
  </w:style>
  <w:style w:type="character" w:customStyle="1" w:styleId="tableheadingChar">
    <w:name w:val="tableheading Char"/>
    <w:link w:val="tableheading"/>
    <w:uiPriority w:val="99"/>
    <w:rsid w:val="00CE1BDB"/>
    <w:rPr>
      <w:rFonts w:ascii="Calibri" w:eastAsia="Times New Roman" w:hAnsi="Calibri" w:cs="Arial"/>
      <w:b/>
      <w:color w:val="FFFFFF" w:themeColor="background1"/>
      <w:szCs w:val="24"/>
    </w:rPr>
  </w:style>
  <w:style w:type="paragraph" w:customStyle="1" w:styleId="mapheading">
    <w:name w:val="mapheading"/>
    <w:basedOn w:val="Normal"/>
    <w:link w:val="mapheadingChar"/>
    <w:rsid w:val="00CE1BDB"/>
    <w:pPr>
      <w:spacing w:before="120" w:after="120"/>
      <w:jc w:val="both"/>
    </w:pPr>
    <w:rPr>
      <w:rFonts w:ascii="Calibri" w:hAnsi="Calibri"/>
      <w:b/>
      <w:color w:val="009999"/>
      <w:sz w:val="22"/>
      <w:lang w:eastAsia="en-US"/>
    </w:rPr>
  </w:style>
  <w:style w:type="character" w:customStyle="1" w:styleId="ListParagraphChar">
    <w:name w:val="List Paragraph Char"/>
    <w:aliases w:val="Sub Head Char,Main-bullets Char1,List Paragraph1 Char,F5 List Paragraph Char,List Paragraph11 Char,Numbered Para 1 Char,Dot pt Char,List Paragraph Char Char Char Char,Indicator Text Char,Bullet Points Char,MAIN CONTENT Char"/>
    <w:link w:val="ListParagraph"/>
    <w:uiPriority w:val="34"/>
    <w:rsid w:val="00CE1BDB"/>
    <w:rPr>
      <w:rFonts w:ascii="Calibri" w:eastAsia="Times New Roman" w:hAnsi="Calibri" w:cs="Times New Roman"/>
      <w:sz w:val="24"/>
      <w:szCs w:val="24"/>
    </w:rPr>
  </w:style>
  <w:style w:type="character" w:customStyle="1" w:styleId="bulletChar">
    <w:name w:val="bullet Char"/>
    <w:link w:val="bullet"/>
    <w:rsid w:val="00CE1BDB"/>
    <w:rPr>
      <w:rFonts w:ascii="Arial" w:eastAsia="Times New Roman" w:hAnsi="Arial" w:cs="Times New Roman"/>
      <w:sz w:val="24"/>
      <w:szCs w:val="24"/>
    </w:rPr>
  </w:style>
  <w:style w:type="character" w:customStyle="1" w:styleId="mapheadingChar">
    <w:name w:val="mapheading Char"/>
    <w:link w:val="mapheading"/>
    <w:rsid w:val="00CE1BDB"/>
    <w:rPr>
      <w:rFonts w:ascii="Calibri" w:eastAsia="Times New Roman" w:hAnsi="Calibri" w:cs="Times New Roman"/>
      <w:b/>
      <w:color w:val="009999"/>
      <w:szCs w:val="24"/>
    </w:rPr>
  </w:style>
  <w:style w:type="paragraph" w:customStyle="1" w:styleId="figureheading">
    <w:name w:val="figureheading"/>
    <w:basedOn w:val="mapheading"/>
    <w:next w:val="Normal"/>
    <w:link w:val="figureheadingChar"/>
    <w:rsid w:val="00CE1BDB"/>
  </w:style>
  <w:style w:type="character" w:styleId="Strong">
    <w:name w:val="Strong"/>
    <w:uiPriority w:val="22"/>
    <w:rsid w:val="00CE1BDB"/>
    <w:rPr>
      <w:b/>
      <w:bCs/>
    </w:rPr>
  </w:style>
  <w:style w:type="character" w:customStyle="1" w:styleId="figureheadingChar">
    <w:name w:val="figureheading Char"/>
    <w:link w:val="figureheading"/>
    <w:rsid w:val="00CE1BDB"/>
    <w:rPr>
      <w:rFonts w:ascii="Calibri" w:eastAsia="Times New Roman" w:hAnsi="Calibri" w:cs="Times New Roman"/>
      <w:b/>
      <w:color w:val="009999"/>
      <w:szCs w:val="24"/>
    </w:rPr>
  </w:style>
  <w:style w:type="paragraph" w:customStyle="1" w:styleId="frontpage">
    <w:name w:val="front page"/>
    <w:basedOn w:val="Normal"/>
    <w:autoRedefine/>
    <w:rsid w:val="00CE1BDB"/>
    <w:pPr>
      <w:spacing w:before="720" w:after="720"/>
      <w:jc w:val="center"/>
    </w:pPr>
    <w:rPr>
      <w:rFonts w:ascii="Calibri" w:hAnsi="Calibri"/>
      <w:b/>
      <w:caps/>
      <w:sz w:val="28"/>
      <w:szCs w:val="20"/>
      <w:lang w:eastAsia="en-US"/>
    </w:rPr>
  </w:style>
  <w:style w:type="numbering" w:customStyle="1" w:styleId="Reportnumberingstyle">
    <w:name w:val="Report numbering style"/>
    <w:rsid w:val="00CE1BDB"/>
    <w:pPr>
      <w:numPr>
        <w:numId w:val="21"/>
      </w:numPr>
    </w:pPr>
  </w:style>
  <w:style w:type="paragraph" w:customStyle="1" w:styleId="TOCHeading1">
    <w:name w:val="TOC Heading1"/>
    <w:basedOn w:val="Normal"/>
    <w:link w:val="TOCheadingChar"/>
    <w:qFormat/>
    <w:rsid w:val="00CE1BDB"/>
    <w:pPr>
      <w:spacing w:before="120" w:after="120"/>
    </w:pPr>
    <w:rPr>
      <w:rFonts w:cs="Arial"/>
      <w:color w:val="006666"/>
      <w:sz w:val="28"/>
      <w:szCs w:val="28"/>
      <w:lang w:eastAsia="en-US"/>
    </w:rPr>
  </w:style>
  <w:style w:type="character" w:customStyle="1" w:styleId="TOCheadingChar">
    <w:name w:val="TOC heading Char"/>
    <w:basedOn w:val="DefaultParagraphFont"/>
    <w:link w:val="TOCHeading1"/>
    <w:rsid w:val="00CE1BDB"/>
    <w:rPr>
      <w:rFonts w:ascii="Times New Roman" w:eastAsia="Times New Roman" w:hAnsi="Times New Roman" w:cs="Arial"/>
      <w:color w:val="006666"/>
      <w:sz w:val="28"/>
      <w:szCs w:val="28"/>
    </w:rPr>
  </w:style>
  <w:style w:type="paragraph" w:styleId="Caption">
    <w:name w:val="caption"/>
    <w:basedOn w:val="Normal"/>
    <w:next w:val="Normal"/>
    <w:rsid w:val="00CE1BDB"/>
    <w:pPr>
      <w:spacing w:before="120" w:after="120" w:line="360" w:lineRule="auto"/>
      <w:jc w:val="both"/>
    </w:pPr>
    <w:rPr>
      <w:rFonts w:ascii="GillSans" w:hAnsi="GillSans"/>
      <w:b/>
      <w:bCs/>
      <w:sz w:val="20"/>
      <w:szCs w:val="20"/>
      <w:lang w:eastAsia="en-US"/>
    </w:rPr>
  </w:style>
  <w:style w:type="paragraph" w:customStyle="1" w:styleId="HTMLBody">
    <w:name w:val="HTML Body"/>
    <w:rsid w:val="00CE1BDB"/>
    <w:rPr>
      <w:rFonts w:ascii="Arial" w:eastAsia="Times New Roman" w:hAnsi="Arial" w:cs="Times New Roman"/>
      <w:snapToGrid w:val="0"/>
      <w:sz w:val="20"/>
      <w:szCs w:val="20"/>
      <w:lang w:val="en-US"/>
    </w:rPr>
  </w:style>
  <w:style w:type="paragraph" w:customStyle="1" w:styleId="CM22">
    <w:name w:val="CM22"/>
    <w:basedOn w:val="Default"/>
    <w:next w:val="Default"/>
    <w:rsid w:val="00CE1BDB"/>
    <w:pPr>
      <w:widowControl w:val="0"/>
      <w:spacing w:after="445"/>
    </w:pPr>
    <w:rPr>
      <w:rFonts w:eastAsia="Times New Roman" w:cs="Times New Roman"/>
      <w:color w:val="auto"/>
      <w:lang w:val="en-US" w:eastAsia="en-US"/>
    </w:rPr>
  </w:style>
  <w:style w:type="paragraph" w:customStyle="1" w:styleId="CM23">
    <w:name w:val="CM23"/>
    <w:basedOn w:val="Default"/>
    <w:next w:val="Default"/>
    <w:rsid w:val="00CE1BDB"/>
    <w:pPr>
      <w:widowControl w:val="0"/>
      <w:spacing w:after="253"/>
    </w:pPr>
    <w:rPr>
      <w:rFonts w:eastAsia="Times New Roman" w:cs="Times New Roman"/>
      <w:color w:val="auto"/>
      <w:lang w:val="en-US" w:eastAsia="en-US"/>
    </w:rPr>
  </w:style>
  <w:style w:type="paragraph" w:customStyle="1" w:styleId="CM25">
    <w:name w:val="CM25"/>
    <w:basedOn w:val="Default"/>
    <w:next w:val="Default"/>
    <w:rsid w:val="00CE1BDB"/>
    <w:pPr>
      <w:widowControl w:val="0"/>
      <w:spacing w:after="508"/>
    </w:pPr>
    <w:rPr>
      <w:rFonts w:eastAsia="Times New Roman" w:cs="Times New Roman"/>
      <w:color w:val="auto"/>
      <w:lang w:val="en-US" w:eastAsia="en-US"/>
    </w:rPr>
  </w:style>
  <w:style w:type="paragraph" w:customStyle="1" w:styleId="CM6">
    <w:name w:val="CM6"/>
    <w:basedOn w:val="Default"/>
    <w:next w:val="Default"/>
    <w:rsid w:val="00CE1BDB"/>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rsid w:val="00CE1BDB"/>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rsid w:val="00CE1BDB"/>
    <w:pPr>
      <w:widowControl w:val="0"/>
      <w:spacing w:after="170"/>
    </w:pPr>
    <w:rPr>
      <w:rFonts w:eastAsia="Times New Roman" w:cs="Times New Roman"/>
      <w:color w:val="auto"/>
      <w:lang w:val="en-US" w:eastAsia="en-US"/>
    </w:rPr>
  </w:style>
  <w:style w:type="paragraph" w:customStyle="1" w:styleId="bullet20">
    <w:name w:val="bullet 2"/>
    <w:basedOn w:val="Normal"/>
    <w:rsid w:val="00CE1BDB"/>
    <w:pPr>
      <w:numPr>
        <w:ilvl w:val="2"/>
        <w:numId w:val="8"/>
      </w:numPr>
      <w:spacing w:before="120" w:after="120"/>
      <w:jc w:val="both"/>
    </w:pPr>
    <w:rPr>
      <w:rFonts w:ascii="Calibri" w:hAnsi="Calibri"/>
      <w:lang w:eastAsia="en-US"/>
    </w:rPr>
  </w:style>
  <w:style w:type="paragraph" w:styleId="BodyTextIndent2">
    <w:name w:val="Body Text Indent 2"/>
    <w:basedOn w:val="Normal"/>
    <w:link w:val="BodyTextIndent2Char"/>
    <w:rsid w:val="00CE1BDB"/>
    <w:pPr>
      <w:spacing w:before="120" w:after="120"/>
      <w:ind w:left="720"/>
      <w:jc w:val="both"/>
    </w:pPr>
    <w:rPr>
      <w:rFonts w:ascii="Calibri" w:hAnsi="Calibri"/>
      <w:lang w:eastAsia="en-US"/>
    </w:rPr>
  </w:style>
  <w:style w:type="character" w:customStyle="1" w:styleId="BodyTextIndent2Char">
    <w:name w:val="Body Text Indent 2 Char"/>
    <w:basedOn w:val="DefaultParagraphFont"/>
    <w:link w:val="BodyTextIndent2"/>
    <w:rsid w:val="00CE1BDB"/>
    <w:rPr>
      <w:rFonts w:ascii="Calibri" w:eastAsia="Times New Roman" w:hAnsi="Calibri" w:cs="Times New Roman"/>
      <w:sz w:val="24"/>
      <w:szCs w:val="24"/>
    </w:rPr>
  </w:style>
  <w:style w:type="paragraph" w:customStyle="1" w:styleId="StyleHeading214ptDarkBlueLeft125cmHanging125">
    <w:name w:val="Style Heading 2 + 14 pt Dark Blue Left:  1.25 cm Hanging:  1.25 ..."/>
    <w:basedOn w:val="Heading2"/>
    <w:rsid w:val="00CE1BDB"/>
    <w:pPr>
      <w:tabs>
        <w:tab w:val="clear" w:pos="709"/>
      </w:tabs>
      <w:spacing w:before="240" w:after="60"/>
    </w:pPr>
    <w:rPr>
      <w:iCs w:val="0"/>
      <w:color w:val="000080"/>
      <w:sz w:val="28"/>
      <w:szCs w:val="20"/>
    </w:rPr>
  </w:style>
  <w:style w:type="paragraph" w:customStyle="1" w:styleId="StyleHeading2Left125cmHanging125cmBefore12pt">
    <w:name w:val="Style Heading 2 + Left:  1.25 cm Hanging:  1.25 cm Before:  12 pt..."/>
    <w:basedOn w:val="Heading2"/>
    <w:rsid w:val="00CE1BDB"/>
    <w:pPr>
      <w:tabs>
        <w:tab w:val="clear" w:pos="709"/>
      </w:tabs>
      <w:spacing w:before="240" w:after="60"/>
    </w:pPr>
    <w:rPr>
      <w:iCs w:val="0"/>
      <w:color w:val="333399"/>
      <w:sz w:val="28"/>
      <w:szCs w:val="20"/>
    </w:rPr>
  </w:style>
  <w:style w:type="paragraph" w:customStyle="1" w:styleId="StyleHeading2Left127cm">
    <w:name w:val="Style Heading 2 + Left:  1.27 cm"/>
    <w:basedOn w:val="Heading2"/>
    <w:rsid w:val="00CE1BDB"/>
    <w:pPr>
      <w:tabs>
        <w:tab w:val="clear" w:pos="709"/>
      </w:tabs>
      <w:spacing w:before="0" w:after="0"/>
      <w:ind w:left="720" w:firstLine="0"/>
    </w:pPr>
    <w:rPr>
      <w:iCs w:val="0"/>
      <w:color w:val="333399"/>
      <w:sz w:val="28"/>
      <w:szCs w:val="20"/>
    </w:rPr>
  </w:style>
  <w:style w:type="character" w:styleId="Emphasis">
    <w:name w:val="Emphasis"/>
    <w:uiPriority w:val="20"/>
    <w:rsid w:val="00CE1BDB"/>
    <w:rPr>
      <w:i/>
      <w:iCs/>
    </w:rPr>
  </w:style>
  <w:style w:type="paragraph" w:customStyle="1" w:styleId="DefaultText">
    <w:name w:val="Default Text"/>
    <w:basedOn w:val="Normal"/>
    <w:rsid w:val="00CE1BDB"/>
    <w:pPr>
      <w:overflowPunct w:val="0"/>
      <w:autoSpaceDE w:val="0"/>
      <w:autoSpaceDN w:val="0"/>
      <w:adjustRightInd w:val="0"/>
      <w:spacing w:before="120" w:after="120"/>
      <w:jc w:val="both"/>
      <w:textAlignment w:val="baseline"/>
    </w:pPr>
    <w:rPr>
      <w:rFonts w:ascii="Calibri" w:hAnsi="Calibri"/>
      <w:noProof/>
      <w:szCs w:val="20"/>
      <w:lang w:eastAsia="en-US"/>
    </w:rPr>
  </w:style>
  <w:style w:type="paragraph" w:customStyle="1" w:styleId="StyleLinespacingsingle">
    <w:name w:val="Style Line spacing:  single"/>
    <w:basedOn w:val="Normal"/>
    <w:rsid w:val="00CE1BDB"/>
    <w:pPr>
      <w:spacing w:before="120" w:after="120"/>
      <w:jc w:val="both"/>
    </w:pPr>
    <w:rPr>
      <w:rFonts w:ascii="Calibri" w:hAnsi="Calibri"/>
      <w:szCs w:val="20"/>
      <w:lang w:eastAsia="en-US"/>
    </w:rPr>
  </w:style>
  <w:style w:type="paragraph" w:styleId="TOCHeading">
    <w:name w:val="TOC Heading"/>
    <w:basedOn w:val="Heading1"/>
    <w:next w:val="Normal"/>
    <w:uiPriority w:val="39"/>
    <w:unhideWhenUsed/>
    <w:rsid w:val="00CE1BDB"/>
    <w:pPr>
      <w:keepLines/>
      <w:numPr>
        <w:numId w:val="0"/>
      </w:numPr>
      <w:spacing w:before="480" w:after="0" w:line="276" w:lineRule="auto"/>
      <w:outlineLvl w:val="9"/>
    </w:pPr>
    <w:rPr>
      <w:rFonts w:ascii="Cambria" w:hAnsi="Cambria"/>
      <w:b/>
      <w:color w:val="365F91"/>
      <w:kern w:val="0"/>
      <w:sz w:val="28"/>
      <w:lang w:val="en-US"/>
    </w:rPr>
  </w:style>
  <w:style w:type="paragraph" w:customStyle="1" w:styleId="prec4">
    <w:name w:val="prec4"/>
    <w:basedOn w:val="Normal"/>
    <w:rsid w:val="00CE1BDB"/>
    <w:pPr>
      <w:numPr>
        <w:ilvl w:val="3"/>
        <w:numId w:val="20"/>
      </w:numPr>
      <w:spacing w:before="120" w:after="240" w:line="360" w:lineRule="auto"/>
      <w:jc w:val="both"/>
    </w:pPr>
    <w:rPr>
      <w:rFonts w:ascii="Calibri" w:hAnsi="Calibri"/>
      <w:szCs w:val="20"/>
      <w:lang w:eastAsia="en-US"/>
    </w:rPr>
  </w:style>
  <w:style w:type="paragraph" w:customStyle="1" w:styleId="mrukbody1">
    <w:name w:val="mruk_body1"/>
    <w:basedOn w:val="Normal"/>
    <w:link w:val="mrukbody1Char1"/>
    <w:rsid w:val="00CE1BDB"/>
    <w:pPr>
      <w:spacing w:before="120" w:after="120" w:line="260" w:lineRule="exact"/>
      <w:jc w:val="both"/>
    </w:pPr>
    <w:rPr>
      <w:rFonts w:ascii="Calibri" w:hAnsi="Calibri"/>
      <w:szCs w:val="20"/>
      <w:lang w:eastAsia="en-US"/>
    </w:rPr>
  </w:style>
  <w:style w:type="character" w:customStyle="1" w:styleId="mrukbody1Char1">
    <w:name w:val="mruk_body1 Char1"/>
    <w:link w:val="mrukbody1"/>
    <w:rsid w:val="00CE1BDB"/>
    <w:rPr>
      <w:rFonts w:ascii="Calibri" w:eastAsia="Times New Roman" w:hAnsi="Calibri" w:cs="Times New Roman"/>
      <w:sz w:val="24"/>
      <w:szCs w:val="20"/>
    </w:rPr>
  </w:style>
  <w:style w:type="paragraph" w:customStyle="1" w:styleId="mrukbullet1">
    <w:name w:val="mruk_bullet1"/>
    <w:basedOn w:val="Normal"/>
    <w:link w:val="mrukbullet1Char"/>
    <w:rsid w:val="00CE1BDB"/>
    <w:pPr>
      <w:numPr>
        <w:numId w:val="18"/>
      </w:numPr>
      <w:spacing w:before="120" w:after="260" w:line="260" w:lineRule="exact"/>
      <w:jc w:val="both"/>
    </w:pPr>
    <w:rPr>
      <w:rFonts w:ascii="Calibri" w:hAnsi="Calibri"/>
      <w:szCs w:val="20"/>
      <w:lang w:eastAsia="en-US"/>
    </w:rPr>
  </w:style>
  <w:style w:type="character" w:customStyle="1" w:styleId="mrukbullet1Char">
    <w:name w:val="mruk_bullet1 Char"/>
    <w:link w:val="mrukbullet1"/>
    <w:rsid w:val="00CE1BDB"/>
    <w:rPr>
      <w:rFonts w:ascii="Calibri" w:eastAsia="Times New Roman" w:hAnsi="Calibri" w:cs="Times New Roman"/>
      <w:sz w:val="24"/>
      <w:szCs w:val="20"/>
    </w:rPr>
  </w:style>
  <w:style w:type="paragraph" w:customStyle="1" w:styleId="ProgressiveTextChar">
    <w:name w:val="Progressive Text Char"/>
    <w:link w:val="ProgressiveTextCharChar"/>
    <w:rsid w:val="00CE1BDB"/>
    <w:pPr>
      <w:spacing w:before="120" w:after="120"/>
      <w:jc w:val="both"/>
    </w:pPr>
    <w:rPr>
      <w:rFonts w:ascii="Arial" w:eastAsia="Times New Roman" w:hAnsi="Arial" w:cs="Times New Roman"/>
      <w:szCs w:val="20"/>
    </w:rPr>
  </w:style>
  <w:style w:type="character" w:customStyle="1" w:styleId="ProgressiveTextCharChar">
    <w:name w:val="Progressive Text Char Char"/>
    <w:link w:val="ProgressiveTextChar"/>
    <w:rsid w:val="00CE1BDB"/>
    <w:rPr>
      <w:rFonts w:ascii="Arial" w:eastAsia="Times New Roman" w:hAnsi="Arial" w:cs="Times New Roman"/>
      <w:szCs w:val="20"/>
    </w:rPr>
  </w:style>
  <w:style w:type="paragraph" w:customStyle="1" w:styleId="ProgressiveTableText">
    <w:name w:val="Progressive Table Text"/>
    <w:basedOn w:val="ProgressiveTextChar"/>
    <w:rsid w:val="00CE1BDB"/>
    <w:pPr>
      <w:keepLines/>
      <w:spacing w:before="0" w:after="0"/>
    </w:pPr>
    <w:rPr>
      <w:bCs/>
    </w:rPr>
  </w:style>
  <w:style w:type="paragraph" w:customStyle="1" w:styleId="Char2">
    <w:name w:val="Char2"/>
    <w:basedOn w:val="Normal"/>
    <w:rsid w:val="00CE1BDB"/>
    <w:pPr>
      <w:spacing w:before="120" w:after="160" w:line="240" w:lineRule="exact"/>
      <w:jc w:val="both"/>
    </w:pPr>
    <w:rPr>
      <w:rFonts w:ascii="Calibri" w:hAnsi="Calibri"/>
      <w:sz w:val="20"/>
      <w:szCs w:val="20"/>
      <w:lang w:val="en-US" w:eastAsia="en-US"/>
    </w:rPr>
  </w:style>
  <w:style w:type="character" w:customStyle="1" w:styleId="CharChar141">
    <w:name w:val="Char Char141"/>
    <w:basedOn w:val="DefaultParagraphFont"/>
    <w:rsid w:val="00CE1BDB"/>
    <w:rPr>
      <w:rFonts w:ascii="Arial" w:hAnsi="Arial" w:cs="Arial"/>
      <w:b/>
      <w:bCs/>
      <w:iCs/>
      <w:color w:val="008080"/>
      <w:sz w:val="28"/>
      <w:szCs w:val="28"/>
      <w:lang w:val="en-GB" w:eastAsia="en-US" w:bidi="ar-SA"/>
    </w:rPr>
  </w:style>
  <w:style w:type="character" w:customStyle="1" w:styleId="CharChar131">
    <w:name w:val="Char Char131"/>
    <w:basedOn w:val="DefaultParagraphFont"/>
    <w:rsid w:val="00CE1BDB"/>
    <w:rPr>
      <w:rFonts w:ascii="Arial" w:hAnsi="Arial" w:cs="Arial"/>
      <w:color w:val="008080"/>
      <w:sz w:val="28"/>
      <w:szCs w:val="28"/>
      <w:lang w:eastAsia="en-US"/>
    </w:rPr>
  </w:style>
  <w:style w:type="character" w:customStyle="1" w:styleId="CharChar121">
    <w:name w:val="Char Char121"/>
    <w:basedOn w:val="DefaultParagraphFont"/>
    <w:rsid w:val="00CE1BDB"/>
    <w:rPr>
      <w:rFonts w:ascii="Arial" w:hAnsi="Arial"/>
      <w:bCs/>
      <w:i/>
      <w:color w:val="008080"/>
      <w:sz w:val="24"/>
      <w:szCs w:val="24"/>
      <w:lang w:eastAsia="en-US"/>
    </w:rPr>
  </w:style>
  <w:style w:type="character" w:customStyle="1" w:styleId="CharChar111">
    <w:name w:val="Char Char111"/>
    <w:basedOn w:val="DefaultParagraphFont"/>
    <w:rsid w:val="00CE1BDB"/>
    <w:rPr>
      <w:rFonts w:ascii="Arial" w:hAnsi="Arial"/>
      <w:sz w:val="24"/>
      <w:szCs w:val="24"/>
      <w:lang w:eastAsia="en-US"/>
    </w:rPr>
  </w:style>
  <w:style w:type="character" w:customStyle="1" w:styleId="CharChar101">
    <w:name w:val="Char Char101"/>
    <w:basedOn w:val="DefaultParagraphFont"/>
    <w:rsid w:val="00CE1BDB"/>
    <w:rPr>
      <w:rFonts w:ascii="Arial" w:hAnsi="Arial"/>
      <w:sz w:val="24"/>
      <w:szCs w:val="24"/>
      <w:lang w:eastAsia="en-US"/>
    </w:rPr>
  </w:style>
  <w:style w:type="character" w:customStyle="1" w:styleId="CharChar81">
    <w:name w:val="Char Char81"/>
    <w:basedOn w:val="DefaultParagraphFont"/>
    <w:rsid w:val="00CE1BDB"/>
    <w:rPr>
      <w:sz w:val="16"/>
      <w:szCs w:val="16"/>
      <w:lang w:eastAsia="en-US"/>
    </w:rPr>
  </w:style>
  <w:style w:type="character" w:customStyle="1" w:styleId="CharChar71">
    <w:name w:val="Char Char71"/>
    <w:basedOn w:val="DefaultParagraphFont"/>
    <w:rsid w:val="00CE1BDB"/>
    <w:rPr>
      <w:rFonts w:ascii="Arial" w:hAnsi="Arial"/>
      <w:sz w:val="24"/>
      <w:szCs w:val="24"/>
      <w:lang w:eastAsia="en-US"/>
    </w:rPr>
  </w:style>
  <w:style w:type="character" w:customStyle="1" w:styleId="CharChar61">
    <w:name w:val="Char Char61"/>
    <w:basedOn w:val="DefaultParagraphFont"/>
    <w:rsid w:val="00CE1BDB"/>
    <w:rPr>
      <w:rFonts w:ascii="Arial" w:hAnsi="Arial"/>
      <w:sz w:val="16"/>
      <w:szCs w:val="16"/>
      <w:lang w:eastAsia="en-US"/>
    </w:rPr>
  </w:style>
  <w:style w:type="character" w:customStyle="1" w:styleId="CharChar51">
    <w:name w:val="Char Char51"/>
    <w:basedOn w:val="DefaultParagraphFont"/>
    <w:rsid w:val="00CE1BDB"/>
    <w:rPr>
      <w:sz w:val="24"/>
      <w:szCs w:val="24"/>
      <w:lang w:eastAsia="en-US"/>
    </w:rPr>
  </w:style>
  <w:style w:type="character" w:customStyle="1" w:styleId="CharChar15">
    <w:name w:val="Char Char15"/>
    <w:basedOn w:val="DefaultParagraphFont"/>
    <w:rsid w:val="00CE1BDB"/>
    <w:rPr>
      <w:rFonts w:ascii="Arial" w:hAnsi="Arial"/>
      <w:sz w:val="24"/>
      <w:szCs w:val="24"/>
      <w:lang w:eastAsia="en-US"/>
    </w:rPr>
  </w:style>
  <w:style w:type="paragraph" w:customStyle="1" w:styleId="StyleHeading1Char1Teal">
    <w:name w:val="Style Heading 1Char1 + Teal"/>
    <w:basedOn w:val="Heading1"/>
    <w:rsid w:val="00CE1BDB"/>
    <w:pPr>
      <w:numPr>
        <w:numId w:val="0"/>
      </w:numPr>
      <w:tabs>
        <w:tab w:val="num" w:pos="432"/>
        <w:tab w:val="num" w:pos="928"/>
      </w:tabs>
      <w:spacing w:before="240" w:after="60"/>
      <w:ind w:left="432" w:hanging="432"/>
    </w:pPr>
    <w:rPr>
      <w:rFonts w:cs="Arial"/>
      <w:b/>
      <w:caps/>
      <w:color w:val="008080"/>
      <w:sz w:val="36"/>
    </w:rPr>
  </w:style>
  <w:style w:type="paragraph" w:customStyle="1" w:styleId="Bulletstyle">
    <w:name w:val="Bullet style"/>
    <w:basedOn w:val="Maintext"/>
    <w:link w:val="BulletstyleChar"/>
    <w:rsid w:val="00CE1BDB"/>
    <w:pPr>
      <w:numPr>
        <w:ilvl w:val="0"/>
        <w:numId w:val="0"/>
      </w:numPr>
      <w:tabs>
        <w:tab w:val="num" w:pos="1134"/>
      </w:tabs>
      <w:ind w:left="1134" w:hanging="425"/>
    </w:pPr>
  </w:style>
  <w:style w:type="character" w:customStyle="1" w:styleId="BulletstyleChar">
    <w:name w:val="Bullet style Char"/>
    <w:basedOn w:val="MaintextChar1"/>
    <w:link w:val="Bulletstyle"/>
    <w:rsid w:val="00CE1BDB"/>
    <w:rPr>
      <w:rFonts w:ascii="Calibri" w:eastAsia="Times New Roman" w:hAnsi="Calibri" w:cs="Times New Roman"/>
      <w:sz w:val="24"/>
      <w:szCs w:val="24"/>
    </w:rPr>
  </w:style>
  <w:style w:type="paragraph" w:customStyle="1" w:styleId="CharCharCharCharCharCharCharCharCharChar">
    <w:name w:val="Char Char Char Char Char Char Char Char Char Char"/>
    <w:basedOn w:val="Normal"/>
    <w:rsid w:val="00CE1BDB"/>
    <w:pPr>
      <w:spacing w:before="120" w:after="120" w:line="240" w:lineRule="exact"/>
      <w:jc w:val="both"/>
    </w:pPr>
    <w:rPr>
      <w:rFonts w:ascii="Verdana" w:hAnsi="Verdana"/>
      <w:sz w:val="20"/>
      <w:szCs w:val="20"/>
      <w:lang w:val="en-US" w:eastAsia="en-US"/>
    </w:rPr>
  </w:style>
  <w:style w:type="character" w:customStyle="1" w:styleId="MaintextChar2">
    <w:name w:val="Main text Char2"/>
    <w:rsid w:val="00CE1BDB"/>
    <w:rPr>
      <w:rFonts w:ascii="Arial" w:hAnsi="Arial"/>
      <w:sz w:val="24"/>
      <w:szCs w:val="24"/>
      <w:lang w:eastAsia="en-US"/>
    </w:rPr>
  </w:style>
  <w:style w:type="character" w:customStyle="1" w:styleId="googqs-tidbitgoogqs-tidbit-0">
    <w:name w:val="goog_qs-tidbit goog_qs-tidbit-0"/>
    <w:basedOn w:val="DefaultParagraphFont"/>
    <w:rsid w:val="00CE1BDB"/>
  </w:style>
  <w:style w:type="character" w:customStyle="1" w:styleId="apple-style-span">
    <w:name w:val="apple-style-span"/>
    <w:basedOn w:val="DefaultParagraphFont"/>
    <w:rsid w:val="00CE1BDB"/>
  </w:style>
  <w:style w:type="character" w:customStyle="1" w:styleId="DocumentMapChar1">
    <w:name w:val="Document Map Char1"/>
    <w:basedOn w:val="DefaultParagraphFont"/>
    <w:uiPriority w:val="99"/>
    <w:semiHidden/>
    <w:rsid w:val="00CE1BDB"/>
    <w:rPr>
      <w:rFonts w:ascii="Tahoma" w:hAnsi="Tahoma" w:cs="Tahoma"/>
      <w:sz w:val="16"/>
      <w:szCs w:val="16"/>
      <w:lang w:eastAsia="en-US"/>
    </w:rPr>
  </w:style>
  <w:style w:type="character" w:customStyle="1" w:styleId="EndnoteTextChar1">
    <w:name w:val="Endnote Text Char1"/>
    <w:basedOn w:val="DefaultParagraphFont"/>
    <w:uiPriority w:val="99"/>
    <w:semiHidden/>
    <w:rsid w:val="00CE1BDB"/>
    <w:rPr>
      <w:lang w:eastAsia="en-US"/>
    </w:rPr>
  </w:style>
  <w:style w:type="character" w:customStyle="1" w:styleId="BodyText2Char1">
    <w:name w:val="Body Text 2 Char1"/>
    <w:basedOn w:val="DefaultParagraphFont"/>
    <w:uiPriority w:val="99"/>
    <w:semiHidden/>
    <w:rsid w:val="00CE1BDB"/>
    <w:rPr>
      <w:sz w:val="24"/>
      <w:szCs w:val="24"/>
      <w:lang w:eastAsia="en-US"/>
    </w:rPr>
  </w:style>
  <w:style w:type="paragraph" w:styleId="IntenseQuote">
    <w:name w:val="Intense Quote"/>
    <w:basedOn w:val="Normal"/>
    <w:next w:val="Normal"/>
    <w:link w:val="IntenseQuoteChar"/>
    <w:uiPriority w:val="30"/>
    <w:rsid w:val="00CE1BDB"/>
    <w:pPr>
      <w:pBdr>
        <w:bottom w:val="single" w:sz="4" w:space="4" w:color="4F81BD"/>
      </w:pBdr>
      <w:spacing w:before="200" w:after="280"/>
      <w:ind w:left="936" w:right="936"/>
      <w:jc w:val="both"/>
    </w:pPr>
    <w:rPr>
      <w:rFonts w:ascii="Calibri" w:hAnsi="Calibri"/>
      <w:b/>
      <w:bCs/>
      <w:i/>
      <w:iCs/>
      <w:color w:val="4F81BD"/>
      <w:lang w:eastAsia="en-US"/>
    </w:rPr>
  </w:style>
  <w:style w:type="character" w:customStyle="1" w:styleId="IntenseQuoteChar">
    <w:name w:val="Intense Quote Char"/>
    <w:basedOn w:val="DefaultParagraphFont"/>
    <w:link w:val="IntenseQuote"/>
    <w:uiPriority w:val="30"/>
    <w:rsid w:val="00CE1BDB"/>
    <w:rPr>
      <w:rFonts w:ascii="Calibri" w:eastAsia="Times New Roman" w:hAnsi="Calibri" w:cs="Times New Roman"/>
      <w:b/>
      <w:bCs/>
      <w:i/>
      <w:iCs/>
      <w:color w:val="4F81BD"/>
      <w:sz w:val="24"/>
      <w:szCs w:val="24"/>
    </w:rPr>
  </w:style>
  <w:style w:type="paragraph" w:customStyle="1" w:styleId="Bullet0">
    <w:name w:val="Bullet"/>
    <w:basedOn w:val="Maintext"/>
    <w:link w:val="BulletChar0"/>
    <w:rsid w:val="00CE1BDB"/>
    <w:pPr>
      <w:numPr>
        <w:numId w:val="7"/>
      </w:numPr>
    </w:pPr>
  </w:style>
  <w:style w:type="character" w:customStyle="1" w:styleId="BulletChar0">
    <w:name w:val="Bullet Char"/>
    <w:basedOn w:val="MaintextChar2"/>
    <w:link w:val="Bullet0"/>
    <w:rsid w:val="00CE1BDB"/>
    <w:rPr>
      <w:rFonts w:ascii="Calibri" w:eastAsia="Times New Roman" w:hAnsi="Calibri" w:cs="Times New Roman"/>
      <w:sz w:val="24"/>
      <w:szCs w:val="24"/>
      <w:lang w:eastAsia="en-US"/>
    </w:rPr>
  </w:style>
  <w:style w:type="table" w:customStyle="1" w:styleId="arc4table">
    <w:name w:val="arc4 table"/>
    <w:basedOn w:val="TableNormal"/>
    <w:uiPriority w:val="99"/>
    <w:rsid w:val="00CE1BDB"/>
    <w:pPr>
      <w:spacing w:before="20" w:after="20"/>
    </w:pPr>
    <w:rPr>
      <w:rFonts w:ascii="Arial" w:eastAsia="Times New Roman" w:hAnsi="Arial" w:cs="Times New Roman"/>
      <w:szCs w:val="20"/>
      <w:lang w:eastAsia="en-GB"/>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uiPriority w:val="99"/>
    <w:qFormat/>
    <w:rsid w:val="00CE1BDB"/>
    <w:pPr>
      <w:numPr>
        <w:ilvl w:val="1"/>
        <w:numId w:val="11"/>
      </w:numPr>
      <w:shd w:val="clear" w:color="auto" w:fill="FFFFFF"/>
      <w:jc w:val="left"/>
    </w:pPr>
    <w:rPr>
      <w:rFonts w:ascii="Arial" w:hAnsi="Arial" w:cs="Arial"/>
      <w:bCs/>
      <w:color w:val="000000"/>
      <w:lang w:eastAsia="en-GB"/>
    </w:rPr>
  </w:style>
  <w:style w:type="character" w:customStyle="1" w:styleId="bulletlevel2Char">
    <w:name w:val="bullet level 2 Char"/>
    <w:link w:val="bulletlevel2"/>
    <w:uiPriority w:val="99"/>
    <w:rsid w:val="00CE1BDB"/>
    <w:rPr>
      <w:rFonts w:ascii="Arial" w:eastAsia="Times New Roman" w:hAnsi="Arial" w:cs="Arial"/>
      <w:bCs/>
      <w:color w:val="000000"/>
      <w:sz w:val="24"/>
      <w:szCs w:val="24"/>
      <w:shd w:val="clear" w:color="auto" w:fill="FFFFFF"/>
      <w:lang w:eastAsia="en-GB"/>
    </w:r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basedOn w:val="DefaultParagraphFont"/>
    <w:uiPriority w:val="99"/>
    <w:locked/>
    <w:rsid w:val="00CE1BDB"/>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basedOn w:val="DefaultParagraphFont"/>
    <w:uiPriority w:val="99"/>
    <w:locked/>
    <w:rsid w:val="00CE1BDB"/>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basedOn w:val="DefaultParagraphFont"/>
    <w:uiPriority w:val="99"/>
    <w:locked/>
    <w:rsid w:val="00CE1BDB"/>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basedOn w:val="DefaultParagraphFont"/>
    <w:uiPriority w:val="99"/>
    <w:locked/>
    <w:rsid w:val="00CE1BDB"/>
    <w:rPr>
      <w:rFonts w:ascii="Cambria" w:hAnsi="Cambria" w:cs="Times New Roman"/>
      <w:b/>
      <w:bCs/>
      <w:kern w:val="32"/>
      <w:sz w:val="32"/>
      <w:szCs w:val="32"/>
      <w:lang w:eastAsia="en-US"/>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basedOn w:val="DefaultParagraphFont"/>
    <w:uiPriority w:val="99"/>
    <w:locked/>
    <w:rsid w:val="00CE1BDB"/>
    <w:rPr>
      <w:rFonts w:ascii="Cambria" w:hAnsi="Cambria" w:cs="Times New Roman"/>
      <w:b/>
      <w:bCs/>
      <w:kern w:val="32"/>
      <w:sz w:val="32"/>
      <w:szCs w:val="32"/>
      <w:lang w:eastAsia="en-US"/>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basedOn w:val="DefaultParagraphFont"/>
    <w:uiPriority w:val="99"/>
    <w:locked/>
    <w:rsid w:val="00CE1BDB"/>
    <w:rPr>
      <w:rFonts w:ascii="Cambria" w:hAnsi="Cambria" w:cs="Times New Roman"/>
      <w:b/>
      <w:bCs/>
      <w:kern w:val="32"/>
      <w:sz w:val="32"/>
      <w:szCs w:val="32"/>
      <w:lang w:eastAsia="en-US"/>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basedOn w:val="DefaultParagraphFont"/>
    <w:uiPriority w:val="99"/>
    <w:locked/>
    <w:rsid w:val="00CE1BDB"/>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locked/>
    <w:rsid w:val="00CE1BDB"/>
    <w:rPr>
      <w:rFonts w:ascii="Arial" w:hAnsi="Arial"/>
      <w:color w:val="009999"/>
      <w:kern w:val="32"/>
      <w:sz w:val="28"/>
      <w:lang w:eastAsia="en-US"/>
    </w:rPr>
  </w:style>
  <w:style w:type="paragraph" w:styleId="z-TopofForm">
    <w:name w:val="HTML Top of Form"/>
    <w:basedOn w:val="Normal"/>
    <w:next w:val="Normal"/>
    <w:link w:val="z-TopofFormChar"/>
    <w:hidden/>
    <w:uiPriority w:val="99"/>
    <w:semiHidden/>
    <w:rsid w:val="00CE1BDB"/>
    <w:pPr>
      <w:pBdr>
        <w:bottom w:val="single" w:sz="6" w:space="1" w:color="auto"/>
      </w:pBdr>
      <w:spacing w:before="120" w:after="120"/>
      <w:jc w:val="center"/>
    </w:pPr>
    <w:rPr>
      <w:rFonts w:cs="Arial"/>
      <w:vanish/>
      <w:sz w:val="16"/>
      <w:szCs w:val="16"/>
    </w:rPr>
  </w:style>
  <w:style w:type="character" w:customStyle="1" w:styleId="z-TopofFormChar">
    <w:name w:val="z-Top of Form Char"/>
    <w:basedOn w:val="DefaultParagraphFont"/>
    <w:link w:val="z-TopofForm"/>
    <w:uiPriority w:val="99"/>
    <w:semiHidden/>
    <w:rsid w:val="00CE1BDB"/>
    <w:rPr>
      <w:rFonts w:ascii="Times New Roman" w:eastAsia="Times New Roman" w:hAnsi="Times New Roman" w:cs="Arial"/>
      <w:vanish/>
      <w:sz w:val="16"/>
      <w:szCs w:val="16"/>
      <w:lang w:eastAsia="en-GB"/>
    </w:rPr>
  </w:style>
  <w:style w:type="paragraph" w:styleId="z-BottomofForm">
    <w:name w:val="HTML Bottom of Form"/>
    <w:basedOn w:val="Normal"/>
    <w:next w:val="Normal"/>
    <w:link w:val="z-BottomofFormChar"/>
    <w:hidden/>
    <w:uiPriority w:val="99"/>
    <w:semiHidden/>
    <w:rsid w:val="00CE1BDB"/>
    <w:pPr>
      <w:pBdr>
        <w:top w:val="single" w:sz="6" w:space="1" w:color="auto"/>
      </w:pBdr>
      <w:spacing w:before="120" w:after="12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CE1BDB"/>
    <w:rPr>
      <w:rFonts w:ascii="Times New Roman" w:eastAsia="Times New Roman" w:hAnsi="Times New Roman" w:cs="Arial"/>
      <w:vanish/>
      <w:sz w:val="16"/>
      <w:szCs w:val="16"/>
      <w:lang w:eastAsia="en-GB"/>
    </w:rPr>
  </w:style>
  <w:style w:type="paragraph" w:customStyle="1" w:styleId="reporttext0">
    <w:name w:val="report text"/>
    <w:basedOn w:val="Maintext"/>
    <w:link w:val="reporttextChar0"/>
    <w:uiPriority w:val="99"/>
    <w:rsid w:val="00CE1BDB"/>
    <w:pPr>
      <w:numPr>
        <w:ilvl w:val="0"/>
        <w:numId w:val="0"/>
      </w:numPr>
      <w:tabs>
        <w:tab w:val="num" w:pos="709"/>
      </w:tabs>
      <w:ind w:left="709" w:hanging="709"/>
    </w:pPr>
    <w:rPr>
      <w:sz w:val="20"/>
      <w:szCs w:val="20"/>
    </w:rPr>
  </w:style>
  <w:style w:type="character" w:customStyle="1" w:styleId="reporttextChar0">
    <w:name w:val="report text Char"/>
    <w:link w:val="reporttext0"/>
    <w:uiPriority w:val="99"/>
    <w:locked/>
    <w:rsid w:val="00CE1BDB"/>
    <w:rPr>
      <w:rFonts w:ascii="Calibri" w:eastAsia="Times New Roman" w:hAnsi="Calibri" w:cs="Times New Roman"/>
      <w:sz w:val="20"/>
      <w:szCs w:val="20"/>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basedOn w:val="DefaultParagraphFont"/>
    <w:semiHidden/>
    <w:rsid w:val="00CE1BDB"/>
    <w:rPr>
      <w:rFonts w:asciiTheme="majorHAnsi" w:eastAsiaTheme="majorEastAsia" w:hAnsiTheme="majorHAnsi" w:cstheme="majorBidi"/>
      <w:color w:val="1F3763" w:themeColor="accent1" w:themeShade="7F"/>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basedOn w:val="DefaultParagraphFont"/>
    <w:semiHidden/>
    <w:rsid w:val="00CE1BDB"/>
    <w:rPr>
      <w:rFonts w:asciiTheme="majorHAnsi" w:eastAsiaTheme="majorEastAsia" w:hAnsiTheme="majorHAnsi" w:cstheme="majorBidi"/>
      <w:i/>
      <w:iCs/>
      <w:color w:val="1F3763" w:themeColor="accent1" w:themeShade="7F"/>
      <w:sz w:val="24"/>
      <w:szCs w:val="24"/>
      <w:lang w:eastAsia="en-US"/>
    </w:rPr>
  </w:style>
  <w:style w:type="character" w:styleId="HTMLTypewriter">
    <w:name w:val="HTML Typewriter"/>
    <w:unhideWhenUsed/>
    <w:rsid w:val="00CE1BDB"/>
    <w:rPr>
      <w:rFonts w:ascii="Courier New" w:eastAsia="Times New Roman" w:hAnsi="Courier New" w:cs="Courier New" w:hint="default"/>
      <w:sz w:val="20"/>
      <w:szCs w:val="20"/>
    </w:rPr>
  </w:style>
  <w:style w:type="character" w:customStyle="1" w:styleId="Heading7Char1">
    <w:name w:val="Heading 7 Char1"/>
    <w:aliases w:val="Do Not Use 7 Char1,Economics List (i) Char1,level 2 bullets Char1,Legal Level 1.1. Char1"/>
    <w:basedOn w:val="DefaultParagraphFont"/>
    <w:semiHidden/>
    <w:rsid w:val="00CE1BDB"/>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aliases w:val="Do Not Use 8 Char1,Economics List (a) Char1,level 3 bullets Char1,Legal Level 1.1.1. Char1,Bullet 3 Char1"/>
    <w:basedOn w:val="DefaultParagraphFont"/>
    <w:semiHidden/>
    <w:rsid w:val="00CE1BDB"/>
    <w:rPr>
      <w:rFonts w:asciiTheme="majorHAnsi" w:eastAsiaTheme="majorEastAsia" w:hAnsiTheme="majorHAnsi" w:cstheme="majorBidi"/>
      <w:color w:val="404040" w:themeColor="text1" w:themeTint="BF"/>
      <w:lang w:eastAsia="en-US"/>
    </w:rPr>
  </w:style>
  <w:style w:type="character" w:customStyle="1" w:styleId="Heading9Char1">
    <w:name w:val="Heading 9 Char1"/>
    <w:aliases w:val="Do Not Use 9 Char1,Legal Level 1.1.1.1. Char1"/>
    <w:basedOn w:val="DefaultParagraphFont"/>
    <w:semiHidden/>
    <w:rsid w:val="00CE1BDB"/>
    <w:rPr>
      <w:rFonts w:asciiTheme="majorHAnsi" w:eastAsiaTheme="majorEastAsia" w:hAnsiTheme="majorHAnsi" w:cstheme="majorBidi"/>
      <w:i/>
      <w:iCs/>
      <w:color w:val="404040" w:themeColor="text1" w:themeTint="BF"/>
      <w:lang w:eastAsia="en-US"/>
    </w:rPr>
  </w:style>
  <w:style w:type="character" w:customStyle="1" w:styleId="FootnoteTextChar1">
    <w:name w:val="Footnote Text Char1"/>
    <w:aliases w:val="EKOS Footnote Text Char1,Footnote Text Char2"/>
    <w:basedOn w:val="DefaultParagraphFont"/>
    <w:semiHidden/>
    <w:rsid w:val="00CE1BDB"/>
    <w:rPr>
      <w:rFonts w:ascii="Arial" w:hAnsi="Arial"/>
      <w:lang w:eastAsia="en-US"/>
    </w:rPr>
  </w:style>
  <w:style w:type="paragraph" w:styleId="Title">
    <w:name w:val="Title"/>
    <w:basedOn w:val="Normal"/>
    <w:link w:val="TitleChar"/>
    <w:uiPriority w:val="99"/>
    <w:rsid w:val="00CE1BDB"/>
    <w:pPr>
      <w:spacing w:before="120" w:after="120"/>
      <w:jc w:val="center"/>
    </w:pPr>
    <w:rPr>
      <w:rFonts w:ascii="Calibri" w:hAnsi="Calibri"/>
      <w:b/>
      <w:bCs/>
      <w:u w:val="single"/>
      <w:lang w:eastAsia="en-US"/>
    </w:rPr>
  </w:style>
  <w:style w:type="character" w:customStyle="1" w:styleId="TitleChar">
    <w:name w:val="Title Char"/>
    <w:basedOn w:val="DefaultParagraphFont"/>
    <w:link w:val="Title"/>
    <w:uiPriority w:val="99"/>
    <w:rsid w:val="00CE1BDB"/>
    <w:rPr>
      <w:rFonts w:ascii="Calibri" w:eastAsia="Times New Roman" w:hAnsi="Calibri" w:cs="Times New Roman"/>
      <w:b/>
      <w:bCs/>
      <w:sz w:val="24"/>
      <w:szCs w:val="24"/>
      <w:u w:val="single"/>
    </w:rPr>
  </w:style>
  <w:style w:type="table" w:styleId="ColorfulList-Accent1">
    <w:name w:val="Colorful List Accent 1"/>
    <w:basedOn w:val="TableNormal"/>
    <w:uiPriority w:val="72"/>
    <w:rsid w:val="00CE1BDB"/>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no-margin">
    <w:name w:val="no-margin"/>
    <w:basedOn w:val="Normal"/>
    <w:uiPriority w:val="99"/>
    <w:rsid w:val="00CE1BDB"/>
    <w:pPr>
      <w:spacing w:before="75" w:after="150"/>
      <w:jc w:val="both"/>
    </w:pPr>
    <w:rPr>
      <w:rFonts w:ascii="Calibri" w:hAnsi="Calibri" w:cs="Arial"/>
      <w:color w:val="333333"/>
      <w:sz w:val="18"/>
      <w:szCs w:val="18"/>
    </w:rPr>
  </w:style>
  <w:style w:type="paragraph" w:customStyle="1" w:styleId="ecxmsolistparagraph">
    <w:name w:val="ecxmsolistparagraph"/>
    <w:basedOn w:val="Normal"/>
    <w:uiPriority w:val="99"/>
    <w:rsid w:val="00CE1BDB"/>
    <w:pPr>
      <w:spacing w:before="120" w:after="324"/>
      <w:jc w:val="both"/>
    </w:pPr>
    <w:rPr>
      <w:rFonts w:ascii="Calibri" w:hAnsi="Calibri"/>
    </w:rPr>
  </w:style>
  <w:style w:type="paragraph" w:customStyle="1" w:styleId="ecxmsonormal">
    <w:name w:val="ecxmsonormal"/>
    <w:basedOn w:val="Normal"/>
    <w:uiPriority w:val="99"/>
    <w:rsid w:val="00CE1BDB"/>
    <w:pPr>
      <w:spacing w:before="120" w:after="324"/>
      <w:jc w:val="both"/>
    </w:pPr>
    <w:rPr>
      <w:rFonts w:ascii="Calibri" w:hAnsi="Calibri"/>
    </w:rPr>
  </w:style>
  <w:style w:type="paragraph" w:customStyle="1" w:styleId="1">
    <w:name w:val="1"/>
    <w:basedOn w:val="Normal"/>
    <w:uiPriority w:val="99"/>
    <w:rsid w:val="00CE1BDB"/>
    <w:pPr>
      <w:spacing w:before="120" w:after="120" w:line="240" w:lineRule="exact"/>
      <w:jc w:val="both"/>
    </w:pPr>
    <w:rPr>
      <w:rFonts w:ascii="Verdana" w:hAnsi="Verdana"/>
      <w:sz w:val="20"/>
      <w:szCs w:val="20"/>
      <w:lang w:val="en-US" w:eastAsia="en-US"/>
    </w:rPr>
  </w:style>
  <w:style w:type="paragraph" w:customStyle="1" w:styleId="StyleJustified">
    <w:name w:val="Style Justified"/>
    <w:basedOn w:val="Normal"/>
    <w:uiPriority w:val="99"/>
    <w:rsid w:val="00CE1BDB"/>
    <w:pPr>
      <w:numPr>
        <w:ilvl w:val="1"/>
        <w:numId w:val="24"/>
      </w:numPr>
      <w:spacing w:before="120" w:after="120"/>
      <w:jc w:val="both"/>
    </w:pPr>
    <w:rPr>
      <w:rFonts w:ascii="Calibri" w:hAnsi="Calibri"/>
      <w:sz w:val="22"/>
      <w:szCs w:val="20"/>
      <w:lang w:eastAsia="en-US"/>
    </w:rPr>
  </w:style>
  <w:style w:type="paragraph" w:customStyle="1" w:styleId="Min">
    <w:name w:val="Min"/>
    <w:basedOn w:val="Normal"/>
    <w:uiPriority w:val="99"/>
    <w:rsid w:val="00CE1BDB"/>
    <w:pPr>
      <w:autoSpaceDE w:val="0"/>
      <w:autoSpaceDN w:val="0"/>
      <w:adjustRightInd w:val="0"/>
      <w:spacing w:before="120" w:after="120"/>
      <w:ind w:left="720" w:hanging="720"/>
      <w:jc w:val="both"/>
    </w:pPr>
    <w:rPr>
      <w:rFonts w:ascii="Helvetica" w:hAnsi="Helvetica" w:cs="Helvetica"/>
      <w:lang w:eastAsia="en-US"/>
    </w:rPr>
  </w:style>
  <w:style w:type="paragraph" w:customStyle="1" w:styleId="Main">
    <w:name w:val="Main#"/>
    <w:basedOn w:val="Maintext"/>
    <w:uiPriority w:val="99"/>
    <w:rsid w:val="00CE1BDB"/>
    <w:pPr>
      <w:numPr>
        <w:ilvl w:val="0"/>
        <w:numId w:val="0"/>
      </w:numPr>
      <w:tabs>
        <w:tab w:val="num" w:pos="709"/>
      </w:tabs>
      <w:ind w:left="720" w:hanging="720"/>
    </w:pPr>
  </w:style>
  <w:style w:type="paragraph" w:customStyle="1" w:styleId="Nor">
    <w:name w:val="Nor#"/>
    <w:basedOn w:val="Normal"/>
    <w:uiPriority w:val="99"/>
    <w:rsid w:val="00CE1BDB"/>
    <w:pPr>
      <w:spacing w:before="120" w:after="120"/>
      <w:jc w:val="both"/>
    </w:pPr>
    <w:rPr>
      <w:rFonts w:ascii="Calibri" w:hAnsi="Calibri"/>
      <w:sz w:val="22"/>
      <w:lang w:eastAsia="en-US"/>
    </w:rPr>
  </w:style>
  <w:style w:type="paragraph" w:customStyle="1" w:styleId="CM70">
    <w:name w:val="CM70"/>
    <w:basedOn w:val="Default"/>
    <w:next w:val="Default"/>
    <w:uiPriority w:val="99"/>
    <w:rsid w:val="00CE1BDB"/>
    <w:rPr>
      <w:rFonts w:ascii="Gill Sans MT Pro Medium" w:eastAsia="Times New Roman" w:hAnsi="Gill Sans MT Pro Medium" w:cs="Times New Roman"/>
      <w:color w:val="auto"/>
      <w:lang w:val="en-US" w:eastAsia="en-US"/>
    </w:rPr>
  </w:style>
  <w:style w:type="paragraph" w:customStyle="1" w:styleId="Bullets0">
    <w:name w:val="Bullets"/>
    <w:basedOn w:val="Normal"/>
    <w:uiPriority w:val="99"/>
    <w:rsid w:val="00CE1BDB"/>
    <w:pPr>
      <w:tabs>
        <w:tab w:val="num" w:pos="709"/>
      </w:tabs>
      <w:spacing w:before="120" w:after="120"/>
      <w:ind w:left="709" w:hanging="709"/>
      <w:jc w:val="both"/>
    </w:pPr>
    <w:rPr>
      <w:rFonts w:ascii="Calibri" w:hAnsi="Calibri"/>
      <w:lang w:eastAsia="en-US"/>
    </w:rPr>
  </w:style>
  <w:style w:type="paragraph" w:customStyle="1" w:styleId="NoParagraphStyle">
    <w:name w:val="[No Paragraph Style]"/>
    <w:uiPriority w:val="99"/>
    <w:rsid w:val="00CE1BDB"/>
    <w:pPr>
      <w:autoSpaceDE w:val="0"/>
      <w:autoSpaceDN w:val="0"/>
      <w:adjustRightInd w:val="0"/>
      <w:spacing w:line="288" w:lineRule="auto"/>
    </w:pPr>
    <w:rPr>
      <w:rFonts w:ascii="Times New Roman" w:eastAsia="Times New Roman" w:hAnsi="Times New Roman" w:cs="Times New Roman"/>
      <w:color w:val="000000"/>
      <w:sz w:val="24"/>
      <w:szCs w:val="24"/>
    </w:rPr>
  </w:style>
  <w:style w:type="paragraph" w:customStyle="1" w:styleId="DocumentTitle">
    <w:name w:val="Document Title"/>
    <w:uiPriority w:val="99"/>
    <w:rsid w:val="00CE1BDB"/>
    <w:pPr>
      <w:spacing w:line="860" w:lineRule="exact"/>
    </w:pPr>
    <w:rPr>
      <w:rFonts w:ascii="Arial" w:eastAsia="Times New Roman" w:hAnsi="Arial" w:cs="Times New Roman"/>
      <w:b/>
      <w:color w:val="00B3BE"/>
      <w:sz w:val="80"/>
      <w:szCs w:val="20"/>
    </w:rPr>
  </w:style>
  <w:style w:type="paragraph" w:customStyle="1" w:styleId="naib">
    <w:name w:val="naib"/>
    <w:basedOn w:val="Normal"/>
    <w:uiPriority w:val="99"/>
    <w:rsid w:val="00CE1BDB"/>
    <w:pPr>
      <w:spacing w:before="120" w:after="120"/>
      <w:jc w:val="both"/>
    </w:pPr>
    <w:rPr>
      <w:rFonts w:ascii="Calibri" w:hAnsi="Calibri"/>
      <w:sz w:val="22"/>
      <w:lang w:eastAsia="en-US"/>
    </w:rPr>
  </w:style>
  <w:style w:type="paragraph" w:customStyle="1" w:styleId="TableContents">
    <w:name w:val="Table Contents"/>
    <w:basedOn w:val="Normal"/>
    <w:uiPriority w:val="99"/>
    <w:rsid w:val="00CE1BDB"/>
    <w:pPr>
      <w:widowControl w:val="0"/>
      <w:suppressLineNumbers/>
      <w:suppressAutoHyphens/>
      <w:spacing w:before="120" w:after="120"/>
      <w:jc w:val="both"/>
    </w:pPr>
    <w:rPr>
      <w:rFonts w:ascii="Calibri" w:eastAsia="Arial Unicode MS" w:hAnsi="Calibri" w:cs="Arial Unicode MS"/>
      <w:kern w:val="2"/>
      <w:lang w:eastAsia="zh-CN" w:bidi="hi-IN"/>
    </w:rPr>
  </w:style>
  <w:style w:type="paragraph" w:customStyle="1" w:styleId="Masin">
    <w:name w:val="Masin"/>
    <w:basedOn w:val="Normal"/>
    <w:uiPriority w:val="99"/>
    <w:rsid w:val="00CE1BDB"/>
    <w:pPr>
      <w:spacing w:before="120" w:after="120"/>
      <w:jc w:val="both"/>
    </w:pPr>
    <w:rPr>
      <w:rFonts w:ascii="Calibri" w:hAnsi="Calibri"/>
      <w:lang w:eastAsia="en-US"/>
    </w:rPr>
  </w:style>
  <w:style w:type="character" w:customStyle="1" w:styleId="ColorfulList-Accent1Char">
    <w:name w:val="Colorful List - Accent 1 Char"/>
    <w:link w:val="ColorfulList-Accent11"/>
    <w:uiPriority w:val="34"/>
    <w:locked/>
    <w:rsid w:val="00CE1BDB"/>
    <w:rPr>
      <w:rFonts w:ascii="Calibri" w:hAnsi="Calibri" w:cs="Arial"/>
      <w:sz w:val="24"/>
      <w:szCs w:val="24"/>
    </w:rPr>
  </w:style>
  <w:style w:type="paragraph" w:customStyle="1" w:styleId="ColorfulList-Accent11">
    <w:name w:val="Colorful List - Accent 11"/>
    <w:basedOn w:val="Normal"/>
    <w:link w:val="ColorfulList-Accent1Char"/>
    <w:uiPriority w:val="34"/>
    <w:rsid w:val="00CE1BDB"/>
    <w:pPr>
      <w:spacing w:before="120" w:after="120"/>
      <w:ind w:left="720"/>
      <w:jc w:val="both"/>
    </w:pPr>
    <w:rPr>
      <w:rFonts w:ascii="Calibri" w:eastAsiaTheme="minorHAnsi" w:hAnsi="Calibri" w:cs="Arial"/>
      <w:lang w:eastAsia="en-US"/>
    </w:rPr>
  </w:style>
  <w:style w:type="paragraph" w:customStyle="1" w:styleId="ColorfulShading-Accent11">
    <w:name w:val="Colorful Shading - Accent 11"/>
    <w:uiPriority w:val="99"/>
    <w:semiHidden/>
    <w:rsid w:val="00CE1BDB"/>
    <w:rPr>
      <w:rFonts w:ascii="Arial" w:eastAsia="Times New Roman" w:hAnsi="Arial" w:cs="Times New Roman"/>
      <w:sz w:val="24"/>
      <w:szCs w:val="24"/>
    </w:rPr>
  </w:style>
  <w:style w:type="paragraph" w:customStyle="1" w:styleId="NoSpacing1">
    <w:name w:val="No Spacing1"/>
    <w:uiPriority w:val="1"/>
    <w:rsid w:val="00CE1BDB"/>
    <w:rPr>
      <w:rFonts w:ascii="Calibri" w:eastAsia="Times New Roman" w:hAnsi="Calibri" w:cs="Times New Roman"/>
      <w:lang w:val="en-US"/>
    </w:rPr>
  </w:style>
  <w:style w:type="character" w:customStyle="1" w:styleId="bullet2Char">
    <w:name w:val="bullet2 Char"/>
    <w:link w:val="bullet2"/>
    <w:uiPriority w:val="99"/>
    <w:locked/>
    <w:rsid w:val="00CE1BDB"/>
    <w:rPr>
      <w:rFonts w:ascii="Calibri" w:hAnsi="Calibri"/>
      <w:sz w:val="24"/>
      <w:szCs w:val="24"/>
    </w:rPr>
  </w:style>
  <w:style w:type="paragraph" w:customStyle="1" w:styleId="bullet2">
    <w:name w:val="bullet2"/>
    <w:basedOn w:val="Normal"/>
    <w:link w:val="bullet2Char"/>
    <w:uiPriority w:val="99"/>
    <w:rsid w:val="00CE1BDB"/>
    <w:pPr>
      <w:numPr>
        <w:ilvl w:val="1"/>
        <w:numId w:val="12"/>
      </w:numPr>
      <w:spacing w:before="120" w:after="120"/>
      <w:jc w:val="both"/>
    </w:pPr>
    <w:rPr>
      <w:rFonts w:ascii="Calibri" w:eastAsiaTheme="minorHAnsi" w:hAnsi="Calibri" w:cstheme="minorBidi"/>
      <w:lang w:eastAsia="en-US"/>
    </w:rPr>
  </w:style>
  <w:style w:type="table" w:styleId="MediumGrid2">
    <w:name w:val="Medium Grid 2"/>
    <w:basedOn w:val="TableNormal"/>
    <w:link w:val="MediumGrid2Char1"/>
    <w:uiPriority w:val="1"/>
    <w:rsid w:val="00CE1BDB"/>
    <w:rPr>
      <w:rFonts w:ascii="Calibri" w:hAnsi="Calibri"/>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MediumGrid2Char1">
    <w:name w:val="Medium Grid 2 Char1"/>
    <w:link w:val="MediumGrid2"/>
    <w:uiPriority w:val="1"/>
    <w:locked/>
    <w:rsid w:val="00CE1BDB"/>
    <w:rPr>
      <w:rFonts w:ascii="Calibri" w:hAnsi="Calibri" w:hint="default"/>
      <w:sz w:val="22"/>
      <w:szCs w:val="22"/>
      <w:lang w:val="en-US" w:eastAsia="en-US" w:bidi="ar-SA"/>
    </w:rPr>
  </w:style>
  <w:style w:type="character" w:customStyle="1" w:styleId="ColorfulList-Accent1Char1">
    <w:name w:val="Colorful List - Accent 1 Char1"/>
    <w:aliases w:val="Main-bullets Char"/>
    <w:uiPriority w:val="34"/>
    <w:rsid w:val="00CE1BDB"/>
    <w:rPr>
      <w:rFonts w:ascii="Arial" w:hAnsi="Arial" w:cs="Arial" w:hint="default"/>
      <w:sz w:val="24"/>
      <w:szCs w:val="24"/>
      <w:lang w:eastAsia="en-US"/>
    </w:rPr>
  </w:style>
  <w:style w:type="table" w:styleId="LightShading-Accent2">
    <w:name w:val="Light Shading Accent 2"/>
    <w:basedOn w:val="TableNormal"/>
    <w:link w:val="LightShading-Accent2Char"/>
    <w:uiPriority w:val="30"/>
    <w:rsid w:val="00CE1BDB"/>
    <w:rPr>
      <w:rFonts w:ascii="Arial" w:hAnsi="Arial" w:cs="Arial"/>
      <w:b/>
      <w:bCs/>
      <w:i/>
      <w:iCs/>
      <w:color w:val="4F81BD"/>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LightShading-Accent2"/>
    <w:uiPriority w:val="30"/>
    <w:locked/>
    <w:rsid w:val="00CE1BDB"/>
    <w:rPr>
      <w:rFonts w:ascii="Arial" w:hAnsi="Arial" w:cs="Arial" w:hint="default"/>
      <w:b/>
      <w:bCs/>
      <w:i/>
      <w:iCs/>
      <w:color w:val="4F81BD"/>
      <w:sz w:val="24"/>
      <w:szCs w:val="24"/>
      <w:lang w:eastAsia="en-US"/>
    </w:rPr>
  </w:style>
  <w:style w:type="character" w:customStyle="1" w:styleId="caps">
    <w:name w:val="caps"/>
    <w:basedOn w:val="DefaultParagraphFont"/>
    <w:rsid w:val="00CE1BDB"/>
  </w:style>
  <w:style w:type="character" w:customStyle="1" w:styleId="CharChar25">
    <w:name w:val="Char Char25"/>
    <w:semiHidden/>
    <w:rsid w:val="00CE1BDB"/>
    <w:rPr>
      <w:rFonts w:ascii="Arial" w:hAnsi="Arial" w:cs="Arial" w:hint="default"/>
      <w:lang w:eastAsia="en-US"/>
    </w:rPr>
  </w:style>
  <w:style w:type="table" w:styleId="MediumShading1-Accent1">
    <w:name w:val="Medium Shading 1 Accent 1"/>
    <w:basedOn w:val="TableNormal"/>
    <w:link w:val="MediumGrid2Char"/>
    <w:uiPriority w:val="1"/>
    <w:rsid w:val="00CE1BDB"/>
    <w:rPr>
      <w:rFonts w:ascii="Times New Roman" w:eastAsia="Times New Roman" w:hAnsi="Times New Roman" w:cs="Times New Roman"/>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Shading1-Accent1"/>
    <w:uiPriority w:val="1"/>
    <w:locked/>
    <w:rsid w:val="00CE1BDB"/>
    <w:rPr>
      <w:rFonts w:ascii="Times New Roman" w:eastAsia="Times New Roman" w:hAnsi="Times New Roman" w:cs="Times New Roman" w:hint="default"/>
      <w:lang w:val="en-US" w:eastAsia="en-GB" w:bidi="ar-SA"/>
    </w:rPr>
  </w:style>
  <w:style w:type="table" w:styleId="TableGrid1">
    <w:name w:val="Table Grid 1"/>
    <w:basedOn w:val="TableNormal"/>
    <w:unhideWhenUsed/>
    <w:rsid w:val="00CE1BDB"/>
    <w:pPr>
      <w:spacing w:before="120" w:after="1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unhideWhenUsed/>
    <w:rsid w:val="00CE1BDB"/>
    <w:pPr>
      <w:spacing w:before="120" w:after="120"/>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CE1BDB"/>
    <w:pPr>
      <w:spacing w:before="120" w:after="120"/>
      <w:jc w:val="both"/>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4">
    <w:name w:val="Dark List Accent 4"/>
    <w:basedOn w:val="TableNormal"/>
    <w:uiPriority w:val="61"/>
    <w:rsid w:val="00CE1BD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5">
    <w:name w:val="Medium List 1 Accent 5"/>
    <w:basedOn w:val="TableNormal"/>
    <w:uiPriority w:val="61"/>
    <w:rsid w:val="00CE1BD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Reportnumberingstyle1">
    <w:name w:val="Report numbering style1"/>
    <w:uiPriority w:val="99"/>
    <w:rsid w:val="00CE1BDB"/>
  </w:style>
  <w:style w:type="numbering" w:customStyle="1" w:styleId="Reportnumberingstyle2">
    <w:name w:val="Report numbering style2"/>
    <w:uiPriority w:val="99"/>
    <w:rsid w:val="00CE1BDB"/>
  </w:style>
  <w:style w:type="paragraph" w:customStyle="1" w:styleId="GTTAquestionno">
    <w:name w:val="GTTA question no"/>
    <w:basedOn w:val="Heading4"/>
    <w:link w:val="GTTAquestionnoChar"/>
    <w:qFormat/>
    <w:rsid w:val="00CE1BDB"/>
    <w:pPr>
      <w:numPr>
        <w:numId w:val="14"/>
      </w:numPr>
    </w:pPr>
  </w:style>
  <w:style w:type="character" w:customStyle="1" w:styleId="GTTAquestionnoChar">
    <w:name w:val="GTTA question no Char"/>
    <w:basedOn w:val="Heading4Char"/>
    <w:link w:val="GTTAquestionno"/>
    <w:rsid w:val="00CE1BDB"/>
    <w:rPr>
      <w:rFonts w:ascii="Times New Roman" w:eastAsia="Times New Roman" w:hAnsi="Times New Roman" w:cs="Times New Roman"/>
      <w:bCs/>
      <w:color w:val="006666"/>
      <w:sz w:val="24"/>
      <w:szCs w:val="24"/>
    </w:rPr>
  </w:style>
  <w:style w:type="character" w:customStyle="1" w:styleId="Mention1">
    <w:name w:val="Mention1"/>
    <w:basedOn w:val="DefaultParagraphFont"/>
    <w:uiPriority w:val="99"/>
    <w:semiHidden/>
    <w:unhideWhenUsed/>
    <w:rsid w:val="00CE1BDB"/>
    <w:rPr>
      <w:color w:val="2B579A"/>
      <w:shd w:val="clear" w:color="auto" w:fill="E6E6E6"/>
    </w:rPr>
  </w:style>
  <w:style w:type="numbering" w:customStyle="1" w:styleId="Reportnumberingstyle3">
    <w:name w:val="Report numbering style3"/>
    <w:uiPriority w:val="99"/>
    <w:rsid w:val="00CE1BDB"/>
  </w:style>
  <w:style w:type="paragraph" w:customStyle="1" w:styleId="msonormal0">
    <w:name w:val="msonormal"/>
    <w:basedOn w:val="Normal"/>
    <w:uiPriority w:val="99"/>
    <w:rsid w:val="00CE1BDB"/>
    <w:pPr>
      <w:spacing w:before="100" w:beforeAutospacing="1" w:after="100" w:afterAutospacing="1"/>
      <w:jc w:val="both"/>
    </w:pPr>
    <w:rPr>
      <w:rFonts w:ascii="Calibri" w:hAnsi="Calibri"/>
    </w:rPr>
  </w:style>
  <w:style w:type="table" w:customStyle="1" w:styleId="MediumGrid21">
    <w:name w:val="Medium Grid 21"/>
    <w:basedOn w:val="TableNormal"/>
    <w:next w:val="MediumGrid2"/>
    <w:uiPriority w:val="1"/>
    <w:unhideWhenUsed/>
    <w:rsid w:val="00CE1BDB"/>
    <w:rPr>
      <w:rFonts w:ascii="Calibri" w:eastAsia="Times New Roman" w:hAnsi="Calibri" w:cs="Calibri"/>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Shading-Accent21">
    <w:name w:val="Light Shading - Accent 21"/>
    <w:basedOn w:val="TableNormal"/>
    <w:next w:val="LightShading-Accent2"/>
    <w:uiPriority w:val="30"/>
    <w:semiHidden/>
    <w:unhideWhenUsed/>
    <w:rsid w:val="00CE1BDB"/>
    <w:rPr>
      <w:rFonts w:ascii="Arial" w:eastAsia="Times New Roman" w:hAnsi="Arial" w:cs="Arial"/>
      <w:b/>
      <w:bCs/>
      <w:i/>
      <w:iCs/>
      <w:color w:val="4F81BD"/>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100" w:beforeAutospacing="1" w:afterLines="0" w:after="100" w:afterAutospacing="1"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Shading1-Accent11">
    <w:name w:val="Medium Shading 1 - Accent 11"/>
    <w:basedOn w:val="TableNormal"/>
    <w:next w:val="MediumShading1-Accent1"/>
    <w:uiPriority w:val="1"/>
    <w:unhideWhenUsed/>
    <w:rsid w:val="00CE1BDB"/>
    <w:rPr>
      <w:rFonts w:ascii="Times New Roman" w:eastAsia="Times New Roman" w:hAnsi="Times New Roman" w:cs="Times New Roman"/>
      <w:sz w:val="20"/>
      <w:szCs w:val="20"/>
      <w:lang w:val="en-US"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Columns31">
    <w:name w:val="Table Columns 31"/>
    <w:basedOn w:val="TableNormal"/>
    <w:next w:val="TableColumns3"/>
    <w:semiHidden/>
    <w:unhideWhenUsed/>
    <w:rsid w:val="00CE1BDB"/>
    <w:pPr>
      <w:spacing w:before="120" w:after="120"/>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rfulList-Accent12">
    <w:name w:val="Colorful List - Accent 12"/>
    <w:basedOn w:val="TableNormal"/>
    <w:next w:val="ColorfulList-Accent1"/>
    <w:uiPriority w:val="72"/>
    <w:semiHidden/>
    <w:unhideWhenUsed/>
    <w:rsid w:val="00CE1BDB"/>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LightList-Accent41">
    <w:name w:val="Light List - Accent 41"/>
    <w:basedOn w:val="TableNormal"/>
    <w:next w:val="LightList-Accent4"/>
    <w:unhideWhenUsed/>
    <w:rsid w:val="00CE1BD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DarkList-Accent41">
    <w:name w:val="Dark List - Accent 41"/>
    <w:basedOn w:val="TableNormal"/>
    <w:next w:val="DarkList-Accent4"/>
    <w:uiPriority w:val="61"/>
    <w:semiHidden/>
    <w:unhideWhenUsed/>
    <w:rsid w:val="00CE1BD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List1-Accent51">
    <w:name w:val="Medium List 1 - Accent 51"/>
    <w:basedOn w:val="TableNormal"/>
    <w:next w:val="MediumList1-Accent5"/>
    <w:uiPriority w:val="61"/>
    <w:semiHidden/>
    <w:unhideWhenUsed/>
    <w:rsid w:val="00CE1BDB"/>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
    <w:name w:val="Light List - Accent 111"/>
    <w:basedOn w:val="TableNormal"/>
    <w:uiPriority w:val="61"/>
    <w:rsid w:val="00CE1BDB"/>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rc4table1">
    <w:name w:val="arc4 table1"/>
    <w:basedOn w:val="TableNormal"/>
    <w:uiPriority w:val="99"/>
    <w:rsid w:val="00CE1BDB"/>
    <w:pPr>
      <w:spacing w:before="20" w:after="20"/>
    </w:pPr>
    <w:rPr>
      <w:rFonts w:ascii="Arial" w:eastAsia="Times New Roman" w:hAnsi="Arial" w:cs="Times New Roman"/>
      <w:szCs w:val="20"/>
      <w:lang w:eastAsia="en-GB"/>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cs="Arial" w:hint="default"/>
        <w:b/>
        <w:color w:val="FFFFFF" w:themeColor="background1"/>
        <w:sz w:val="22"/>
        <w:szCs w:val="22"/>
      </w:rPr>
      <w:tblPr/>
      <w:tcPr>
        <w:shd w:val="clear" w:color="auto" w:fill="009999"/>
      </w:tcPr>
    </w:tblStylePr>
  </w:style>
  <w:style w:type="numbering" w:customStyle="1" w:styleId="Reportnumberingstyle4">
    <w:name w:val="Report numbering style4"/>
    <w:rsid w:val="00CE1BDB"/>
  </w:style>
  <w:style w:type="character" w:styleId="LineNumber">
    <w:name w:val="line number"/>
    <w:basedOn w:val="DefaultParagraphFont"/>
    <w:uiPriority w:val="99"/>
    <w:semiHidden/>
    <w:unhideWhenUsed/>
    <w:rsid w:val="00CE1BDB"/>
  </w:style>
  <w:style w:type="paragraph" w:customStyle="1" w:styleId="Reportforreport">
    <w:name w:val="Report for report"/>
    <w:basedOn w:val="Reporttext"/>
    <w:rsid w:val="00CE1BDB"/>
    <w:pPr>
      <w:numPr>
        <w:ilvl w:val="0"/>
        <w:numId w:val="0"/>
      </w:numPr>
      <w:ind w:left="709" w:hanging="709"/>
    </w:pPr>
    <w:rPr>
      <w:lang w:eastAsia="en-GB"/>
    </w:rPr>
  </w:style>
  <w:style w:type="paragraph" w:customStyle="1" w:styleId="byline">
    <w:name w:val="byline"/>
    <w:basedOn w:val="Normal"/>
    <w:rsid w:val="00CE1BDB"/>
    <w:pPr>
      <w:spacing w:before="100" w:beforeAutospacing="1" w:after="100" w:afterAutospacing="1"/>
      <w:jc w:val="both"/>
    </w:pPr>
    <w:rPr>
      <w:rFonts w:ascii="Calibri" w:hAnsi="Calibri"/>
    </w:rPr>
  </w:style>
  <w:style w:type="paragraph" w:customStyle="1" w:styleId="summary">
    <w:name w:val="summary"/>
    <w:basedOn w:val="Normal"/>
    <w:rsid w:val="00CE1BDB"/>
    <w:pPr>
      <w:spacing w:before="100" w:beforeAutospacing="1" w:after="100" w:afterAutospacing="1"/>
      <w:jc w:val="both"/>
    </w:pPr>
    <w:rPr>
      <w:rFonts w:ascii="Calibri" w:hAnsi="Calibri"/>
    </w:rPr>
  </w:style>
  <w:style w:type="numbering" w:customStyle="1" w:styleId="NoList1">
    <w:name w:val="No List1"/>
    <w:next w:val="NoList"/>
    <w:uiPriority w:val="99"/>
    <w:semiHidden/>
    <w:unhideWhenUsed/>
    <w:rsid w:val="00CE1BDB"/>
  </w:style>
  <w:style w:type="paragraph" w:customStyle="1" w:styleId="Figureheading0">
    <w:name w:val="Figureheading"/>
    <w:basedOn w:val="Maintext"/>
    <w:link w:val="FigureheadingChar0"/>
    <w:qFormat/>
    <w:rsid w:val="00C75F28"/>
    <w:pPr>
      <w:keepNext/>
      <w:numPr>
        <w:ilvl w:val="0"/>
        <w:numId w:val="0"/>
      </w:numPr>
      <w:spacing w:before="0" w:after="0"/>
    </w:pPr>
    <w:rPr>
      <w:rFonts w:ascii="Arial" w:hAnsi="Arial" w:cs="Arial"/>
      <w:b/>
      <w:color w:val="006666"/>
      <w:sz w:val="22"/>
    </w:rPr>
  </w:style>
  <w:style w:type="character" w:customStyle="1" w:styleId="FigureheadingChar0">
    <w:name w:val="Figureheading Char"/>
    <w:basedOn w:val="MaintextChar2"/>
    <w:link w:val="Figureheading0"/>
    <w:rsid w:val="00C75F28"/>
    <w:rPr>
      <w:rFonts w:ascii="Arial" w:eastAsia="Times New Roman" w:hAnsi="Arial" w:cs="Arial"/>
      <w:b/>
      <w:color w:val="006666"/>
      <w:sz w:val="24"/>
      <w:szCs w:val="24"/>
      <w:lang w:eastAsia="en-US"/>
    </w:rPr>
  </w:style>
  <w:style w:type="paragraph" w:customStyle="1" w:styleId="Mapheading0">
    <w:name w:val="Mapheading"/>
    <w:basedOn w:val="Maintext"/>
    <w:link w:val="MapheadingChar0"/>
    <w:qFormat/>
    <w:rsid w:val="00C75F28"/>
    <w:pPr>
      <w:keepNext/>
      <w:numPr>
        <w:ilvl w:val="0"/>
        <w:numId w:val="0"/>
      </w:numPr>
      <w:spacing w:before="0" w:after="0"/>
    </w:pPr>
    <w:rPr>
      <w:rFonts w:ascii="Arial" w:hAnsi="Arial" w:cs="Arial"/>
      <w:b/>
      <w:color w:val="006666"/>
      <w:sz w:val="22"/>
    </w:rPr>
  </w:style>
  <w:style w:type="character" w:customStyle="1" w:styleId="MapheadingChar0">
    <w:name w:val="Mapheading Char"/>
    <w:basedOn w:val="MaintextChar2"/>
    <w:link w:val="Mapheading0"/>
    <w:rsid w:val="00C75F28"/>
    <w:rPr>
      <w:rFonts w:ascii="Arial" w:eastAsia="Times New Roman" w:hAnsi="Arial" w:cs="Arial"/>
      <w:b/>
      <w:color w:val="006666"/>
      <w:sz w:val="24"/>
      <w:szCs w:val="24"/>
      <w:lang w:eastAsia="en-US"/>
    </w:rPr>
  </w:style>
  <w:style w:type="table" w:customStyle="1" w:styleId="GridTable1Light-Accent11">
    <w:name w:val="Grid Table 1 Light - Accent 11"/>
    <w:basedOn w:val="TableNormal"/>
    <w:uiPriority w:val="46"/>
    <w:rsid w:val="00CE1BD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ParagraphNumbered">
    <w:name w:val="Normal Paragraph Numbered"/>
    <w:basedOn w:val="Heading2"/>
    <w:rsid w:val="00CE1BDB"/>
    <w:pPr>
      <w:keepNext w:val="0"/>
      <w:numPr>
        <w:ilvl w:val="1"/>
      </w:numPr>
      <w:tabs>
        <w:tab w:val="num" w:pos="709"/>
      </w:tabs>
      <w:spacing w:before="0" w:after="240"/>
      <w:ind w:left="1021" w:hanging="1021"/>
    </w:pPr>
    <w:rPr>
      <w:iCs w:val="0"/>
      <w:color w:val="auto"/>
      <w:sz w:val="20"/>
      <w:szCs w:val="26"/>
    </w:rPr>
  </w:style>
  <w:style w:type="paragraph" w:customStyle="1" w:styleId="tableheader">
    <w:name w:val="tableheader"/>
    <w:basedOn w:val="Normal"/>
    <w:rsid w:val="00CE1BDB"/>
    <w:pPr>
      <w:spacing w:before="120" w:after="120"/>
      <w:jc w:val="both"/>
    </w:pPr>
    <w:rPr>
      <w:rFonts w:ascii="Calibri" w:hAnsi="Calibri"/>
      <w:lang w:eastAsia="en-US"/>
    </w:rPr>
  </w:style>
  <w:style w:type="paragraph" w:customStyle="1" w:styleId="tableheaders">
    <w:name w:val="tableheaders"/>
    <w:basedOn w:val="Normal"/>
    <w:uiPriority w:val="99"/>
    <w:rsid w:val="00CE1BDB"/>
    <w:pPr>
      <w:spacing w:before="120" w:after="120"/>
      <w:jc w:val="both"/>
    </w:pPr>
    <w:rPr>
      <w:rFonts w:ascii="Calibri" w:hAnsi="Calibri"/>
      <w:szCs w:val="22"/>
      <w:lang w:eastAsia="en-US"/>
    </w:rPr>
  </w:style>
  <w:style w:type="paragraph" w:customStyle="1" w:styleId="mapheader">
    <w:name w:val="mapheader"/>
    <w:basedOn w:val="Maintext"/>
    <w:rsid w:val="00CE1BDB"/>
    <w:pPr>
      <w:numPr>
        <w:ilvl w:val="0"/>
        <w:numId w:val="0"/>
      </w:numPr>
      <w:spacing w:before="0" w:after="0"/>
      <w:ind w:left="709" w:hanging="709"/>
    </w:pPr>
    <w:rPr>
      <w:rFonts w:ascii="Arial" w:hAnsi="Arial" w:cs="Arial"/>
      <w:b/>
    </w:rPr>
  </w:style>
  <w:style w:type="paragraph" w:customStyle="1" w:styleId="t">
    <w:name w:val="t"/>
    <w:basedOn w:val="Normal"/>
    <w:rsid w:val="00CE1BDB"/>
    <w:pPr>
      <w:spacing w:before="120" w:after="120"/>
      <w:jc w:val="both"/>
    </w:pPr>
    <w:rPr>
      <w:rFonts w:ascii="Calibri" w:hAnsi="Calibri"/>
    </w:rPr>
  </w:style>
  <w:style w:type="paragraph" w:customStyle="1" w:styleId="tt">
    <w:name w:val="tt"/>
    <w:basedOn w:val="t"/>
    <w:rsid w:val="00CE1BDB"/>
  </w:style>
  <w:style w:type="paragraph" w:customStyle="1" w:styleId="tableeheading">
    <w:name w:val="tableeheading"/>
    <w:basedOn w:val="Normal"/>
    <w:rsid w:val="00CE1BDB"/>
    <w:pPr>
      <w:spacing w:before="120" w:after="120"/>
      <w:jc w:val="both"/>
    </w:pPr>
    <w:rPr>
      <w:rFonts w:ascii="Calibri" w:hAnsi="Calibri"/>
      <w:color w:val="000000"/>
      <w:lang w:eastAsia="en-US"/>
    </w:rPr>
  </w:style>
  <w:style w:type="paragraph" w:customStyle="1" w:styleId="tabeheading">
    <w:name w:val="tabeheading"/>
    <w:basedOn w:val="Maintext"/>
    <w:rsid w:val="00CE1BDB"/>
    <w:pPr>
      <w:numPr>
        <w:ilvl w:val="0"/>
        <w:numId w:val="0"/>
      </w:numPr>
      <w:spacing w:before="0" w:after="0"/>
    </w:pPr>
    <w:rPr>
      <w:rFonts w:ascii="Arial" w:hAnsi="Arial"/>
    </w:rPr>
  </w:style>
  <w:style w:type="paragraph" w:customStyle="1" w:styleId="Normatabl">
    <w:name w:val="Normatabl"/>
    <w:basedOn w:val="Normal"/>
    <w:rsid w:val="00CE1BDB"/>
    <w:pPr>
      <w:spacing w:before="120" w:after="120"/>
      <w:jc w:val="both"/>
    </w:pPr>
    <w:rPr>
      <w:rFonts w:ascii="Calibri" w:hAnsi="Calibri"/>
      <w:lang w:eastAsia="en-US"/>
    </w:rPr>
  </w:style>
  <w:style w:type="paragraph" w:customStyle="1" w:styleId="tableheading0">
    <w:name w:val="table heading"/>
    <w:basedOn w:val="Normatabl"/>
    <w:rsid w:val="00CE1BDB"/>
  </w:style>
  <w:style w:type="paragraph" w:customStyle="1" w:styleId="tablehading">
    <w:name w:val="tablehading"/>
    <w:basedOn w:val="t"/>
    <w:rsid w:val="00CE1BDB"/>
  </w:style>
  <w:style w:type="paragraph" w:customStyle="1" w:styleId="ffigureheading">
    <w:name w:val="ffigureheading"/>
    <w:basedOn w:val="Normal"/>
    <w:rsid w:val="00CE1BDB"/>
    <w:pPr>
      <w:spacing w:before="120" w:after="120"/>
      <w:jc w:val="both"/>
    </w:pPr>
    <w:rPr>
      <w:rFonts w:ascii="Calibri" w:hAnsi="Calibri"/>
      <w:lang w:eastAsia="en-US"/>
    </w:rPr>
  </w:style>
  <w:style w:type="paragraph" w:customStyle="1" w:styleId="figureheadingffigureheading">
    <w:name w:val="figureheadingffigureheading"/>
    <w:basedOn w:val="ffigureheading"/>
    <w:rsid w:val="00CE1BDB"/>
  </w:style>
  <w:style w:type="paragraph" w:customStyle="1" w:styleId="fi">
    <w:name w:val="fi"/>
    <w:basedOn w:val="Reporttext"/>
    <w:rsid w:val="00CE1BDB"/>
    <w:pPr>
      <w:numPr>
        <w:ilvl w:val="0"/>
        <w:numId w:val="0"/>
      </w:numPr>
      <w:spacing w:after="0"/>
      <w:ind w:left="709"/>
    </w:pPr>
  </w:style>
  <w:style w:type="character" w:customStyle="1" w:styleId="QuotesChar">
    <w:name w:val="Quotes Char"/>
    <w:link w:val="Quotes"/>
    <w:locked/>
    <w:rsid w:val="00CE1BDB"/>
    <w:rPr>
      <w:rFonts w:ascii="Arial" w:hAnsi="Arial" w:cs="Arial"/>
      <w:color w:val="009999"/>
    </w:rPr>
  </w:style>
  <w:style w:type="paragraph" w:customStyle="1" w:styleId="Quotes">
    <w:name w:val="Quotes"/>
    <w:basedOn w:val="Reporttext"/>
    <w:link w:val="QuotesChar"/>
    <w:rsid w:val="00CE1BDB"/>
    <w:pPr>
      <w:numPr>
        <w:ilvl w:val="0"/>
        <w:numId w:val="0"/>
      </w:numPr>
      <w:tabs>
        <w:tab w:val="num" w:pos="709"/>
      </w:tabs>
      <w:spacing w:after="0"/>
      <w:ind w:left="709" w:hanging="709"/>
    </w:pPr>
    <w:rPr>
      <w:rFonts w:eastAsiaTheme="minorHAnsi" w:cs="Arial"/>
      <w:color w:val="009999"/>
      <w:sz w:val="22"/>
      <w:szCs w:val="22"/>
    </w:rPr>
  </w:style>
  <w:style w:type="paragraph" w:customStyle="1" w:styleId="Centre14">
    <w:name w:val="Centre14"/>
    <w:basedOn w:val="Normal"/>
    <w:next w:val="Normal"/>
    <w:autoRedefine/>
    <w:rsid w:val="00CE1BDB"/>
    <w:pPr>
      <w:spacing w:before="120" w:after="120"/>
      <w:ind w:left="709" w:hanging="709"/>
      <w:jc w:val="center"/>
    </w:pPr>
    <w:rPr>
      <w:rFonts w:ascii="Calibri" w:hAnsi="Calibri"/>
      <w:b/>
      <w:sz w:val="28"/>
      <w:lang w:eastAsia="en-US"/>
    </w:rPr>
  </w:style>
  <w:style w:type="paragraph" w:customStyle="1" w:styleId="Sidehead11">
    <w:name w:val="Sidehead11"/>
    <w:basedOn w:val="Normal"/>
    <w:next w:val="Normal"/>
    <w:autoRedefine/>
    <w:rsid w:val="00CE1BDB"/>
    <w:pPr>
      <w:spacing w:before="120" w:after="120"/>
      <w:ind w:left="720" w:hanging="720"/>
      <w:jc w:val="both"/>
    </w:pPr>
    <w:rPr>
      <w:rFonts w:ascii="Calibri" w:hAnsi="Calibri"/>
      <w:b/>
      <w:lang w:eastAsia="en-US"/>
    </w:rPr>
  </w:style>
  <w:style w:type="paragraph" w:customStyle="1" w:styleId="Min0">
    <w:name w:val="Min#"/>
    <w:basedOn w:val="Maintext"/>
    <w:rsid w:val="00CE1BDB"/>
    <w:pPr>
      <w:numPr>
        <w:ilvl w:val="0"/>
        <w:numId w:val="0"/>
      </w:numPr>
      <w:spacing w:before="0" w:after="0"/>
    </w:pPr>
    <w:rPr>
      <w:rFonts w:ascii="Times New Roman" w:eastAsia="MS Mincho" w:hAnsi="Times New Roman"/>
      <w:lang w:val="en-US" w:eastAsia="ja-JP"/>
    </w:rPr>
  </w:style>
  <w:style w:type="character" w:styleId="SubtleEmphasis">
    <w:name w:val="Subtle Emphasis"/>
    <w:rsid w:val="00CE1BDB"/>
    <w:rPr>
      <w:rFonts w:cs="Times New Roman"/>
      <w:i/>
      <w:color w:val="808080"/>
    </w:rPr>
  </w:style>
  <w:style w:type="paragraph" w:customStyle="1" w:styleId="Para">
    <w:name w:val="Para"/>
    <w:basedOn w:val="Normal"/>
    <w:link w:val="ParaChar"/>
    <w:rsid w:val="00CE1BDB"/>
    <w:pPr>
      <w:numPr>
        <w:ilvl w:val="1"/>
        <w:numId w:val="19"/>
      </w:numPr>
      <w:spacing w:before="120" w:after="120"/>
      <w:jc w:val="both"/>
    </w:pPr>
    <w:rPr>
      <w:rFonts w:ascii="Calibri" w:hAnsi="Calibri"/>
      <w:szCs w:val="20"/>
      <w:lang w:val="en-US" w:eastAsia="ja-JP"/>
    </w:rPr>
  </w:style>
  <w:style w:type="paragraph" w:customStyle="1" w:styleId="Heading31">
    <w:name w:val="Heading 31"/>
    <w:basedOn w:val="Heading3"/>
    <w:link w:val="Heading31Char"/>
    <w:rsid w:val="00CE1BDB"/>
    <w:pPr>
      <w:numPr>
        <w:numId w:val="16"/>
      </w:numPr>
      <w:spacing w:before="0" w:after="0"/>
    </w:pPr>
    <w:rPr>
      <w:b/>
      <w:color w:val="008080"/>
      <w:szCs w:val="20"/>
      <w:lang w:val="en-US" w:eastAsia="ja-JP"/>
    </w:rPr>
  </w:style>
  <w:style w:type="character" w:customStyle="1" w:styleId="ParaChar">
    <w:name w:val="Para Char"/>
    <w:link w:val="Para"/>
    <w:locked/>
    <w:rsid w:val="00CE1BDB"/>
    <w:rPr>
      <w:rFonts w:ascii="Calibri" w:eastAsia="Times New Roman" w:hAnsi="Calibri" w:cs="Times New Roman"/>
      <w:sz w:val="24"/>
      <w:szCs w:val="20"/>
      <w:lang w:val="en-US" w:eastAsia="ja-JP"/>
    </w:rPr>
  </w:style>
  <w:style w:type="paragraph" w:styleId="Subtitle">
    <w:name w:val="Subtitle"/>
    <w:basedOn w:val="Normal"/>
    <w:next w:val="Normal"/>
    <w:link w:val="SubtitleChar"/>
    <w:rsid w:val="00CE1BDB"/>
    <w:pPr>
      <w:spacing w:before="120" w:after="60"/>
      <w:ind w:left="709" w:hanging="709"/>
      <w:jc w:val="center"/>
      <w:outlineLvl w:val="1"/>
    </w:pPr>
    <w:rPr>
      <w:rFonts w:ascii="Cambria" w:hAnsi="Cambria"/>
      <w:lang w:val="en-US" w:eastAsia="en-US"/>
    </w:rPr>
  </w:style>
  <w:style w:type="character" w:customStyle="1" w:styleId="SubtitleChar">
    <w:name w:val="Subtitle Char"/>
    <w:basedOn w:val="DefaultParagraphFont"/>
    <w:link w:val="Subtitle"/>
    <w:rsid w:val="00CE1BDB"/>
    <w:rPr>
      <w:rFonts w:ascii="Cambria" w:eastAsia="Times New Roman" w:hAnsi="Cambria" w:cs="Times New Roman"/>
      <w:sz w:val="24"/>
      <w:szCs w:val="24"/>
      <w:lang w:val="en-US"/>
    </w:rPr>
  </w:style>
  <w:style w:type="character" w:customStyle="1" w:styleId="Heading31Char">
    <w:name w:val="Heading 31 Char"/>
    <w:link w:val="Heading31"/>
    <w:locked/>
    <w:rsid w:val="00CE1BDB"/>
    <w:rPr>
      <w:rFonts w:ascii="Times New Roman" w:eastAsia="Times New Roman" w:hAnsi="Times New Roman" w:cs="Times New Roman"/>
      <w:b/>
      <w:color w:val="008080"/>
      <w:sz w:val="28"/>
      <w:szCs w:val="20"/>
      <w:lang w:val="en-US" w:eastAsia="ja-JP"/>
    </w:rPr>
  </w:style>
  <w:style w:type="paragraph" w:styleId="Quote">
    <w:name w:val="Quote"/>
    <w:basedOn w:val="Normal"/>
    <w:next w:val="Normal"/>
    <w:link w:val="QuoteChar"/>
    <w:rsid w:val="00CE1BDB"/>
    <w:pPr>
      <w:spacing w:before="120" w:after="120"/>
      <w:ind w:left="709" w:hanging="709"/>
      <w:jc w:val="both"/>
    </w:pPr>
    <w:rPr>
      <w:rFonts w:ascii="Calibri" w:hAnsi="Calibri"/>
      <w:i/>
      <w:iCs/>
      <w:color w:val="000000"/>
      <w:lang w:val="en-US" w:eastAsia="en-US"/>
    </w:rPr>
  </w:style>
  <w:style w:type="character" w:customStyle="1" w:styleId="QuoteChar">
    <w:name w:val="Quote Char"/>
    <w:basedOn w:val="DefaultParagraphFont"/>
    <w:link w:val="Quote"/>
    <w:rsid w:val="00CE1BDB"/>
    <w:rPr>
      <w:rFonts w:ascii="Calibri" w:eastAsia="Times New Roman" w:hAnsi="Calibri" w:cs="Times New Roman"/>
      <w:i/>
      <w:iCs/>
      <w:color w:val="000000"/>
      <w:sz w:val="24"/>
      <w:szCs w:val="24"/>
      <w:lang w:val="en-US"/>
    </w:rPr>
  </w:style>
  <w:style w:type="character" w:styleId="IntenseEmphasis">
    <w:name w:val="Intense Emphasis"/>
    <w:rsid w:val="00CE1BDB"/>
    <w:rPr>
      <w:rFonts w:cs="Times New Roman"/>
      <w:b/>
      <w:i/>
      <w:color w:val="4F81BD"/>
    </w:rPr>
  </w:style>
  <w:style w:type="character" w:styleId="SubtleReference">
    <w:name w:val="Subtle Reference"/>
    <w:rsid w:val="00CE1BDB"/>
    <w:rPr>
      <w:rFonts w:cs="Times New Roman"/>
      <w:smallCaps/>
      <w:color w:val="C0504D"/>
      <w:u w:val="single"/>
    </w:rPr>
  </w:style>
  <w:style w:type="character" w:styleId="IntenseReference">
    <w:name w:val="Intense Reference"/>
    <w:rsid w:val="00CE1BDB"/>
    <w:rPr>
      <w:rFonts w:cs="Times New Roman"/>
      <w:b/>
      <w:smallCaps/>
      <w:color w:val="C0504D"/>
      <w:spacing w:val="5"/>
      <w:u w:val="single"/>
    </w:rPr>
  </w:style>
  <w:style w:type="character" w:styleId="BookTitle">
    <w:name w:val="Book Title"/>
    <w:rsid w:val="00CE1BDB"/>
    <w:rPr>
      <w:rFonts w:cs="Times New Roman"/>
      <w:b/>
      <w:smallCaps/>
      <w:spacing w:val="5"/>
    </w:rPr>
  </w:style>
  <w:style w:type="paragraph" w:customStyle="1" w:styleId="Bulletindent">
    <w:name w:val="Bullet indent"/>
    <w:basedOn w:val="bullet"/>
    <w:link w:val="BulletindentChar"/>
    <w:rsid w:val="00CE1BDB"/>
    <w:pPr>
      <w:numPr>
        <w:ilvl w:val="1"/>
        <w:numId w:val="10"/>
      </w:numPr>
      <w:tabs>
        <w:tab w:val="clear" w:pos="709"/>
        <w:tab w:val="num" w:pos="1789"/>
      </w:tabs>
      <w:spacing w:before="0" w:after="0"/>
    </w:pPr>
    <w:rPr>
      <w:rFonts w:ascii="Times New Roman" w:hAnsi="Times New Roman" w:cs="Calibri"/>
      <w:szCs w:val="20"/>
      <w:lang w:val="en-US" w:eastAsia="ja-JP"/>
    </w:rPr>
  </w:style>
  <w:style w:type="character" w:customStyle="1" w:styleId="BulletindentChar">
    <w:name w:val="Bullet indent Char"/>
    <w:link w:val="Bulletindent"/>
    <w:locked/>
    <w:rsid w:val="00CE1BDB"/>
    <w:rPr>
      <w:rFonts w:ascii="Times New Roman" w:eastAsia="Times New Roman" w:hAnsi="Times New Roman" w:cs="Calibri"/>
      <w:sz w:val="24"/>
      <w:szCs w:val="20"/>
      <w:lang w:val="en-US" w:eastAsia="ja-JP"/>
    </w:rPr>
  </w:style>
  <w:style w:type="paragraph" w:customStyle="1" w:styleId="Char4">
    <w:name w:val="Char4"/>
    <w:basedOn w:val="Normal"/>
    <w:rsid w:val="00CE1BDB"/>
    <w:pPr>
      <w:spacing w:before="120" w:after="160" w:line="240" w:lineRule="exact"/>
      <w:jc w:val="both"/>
    </w:pPr>
    <w:rPr>
      <w:rFonts w:ascii="Calibri" w:hAnsi="Calibri"/>
      <w:sz w:val="20"/>
      <w:szCs w:val="20"/>
      <w:lang w:val="en-US" w:eastAsia="en-US"/>
    </w:rPr>
  </w:style>
  <w:style w:type="character" w:customStyle="1" w:styleId="CharChar251">
    <w:name w:val="Char Char251"/>
    <w:semiHidden/>
    <w:rsid w:val="00CE1BDB"/>
    <w:rPr>
      <w:rFonts w:ascii="Arial" w:hAnsi="Arial"/>
      <w:lang w:val="x-none" w:eastAsia="en-US"/>
    </w:rPr>
  </w:style>
  <w:style w:type="table" w:styleId="TableGrid6">
    <w:name w:val="Table Grid 6"/>
    <w:basedOn w:val="TableNormal"/>
    <w:rsid w:val="00CE1BDB"/>
    <w:pPr>
      <w:spacing w:before="120" w:after="120"/>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CharChar62">
    <w:name w:val="Char Char62"/>
    <w:locked/>
    <w:rsid w:val="00CE1BDB"/>
    <w:rPr>
      <w:rFonts w:ascii="Arial" w:hAnsi="Arial"/>
      <w:b/>
      <w:color w:val="008080"/>
      <w:sz w:val="32"/>
      <w:lang w:val="en-GB" w:eastAsia="en-US"/>
    </w:rPr>
  </w:style>
  <w:style w:type="character" w:customStyle="1" w:styleId="EKOSFootnoteTextCharChar">
    <w:name w:val="EKOS Footnote Text Char Char"/>
    <w:semiHidden/>
    <w:locked/>
    <w:rsid w:val="00CE1BDB"/>
    <w:rPr>
      <w:rFonts w:ascii="Arial" w:hAnsi="Arial"/>
      <w:lang w:val="en-GB" w:eastAsia="en-US"/>
    </w:rPr>
  </w:style>
  <w:style w:type="paragraph" w:customStyle="1" w:styleId="Miain">
    <w:name w:val="Miain"/>
    <w:basedOn w:val="Normal"/>
    <w:rsid w:val="00CE1BDB"/>
    <w:pPr>
      <w:spacing w:before="120" w:after="120"/>
      <w:jc w:val="both"/>
    </w:pPr>
    <w:rPr>
      <w:rFonts w:ascii="Calibri" w:hAnsi="Calibri"/>
      <w:lang w:eastAsia="en-US"/>
    </w:rPr>
  </w:style>
  <w:style w:type="paragraph" w:customStyle="1" w:styleId="CharCharCharCharCharCharCharCharCharChar1">
    <w:name w:val="Char Char Char Char Char Char Char Char Char Char1"/>
    <w:basedOn w:val="Normal"/>
    <w:rsid w:val="00CE1BDB"/>
    <w:pPr>
      <w:spacing w:before="120" w:after="120" w:line="240" w:lineRule="exact"/>
      <w:jc w:val="both"/>
    </w:pPr>
    <w:rPr>
      <w:rFonts w:ascii="Verdana" w:hAnsi="Verdana"/>
      <w:sz w:val="20"/>
      <w:szCs w:val="20"/>
      <w:lang w:val="en-US" w:eastAsia="en-US"/>
    </w:rPr>
  </w:style>
  <w:style w:type="paragraph" w:customStyle="1" w:styleId="Char3">
    <w:name w:val="Char3"/>
    <w:basedOn w:val="Normal"/>
    <w:rsid w:val="00CE1BDB"/>
    <w:pPr>
      <w:spacing w:before="120" w:after="160" w:line="240" w:lineRule="exact"/>
      <w:jc w:val="both"/>
    </w:pPr>
    <w:rPr>
      <w:rFonts w:ascii="Calibri" w:hAnsi="Calibri"/>
      <w:sz w:val="20"/>
      <w:szCs w:val="20"/>
      <w:lang w:val="en-US" w:eastAsia="en-US"/>
    </w:rPr>
  </w:style>
  <w:style w:type="character" w:customStyle="1" w:styleId="CharChar17">
    <w:name w:val="Char Char17"/>
    <w:rsid w:val="00CE1BDB"/>
    <w:rPr>
      <w:rFonts w:ascii="Arial" w:hAnsi="Arial" w:cs="Arial"/>
      <w:b/>
      <w:bCs/>
      <w:iCs/>
      <w:color w:val="008080"/>
      <w:sz w:val="28"/>
      <w:szCs w:val="28"/>
      <w:lang w:eastAsia="en-US"/>
    </w:rPr>
  </w:style>
  <w:style w:type="character" w:customStyle="1" w:styleId="CharChar16">
    <w:name w:val="Char Char16"/>
    <w:rsid w:val="00CE1BDB"/>
    <w:rPr>
      <w:rFonts w:ascii="Arial" w:hAnsi="Arial" w:cs="Arial"/>
      <w:color w:val="008080"/>
      <w:sz w:val="28"/>
      <w:szCs w:val="28"/>
      <w:lang w:eastAsia="en-US"/>
    </w:rPr>
  </w:style>
  <w:style w:type="character" w:customStyle="1" w:styleId="EKOSFootnoteTextCharChar1">
    <w:name w:val="EKOS Footnote Text Char Char1"/>
    <w:rsid w:val="00CE1BDB"/>
    <w:rPr>
      <w:rFonts w:ascii="Arial" w:hAnsi="Arial"/>
      <w:lang w:eastAsia="en-US"/>
    </w:rPr>
  </w:style>
  <w:style w:type="paragraph" w:customStyle="1" w:styleId="CharCharCharCharCharCharCharCharCharChar3">
    <w:name w:val="Char Char Char Char Char Char Char Char Char Char3"/>
    <w:basedOn w:val="Normal"/>
    <w:rsid w:val="00CE1BDB"/>
    <w:pPr>
      <w:spacing w:before="120" w:after="120" w:line="240" w:lineRule="exact"/>
      <w:jc w:val="both"/>
    </w:pPr>
    <w:rPr>
      <w:rFonts w:ascii="Verdana" w:hAnsi="Verdana" w:cs="Verdana"/>
      <w:sz w:val="20"/>
      <w:szCs w:val="20"/>
      <w:lang w:val="en-US" w:eastAsia="en-US"/>
    </w:rPr>
  </w:style>
  <w:style w:type="paragraph" w:customStyle="1" w:styleId="Tableheading1">
    <w:name w:val="Tableheading"/>
    <w:basedOn w:val="Maintext"/>
    <w:link w:val="TableheadingChar0"/>
    <w:qFormat/>
    <w:rsid w:val="00CE1BDB"/>
    <w:pPr>
      <w:numPr>
        <w:ilvl w:val="0"/>
        <w:numId w:val="0"/>
      </w:numPr>
      <w:jc w:val="left"/>
    </w:pPr>
    <w:rPr>
      <w:rFonts w:ascii="Arial" w:hAnsi="Arial" w:cs="Calibri"/>
      <w:b/>
      <w:bCs/>
      <w:color w:val="FFFFFF" w:themeColor="background1"/>
      <w:sz w:val="22"/>
    </w:rPr>
  </w:style>
  <w:style w:type="character" w:customStyle="1" w:styleId="TableheadingChar0">
    <w:name w:val="Tableheading Char"/>
    <w:link w:val="Tableheading1"/>
    <w:locked/>
    <w:rsid w:val="00CE1BDB"/>
    <w:rPr>
      <w:rFonts w:ascii="Arial" w:eastAsia="Times New Roman" w:hAnsi="Arial" w:cs="Calibri"/>
      <w:b/>
      <w:bCs/>
      <w:color w:val="FFFFFF" w:themeColor="background1"/>
      <w:szCs w:val="24"/>
    </w:rPr>
  </w:style>
  <w:style w:type="paragraph" w:customStyle="1" w:styleId="CharCharCharCharCharCharCharCharCharChar2">
    <w:name w:val="Char Char Char Char Char Char Char Char Char Char2"/>
    <w:basedOn w:val="Normal"/>
    <w:rsid w:val="00CE1BDB"/>
    <w:pPr>
      <w:spacing w:before="120" w:after="120" w:line="240" w:lineRule="exact"/>
      <w:jc w:val="both"/>
    </w:pPr>
    <w:rPr>
      <w:rFonts w:ascii="Verdana" w:hAnsi="Verdana" w:cs="Verdana"/>
      <w:sz w:val="20"/>
      <w:szCs w:val="20"/>
      <w:lang w:val="en-US" w:eastAsia="en-US"/>
    </w:rPr>
  </w:style>
  <w:style w:type="paragraph" w:customStyle="1" w:styleId="CharCharCharCharCharCharCharCharCharChar4">
    <w:name w:val="Char Char Char Char Char Char Char Char Char Char4"/>
    <w:basedOn w:val="Normal"/>
    <w:rsid w:val="00CE1BDB"/>
    <w:pPr>
      <w:spacing w:before="120" w:after="120" w:line="240" w:lineRule="exact"/>
      <w:jc w:val="both"/>
    </w:pPr>
    <w:rPr>
      <w:rFonts w:ascii="Verdana" w:hAnsi="Verdana" w:cs="Verdana"/>
      <w:sz w:val="20"/>
      <w:szCs w:val="20"/>
      <w:lang w:val="en-US" w:eastAsia="en-US"/>
    </w:rPr>
  </w:style>
  <w:style w:type="paragraph" w:customStyle="1" w:styleId="Bulletarc4">
    <w:name w:val="Bullet arc4"/>
    <w:basedOn w:val="Maintext"/>
    <w:link w:val="Bulletarc4Char"/>
    <w:rsid w:val="00CE1BDB"/>
    <w:pPr>
      <w:numPr>
        <w:ilvl w:val="0"/>
        <w:numId w:val="9"/>
      </w:numPr>
      <w:tabs>
        <w:tab w:val="clear" w:pos="720"/>
        <w:tab w:val="num" w:pos="1418"/>
      </w:tabs>
      <w:spacing w:before="0" w:after="0"/>
    </w:pPr>
    <w:rPr>
      <w:rFonts w:ascii="Times New Roman" w:hAnsi="Times New Roman" w:cs="Arial"/>
    </w:rPr>
  </w:style>
  <w:style w:type="character" w:customStyle="1" w:styleId="Bulletarc4Char">
    <w:name w:val="Bullet arc4 Char"/>
    <w:link w:val="Bulletarc4"/>
    <w:locked/>
    <w:rsid w:val="00CE1BDB"/>
    <w:rPr>
      <w:rFonts w:ascii="Times New Roman" w:eastAsia="Times New Roman" w:hAnsi="Times New Roman" w:cs="Arial"/>
      <w:sz w:val="24"/>
      <w:szCs w:val="24"/>
    </w:rPr>
  </w:style>
  <w:style w:type="paragraph" w:customStyle="1" w:styleId="Char5">
    <w:name w:val="Char5"/>
    <w:basedOn w:val="Normal"/>
    <w:rsid w:val="00CE1BDB"/>
    <w:pPr>
      <w:spacing w:before="120" w:after="160" w:line="240" w:lineRule="exact"/>
      <w:jc w:val="both"/>
    </w:pPr>
    <w:rPr>
      <w:rFonts w:ascii="Calibri" w:hAnsi="Calibri" w:cs="Arial"/>
      <w:sz w:val="20"/>
      <w:szCs w:val="20"/>
      <w:lang w:val="en-US" w:eastAsia="en-US"/>
    </w:rPr>
  </w:style>
  <w:style w:type="paragraph" w:customStyle="1" w:styleId="Normal0">
    <w:name w:val="Normal#"/>
    <w:basedOn w:val="Heading3"/>
    <w:rsid w:val="00CE1BDB"/>
    <w:pPr>
      <w:spacing w:before="240" w:after="60"/>
    </w:pPr>
    <w:rPr>
      <w:rFonts w:cs="Arial"/>
      <w:color w:val="008080"/>
    </w:rPr>
  </w:style>
  <w:style w:type="paragraph" w:customStyle="1" w:styleId="xl63">
    <w:name w:val="xl63"/>
    <w:basedOn w:val="Normal"/>
    <w:rsid w:val="00CE1BDB"/>
    <w:pPr>
      <w:spacing w:before="100" w:beforeAutospacing="1" w:after="100" w:afterAutospacing="1"/>
      <w:jc w:val="both"/>
    </w:pPr>
    <w:rPr>
      <w:rFonts w:ascii="Verdana" w:hAnsi="Verdana"/>
      <w:color w:val="333333"/>
      <w:sz w:val="16"/>
      <w:szCs w:val="16"/>
    </w:rPr>
  </w:style>
  <w:style w:type="paragraph" w:customStyle="1" w:styleId="xl64">
    <w:name w:val="xl64"/>
    <w:basedOn w:val="Normal"/>
    <w:rsid w:val="00CE1BDB"/>
    <w:pPr>
      <w:spacing w:before="100" w:beforeAutospacing="1" w:after="100" w:afterAutospacing="1"/>
      <w:jc w:val="center"/>
    </w:pPr>
    <w:rPr>
      <w:rFonts w:ascii="Calibri" w:hAnsi="Calibri"/>
    </w:rPr>
  </w:style>
  <w:style w:type="paragraph" w:customStyle="1" w:styleId="xl65">
    <w:name w:val="xl65"/>
    <w:basedOn w:val="Normal"/>
    <w:rsid w:val="00CE1BDB"/>
    <w:pPr>
      <w:spacing w:before="100" w:beforeAutospacing="1" w:after="100" w:afterAutospacing="1"/>
      <w:jc w:val="center"/>
    </w:pPr>
    <w:rPr>
      <w:rFonts w:ascii="Calibri" w:hAnsi="Calibri"/>
    </w:rPr>
  </w:style>
  <w:style w:type="paragraph" w:customStyle="1" w:styleId="xl66">
    <w:name w:val="xl66"/>
    <w:basedOn w:val="Normal"/>
    <w:rsid w:val="00CE1BDB"/>
    <w:pPr>
      <w:shd w:val="clear" w:color="000000" w:fill="009999"/>
      <w:spacing w:before="100" w:beforeAutospacing="1" w:after="100" w:afterAutospacing="1"/>
      <w:jc w:val="center"/>
    </w:pPr>
    <w:rPr>
      <w:rFonts w:ascii="Calibri" w:hAnsi="Calibri"/>
      <w:b/>
      <w:bCs/>
      <w:color w:val="FFFFFF"/>
    </w:rPr>
  </w:style>
  <w:style w:type="paragraph" w:customStyle="1" w:styleId="xl67">
    <w:name w:val="xl67"/>
    <w:basedOn w:val="Normal"/>
    <w:rsid w:val="00CE1BDB"/>
    <w:pPr>
      <w:shd w:val="clear" w:color="000000" w:fill="009999"/>
      <w:spacing w:before="100" w:beforeAutospacing="1" w:after="100" w:afterAutospacing="1"/>
      <w:jc w:val="center"/>
    </w:pPr>
    <w:rPr>
      <w:rFonts w:ascii="Calibri" w:hAnsi="Calibri"/>
      <w:b/>
      <w:bCs/>
      <w:color w:val="FFFFFF"/>
    </w:rPr>
  </w:style>
  <w:style w:type="paragraph" w:customStyle="1" w:styleId="xl68">
    <w:name w:val="xl68"/>
    <w:basedOn w:val="Normal"/>
    <w:rsid w:val="00CE1BDB"/>
    <w:pPr>
      <w:spacing w:before="100" w:beforeAutospacing="1" w:after="100" w:afterAutospacing="1"/>
      <w:jc w:val="both"/>
    </w:pPr>
    <w:rPr>
      <w:rFonts w:ascii="Calibri" w:hAnsi="Calibri"/>
      <w:b/>
      <w:bCs/>
      <w:i/>
      <w:iCs/>
    </w:rPr>
  </w:style>
  <w:style w:type="paragraph" w:customStyle="1" w:styleId="xl69">
    <w:name w:val="xl69"/>
    <w:basedOn w:val="Normal"/>
    <w:rsid w:val="00CE1BDB"/>
    <w:pPr>
      <w:spacing w:before="100" w:beforeAutospacing="1" w:after="100" w:afterAutospacing="1"/>
      <w:jc w:val="center"/>
    </w:pPr>
    <w:rPr>
      <w:rFonts w:ascii="Calibri" w:hAnsi="Calibri"/>
      <w:b/>
      <w:bCs/>
      <w:i/>
      <w:iCs/>
    </w:rPr>
  </w:style>
  <w:style w:type="paragraph" w:customStyle="1" w:styleId="xl70">
    <w:name w:val="xl70"/>
    <w:basedOn w:val="Normal"/>
    <w:rsid w:val="00CE1BDB"/>
    <w:pPr>
      <w:spacing w:before="100" w:beforeAutospacing="1" w:after="100" w:afterAutospacing="1"/>
      <w:jc w:val="center"/>
    </w:pPr>
    <w:rPr>
      <w:rFonts w:ascii="Calibri" w:hAnsi="Calibri"/>
      <w:b/>
      <w:bCs/>
      <w:i/>
      <w:iCs/>
    </w:rPr>
  </w:style>
  <w:style w:type="paragraph" w:customStyle="1" w:styleId="TableHeading2">
    <w:name w:val="Table Heading"/>
    <w:basedOn w:val="Normal"/>
    <w:rsid w:val="00CE1BDB"/>
    <w:pPr>
      <w:spacing w:before="120" w:after="120"/>
      <w:ind w:right="142"/>
      <w:jc w:val="both"/>
    </w:pPr>
    <w:rPr>
      <w:rFonts w:ascii="Garamond" w:hAnsi="Garamond"/>
      <w:b/>
      <w:bCs/>
      <w:kern w:val="28"/>
      <w:sz w:val="22"/>
      <w:lang w:eastAsia="en-US"/>
    </w:rPr>
  </w:style>
  <w:style w:type="table" w:customStyle="1" w:styleId="GridTable1Light-Accent51">
    <w:name w:val="Grid Table 1 Light - Accent 51"/>
    <w:basedOn w:val="TableNormal"/>
    <w:uiPriority w:val="46"/>
    <w:rsid w:val="00CE1BD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il">
    <w:name w:val="il"/>
    <w:basedOn w:val="DefaultParagraphFont"/>
    <w:rsid w:val="00CE1BDB"/>
  </w:style>
  <w:style w:type="character" w:customStyle="1" w:styleId="st">
    <w:name w:val="st"/>
    <w:basedOn w:val="DefaultParagraphFont"/>
    <w:rsid w:val="00CE1BDB"/>
  </w:style>
  <w:style w:type="paragraph" w:customStyle="1" w:styleId="scheda">
    <w:name w:val="scheda"/>
    <w:basedOn w:val="Normal"/>
    <w:next w:val="Normal"/>
    <w:rsid w:val="00CE1BDB"/>
    <w:pPr>
      <w:numPr>
        <w:numId w:val="23"/>
      </w:numPr>
      <w:spacing w:before="120" w:after="120" w:line="360" w:lineRule="auto"/>
      <w:jc w:val="both"/>
    </w:pPr>
    <w:rPr>
      <w:szCs w:val="20"/>
    </w:rPr>
  </w:style>
  <w:style w:type="paragraph" w:customStyle="1" w:styleId="schedb">
    <w:name w:val="schedb"/>
    <w:basedOn w:val="Normal"/>
    <w:rsid w:val="00CE1BDB"/>
    <w:pPr>
      <w:numPr>
        <w:ilvl w:val="1"/>
        <w:numId w:val="23"/>
      </w:numPr>
      <w:spacing w:before="120" w:after="120" w:line="360" w:lineRule="auto"/>
      <w:jc w:val="both"/>
    </w:pPr>
    <w:rPr>
      <w:szCs w:val="20"/>
    </w:rPr>
  </w:style>
  <w:style w:type="paragraph" w:customStyle="1" w:styleId="schedc">
    <w:name w:val="schedc"/>
    <w:basedOn w:val="Normal"/>
    <w:rsid w:val="00CE1BDB"/>
    <w:pPr>
      <w:numPr>
        <w:ilvl w:val="2"/>
        <w:numId w:val="23"/>
      </w:numPr>
      <w:spacing w:before="120" w:after="120" w:line="360" w:lineRule="auto"/>
      <w:jc w:val="both"/>
    </w:pPr>
    <w:rPr>
      <w:szCs w:val="20"/>
    </w:rPr>
  </w:style>
  <w:style w:type="paragraph" w:customStyle="1" w:styleId="Bullet1">
    <w:name w:val="Bullet 1"/>
    <w:basedOn w:val="BodyText"/>
    <w:link w:val="Bullet1Char"/>
    <w:rsid w:val="00CE1BDB"/>
    <w:pPr>
      <w:tabs>
        <w:tab w:val="num" w:pos="927"/>
      </w:tabs>
      <w:spacing w:before="0" w:after="0" w:line="288" w:lineRule="auto"/>
      <w:ind w:left="907" w:right="-51" w:hanging="340"/>
      <w:jc w:val="left"/>
    </w:pPr>
    <w:rPr>
      <w:rFonts w:ascii="Arial" w:hAnsi="Arial"/>
      <w:color w:val="000000"/>
      <w:sz w:val="22"/>
      <w:szCs w:val="18"/>
    </w:rPr>
  </w:style>
  <w:style w:type="character" w:customStyle="1" w:styleId="Bullet1Char">
    <w:name w:val="Bullet 1 Char"/>
    <w:basedOn w:val="DefaultParagraphFont"/>
    <w:link w:val="Bullet1"/>
    <w:rsid w:val="00CE1BDB"/>
    <w:rPr>
      <w:rFonts w:ascii="Arial" w:eastAsia="Times New Roman" w:hAnsi="Arial" w:cs="Times New Roman"/>
      <w:color w:val="000000"/>
      <w:szCs w:val="18"/>
    </w:rPr>
  </w:style>
  <w:style w:type="paragraph" w:customStyle="1" w:styleId="text-align-center">
    <w:name w:val="text-align-center"/>
    <w:basedOn w:val="Normal"/>
    <w:rsid w:val="00CE1BDB"/>
    <w:pPr>
      <w:spacing w:before="100" w:beforeAutospacing="1" w:after="100" w:afterAutospacing="1"/>
      <w:jc w:val="both"/>
    </w:pPr>
    <w:rPr>
      <w:rFonts w:ascii="Calibri" w:hAnsi="Calibri"/>
    </w:rPr>
  </w:style>
  <w:style w:type="paragraph" w:customStyle="1" w:styleId="BulletList">
    <w:name w:val="Bullet List"/>
    <w:basedOn w:val="Normal"/>
    <w:link w:val="BulletListChar"/>
    <w:uiPriority w:val="99"/>
    <w:rsid w:val="00CE1BDB"/>
    <w:pPr>
      <w:spacing w:before="120" w:after="240" w:line="360" w:lineRule="auto"/>
      <w:ind w:left="709" w:right="227" w:hanging="284"/>
      <w:contextualSpacing/>
      <w:jc w:val="both"/>
      <w:outlineLvl w:val="2"/>
    </w:pPr>
    <w:rPr>
      <w:rFonts w:ascii="Calibri" w:hAnsi="Calibri" w:cstheme="minorHAnsi"/>
      <w:sz w:val="22"/>
    </w:rPr>
  </w:style>
  <w:style w:type="paragraph" w:customStyle="1" w:styleId="TableBullets">
    <w:name w:val="TableBullets"/>
    <w:basedOn w:val="BulletList"/>
    <w:rsid w:val="00CE1BDB"/>
    <w:pPr>
      <w:tabs>
        <w:tab w:val="num" w:pos="720"/>
      </w:tabs>
      <w:spacing w:after="0" w:line="240" w:lineRule="auto"/>
      <w:ind w:left="720" w:hanging="720"/>
    </w:pPr>
    <w:rPr>
      <w:lang w:val="en-US"/>
    </w:rPr>
  </w:style>
  <w:style w:type="paragraph" w:customStyle="1" w:styleId="TableNote">
    <w:name w:val="Table Note"/>
    <w:basedOn w:val="Normal"/>
    <w:link w:val="TableNoteChar"/>
    <w:rsid w:val="00CE1BDB"/>
    <w:pPr>
      <w:autoSpaceDE w:val="0"/>
      <w:autoSpaceDN w:val="0"/>
      <w:adjustRightInd w:val="0"/>
      <w:spacing w:before="80" w:after="120"/>
      <w:jc w:val="both"/>
    </w:pPr>
    <w:rPr>
      <w:rFonts w:asciiTheme="minorHAnsi" w:hAnsiTheme="minorHAnsi" w:cs="Calibri"/>
      <w:sz w:val="19"/>
      <w:szCs w:val="19"/>
    </w:rPr>
  </w:style>
  <w:style w:type="character" w:customStyle="1" w:styleId="TableNoteChar">
    <w:name w:val="Table Note Char"/>
    <w:basedOn w:val="DefaultParagraphFont"/>
    <w:link w:val="TableNote"/>
    <w:rsid w:val="00CE1BDB"/>
    <w:rPr>
      <w:rFonts w:eastAsia="Times New Roman" w:cs="Calibri"/>
      <w:sz w:val="19"/>
      <w:szCs w:val="19"/>
      <w:lang w:eastAsia="en-GB"/>
    </w:rPr>
  </w:style>
  <w:style w:type="character" w:customStyle="1" w:styleId="BulletListChar">
    <w:name w:val="Bullet List Char"/>
    <w:link w:val="BulletList"/>
    <w:uiPriority w:val="99"/>
    <w:rsid w:val="00CE1BDB"/>
    <w:rPr>
      <w:rFonts w:ascii="Calibri" w:eastAsia="Times New Roman" w:hAnsi="Calibri" w:cstheme="minorHAnsi"/>
      <w:szCs w:val="24"/>
      <w:lang w:eastAsia="en-GB"/>
    </w:rPr>
  </w:style>
  <w:style w:type="paragraph" w:customStyle="1" w:styleId="Picture">
    <w:name w:val="Picture"/>
    <w:basedOn w:val="Normal"/>
    <w:link w:val="PictureChar"/>
    <w:rsid w:val="00CE1BDB"/>
    <w:pPr>
      <w:spacing w:before="120" w:after="80"/>
      <w:jc w:val="center"/>
    </w:pPr>
    <w:rPr>
      <w:rFonts w:ascii="Calibri" w:hAnsi="Calibri" w:cs="Calibri"/>
      <w:sz w:val="22"/>
    </w:rPr>
  </w:style>
  <w:style w:type="character" w:customStyle="1" w:styleId="PictureChar">
    <w:name w:val="Picture Char"/>
    <w:basedOn w:val="DefaultParagraphFont"/>
    <w:link w:val="Picture"/>
    <w:rsid w:val="00CE1BDB"/>
    <w:rPr>
      <w:rFonts w:ascii="Calibri" w:eastAsia="Times New Roman" w:hAnsi="Calibri" w:cs="Calibri"/>
      <w:szCs w:val="24"/>
      <w:lang w:eastAsia="en-GB"/>
    </w:rPr>
  </w:style>
  <w:style w:type="paragraph" w:customStyle="1" w:styleId="TableCaption">
    <w:name w:val="Table Caption"/>
    <w:basedOn w:val="Caption"/>
    <w:link w:val="TableCaptionChar"/>
    <w:rsid w:val="00CE1BDB"/>
    <w:pPr>
      <w:spacing w:before="240" w:after="80" w:line="240" w:lineRule="auto"/>
      <w:jc w:val="left"/>
    </w:pPr>
    <w:rPr>
      <w:rFonts w:asciiTheme="minorHAnsi" w:hAnsiTheme="minorHAnsi" w:cs="Calibri"/>
      <w:b w:val="0"/>
      <w:bCs w:val="0"/>
      <w:sz w:val="21"/>
      <w:lang w:eastAsia="en-GB"/>
    </w:rPr>
  </w:style>
  <w:style w:type="character" w:customStyle="1" w:styleId="TableCaptionChar">
    <w:name w:val="Table Caption Char"/>
    <w:basedOn w:val="DefaultParagraphFont"/>
    <w:link w:val="TableCaption"/>
    <w:rsid w:val="00CE1BDB"/>
    <w:rPr>
      <w:rFonts w:eastAsia="Times New Roman" w:cs="Calibri"/>
      <w:sz w:val="21"/>
      <w:szCs w:val="20"/>
      <w:lang w:eastAsia="en-GB"/>
    </w:rPr>
  </w:style>
  <w:style w:type="paragraph" w:customStyle="1" w:styleId="PictureCaption">
    <w:name w:val="Picture Caption"/>
    <w:basedOn w:val="Caption"/>
    <w:link w:val="PictureCaptionChar"/>
    <w:uiPriority w:val="99"/>
    <w:locked/>
    <w:rsid w:val="00CE1BDB"/>
    <w:pPr>
      <w:spacing w:before="80" w:after="480" w:line="240" w:lineRule="auto"/>
      <w:jc w:val="center"/>
    </w:pPr>
    <w:rPr>
      <w:rFonts w:asciiTheme="minorHAnsi" w:hAnsiTheme="minorHAnsi" w:cs="Calibri"/>
      <w:b w:val="0"/>
      <w:bCs w:val="0"/>
      <w:sz w:val="21"/>
      <w:szCs w:val="21"/>
      <w:lang w:eastAsia="en-GB"/>
    </w:rPr>
  </w:style>
  <w:style w:type="character" w:customStyle="1" w:styleId="PictureCaptionChar">
    <w:name w:val="Picture Caption Char"/>
    <w:basedOn w:val="DefaultParagraphFont"/>
    <w:link w:val="PictureCaption"/>
    <w:uiPriority w:val="99"/>
    <w:locked/>
    <w:rsid w:val="00CE1BDB"/>
    <w:rPr>
      <w:rFonts w:eastAsia="Times New Roman" w:cs="Calibri"/>
      <w:sz w:val="21"/>
      <w:szCs w:val="21"/>
      <w:lang w:eastAsia="en-GB"/>
    </w:rPr>
  </w:style>
  <w:style w:type="paragraph" w:customStyle="1" w:styleId="Heading50">
    <w:name w:val="Heading5"/>
    <w:basedOn w:val="Heading4"/>
    <w:link w:val="Heading5Char0"/>
    <w:rsid w:val="00CE1BDB"/>
    <w:pPr>
      <w:keepLines/>
      <w:spacing w:before="300" w:after="80" w:line="360" w:lineRule="auto"/>
      <w:ind w:left="0"/>
    </w:pPr>
    <w:rPr>
      <w:rFonts w:ascii="Gill Sans MT" w:eastAsiaTheme="majorEastAsia" w:hAnsi="Gill Sans MT" w:cstheme="majorBidi"/>
      <w:iCs/>
      <w:color w:val="0B56B1"/>
      <w:sz w:val="28"/>
      <w:szCs w:val="28"/>
      <w:lang w:val="x-none"/>
    </w:rPr>
  </w:style>
  <w:style w:type="character" w:customStyle="1" w:styleId="Heading5Char0">
    <w:name w:val="Heading5 Char"/>
    <w:basedOn w:val="Heading4Char"/>
    <w:link w:val="Heading50"/>
    <w:rsid w:val="00CE1BDB"/>
    <w:rPr>
      <w:rFonts w:ascii="Gill Sans MT" w:eastAsiaTheme="majorEastAsia" w:hAnsi="Gill Sans MT" w:cstheme="majorBidi"/>
      <w:bCs/>
      <w:iCs/>
      <w:color w:val="0B56B1"/>
      <w:sz w:val="28"/>
      <w:szCs w:val="28"/>
      <w:lang w:val="x-none"/>
    </w:rPr>
  </w:style>
  <w:style w:type="paragraph" w:customStyle="1" w:styleId="Footnotes">
    <w:name w:val="Footnotes"/>
    <w:basedOn w:val="Normal"/>
    <w:link w:val="FootnotesChar"/>
    <w:rsid w:val="00CE1BDB"/>
    <w:pPr>
      <w:spacing w:before="120" w:after="60"/>
      <w:jc w:val="both"/>
    </w:pPr>
    <w:rPr>
      <w:rFonts w:asciiTheme="minorHAnsi" w:hAnsiTheme="minorHAnsi" w:cs="Calibri"/>
      <w:sz w:val="19"/>
      <w:szCs w:val="19"/>
    </w:rPr>
  </w:style>
  <w:style w:type="character" w:customStyle="1" w:styleId="FootnotesChar">
    <w:name w:val="Footnotes Char"/>
    <w:basedOn w:val="DefaultParagraphFont"/>
    <w:link w:val="Footnotes"/>
    <w:rsid w:val="00CE1BDB"/>
    <w:rPr>
      <w:rFonts w:eastAsia="Times New Roman" w:cs="Calibri"/>
      <w:sz w:val="19"/>
      <w:szCs w:val="19"/>
      <w:lang w:eastAsia="en-GB"/>
    </w:rPr>
  </w:style>
  <w:style w:type="paragraph" w:customStyle="1" w:styleId="mapheadinf">
    <w:name w:val="mapheadinf"/>
    <w:basedOn w:val="mapheader"/>
    <w:rsid w:val="00CE1BDB"/>
  </w:style>
  <w:style w:type="paragraph" w:customStyle="1" w:styleId="Normal1">
    <w:name w:val="Normal1"/>
    <w:rsid w:val="00CE1BDB"/>
    <w:pPr>
      <w:spacing w:before="120" w:after="120"/>
      <w:jc w:val="both"/>
    </w:pPr>
    <w:rPr>
      <w:rFonts w:ascii="Arial" w:eastAsia="Arial" w:hAnsi="Arial" w:cs="Arial"/>
      <w:color w:val="000000"/>
      <w:sz w:val="24"/>
      <w:szCs w:val="20"/>
    </w:rPr>
  </w:style>
  <w:style w:type="paragraph" w:customStyle="1" w:styleId="Figureheader">
    <w:name w:val="Figureheader"/>
    <w:basedOn w:val="Figureheading0"/>
    <w:rsid w:val="00CE1BDB"/>
    <w:pPr>
      <w:keepNext w:val="0"/>
      <w:ind w:firstLine="709"/>
    </w:pPr>
    <w:rPr>
      <w:rFonts w:asciiTheme="minorHAnsi" w:hAnsiTheme="minorHAnsi"/>
      <w:b w:val="0"/>
      <w:color w:val="auto"/>
      <w:shd w:val="clear" w:color="auto" w:fill="FFFFFF"/>
      <w:lang w:eastAsia="en-GB"/>
    </w:rPr>
  </w:style>
  <w:style w:type="numbering" w:customStyle="1" w:styleId="Reportnumberingstyle5">
    <w:name w:val="Report numbering style5"/>
    <w:rsid w:val="00CE1BDB"/>
    <w:pPr>
      <w:numPr>
        <w:numId w:val="22"/>
      </w:numPr>
    </w:pPr>
  </w:style>
  <w:style w:type="numbering" w:customStyle="1" w:styleId="Reportnumberingstyle6">
    <w:name w:val="Report numbering style6"/>
    <w:rsid w:val="00CE1BDB"/>
  </w:style>
  <w:style w:type="numbering" w:customStyle="1" w:styleId="Reportnumberingstyle7">
    <w:name w:val="Report numbering style7"/>
    <w:rsid w:val="00CE1BDB"/>
  </w:style>
  <w:style w:type="paragraph" w:customStyle="1" w:styleId="TOCHeading10">
    <w:name w:val="TOC Heading 1"/>
    <w:basedOn w:val="Normal"/>
    <w:rsid w:val="00CE1BDB"/>
    <w:pPr>
      <w:spacing w:before="120" w:after="120"/>
      <w:jc w:val="both"/>
    </w:pPr>
    <w:rPr>
      <w:rFonts w:ascii="Calibri" w:hAnsi="Calibri"/>
      <w:lang w:eastAsia="en-US"/>
    </w:rPr>
  </w:style>
  <w:style w:type="character" w:customStyle="1" w:styleId="section-info-text">
    <w:name w:val="section-info-text"/>
    <w:basedOn w:val="DefaultParagraphFont"/>
    <w:rsid w:val="00CE1BDB"/>
  </w:style>
  <w:style w:type="paragraph" w:customStyle="1" w:styleId="BLevel1">
    <w:name w:val="B Level 1"/>
    <w:basedOn w:val="Heading1"/>
    <w:rsid w:val="00CE1BDB"/>
    <w:pPr>
      <w:numPr>
        <w:numId w:val="0"/>
      </w:numPr>
      <w:tabs>
        <w:tab w:val="num" w:pos="720"/>
      </w:tabs>
      <w:spacing w:before="0" w:after="0"/>
      <w:ind w:left="720" w:hanging="720"/>
    </w:pPr>
    <w:rPr>
      <w:rFonts w:cstheme="minorHAnsi"/>
      <w:b/>
      <w:bCs w:val="0"/>
      <w:color w:val="auto"/>
      <w:kern w:val="28"/>
      <w:sz w:val="24"/>
      <w:szCs w:val="24"/>
      <w:lang w:eastAsia="en-GB"/>
    </w:rPr>
  </w:style>
  <w:style w:type="paragraph" w:customStyle="1" w:styleId="BLevel2">
    <w:name w:val="B Level 2"/>
    <w:basedOn w:val="Heading2"/>
    <w:rsid w:val="00CE1BDB"/>
    <w:pPr>
      <w:keepNext w:val="0"/>
      <w:numPr>
        <w:ilvl w:val="1"/>
        <w:numId w:val="5"/>
      </w:numPr>
      <w:tabs>
        <w:tab w:val="clear" w:pos="720"/>
      </w:tabs>
      <w:spacing w:before="0" w:after="0"/>
    </w:pPr>
    <w:rPr>
      <w:bCs w:val="0"/>
      <w:iCs w:val="0"/>
      <w:color w:val="auto"/>
      <w:sz w:val="24"/>
      <w:szCs w:val="24"/>
      <w:lang w:eastAsia="en-GB"/>
    </w:rPr>
  </w:style>
  <w:style w:type="paragraph" w:customStyle="1" w:styleId="BLevel3">
    <w:name w:val="B Level 3"/>
    <w:basedOn w:val="Heading3"/>
    <w:rsid w:val="00CE1BDB"/>
    <w:pPr>
      <w:keepNext w:val="0"/>
      <w:numPr>
        <w:ilvl w:val="2"/>
        <w:numId w:val="5"/>
      </w:numPr>
      <w:spacing w:before="0" w:after="0"/>
      <w:outlineLvl w:val="9"/>
    </w:pPr>
    <w:rPr>
      <w:color w:val="auto"/>
      <w:sz w:val="24"/>
      <w:szCs w:val="24"/>
      <w:lang w:eastAsia="en-GB"/>
    </w:rPr>
  </w:style>
  <w:style w:type="paragraph" w:customStyle="1" w:styleId="BLevel4">
    <w:name w:val="B Level 4"/>
    <w:basedOn w:val="Heading4"/>
    <w:rsid w:val="00CE1BDB"/>
    <w:pPr>
      <w:keepNext w:val="0"/>
      <w:numPr>
        <w:ilvl w:val="3"/>
        <w:numId w:val="5"/>
      </w:numPr>
      <w:spacing w:before="0" w:after="0"/>
      <w:outlineLvl w:val="9"/>
    </w:pPr>
    <w:rPr>
      <w:rFonts w:cs="Arial"/>
      <w:bCs w:val="0"/>
      <w:i/>
      <w:color w:val="auto"/>
      <w:lang w:eastAsia="en-GB"/>
    </w:rPr>
  </w:style>
  <w:style w:type="paragraph" w:customStyle="1" w:styleId="BLevel5">
    <w:name w:val="B Level 5"/>
    <w:basedOn w:val="Heading5"/>
    <w:rsid w:val="00CE1BDB"/>
    <w:pPr>
      <w:numPr>
        <w:numId w:val="5"/>
      </w:numPr>
      <w:tabs>
        <w:tab w:val="clear" w:pos="3878"/>
        <w:tab w:val="left" w:pos="3544"/>
      </w:tabs>
      <w:spacing w:before="0" w:after="0"/>
      <w:outlineLvl w:val="9"/>
    </w:pPr>
    <w:rPr>
      <w:rFonts w:ascii="Times New Roman" w:hAnsi="Times New Roman" w:cs="Arial"/>
      <w:b w:val="0"/>
      <w:bCs w:val="0"/>
      <w:i w:val="0"/>
      <w:iCs w:val="0"/>
      <w:sz w:val="24"/>
      <w:szCs w:val="24"/>
      <w:lang w:eastAsia="en-GB"/>
    </w:rPr>
  </w:style>
  <w:style w:type="character" w:customStyle="1" w:styleId="st1">
    <w:name w:val="st1"/>
    <w:rsid w:val="00CE1BDB"/>
  </w:style>
  <w:style w:type="character" w:customStyle="1" w:styleId="UnresolvedMention1">
    <w:name w:val="Unresolved Mention1"/>
    <w:basedOn w:val="DefaultParagraphFont"/>
    <w:uiPriority w:val="99"/>
    <w:unhideWhenUsed/>
    <w:rsid w:val="00CE1BDB"/>
    <w:rPr>
      <w:color w:val="808080"/>
      <w:shd w:val="clear" w:color="auto" w:fill="E6E6E6"/>
    </w:rPr>
  </w:style>
  <w:style w:type="table" w:styleId="LightGrid-Accent5">
    <w:name w:val="Light Grid Accent 5"/>
    <w:basedOn w:val="TableNormal"/>
    <w:uiPriority w:val="62"/>
    <w:rsid w:val="00CE1BD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UnresolvedMention2">
    <w:name w:val="Unresolved Mention2"/>
    <w:basedOn w:val="DefaultParagraphFont"/>
    <w:uiPriority w:val="99"/>
    <w:unhideWhenUsed/>
    <w:rsid w:val="00CE1BDB"/>
    <w:rPr>
      <w:color w:val="808080"/>
      <w:shd w:val="clear" w:color="auto" w:fill="E6E6E6"/>
    </w:rPr>
  </w:style>
  <w:style w:type="character" w:customStyle="1" w:styleId="UnresolvedMention3">
    <w:name w:val="Unresolved Mention3"/>
    <w:basedOn w:val="DefaultParagraphFont"/>
    <w:uiPriority w:val="99"/>
    <w:unhideWhenUsed/>
    <w:rsid w:val="00CE1BDB"/>
    <w:rPr>
      <w:color w:val="808080"/>
      <w:shd w:val="clear" w:color="auto" w:fill="E6E6E6"/>
    </w:rPr>
  </w:style>
  <w:style w:type="paragraph" w:customStyle="1" w:styleId="NoSpacing2">
    <w:name w:val="No Spacing2"/>
    <w:basedOn w:val="Normal"/>
    <w:rsid w:val="00CE1BDB"/>
    <w:pPr>
      <w:spacing w:before="120" w:after="120"/>
      <w:jc w:val="both"/>
    </w:pPr>
    <w:rPr>
      <w:rFonts w:asciiTheme="minorHAnsi" w:hAnsiTheme="minorHAnsi"/>
    </w:rPr>
  </w:style>
  <w:style w:type="paragraph" w:customStyle="1" w:styleId="NoSpacing3">
    <w:name w:val="No Spacing3"/>
    <w:basedOn w:val="Normal"/>
    <w:rsid w:val="00CE1BDB"/>
    <w:pPr>
      <w:spacing w:before="120" w:after="120"/>
      <w:jc w:val="both"/>
    </w:pPr>
    <w:rPr>
      <w:rFonts w:asciiTheme="minorHAnsi" w:hAnsiTheme="minorHAnsi"/>
    </w:rPr>
  </w:style>
  <w:style w:type="paragraph" w:customStyle="1" w:styleId="Style2">
    <w:name w:val="Style2"/>
    <w:basedOn w:val="Normal"/>
    <w:link w:val="Style2Char"/>
    <w:rsid w:val="00CE1BDB"/>
    <w:pPr>
      <w:numPr>
        <w:numId w:val="28"/>
      </w:numPr>
      <w:spacing w:before="120" w:after="200" w:line="264" w:lineRule="auto"/>
      <w:jc w:val="both"/>
    </w:pPr>
    <w:rPr>
      <w:rFonts w:asciiTheme="minorHAnsi" w:hAnsiTheme="minorHAnsi" w:cstheme="minorHAnsi"/>
      <w:sz w:val="22"/>
      <w:szCs w:val="22"/>
      <w:lang w:eastAsia="en-US"/>
    </w:rPr>
  </w:style>
  <w:style w:type="character" w:customStyle="1" w:styleId="Style2Char">
    <w:name w:val="Style2 Char"/>
    <w:basedOn w:val="DefaultParagraphFont"/>
    <w:link w:val="Style2"/>
    <w:rsid w:val="00CE1BDB"/>
    <w:rPr>
      <w:rFonts w:eastAsia="Times New Roman" w:cstheme="minorHAnsi"/>
    </w:rPr>
  </w:style>
  <w:style w:type="character" w:customStyle="1" w:styleId="UnresolvedMention4">
    <w:name w:val="Unresolved Mention4"/>
    <w:basedOn w:val="DefaultParagraphFont"/>
    <w:uiPriority w:val="99"/>
    <w:semiHidden/>
    <w:unhideWhenUsed/>
    <w:rsid w:val="00CE1BDB"/>
    <w:rPr>
      <w:color w:val="605E5C"/>
      <w:shd w:val="clear" w:color="auto" w:fill="E1DFDD"/>
    </w:rPr>
  </w:style>
  <w:style w:type="character" w:styleId="UnresolvedMention">
    <w:name w:val="Unresolved Mention"/>
    <w:basedOn w:val="DefaultParagraphFont"/>
    <w:uiPriority w:val="99"/>
    <w:unhideWhenUsed/>
    <w:rsid w:val="00CE1BDB"/>
    <w:rPr>
      <w:color w:val="605E5C"/>
      <w:shd w:val="clear" w:color="auto" w:fill="E1DFDD"/>
    </w:rPr>
  </w:style>
  <w:style w:type="paragraph" w:customStyle="1" w:styleId="H">
    <w:name w:val="H"/>
    <w:basedOn w:val="reporttext0"/>
    <w:rsid w:val="00CE1BDB"/>
    <w:pPr>
      <w:spacing w:before="0" w:after="0"/>
      <w:jc w:val="left"/>
    </w:pPr>
    <w:rPr>
      <w:rFonts w:ascii="Times New Roman" w:hAnsi="Times New Roman"/>
    </w:rPr>
  </w:style>
  <w:style w:type="table" w:customStyle="1" w:styleId="GridTable4-Accent11">
    <w:name w:val="Grid Table 4 - Accent 11"/>
    <w:basedOn w:val="TableNormal"/>
    <w:uiPriority w:val="49"/>
    <w:rsid w:val="00CE1BDB"/>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l557">
    <w:name w:val="xl557"/>
    <w:basedOn w:val="Normal"/>
    <w:rsid w:val="00CE1BDB"/>
    <w:pPr>
      <w:shd w:val="clear" w:color="000000" w:fill="008080"/>
      <w:spacing w:before="100" w:beforeAutospacing="1" w:after="100" w:afterAutospacing="1"/>
      <w:jc w:val="center"/>
    </w:pPr>
    <w:rPr>
      <w:rFonts w:cs="Arial"/>
      <w:color w:val="FFFFFF"/>
    </w:rPr>
  </w:style>
  <w:style w:type="paragraph" w:customStyle="1" w:styleId="xl558">
    <w:name w:val="xl558"/>
    <w:basedOn w:val="Normal"/>
    <w:rsid w:val="00CE1BDB"/>
    <w:pPr>
      <w:pBdr>
        <w:left w:val="single" w:sz="4" w:space="0" w:color="auto"/>
        <w:right w:val="single" w:sz="4" w:space="0" w:color="auto"/>
      </w:pBdr>
      <w:shd w:val="clear" w:color="000000" w:fill="008080"/>
      <w:spacing w:before="100" w:beforeAutospacing="1" w:after="100" w:afterAutospacing="1"/>
      <w:jc w:val="both"/>
    </w:pPr>
    <w:rPr>
      <w:rFonts w:cs="Arial"/>
      <w:b/>
      <w:bCs/>
      <w:color w:val="FFFFFF"/>
    </w:rPr>
  </w:style>
  <w:style w:type="paragraph" w:customStyle="1" w:styleId="xl559">
    <w:name w:val="xl559"/>
    <w:basedOn w:val="Normal"/>
    <w:rsid w:val="00CE1BDB"/>
    <w:pPr>
      <w:pBdr>
        <w:top w:val="single" w:sz="4" w:space="0" w:color="auto"/>
        <w:left w:val="single" w:sz="4" w:space="0" w:color="auto"/>
        <w:right w:val="single" w:sz="4" w:space="0" w:color="auto"/>
      </w:pBdr>
      <w:shd w:val="clear" w:color="000000" w:fill="008080"/>
      <w:spacing w:before="100" w:beforeAutospacing="1" w:after="100" w:afterAutospacing="1"/>
      <w:jc w:val="center"/>
    </w:pPr>
    <w:rPr>
      <w:rFonts w:cs="Arial"/>
      <w:color w:val="FFFFFF"/>
    </w:rPr>
  </w:style>
  <w:style w:type="paragraph" w:customStyle="1" w:styleId="xl560">
    <w:name w:val="xl560"/>
    <w:basedOn w:val="Normal"/>
    <w:rsid w:val="00CE1BD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rPr>
  </w:style>
  <w:style w:type="paragraph" w:customStyle="1" w:styleId="xl561">
    <w:name w:val="xl561"/>
    <w:basedOn w:val="Normal"/>
    <w:rsid w:val="00CE1B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rPr>
  </w:style>
  <w:style w:type="paragraph" w:customStyle="1" w:styleId="xl562">
    <w:name w:val="xl562"/>
    <w:basedOn w:val="Normal"/>
    <w:rsid w:val="00CE1BD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000000"/>
    </w:rPr>
  </w:style>
  <w:style w:type="character" w:customStyle="1" w:styleId="m3370121788200540920msofootnotereference">
    <w:name w:val="m_3370121788200540920msofootnotereference"/>
    <w:basedOn w:val="DefaultParagraphFont"/>
    <w:rsid w:val="00CE1BDB"/>
  </w:style>
  <w:style w:type="character" w:customStyle="1" w:styleId="UnresolvedMention5">
    <w:name w:val="Unresolved Mention5"/>
    <w:basedOn w:val="DefaultParagraphFont"/>
    <w:uiPriority w:val="99"/>
    <w:semiHidden/>
    <w:unhideWhenUsed/>
    <w:rsid w:val="00CE1BDB"/>
    <w:rPr>
      <w:color w:val="605E5C"/>
      <w:shd w:val="clear" w:color="auto" w:fill="E1DFDD"/>
    </w:rPr>
  </w:style>
  <w:style w:type="paragraph" w:customStyle="1" w:styleId="content">
    <w:name w:val="content"/>
    <w:basedOn w:val="Normal"/>
    <w:rsid w:val="00CE1BDB"/>
    <w:pPr>
      <w:spacing w:before="100" w:beforeAutospacing="1" w:after="100" w:afterAutospacing="1"/>
      <w:jc w:val="both"/>
    </w:pPr>
    <w:rPr>
      <w:rFonts w:ascii="Calibri" w:hAnsi="Calibri"/>
    </w:rPr>
  </w:style>
  <w:style w:type="character" w:styleId="Mention">
    <w:name w:val="Mention"/>
    <w:basedOn w:val="DefaultParagraphFont"/>
    <w:uiPriority w:val="99"/>
    <w:unhideWhenUsed/>
    <w:rsid w:val="00CE1B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15984">
      <w:bodyDiv w:val="1"/>
      <w:marLeft w:val="0"/>
      <w:marRight w:val="0"/>
      <w:marTop w:val="0"/>
      <w:marBottom w:val="0"/>
      <w:divBdr>
        <w:top w:val="none" w:sz="0" w:space="0" w:color="auto"/>
        <w:left w:val="none" w:sz="0" w:space="0" w:color="auto"/>
        <w:bottom w:val="none" w:sz="0" w:space="0" w:color="auto"/>
        <w:right w:val="none" w:sz="0" w:space="0" w:color="auto"/>
      </w:divBdr>
    </w:div>
    <w:div w:id="203493364">
      <w:bodyDiv w:val="1"/>
      <w:marLeft w:val="0"/>
      <w:marRight w:val="0"/>
      <w:marTop w:val="0"/>
      <w:marBottom w:val="0"/>
      <w:divBdr>
        <w:top w:val="none" w:sz="0" w:space="0" w:color="auto"/>
        <w:left w:val="none" w:sz="0" w:space="0" w:color="auto"/>
        <w:bottom w:val="none" w:sz="0" w:space="0" w:color="auto"/>
        <w:right w:val="none" w:sz="0" w:space="0" w:color="auto"/>
      </w:divBdr>
    </w:div>
    <w:div w:id="587273806">
      <w:bodyDiv w:val="1"/>
      <w:marLeft w:val="0"/>
      <w:marRight w:val="0"/>
      <w:marTop w:val="0"/>
      <w:marBottom w:val="0"/>
      <w:divBdr>
        <w:top w:val="none" w:sz="0" w:space="0" w:color="auto"/>
        <w:left w:val="none" w:sz="0" w:space="0" w:color="auto"/>
        <w:bottom w:val="none" w:sz="0" w:space="0" w:color="auto"/>
        <w:right w:val="none" w:sz="0" w:space="0" w:color="auto"/>
      </w:divBdr>
    </w:div>
    <w:div w:id="1071393212">
      <w:bodyDiv w:val="1"/>
      <w:marLeft w:val="0"/>
      <w:marRight w:val="0"/>
      <w:marTop w:val="0"/>
      <w:marBottom w:val="0"/>
      <w:divBdr>
        <w:top w:val="none" w:sz="0" w:space="0" w:color="auto"/>
        <w:left w:val="none" w:sz="0" w:space="0" w:color="auto"/>
        <w:bottom w:val="none" w:sz="0" w:space="0" w:color="auto"/>
        <w:right w:val="none" w:sz="0" w:space="0" w:color="auto"/>
      </w:divBdr>
    </w:div>
    <w:div w:id="171777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eader" Target="header4.xml"/><Relationship Id="rId42" Type="http://schemas.openxmlformats.org/officeDocument/2006/relationships/image" Target="media/image15.png"/><Relationship Id="rId47" Type="http://schemas.openxmlformats.org/officeDocument/2006/relationships/image" Target="media/image19.png"/><Relationship Id="rId63" Type="http://schemas.openxmlformats.org/officeDocument/2006/relationships/image" Target="media/image32.png"/><Relationship Id="rId68" Type="http://schemas.openxmlformats.org/officeDocument/2006/relationships/image" Target="media/image35.emf"/><Relationship Id="rId16" Type="http://schemas.openxmlformats.org/officeDocument/2006/relationships/header" Target="header2.xml"/><Relationship Id="rId11" Type="http://schemas.openxmlformats.org/officeDocument/2006/relationships/hyperlink" Target="http://www.arc4.co.uk" TargetMode="External"/><Relationship Id="rId24" Type="http://schemas.openxmlformats.org/officeDocument/2006/relationships/header" Target="header6.xm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header" Target="header8.xml"/><Relationship Id="rId45" Type="http://schemas.openxmlformats.org/officeDocument/2006/relationships/image" Target="media/image17.png"/><Relationship Id="rId53" Type="http://schemas.openxmlformats.org/officeDocument/2006/relationships/header" Target="header11.xml"/><Relationship Id="rId58" Type="http://schemas.openxmlformats.org/officeDocument/2006/relationships/image" Target="media/image27.emf"/><Relationship Id="rId66" Type="http://schemas.openxmlformats.org/officeDocument/2006/relationships/hyperlink" Target="http://www.hesa.co.uk" TargetMode="External"/><Relationship Id="rId74" Type="http://schemas.microsoft.com/office/2018/08/relationships/commentsExtensible" Target="commentsExtensible.xml"/><Relationship Id="rId5" Type="http://schemas.openxmlformats.org/officeDocument/2006/relationships/styles" Target="styles.xml"/><Relationship Id="rId61" Type="http://schemas.openxmlformats.org/officeDocument/2006/relationships/image" Target="media/image30.emf"/><Relationship Id="rId19" Type="http://schemas.openxmlformats.org/officeDocument/2006/relationships/image" Target="media/image4.png"/><Relationship Id="rId14" Type="http://schemas.openxmlformats.org/officeDocument/2006/relationships/hyperlink" Target="mailto:businessteam@arc4.co.uk" TargetMode="External"/><Relationship Id="rId22" Type="http://schemas.openxmlformats.org/officeDocument/2006/relationships/header" Target="header5.xml"/><Relationship Id="rId27" Type="http://schemas.openxmlformats.org/officeDocument/2006/relationships/hyperlink" Target="https://www.ons.gov.uk/peoplepopulationandcommunity/populationandmigration/populationprojections/datasets/componentsofchangebirthsdeathsandmigrationforregionsandlocalauthoritiesinenglandtable5" TargetMode="External"/><Relationship Id="rId30" Type="http://schemas.openxmlformats.org/officeDocument/2006/relationships/image" Target="media/image8.emf"/><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0.emf"/><Relationship Id="rId56" Type="http://schemas.openxmlformats.org/officeDocument/2006/relationships/image" Target="media/image25.emf"/><Relationship Id="rId64" Type="http://schemas.openxmlformats.org/officeDocument/2006/relationships/hyperlink" Target="https://ipc.brookes.ac.uk/files/market-position-statements/Medway_MPS_2016.pdf" TargetMode="External"/><Relationship Id="rId69" Type="http://schemas.openxmlformats.org/officeDocument/2006/relationships/image" Target="media/image36.emf"/><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emf"/><Relationship Id="rId72"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ons.gov.uk/peoplepopulationandcommunity/populationandmigration/populationprojections/articles/impactofdifferentmigrationtrendlengths/march2020" TargetMode="External"/><Relationship Id="rId33" Type="http://schemas.openxmlformats.org/officeDocument/2006/relationships/image" Target="media/image11.emf"/><Relationship Id="rId38" Type="http://schemas.openxmlformats.org/officeDocument/2006/relationships/header" Target="header7.xml"/><Relationship Id="rId46" Type="http://schemas.openxmlformats.org/officeDocument/2006/relationships/image" Target="media/image18.png"/><Relationship Id="rId59" Type="http://schemas.openxmlformats.org/officeDocument/2006/relationships/image" Target="media/image28.emf"/><Relationship Id="rId67" Type="http://schemas.openxmlformats.org/officeDocument/2006/relationships/image" Target="media/image34.emf"/><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image" Target="media/image24.emf"/><Relationship Id="rId62" Type="http://schemas.openxmlformats.org/officeDocument/2006/relationships/image" Target="media/image31.emf"/><Relationship Id="rId70" Type="http://schemas.openxmlformats.org/officeDocument/2006/relationships/header" Target="header1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rc4.co.uk" TargetMode="External"/><Relationship Id="rId23" Type="http://schemas.openxmlformats.org/officeDocument/2006/relationships/image" Target="media/image5.emf"/><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image" Target="media/image21.emf"/><Relationship Id="rId57" Type="http://schemas.openxmlformats.org/officeDocument/2006/relationships/image" Target="media/image26.emf"/><Relationship Id="rId10" Type="http://schemas.openxmlformats.org/officeDocument/2006/relationships/image" Target="media/image1.png"/><Relationship Id="rId31" Type="http://schemas.openxmlformats.org/officeDocument/2006/relationships/image" Target="media/image9.emf"/><Relationship Id="rId44" Type="http://schemas.openxmlformats.org/officeDocument/2006/relationships/footer" Target="footer5.xml"/><Relationship Id="rId52" Type="http://schemas.openxmlformats.org/officeDocument/2006/relationships/header" Target="header10.xml"/><Relationship Id="rId60" Type="http://schemas.openxmlformats.org/officeDocument/2006/relationships/image" Target="media/image29.emf"/><Relationship Id="rId65" Type="http://schemas.openxmlformats.org/officeDocument/2006/relationships/image" Target="media/image33.png"/><Relationship Id="rId73"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footer" Target="footer4.xml"/><Relationship Id="rId34" Type="http://schemas.openxmlformats.org/officeDocument/2006/relationships/hyperlink" Target="https://www.ons.gov.uk/employmentandlabourmarket/peopleinwork/employmentandemployeetypes/articles/commutingtoworkchangestotraveltoworkareas/2001to2011" TargetMode="External"/><Relationship Id="rId50" Type="http://schemas.openxmlformats.org/officeDocument/2006/relationships/image" Target="media/image22.emf"/><Relationship Id="rId55" Type="http://schemas.openxmlformats.org/officeDocument/2006/relationships/header" Target="header12.xml"/><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E0F125FF5FF428501977CDDD123D1" ma:contentTypeVersion="4" ma:contentTypeDescription="Create a new document." ma:contentTypeScope="" ma:versionID="e5fcf5d542d04085c349476639572476">
  <xsd:schema xmlns:xsd="http://www.w3.org/2001/XMLSchema" xmlns:xs="http://www.w3.org/2001/XMLSchema" xmlns:p="http://schemas.microsoft.com/office/2006/metadata/properties" xmlns:ns2="303a2716-49c0-4717-bf76-93a6beb17bc8" targetNamespace="http://schemas.microsoft.com/office/2006/metadata/properties" ma:root="true" ma:fieldsID="596afb672ef992994cc2da7c3907f168" ns2:_="">
    <xsd:import namespace="303a2716-49c0-4717-bf76-93a6beb17b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a2716-49c0-4717-bf76-93a6beb17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D08010-0BA1-4BC6-877C-0F53A6D505F1}">
  <ds:schemaRefs>
    <ds:schemaRef ds:uri="http://schemas.microsoft.com/sharepoint/v3/contenttype/forms"/>
  </ds:schemaRefs>
</ds:datastoreItem>
</file>

<file path=customXml/itemProps2.xml><?xml version="1.0" encoding="utf-8"?>
<ds:datastoreItem xmlns:ds="http://schemas.openxmlformats.org/officeDocument/2006/customXml" ds:itemID="{740BBF2D-F5E5-42B2-86C0-28C146ED96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9F3310-6F0F-4142-AA00-060C33808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a2716-49c0-4717-bf76-93a6beb17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41053</Words>
  <Characters>234004</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shaw</dc:creator>
  <cp:keywords/>
  <dc:description/>
  <cp:lastModifiedBy>beatty, samantha</cp:lastModifiedBy>
  <cp:revision>2</cp:revision>
  <dcterms:created xsi:type="dcterms:W3CDTF">2021-10-13T09:52:00Z</dcterms:created>
  <dcterms:modified xsi:type="dcterms:W3CDTF">2021-10-13T09:52:00Z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0x010100AA1E0F125FF5FF428501977CDDD123D1</vt:lpwstr>
  </property>
</Properties>
</file>