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1F6F" w14:textId="4F2F28EF" w:rsidR="004E11F3" w:rsidRDefault="004E11F3" w:rsidP="00012DD3"/>
    <w:p w14:paraId="78EFB69E" w14:textId="639A08CF" w:rsidR="004E11F3" w:rsidRPr="00DA22C3" w:rsidRDefault="004E11F3" w:rsidP="004E11F3">
      <w:pPr>
        <w:pStyle w:val="Titleheading"/>
      </w:pPr>
      <w:r w:rsidRPr="00DA22C3">
        <w:t>Consultation on Chatham Grammar, Fort Pitt Grammar, and Holcombe Grammar schools changing to co-educational provisions</w:t>
      </w:r>
    </w:p>
    <w:p w14:paraId="1F3DCEAD" w14:textId="41F9B49D" w:rsidR="004E11F3" w:rsidRPr="00DA22C3" w:rsidRDefault="00D501B0" w:rsidP="004E11F3">
      <w:pPr>
        <w:pStyle w:val="Titlesubheading"/>
        <w:rPr>
          <w:sz w:val="30"/>
          <w:szCs w:val="30"/>
        </w:rPr>
      </w:pPr>
      <w:r w:rsidRPr="00DA22C3">
        <w:rPr>
          <w:noProof/>
          <w:lang w:eastAsia="en-GB"/>
        </w:rPr>
        <mc:AlternateContent>
          <mc:Choice Requires="wps">
            <w:drawing>
              <wp:anchor distT="0" distB="0" distL="114300" distR="114300" simplePos="0" relativeHeight="251661312" behindDoc="1" locked="0" layoutInCell="1" allowOverlap="1" wp14:anchorId="77A44810" wp14:editId="589D9D90">
                <wp:simplePos x="0" y="0"/>
                <wp:positionH relativeFrom="page">
                  <wp:align>left</wp:align>
                </wp:positionH>
                <wp:positionV relativeFrom="paragraph">
                  <wp:posOffset>354164</wp:posOffset>
                </wp:positionV>
                <wp:extent cx="7624749" cy="8448758"/>
                <wp:effectExtent l="0" t="0" r="0" b="9525"/>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4749" cy="8448758"/>
                        </a:xfrm>
                        <a:prstGeom prst="rect">
                          <a:avLst/>
                        </a:prstGeom>
                        <a:solidFill>
                          <a:srgbClr val="0046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FEA9" id="Rectangle 21" o:spid="_x0000_s1026" alt="&quot;&quot;" style="position:absolute;margin-left:0;margin-top:27.9pt;width:600.35pt;height:665.2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" fillcolor="#0046af" stroked="f" strokeweight="2pt">
                <w10:wrap anchorx="page"/>
              </v:rect>
            </w:pict>
          </mc:Fallback>
        </mc:AlternateContent>
      </w:r>
      <w:r w:rsidR="004E11F3" w:rsidRPr="00DA22C3">
        <w:rPr>
          <w:sz w:val="30"/>
          <w:szCs w:val="30"/>
        </w:rPr>
        <w:t>3 May to 26 June 2022</w:t>
      </w:r>
    </w:p>
    <w:p w14:paraId="41BC3CC4" w14:textId="7BB49403" w:rsidR="00012DD3" w:rsidRPr="00DA22C3" w:rsidRDefault="00507B3A" w:rsidP="009A6922">
      <w:pPr>
        <w:jc w:val="center"/>
      </w:pPr>
      <w:r>
        <w:rPr>
          <w:noProof/>
        </w:rPr>
        <w:drawing>
          <wp:inline distT="0" distB="0" distL="0" distR="0" wp14:anchorId="5F634A98" wp14:editId="6AE84686">
            <wp:extent cx="6598329" cy="7448550"/>
            <wp:effectExtent l="0" t="0" r="0" b="0"/>
            <wp:docPr id="11" name="Picture 11" descr="Group of logos including: The University of Kent Logo, Beyond Schools Trust logo, Thinking Schools Academy Trust logo, Chatham Grammar logo, Fort Pitt Grammar School logo and Holcombe Grammar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oup of logos including: The University of Kent Logo, Beyond Schools Trust logo, Thinking Schools Academy Trust logo, Chatham Grammar logo, Fort Pitt Grammar School logo and Holcombe Grammar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4885" cy="7467239"/>
                    </a:xfrm>
                    <a:prstGeom prst="rect">
                      <a:avLst/>
                    </a:prstGeom>
                    <a:noFill/>
                    <a:ln>
                      <a:noFill/>
                    </a:ln>
                  </pic:spPr>
                </pic:pic>
              </a:graphicData>
            </a:graphic>
          </wp:inline>
        </w:drawing>
      </w:r>
      <w:r w:rsidR="00012DD3" w:rsidRPr="00DA22C3">
        <w:br w:type="page"/>
      </w:r>
    </w:p>
    <w:p w14:paraId="7ABC7EC3" w14:textId="77777777" w:rsidR="00CA39A5" w:rsidRDefault="00CA39A5" w:rsidP="00CA39A5">
      <w:pPr>
        <w:pStyle w:val="BlueSubheading"/>
        <w:outlineLvl w:val="0"/>
      </w:pPr>
      <w:r w:rsidRPr="00DA22C3">
        <w:rPr>
          <w:noProof/>
          <w:lang w:eastAsia="en-GB"/>
        </w:rPr>
        <w:lastRenderedPageBreak/>
        <mc:AlternateContent>
          <mc:Choice Requires="wps">
            <w:drawing>
              <wp:inline distT="0" distB="0" distL="0" distR="0" wp14:anchorId="294188F6" wp14:editId="078C4FD1">
                <wp:extent cx="6480000" cy="696035"/>
                <wp:effectExtent l="0" t="0" r="0" b="889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696035"/>
                        </a:xfrm>
                        <a:prstGeom prst="rect">
                          <a:avLst/>
                        </a:prstGeom>
                        <a:solidFill>
                          <a:srgbClr val="0046AF"/>
                        </a:solidFill>
                        <a:ln w="9525">
                          <a:noFill/>
                          <a:miter lim="800000"/>
                          <a:headEnd/>
                          <a:tailEnd/>
                        </a:ln>
                      </wps:spPr>
                      <wps:txbx>
                        <w:txbxContent>
                          <w:p w14:paraId="4633FE1D" w14:textId="77777777" w:rsidR="00CA39A5" w:rsidRPr="00CD6053" w:rsidRDefault="00CA39A5" w:rsidP="00CA39A5">
                            <w:pPr>
                              <w:contextualSpacing/>
                              <w:jc w:val="center"/>
                              <w:rPr>
                                <w:b/>
                                <w:sz w:val="40"/>
                                <w:szCs w:val="48"/>
                              </w:rPr>
                            </w:pPr>
                            <w:r w:rsidRPr="007334B7">
                              <w:rPr>
                                <w:b/>
                                <w:color w:val="FFFFFF" w:themeColor="background1"/>
                                <w:sz w:val="34"/>
                                <w:szCs w:val="34"/>
                              </w:rPr>
                              <w:t>Chatham</w:t>
                            </w:r>
                            <w:r>
                              <w:rPr>
                                <w:b/>
                                <w:color w:val="FFFFFF" w:themeColor="background1"/>
                                <w:sz w:val="34"/>
                                <w:szCs w:val="34"/>
                              </w:rPr>
                              <w:t xml:space="preserve"> Grammar</w:t>
                            </w:r>
                            <w:r w:rsidRPr="007334B7">
                              <w:rPr>
                                <w:b/>
                                <w:color w:val="FFFFFF" w:themeColor="background1"/>
                                <w:sz w:val="34"/>
                                <w:szCs w:val="34"/>
                              </w:rPr>
                              <w:t>, Fort Pitt</w:t>
                            </w:r>
                            <w:r>
                              <w:rPr>
                                <w:b/>
                                <w:color w:val="FFFFFF" w:themeColor="background1"/>
                                <w:sz w:val="34"/>
                                <w:szCs w:val="34"/>
                              </w:rPr>
                              <w:t xml:space="preserve"> Grammar</w:t>
                            </w:r>
                            <w:r w:rsidRPr="007334B7">
                              <w:rPr>
                                <w:b/>
                                <w:color w:val="FFFFFF" w:themeColor="background1"/>
                                <w:sz w:val="34"/>
                                <w:szCs w:val="34"/>
                              </w:rPr>
                              <w:t>, and Holcombe Grammar schools changing to co-educational provisions</w:t>
                            </w:r>
                          </w:p>
                        </w:txbxContent>
                      </wps:txbx>
                      <wps:bodyPr rot="0" vert="horz" wrap="square" lIns="91440" tIns="45720" rIns="91440" bIns="45720" anchor="t" anchorCtr="0">
                        <a:noAutofit/>
                      </wps:bodyPr>
                    </wps:wsp>
                  </a:graphicData>
                </a:graphic>
              </wp:inline>
            </w:drawing>
          </mc:Choice>
          <mc:Fallback>
            <w:pict>
              <v:shapetype w14:anchorId="294188F6" id="_x0000_t202" coordsize="21600,21600" o:spt="202" path="m,l,21600r21600,l21600,xe">
                <v:stroke joinstyle="miter"/>
                <v:path gradientshapeok="t" o:connecttype="rect"/>
              </v:shapetype>
              <v:shape id="Text Box 5" o:spid="_x0000_s1026" type="#_x0000_t202" style="width:510.25pt;height:5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" fillcolor="#0046af" stroked="f">
                <v:textbox>
                  <w:txbxContent>
                    <w:p w14:paraId="4633FE1D" w14:textId="77777777" w:rsidR="00CA39A5" w:rsidRPr="00CD6053" w:rsidRDefault="00CA39A5" w:rsidP="00CA39A5">
                      <w:pPr>
                        <w:contextualSpacing/>
                        <w:jc w:val="center"/>
                        <w:rPr>
                          <w:b/>
                          <w:sz w:val="40"/>
                          <w:szCs w:val="48"/>
                        </w:rPr>
                      </w:pPr>
                      <w:r w:rsidRPr="007334B7">
                        <w:rPr>
                          <w:b/>
                          <w:color w:val="FFFFFF" w:themeColor="background1"/>
                          <w:sz w:val="34"/>
                          <w:szCs w:val="34"/>
                        </w:rPr>
                        <w:t>Chatham</w:t>
                      </w:r>
                      <w:r>
                        <w:rPr>
                          <w:b/>
                          <w:color w:val="FFFFFF" w:themeColor="background1"/>
                          <w:sz w:val="34"/>
                          <w:szCs w:val="34"/>
                        </w:rPr>
                        <w:t xml:space="preserve"> Grammar</w:t>
                      </w:r>
                      <w:r w:rsidRPr="007334B7">
                        <w:rPr>
                          <w:b/>
                          <w:color w:val="FFFFFF" w:themeColor="background1"/>
                          <w:sz w:val="34"/>
                          <w:szCs w:val="34"/>
                        </w:rPr>
                        <w:t>, Fort Pitt</w:t>
                      </w:r>
                      <w:r>
                        <w:rPr>
                          <w:b/>
                          <w:color w:val="FFFFFF" w:themeColor="background1"/>
                          <w:sz w:val="34"/>
                          <w:szCs w:val="34"/>
                        </w:rPr>
                        <w:t xml:space="preserve"> Grammar</w:t>
                      </w:r>
                      <w:r w:rsidRPr="007334B7">
                        <w:rPr>
                          <w:b/>
                          <w:color w:val="FFFFFF" w:themeColor="background1"/>
                          <w:sz w:val="34"/>
                          <w:szCs w:val="34"/>
                        </w:rPr>
                        <w:t>, and Holcombe Grammar schools changing to co-educational provisions</w:t>
                      </w:r>
                    </w:p>
                  </w:txbxContent>
                </v:textbox>
                <w10:anchorlock/>
              </v:shape>
            </w:pict>
          </mc:Fallback>
        </mc:AlternateContent>
      </w:r>
    </w:p>
    <w:p w14:paraId="246789A1" w14:textId="77777777" w:rsidR="00531835" w:rsidRPr="00DA22C3" w:rsidRDefault="00531835" w:rsidP="00531835">
      <w:pPr>
        <w:pStyle w:val="Explanationbox"/>
        <w:numPr>
          <w:ilvl w:val="0"/>
          <w:numId w:val="0"/>
        </w:numPr>
        <w:rPr>
          <w:szCs w:val="24"/>
        </w:rPr>
      </w:pPr>
      <w:r w:rsidRPr="00DA22C3">
        <w:rPr>
          <w:szCs w:val="24"/>
        </w:rPr>
        <w:t>This document is designed to:</w:t>
      </w:r>
    </w:p>
    <w:p w14:paraId="3317B12B" w14:textId="77777777" w:rsidR="00531835" w:rsidRPr="00DA22C3" w:rsidRDefault="00531835" w:rsidP="00531835">
      <w:pPr>
        <w:pStyle w:val="Explanationbox"/>
        <w:rPr>
          <w:szCs w:val="24"/>
        </w:rPr>
      </w:pPr>
      <w:r w:rsidRPr="00DA22C3">
        <w:rPr>
          <w:szCs w:val="24"/>
        </w:rPr>
        <w:t>Notify you of proposals to change Chatham Grammar, Fort Pitt Grammar, and Holcombe Grammar schools to co-educational provisions</w:t>
      </w:r>
    </w:p>
    <w:p w14:paraId="2EF483A2" w14:textId="77777777" w:rsidR="00531835" w:rsidRPr="00DA22C3" w:rsidRDefault="00531835" w:rsidP="00531835">
      <w:pPr>
        <w:pStyle w:val="Explanationbox"/>
        <w:rPr>
          <w:szCs w:val="24"/>
        </w:rPr>
      </w:pPr>
      <w:r w:rsidRPr="00DA22C3">
        <w:rPr>
          <w:szCs w:val="24"/>
        </w:rPr>
        <w:t>Explain why this change is being proposed</w:t>
      </w:r>
    </w:p>
    <w:p w14:paraId="756A9C7D" w14:textId="77777777" w:rsidR="00531835" w:rsidRPr="00DA22C3" w:rsidRDefault="00531835" w:rsidP="00531835">
      <w:pPr>
        <w:pStyle w:val="Explanationbox"/>
        <w:rPr>
          <w:szCs w:val="24"/>
        </w:rPr>
      </w:pPr>
      <w:r w:rsidRPr="00DA22C3">
        <w:rPr>
          <w:szCs w:val="24"/>
        </w:rPr>
        <w:t>Invite your comments on this proposal</w:t>
      </w:r>
    </w:p>
    <w:p w14:paraId="53A88171" w14:textId="1774E687" w:rsidR="00CA39A5" w:rsidRPr="00DA22C3" w:rsidRDefault="00CA39A5" w:rsidP="00CA39A5">
      <w:pPr>
        <w:pStyle w:val="BlueSubheading"/>
        <w:outlineLvl w:val="0"/>
      </w:pPr>
      <w:r w:rsidRPr="00DA22C3">
        <w:t>Why are the changes being proposed?</w:t>
      </w:r>
    </w:p>
    <w:p w14:paraId="5BCE857C" w14:textId="400C58AF" w:rsidR="008D5E4A" w:rsidRPr="00DA22C3" w:rsidRDefault="00C96CD9" w:rsidP="007F6954">
      <w:pPr>
        <w:pStyle w:val="Regulartext"/>
        <w:rPr>
          <w:b/>
        </w:rPr>
      </w:pPr>
      <w:r w:rsidRPr="00DA22C3">
        <w:t xml:space="preserve">Medway has six grammar schools, three for girls, two for boys, and one is co-educational (teaches boys and girls). This means that there are more places for </w:t>
      </w:r>
      <w:r w:rsidR="00C03FE2" w:rsidRPr="00DA22C3">
        <w:t>girls than boys</w:t>
      </w:r>
      <w:r w:rsidRPr="00DA22C3">
        <w:t xml:space="preserve"> at grammar schools.</w:t>
      </w:r>
    </w:p>
    <w:p w14:paraId="0790255D" w14:textId="158D6020" w:rsidR="008D5E4A" w:rsidRPr="00DA22C3" w:rsidRDefault="008D5E4A" w:rsidP="007F6954">
      <w:pPr>
        <w:pStyle w:val="Regulartext"/>
        <w:rPr>
          <w:b/>
        </w:rPr>
      </w:pPr>
      <w:r w:rsidRPr="00DA22C3">
        <w:t xml:space="preserve">To </w:t>
      </w:r>
      <w:r w:rsidR="00C03FE2" w:rsidRPr="00DA22C3">
        <w:t>attend a</w:t>
      </w:r>
      <w:r w:rsidRPr="00DA22C3">
        <w:t xml:space="preserve"> grammar school, pupils must take the Medway test</w:t>
      </w:r>
      <w:r w:rsidR="00C94E7A" w:rsidRPr="00DA22C3">
        <w:t xml:space="preserve"> and be assessed as grammar</w:t>
      </w:r>
      <w:r w:rsidRPr="00DA22C3">
        <w:t>. The current test process</w:t>
      </w:r>
      <w:r w:rsidR="00C96CD9" w:rsidRPr="00DA22C3">
        <w:t xml:space="preserve"> allows for </w:t>
      </w:r>
      <w:r w:rsidR="00F4193A" w:rsidRPr="00DA22C3">
        <w:t xml:space="preserve">a maximum of </w:t>
      </w:r>
      <w:r w:rsidR="00C96CD9" w:rsidRPr="00DA22C3">
        <w:t>2</w:t>
      </w:r>
      <w:r w:rsidR="00F4193A" w:rsidRPr="00DA22C3">
        <w:t>5</w:t>
      </w:r>
      <w:r w:rsidR="00C96CD9" w:rsidRPr="00DA22C3">
        <w:t>% of Medway pupils to attend a grammar school</w:t>
      </w:r>
      <w:r w:rsidR="00F4193A" w:rsidRPr="00DA22C3">
        <w:t xml:space="preserve"> (23% </w:t>
      </w:r>
      <w:r w:rsidR="002D5194" w:rsidRPr="00DA22C3">
        <w:t>plus</w:t>
      </w:r>
      <w:r w:rsidR="00F4193A" w:rsidRPr="00DA22C3">
        <w:t xml:space="preserve"> up to 2% on </w:t>
      </w:r>
      <w:r w:rsidR="000F331B" w:rsidRPr="00DA22C3">
        <w:t>review</w:t>
      </w:r>
      <w:r w:rsidR="00F4193A" w:rsidRPr="00DA22C3">
        <w:t>)</w:t>
      </w:r>
      <w:r w:rsidR="00C96CD9" w:rsidRPr="00DA22C3">
        <w:t>.</w:t>
      </w:r>
      <w:r w:rsidRPr="00DA22C3">
        <w:t xml:space="preserve"> This percentage could be increased, to allow more Medway pupils to go to grammar schools, but only if there</w:t>
      </w:r>
      <w:r w:rsidR="00C03FE2" w:rsidRPr="00DA22C3">
        <w:t xml:space="preserve"> is a more equitable </w:t>
      </w:r>
      <w:r w:rsidR="00394218" w:rsidRPr="00DA22C3">
        <w:t>split in the numbers of places available for boys and girls.</w:t>
      </w:r>
      <w:r w:rsidR="00100F7E" w:rsidRPr="00DA22C3">
        <w:t xml:space="preserve"> The proposal allows for a minimum of 25% provision, whilst also providing better capacity for future growth in the local population and school cohorts. </w:t>
      </w:r>
    </w:p>
    <w:p w14:paraId="1308463C" w14:textId="5D2C011D" w:rsidR="001569C8" w:rsidRPr="00DA22C3" w:rsidRDefault="001569C8" w:rsidP="007F6954">
      <w:pPr>
        <w:pStyle w:val="Regulartext"/>
        <w:rPr>
          <w:b/>
        </w:rPr>
      </w:pPr>
      <w:r w:rsidRPr="00DA22C3">
        <w:t xml:space="preserve">Therefore, Holcombe Grammar (boys), Fort Pitt </w:t>
      </w:r>
      <w:r w:rsidR="00E31F44" w:rsidRPr="00DA22C3">
        <w:t>G</w:t>
      </w:r>
      <w:r w:rsidRPr="00DA22C3">
        <w:t xml:space="preserve">rammar (girls), and Chatham Grammar (girls) are proposing to change from single sex to co-educational admissions. This will balance the numbers of boys and </w:t>
      </w:r>
      <w:proofErr w:type="gramStart"/>
      <w:r w:rsidR="000660A1" w:rsidRPr="00DA22C3">
        <w:t>girls</w:t>
      </w:r>
      <w:proofErr w:type="gramEnd"/>
      <w:r w:rsidRPr="00DA22C3">
        <w:t xml:space="preserve"> places, and over time, allow more Medway pupils to attend </w:t>
      </w:r>
      <w:r w:rsidR="00420818" w:rsidRPr="00DA22C3">
        <w:t xml:space="preserve">a </w:t>
      </w:r>
      <w:r w:rsidRPr="00DA22C3">
        <w:t>grammar school.</w:t>
      </w:r>
    </w:p>
    <w:p w14:paraId="4A9136A3" w14:textId="09D9398E" w:rsidR="00D511CF" w:rsidRPr="00DA22C3" w:rsidRDefault="00D511CF" w:rsidP="007F6954">
      <w:pPr>
        <w:pStyle w:val="Regulartext"/>
        <w:rPr>
          <w:b/>
        </w:rPr>
      </w:pPr>
      <w:r w:rsidRPr="00DA22C3">
        <w:t>Allowing more Medway pupils to attend selective grammar schools will also reduce pressure on non-selective secondary schools. This will help make sure there are enough school places for all Medway pupils</w:t>
      </w:r>
      <w:r w:rsidR="00A14690" w:rsidRPr="00DA22C3">
        <w:t>, whether they wish to go to grammar school or not</w:t>
      </w:r>
      <w:r w:rsidRPr="00DA22C3">
        <w:t>.</w:t>
      </w:r>
    </w:p>
    <w:p w14:paraId="6D81AF16" w14:textId="07A97778" w:rsidR="00554D5B" w:rsidRPr="00DA22C3" w:rsidRDefault="00554D5B" w:rsidP="007F6954">
      <w:pPr>
        <w:pStyle w:val="Regulartext"/>
        <w:rPr>
          <w:b/>
        </w:rPr>
      </w:pPr>
      <w:r w:rsidRPr="00DA22C3">
        <w:t xml:space="preserve">Having more mixed grammar schools will mean that </w:t>
      </w:r>
      <w:r w:rsidR="005215C9" w:rsidRPr="00DA22C3">
        <w:t>boys and girls places will be more evenly spread across Medway. P</w:t>
      </w:r>
      <w:r w:rsidRPr="00DA22C3">
        <w:t>upils will not have to travel as far to go to school.</w:t>
      </w:r>
      <w:r w:rsidR="00812CC7" w:rsidRPr="00DA22C3">
        <w:t xml:space="preserve"> </w:t>
      </w:r>
    </w:p>
    <w:p w14:paraId="68B4ED76" w14:textId="09DFA9F6" w:rsidR="005215C9" w:rsidRPr="00DA22C3" w:rsidRDefault="005215C9" w:rsidP="007F6954">
      <w:pPr>
        <w:pStyle w:val="Regulartext"/>
        <w:rPr>
          <w:b/>
        </w:rPr>
      </w:pPr>
      <w:r w:rsidRPr="00DA22C3">
        <w:t>There is no evidence that a school being single or mixed gender has a significant impact on attainment. It is more important that schools provide good quality education with a variety of learning opportunities</w:t>
      </w:r>
      <w:r w:rsidR="00FD163B">
        <w:t>,</w:t>
      </w:r>
      <w:r w:rsidRPr="00DA22C3">
        <w:t xml:space="preserve"> support for their pupils</w:t>
      </w:r>
      <w:r w:rsidR="00FD163B">
        <w:t>,</w:t>
      </w:r>
      <w:r w:rsidR="00C94E7A" w:rsidRPr="00DA22C3">
        <w:t xml:space="preserve"> and provide a more modern and inclusive education. </w:t>
      </w:r>
      <w:r w:rsidRPr="00DA22C3">
        <w:t xml:space="preserve"> All three schools are rated Good or Outstanding by Ofsted.</w:t>
      </w:r>
    </w:p>
    <w:p w14:paraId="699E1BF5" w14:textId="460BEF5C" w:rsidR="00533734" w:rsidRPr="00DA22C3" w:rsidRDefault="00533734" w:rsidP="000C056F">
      <w:pPr>
        <w:pStyle w:val="BlueSubheading"/>
        <w:outlineLvl w:val="0"/>
        <w:rPr>
          <w:color w:val="auto"/>
        </w:rPr>
      </w:pPr>
      <w:r w:rsidRPr="00DA22C3">
        <w:t>How will this affect the number of places?</w:t>
      </w:r>
    </w:p>
    <w:p w14:paraId="76949DB9" w14:textId="6F3D3435" w:rsidR="00FD182D" w:rsidRPr="00DA22C3" w:rsidRDefault="00FD182D" w:rsidP="007F6954">
      <w:pPr>
        <w:pStyle w:val="Regulartext"/>
        <w:rPr>
          <w:b/>
        </w:rPr>
      </w:pPr>
      <w:r w:rsidRPr="00DA22C3">
        <w:t xml:space="preserve">The Medway test currently allows for </w:t>
      </w:r>
      <w:r w:rsidR="00D87322" w:rsidRPr="00DA22C3">
        <w:t xml:space="preserve">a maximum of </w:t>
      </w:r>
      <w:r w:rsidRPr="00DA22C3">
        <w:t xml:space="preserve">25% of Medway Year 6 pupils to attend a selective school. This 25% </w:t>
      </w:r>
      <w:r w:rsidR="00D87322" w:rsidRPr="00DA22C3">
        <w:t>should</w:t>
      </w:r>
      <w:r w:rsidR="001E2DF8" w:rsidRPr="00DA22C3">
        <w:t xml:space="preserve"> be</w:t>
      </w:r>
      <w:r w:rsidRPr="00DA22C3">
        <w:t xml:space="preserve"> split into </w:t>
      </w:r>
      <w:r w:rsidR="001E2DF8" w:rsidRPr="00DA22C3">
        <w:t xml:space="preserve">roughly </w:t>
      </w:r>
      <w:r w:rsidRPr="00DA22C3">
        <w:t xml:space="preserve">equal numbers of girls and boys. Therefore, equal numbers of girls and </w:t>
      </w:r>
      <w:proofErr w:type="gramStart"/>
      <w:r w:rsidR="000660A1" w:rsidRPr="00DA22C3">
        <w:t>boys</w:t>
      </w:r>
      <w:proofErr w:type="gramEnd"/>
      <w:r w:rsidRPr="00DA22C3">
        <w:t xml:space="preserve"> places are needed. </w:t>
      </w:r>
      <w:r w:rsidR="001E2DF8" w:rsidRPr="00DA22C3">
        <w:t>T</w:t>
      </w:r>
      <w:r w:rsidRPr="00DA22C3">
        <w:t>o increase the percentage of Medway pupils able to go to a selective school</w:t>
      </w:r>
      <w:r w:rsidR="001E2DF8" w:rsidRPr="00DA22C3">
        <w:t xml:space="preserve">, </w:t>
      </w:r>
      <w:r w:rsidR="00250FA9" w:rsidRPr="00DA22C3">
        <w:t xml:space="preserve">and to make the system fairer and more equitable, </w:t>
      </w:r>
      <w:r w:rsidR="001E2DF8" w:rsidRPr="00DA22C3">
        <w:t xml:space="preserve">the number of places available </w:t>
      </w:r>
      <w:r w:rsidR="00A0211C" w:rsidRPr="00DA22C3">
        <w:t>must</w:t>
      </w:r>
      <w:r w:rsidR="00E83F11">
        <w:t xml:space="preserve"> also</w:t>
      </w:r>
      <w:r w:rsidR="001E2DF8" w:rsidRPr="00DA22C3">
        <w:t xml:space="preserve"> be increased equally</w:t>
      </w:r>
      <w:r w:rsidRPr="00DA22C3">
        <w:t>. The graph below shows how many places would be needed</w:t>
      </w:r>
      <w:r w:rsidR="00492BD4" w:rsidRPr="00DA22C3">
        <w:t xml:space="preserve"> for different pass percentages, and how many girls and </w:t>
      </w:r>
      <w:r w:rsidR="000660A1" w:rsidRPr="00DA22C3">
        <w:t>boy’s</w:t>
      </w:r>
      <w:r w:rsidR="00492BD4" w:rsidRPr="00DA22C3">
        <w:t xml:space="preserve"> places are available.</w:t>
      </w:r>
      <w:r w:rsidR="00D71815" w:rsidRPr="00DA22C3">
        <w:t xml:space="preserve"> Currently</w:t>
      </w:r>
      <w:r w:rsidR="001E2DF8" w:rsidRPr="00DA22C3">
        <w:t>,</w:t>
      </w:r>
      <w:r w:rsidR="00D71815" w:rsidRPr="00DA22C3">
        <w:t xml:space="preserve"> the lack of </w:t>
      </w:r>
      <w:r w:rsidR="000660A1" w:rsidRPr="00DA22C3">
        <w:t>boy’s</w:t>
      </w:r>
      <w:r w:rsidR="00D71815" w:rsidRPr="00DA22C3">
        <w:t xml:space="preserve"> places limit</w:t>
      </w:r>
      <w:r w:rsidR="00627F74" w:rsidRPr="00DA22C3">
        <w:t>s</w:t>
      </w:r>
      <w:r w:rsidR="00D71815" w:rsidRPr="00DA22C3">
        <w:t xml:space="preserve"> the pass rate to 25%</w:t>
      </w:r>
      <w:r w:rsidR="00627F74" w:rsidRPr="00DA22C3">
        <w:t xml:space="preserve"> of the cohort</w:t>
      </w:r>
      <w:r w:rsidR="00D71815" w:rsidRPr="00DA22C3">
        <w:t xml:space="preserve">. The pass rate must be the same for both girls and boys. This means that the additional girls places </w:t>
      </w:r>
      <w:r w:rsidR="00627F74" w:rsidRPr="00DA22C3">
        <w:t>are often not</w:t>
      </w:r>
      <w:r w:rsidR="00D71815" w:rsidRPr="00DA22C3">
        <w:t xml:space="preserve"> taken up by Medway girls</w:t>
      </w:r>
      <w:r w:rsidR="00813116" w:rsidRPr="00DA22C3">
        <w:t>, but by out of area girls, or pupils</w:t>
      </w:r>
      <w:r w:rsidR="00926B2A" w:rsidRPr="00DA22C3">
        <w:t xml:space="preserve"> who were not initially successful in the Medway Test</w:t>
      </w:r>
      <w:r w:rsidR="00813116" w:rsidRPr="00DA22C3">
        <w:t xml:space="preserve"> that </w:t>
      </w:r>
      <w:r w:rsidR="00926B2A" w:rsidRPr="00DA22C3">
        <w:t>acquire a place on appeal</w:t>
      </w:r>
      <w:r w:rsidR="006871F3" w:rsidRPr="00DA22C3">
        <w:t xml:space="preserve"> directly to the schools</w:t>
      </w:r>
      <w:r w:rsidR="002742B0" w:rsidRPr="00DA22C3">
        <w:t>.</w:t>
      </w:r>
    </w:p>
    <w:p w14:paraId="6E02303B" w14:textId="5F0FE0FD" w:rsidR="002B0718" w:rsidRPr="00DA22C3" w:rsidRDefault="00733159" w:rsidP="007F6954">
      <w:pPr>
        <w:pStyle w:val="Regulartext"/>
        <w:rPr>
          <w:b/>
        </w:rPr>
      </w:pPr>
      <w:r w:rsidRPr="00DA22C3">
        <w:lastRenderedPageBreak/>
        <w:t>I</w:t>
      </w:r>
      <w:r w:rsidR="002B0718" w:rsidRPr="00DA22C3">
        <w:t xml:space="preserve">f the proposals are approved, then most selective places in Medway will be mixed gender. </w:t>
      </w:r>
      <w:r w:rsidRPr="00DA22C3">
        <w:t>This means that while more places will be available</w:t>
      </w:r>
      <w:r w:rsidR="00627F74" w:rsidRPr="00DA22C3">
        <w:t xml:space="preserve"> for boys</w:t>
      </w:r>
      <w:r w:rsidR="0099263B" w:rsidRPr="00DA22C3">
        <w:t xml:space="preserve"> than currently</w:t>
      </w:r>
      <w:r w:rsidRPr="00DA22C3">
        <w:t xml:space="preserve">, they are not ringfenced for boys. </w:t>
      </w:r>
      <w:r w:rsidR="007C1D3E" w:rsidRPr="00DA22C3">
        <w:t>So,</w:t>
      </w:r>
      <w:r w:rsidRPr="00DA22C3">
        <w:t xml:space="preserve"> if more Medway girls pass the Medway </w:t>
      </w:r>
      <w:r w:rsidR="000660A1" w:rsidRPr="00DA22C3">
        <w:t>Test,</w:t>
      </w:r>
      <w:r w:rsidRPr="00DA22C3">
        <w:t xml:space="preserve"> then they will still be able to attend a Medway selective school.</w:t>
      </w:r>
      <w:r w:rsidR="00100F7E" w:rsidRPr="00DA22C3">
        <w:t xml:space="preserve"> </w:t>
      </w:r>
    </w:p>
    <w:p w14:paraId="7E9ED835" w14:textId="730BAF5A" w:rsidR="00045D0D" w:rsidRPr="00DA22C3" w:rsidRDefault="00045D0D" w:rsidP="007F6954">
      <w:pPr>
        <w:pStyle w:val="Regulartext"/>
        <w:rPr>
          <w:b/>
        </w:rPr>
      </w:pPr>
      <w:r w:rsidRPr="00DA22C3">
        <w:t>Changing the three schools to mixed gender makes the places available for girls and boys</w:t>
      </w:r>
      <w:r w:rsidR="00627F74" w:rsidRPr="00DA22C3">
        <w:t xml:space="preserve"> equitable</w:t>
      </w:r>
      <w:r w:rsidRPr="00DA22C3">
        <w:t>. The effect of this is shown in the graph below</w:t>
      </w:r>
      <w:r w:rsidR="001E2DF8" w:rsidRPr="00DA22C3">
        <w:t xml:space="preserve">. With more places available for boys, the pass rate could then be increased to </w:t>
      </w:r>
      <w:r w:rsidR="00627F74" w:rsidRPr="00DA22C3">
        <w:t xml:space="preserve">include </w:t>
      </w:r>
      <w:r w:rsidR="00F15B76" w:rsidRPr="00DA22C3">
        <w:t>a minimum of 25%</w:t>
      </w:r>
      <w:r w:rsidR="00627F74" w:rsidRPr="00DA22C3">
        <w:t xml:space="preserve"> of the cohort</w:t>
      </w:r>
      <w:r w:rsidR="002742B0" w:rsidRPr="00DA22C3">
        <w:t>, based upon current forecasts</w:t>
      </w:r>
      <w:r w:rsidR="00627F74" w:rsidRPr="00DA22C3">
        <w:t>.</w:t>
      </w:r>
    </w:p>
    <w:p w14:paraId="6DFB2B44" w14:textId="2C608184" w:rsidR="00E75503" w:rsidRPr="00551DC0" w:rsidRDefault="00045D0D" w:rsidP="00551DC0">
      <w:pPr>
        <w:pStyle w:val="Caption"/>
        <w:keepNext/>
        <w:rPr>
          <w:b/>
          <w:bCs/>
          <w:i w:val="0"/>
          <w:iCs w:val="0"/>
          <w:sz w:val="22"/>
          <w:szCs w:val="22"/>
        </w:rPr>
      </w:pPr>
      <w:r w:rsidRPr="00DA22C3">
        <w:rPr>
          <w:b/>
          <w:bCs/>
          <w:i w:val="0"/>
          <w:iCs w:val="0"/>
          <w:sz w:val="22"/>
          <w:szCs w:val="22"/>
        </w:rPr>
        <w:t xml:space="preserve">Figure </w:t>
      </w:r>
      <w:r w:rsidR="002D4F90" w:rsidRPr="00DA22C3">
        <w:rPr>
          <w:b/>
          <w:bCs/>
          <w:i w:val="0"/>
          <w:iCs w:val="0"/>
          <w:sz w:val="22"/>
          <w:szCs w:val="22"/>
        </w:rPr>
        <w:fldChar w:fldCharType="begin"/>
      </w:r>
      <w:r w:rsidR="002D4F90" w:rsidRPr="00DA22C3">
        <w:rPr>
          <w:b/>
          <w:bCs/>
          <w:i w:val="0"/>
          <w:iCs w:val="0"/>
          <w:sz w:val="22"/>
          <w:szCs w:val="22"/>
        </w:rPr>
        <w:instrText xml:space="preserve"> SEQ Figure \* ARABIC </w:instrText>
      </w:r>
      <w:r w:rsidR="002D4F90" w:rsidRPr="00DA22C3">
        <w:rPr>
          <w:b/>
          <w:bCs/>
          <w:i w:val="0"/>
          <w:iCs w:val="0"/>
          <w:sz w:val="22"/>
          <w:szCs w:val="22"/>
        </w:rPr>
        <w:fldChar w:fldCharType="separate"/>
      </w:r>
      <w:r w:rsidR="007850FC" w:rsidRPr="00DA22C3">
        <w:rPr>
          <w:b/>
          <w:bCs/>
          <w:i w:val="0"/>
          <w:iCs w:val="0"/>
          <w:noProof/>
          <w:sz w:val="22"/>
          <w:szCs w:val="22"/>
        </w:rPr>
        <w:t>1</w:t>
      </w:r>
      <w:r w:rsidR="002D4F90" w:rsidRPr="00DA22C3">
        <w:rPr>
          <w:b/>
          <w:bCs/>
          <w:i w:val="0"/>
          <w:iCs w:val="0"/>
          <w:noProof/>
          <w:sz w:val="22"/>
          <w:szCs w:val="22"/>
        </w:rPr>
        <w:fldChar w:fldCharType="end"/>
      </w:r>
      <w:r w:rsidRPr="00DA22C3">
        <w:rPr>
          <w:b/>
          <w:bCs/>
          <w:i w:val="0"/>
          <w:iCs w:val="0"/>
          <w:sz w:val="22"/>
          <w:szCs w:val="22"/>
        </w:rPr>
        <w:t xml:space="preserve"> - </w:t>
      </w:r>
      <w:r w:rsidR="00124FE8" w:rsidRPr="00DA22C3">
        <w:rPr>
          <w:b/>
          <w:bCs/>
          <w:i w:val="0"/>
          <w:iCs w:val="0"/>
          <w:sz w:val="22"/>
          <w:szCs w:val="22"/>
        </w:rPr>
        <w:t xml:space="preserve">Numbers of places required and available, showing the effect of making the proposed change to mixed gender. </w:t>
      </w:r>
      <w:r w:rsidRPr="00DA22C3">
        <w:rPr>
          <w:b/>
          <w:bCs/>
          <w:i w:val="0"/>
          <w:iCs w:val="0"/>
          <w:sz w:val="22"/>
          <w:szCs w:val="22"/>
        </w:rPr>
        <w:t xml:space="preserve">The coloured bars show the number of places needed for girls and boys at different percentage pass rates. The dotted lines show the </w:t>
      </w:r>
      <w:r w:rsidR="00AE0E7C" w:rsidRPr="00DA22C3">
        <w:rPr>
          <w:b/>
          <w:bCs/>
          <w:i w:val="0"/>
          <w:iCs w:val="0"/>
          <w:sz w:val="22"/>
          <w:szCs w:val="22"/>
        </w:rPr>
        <w:t xml:space="preserve">forecasted </w:t>
      </w:r>
      <w:r w:rsidRPr="00DA22C3">
        <w:rPr>
          <w:b/>
          <w:bCs/>
          <w:i w:val="0"/>
          <w:iCs w:val="0"/>
          <w:sz w:val="22"/>
          <w:szCs w:val="22"/>
        </w:rPr>
        <w:t>number of girls and boys places available</w:t>
      </w:r>
      <w:r w:rsidR="00BC1FAA" w:rsidRPr="00DA22C3">
        <w:t xml:space="preserve"> </w:t>
      </w:r>
      <w:r w:rsidR="00BC1FAA" w:rsidRPr="00DA22C3">
        <w:rPr>
          <w:b/>
          <w:bCs/>
          <w:i w:val="0"/>
          <w:iCs w:val="0"/>
          <w:sz w:val="22"/>
          <w:szCs w:val="22"/>
        </w:rPr>
        <w:t>with mixed gender places split 50/50 between boys and girls</w:t>
      </w:r>
      <w:r w:rsidRPr="00DA22C3">
        <w:rPr>
          <w:b/>
          <w:bCs/>
          <w:i w:val="0"/>
          <w:iCs w:val="0"/>
          <w:sz w:val="22"/>
          <w:szCs w:val="22"/>
        </w:rPr>
        <w:t>.</w:t>
      </w:r>
      <w:r w:rsidR="00124FE8" w:rsidRPr="00DA22C3">
        <w:rPr>
          <w:b/>
          <w:bCs/>
          <w:i w:val="0"/>
          <w:iCs w:val="0"/>
          <w:sz w:val="22"/>
          <w:szCs w:val="22"/>
        </w:rPr>
        <w:t xml:space="preserve"> </w:t>
      </w:r>
      <w:r w:rsidR="00AE0E7C" w:rsidRPr="00DA22C3">
        <w:rPr>
          <w:b/>
          <w:bCs/>
          <w:i w:val="0"/>
          <w:iCs w:val="0"/>
          <w:sz w:val="22"/>
          <w:szCs w:val="22"/>
        </w:rPr>
        <w:t>If the proposals are implemented, f</w:t>
      </w:r>
      <w:r w:rsidR="00124FE8" w:rsidRPr="00DA22C3">
        <w:rPr>
          <w:b/>
          <w:bCs/>
          <w:i w:val="0"/>
          <w:iCs w:val="0"/>
          <w:sz w:val="22"/>
          <w:szCs w:val="22"/>
        </w:rPr>
        <w:t xml:space="preserve">rom 2024 the number of boys and girls places available </w:t>
      </w:r>
      <w:r w:rsidR="00AE0E7C" w:rsidRPr="00DA22C3">
        <w:rPr>
          <w:b/>
          <w:bCs/>
          <w:i w:val="0"/>
          <w:iCs w:val="0"/>
          <w:sz w:val="22"/>
          <w:szCs w:val="22"/>
        </w:rPr>
        <w:t>would be roughly</w:t>
      </w:r>
      <w:r w:rsidR="00124FE8" w:rsidRPr="00DA22C3">
        <w:rPr>
          <w:b/>
          <w:bCs/>
          <w:i w:val="0"/>
          <w:iCs w:val="0"/>
          <w:sz w:val="22"/>
          <w:szCs w:val="22"/>
        </w:rPr>
        <w:t xml:space="preserve"> equal.</w:t>
      </w:r>
      <w:r w:rsidR="00733159" w:rsidRPr="00DA22C3">
        <w:rPr>
          <w:b/>
          <w:bCs/>
          <w:i w:val="0"/>
          <w:iCs w:val="0"/>
          <w:sz w:val="22"/>
          <w:szCs w:val="22"/>
        </w:rPr>
        <w:t xml:space="preserve"> However,</w:t>
      </w:r>
      <w:r w:rsidR="007C1D3E" w:rsidRPr="00DA22C3">
        <w:rPr>
          <w:b/>
          <w:bCs/>
          <w:i w:val="0"/>
          <w:iCs w:val="0"/>
          <w:sz w:val="22"/>
          <w:szCs w:val="22"/>
        </w:rPr>
        <w:t xml:space="preserve"> mixed places can be taken up by boys or girls, so should more girls pass the Medway test th</w:t>
      </w:r>
      <w:r w:rsidR="00627F74" w:rsidRPr="00DA22C3">
        <w:rPr>
          <w:b/>
          <w:bCs/>
          <w:i w:val="0"/>
          <w:iCs w:val="0"/>
          <w:sz w:val="22"/>
          <w:szCs w:val="22"/>
        </w:rPr>
        <w:t>a</w:t>
      </w:r>
      <w:r w:rsidR="007C1D3E" w:rsidRPr="00DA22C3">
        <w:rPr>
          <w:b/>
          <w:bCs/>
          <w:i w:val="0"/>
          <w:iCs w:val="0"/>
          <w:sz w:val="22"/>
          <w:szCs w:val="22"/>
        </w:rPr>
        <w:t>n boys then places will still be available.</w:t>
      </w:r>
    </w:p>
    <w:p w14:paraId="6C4636A8" w14:textId="314FDD23" w:rsidR="00551DC0" w:rsidRPr="00DA22C3" w:rsidRDefault="00551DC0" w:rsidP="00E75503">
      <w:r>
        <w:rPr>
          <w:noProof/>
        </w:rPr>
        <w:drawing>
          <wp:inline distT="0" distB="0" distL="0" distR="0" wp14:anchorId="5FE3605A" wp14:editId="67FD9BB4">
            <wp:extent cx="6847647" cy="4186518"/>
            <wp:effectExtent l="0" t="0" r="0" b="5080"/>
            <wp:docPr id="7" name="Picture 7" descr="A graph showing the effect of the proposals. A bar chart shows the number of places needed for boys and girls at different percentage pass rates. Dotted lines show the number of boys and girls places available with and without the proposals. Without the proposals the line for available girls places is much higher than needed, while the line for boys places is much lower. After the proposals the two lines show there are enough places for boys and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showing the effect of the proposals. A bar chart shows the number of places needed for boys and girls at different percentage pass rates. Dotted lines show the number of boys and girls places available with and without the proposals. Without the proposals the line for available girls places is much higher than needed, while the line for boys places is much lower. After the proposals the two lines show there are enough places for boys and girls."/>
                    <pic:cNvPicPr/>
                  </pic:nvPicPr>
                  <pic:blipFill rotWithShape="1">
                    <a:blip r:embed="rId8"/>
                    <a:srcRect l="20681" t="26555" r="16304" b="11809"/>
                    <a:stretch/>
                  </pic:blipFill>
                  <pic:spPr bwMode="auto">
                    <a:xfrm>
                      <a:off x="0" y="0"/>
                      <a:ext cx="6889300" cy="4211984"/>
                    </a:xfrm>
                    <a:prstGeom prst="rect">
                      <a:avLst/>
                    </a:prstGeom>
                    <a:ln>
                      <a:noFill/>
                    </a:ln>
                    <a:extLst>
                      <a:ext uri="{53640926-AAD7-44D8-BBD7-CCE9431645EC}">
                        <a14:shadowObscured xmlns:a14="http://schemas.microsoft.com/office/drawing/2010/main"/>
                      </a:ext>
                    </a:extLst>
                  </pic:spPr>
                </pic:pic>
              </a:graphicData>
            </a:graphic>
          </wp:inline>
        </w:drawing>
      </w:r>
    </w:p>
    <w:p w14:paraId="73352F22" w14:textId="3A640933" w:rsidR="00F27A20" w:rsidRPr="00DA22C3" w:rsidRDefault="00D33BD6" w:rsidP="007F6954">
      <w:pPr>
        <w:pStyle w:val="Regulartext"/>
        <w:rPr>
          <w:b/>
        </w:rPr>
      </w:pPr>
      <w:r w:rsidRPr="00DA22C3">
        <w:t>The change in the Medway test pass percentage will mean more Medway pupils will be able to attend Medway selective schools. This will in turn mean that fewer pupils from outside of Medway will be able to come to Medway selective schools</w:t>
      </w:r>
      <w:r w:rsidR="00C063E6" w:rsidRPr="00DA22C3">
        <w:t>, particularly those from more distant locations.</w:t>
      </w:r>
      <w:r w:rsidRPr="00DA22C3">
        <w:t xml:space="preserve"> The proposed changes will not affect any pupils currently attending Medway </w:t>
      </w:r>
      <w:r w:rsidR="00716784" w:rsidRPr="00DA22C3">
        <w:t xml:space="preserve">grammar </w:t>
      </w:r>
      <w:r w:rsidRPr="00DA22C3">
        <w:t>schools.</w:t>
      </w:r>
    </w:p>
    <w:p w14:paraId="236BFD89" w14:textId="3545CE85" w:rsidR="00961CD3" w:rsidRPr="00DA22C3" w:rsidRDefault="00961CD3" w:rsidP="007F6954">
      <w:pPr>
        <w:pStyle w:val="Regulartext"/>
        <w:rPr>
          <w:b/>
        </w:rPr>
      </w:pPr>
      <w:r w:rsidRPr="00DA22C3">
        <w:t xml:space="preserve">The table below shows </w:t>
      </w:r>
      <w:r w:rsidR="001717A6" w:rsidRPr="00DA22C3">
        <w:t xml:space="preserve">a breakdown in </w:t>
      </w:r>
      <w:r w:rsidRPr="00DA22C3">
        <w:t>the number</w:t>
      </w:r>
      <w:r w:rsidR="001717A6" w:rsidRPr="00DA22C3">
        <w:t xml:space="preserve"> of </w:t>
      </w:r>
      <w:r w:rsidRPr="00DA22C3">
        <w:t xml:space="preserve">pupils </w:t>
      </w:r>
      <w:r w:rsidR="0021088C" w:rsidRPr="00DA22C3">
        <w:t>that attended in Year 7 in</w:t>
      </w:r>
      <w:r w:rsidRPr="00DA22C3">
        <w:t xml:space="preserve"> Medway selective schools. On average there have been 13</w:t>
      </w:r>
      <w:r w:rsidR="00C063E6" w:rsidRPr="00DA22C3">
        <w:t>4</w:t>
      </w:r>
      <w:r w:rsidRPr="00DA22C3">
        <w:t xml:space="preserve"> out of area girls attending Medway selective schools in Year 7 each year. The proposed change to mixed gender will reduce the number of girls places by 75</w:t>
      </w:r>
      <w:r w:rsidR="007A189C" w:rsidRPr="00DA22C3">
        <w:t xml:space="preserve">, which is less than the average number of out of area girls. </w:t>
      </w:r>
      <w:r w:rsidR="00014B5B" w:rsidRPr="00DA22C3">
        <w:t>Therefore,</w:t>
      </w:r>
      <w:r w:rsidR="007A189C" w:rsidRPr="00DA22C3">
        <w:t xml:space="preserve"> no Medway girls </w:t>
      </w:r>
      <w:r w:rsidR="0021088C" w:rsidRPr="00DA22C3">
        <w:t>will</w:t>
      </w:r>
      <w:r w:rsidR="007A189C" w:rsidRPr="00DA22C3">
        <w:t xml:space="preserve"> be disadvantaged by the proposals.</w:t>
      </w:r>
      <w:r w:rsidR="001717A6" w:rsidRPr="00DA22C3">
        <w:t xml:space="preserve"> Indeed, the outcome of the proposal is that more Medway Boys and Girls will be able to access a place at a grammar school. </w:t>
      </w:r>
    </w:p>
    <w:p w14:paraId="6A7013C1" w14:textId="77777777" w:rsidR="004327DD" w:rsidRPr="00DA22C3" w:rsidRDefault="004327DD" w:rsidP="004327DD">
      <w:pPr>
        <w:pStyle w:val="Caption"/>
        <w:keepNext/>
        <w:rPr>
          <w:b/>
          <w:bCs/>
          <w:i w:val="0"/>
          <w:iCs w:val="0"/>
          <w:sz w:val="22"/>
          <w:szCs w:val="22"/>
        </w:rPr>
      </w:pPr>
      <w:r w:rsidRPr="00DA22C3">
        <w:rPr>
          <w:b/>
          <w:bCs/>
          <w:i w:val="0"/>
          <w:iCs w:val="0"/>
          <w:sz w:val="22"/>
          <w:szCs w:val="22"/>
        </w:rPr>
        <w:lastRenderedPageBreak/>
        <w:t xml:space="preserve">Table </w:t>
      </w:r>
      <w:r w:rsidRPr="00DA22C3">
        <w:rPr>
          <w:b/>
          <w:bCs/>
          <w:i w:val="0"/>
          <w:iCs w:val="0"/>
          <w:sz w:val="22"/>
          <w:szCs w:val="22"/>
        </w:rPr>
        <w:fldChar w:fldCharType="begin"/>
      </w:r>
      <w:r w:rsidRPr="00DA22C3">
        <w:rPr>
          <w:b/>
          <w:bCs/>
          <w:i w:val="0"/>
          <w:iCs w:val="0"/>
          <w:sz w:val="22"/>
          <w:szCs w:val="22"/>
        </w:rPr>
        <w:instrText xml:space="preserve"> SEQ Table \* ARABIC </w:instrText>
      </w:r>
      <w:r w:rsidRPr="00DA22C3">
        <w:rPr>
          <w:b/>
          <w:bCs/>
          <w:i w:val="0"/>
          <w:iCs w:val="0"/>
          <w:sz w:val="22"/>
          <w:szCs w:val="22"/>
        </w:rPr>
        <w:fldChar w:fldCharType="separate"/>
      </w:r>
      <w:r w:rsidRPr="00DA22C3">
        <w:rPr>
          <w:b/>
          <w:bCs/>
          <w:i w:val="0"/>
          <w:iCs w:val="0"/>
          <w:noProof/>
          <w:sz w:val="22"/>
          <w:szCs w:val="22"/>
        </w:rPr>
        <w:t>1</w:t>
      </w:r>
      <w:r w:rsidRPr="00DA22C3">
        <w:rPr>
          <w:b/>
          <w:bCs/>
          <w:i w:val="0"/>
          <w:iCs w:val="0"/>
          <w:sz w:val="22"/>
          <w:szCs w:val="22"/>
        </w:rPr>
        <w:fldChar w:fldCharType="end"/>
      </w:r>
      <w:r w:rsidRPr="00DA22C3">
        <w:rPr>
          <w:b/>
          <w:bCs/>
          <w:i w:val="0"/>
          <w:iCs w:val="0"/>
          <w:sz w:val="22"/>
          <w:szCs w:val="22"/>
        </w:rPr>
        <w:t xml:space="preserve"> - The number of Year 7 pupils who attend Medway selective schools</w:t>
      </w:r>
    </w:p>
    <w:tbl>
      <w:tblPr>
        <w:tblStyle w:val="TableGridLight"/>
        <w:tblW w:w="8642" w:type="dxa"/>
        <w:tblLook w:val="04A0" w:firstRow="1" w:lastRow="0" w:firstColumn="1" w:lastColumn="0" w:noHBand="0" w:noVBand="1"/>
      </w:tblPr>
      <w:tblGrid>
        <w:gridCol w:w="663"/>
        <w:gridCol w:w="1175"/>
        <w:gridCol w:w="1134"/>
        <w:gridCol w:w="1418"/>
        <w:gridCol w:w="1417"/>
        <w:gridCol w:w="1418"/>
        <w:gridCol w:w="1417"/>
      </w:tblGrid>
      <w:tr w:rsidR="004327DD" w:rsidRPr="00DA22C3" w14:paraId="31088775" w14:textId="77777777" w:rsidTr="006D6FDA">
        <w:trPr>
          <w:trHeight w:val="300"/>
        </w:trPr>
        <w:tc>
          <w:tcPr>
            <w:tcW w:w="663" w:type="dxa"/>
            <w:noWrap/>
            <w:vAlign w:val="center"/>
            <w:hideMark/>
          </w:tcPr>
          <w:p w14:paraId="12C9A5AD" w14:textId="77777777" w:rsidR="004327DD" w:rsidRPr="00DA22C3" w:rsidRDefault="004327DD" w:rsidP="00973BC8">
            <w:pPr>
              <w:jc w:val="center"/>
              <w:rPr>
                <w:rFonts w:ascii="Calibri" w:eastAsia="Times New Roman" w:hAnsi="Calibri" w:cs="Calibri"/>
                <w:color w:val="000000"/>
                <w:lang w:eastAsia="en-GB"/>
              </w:rPr>
            </w:pPr>
            <w:bookmarkStart w:id="0" w:name="_Hlk101942456"/>
          </w:p>
        </w:tc>
        <w:tc>
          <w:tcPr>
            <w:tcW w:w="1175" w:type="dxa"/>
            <w:noWrap/>
            <w:vAlign w:val="center"/>
            <w:hideMark/>
          </w:tcPr>
          <w:p w14:paraId="5CE59811" w14:textId="12567DA4" w:rsidR="004327DD" w:rsidRPr="00DA22C3" w:rsidRDefault="00973BC8" w:rsidP="00973BC8">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 xml:space="preserve">Total </w:t>
            </w:r>
            <w:r w:rsidR="006D6FDA">
              <w:rPr>
                <w:rFonts w:ascii="Calibri" w:eastAsia="Times New Roman" w:hAnsi="Calibri" w:cs="Calibri"/>
                <w:color w:val="000000"/>
                <w:lang w:eastAsia="en-GB"/>
              </w:rPr>
              <w:t xml:space="preserve">Year 7 </w:t>
            </w:r>
            <w:r w:rsidRPr="00DA22C3">
              <w:rPr>
                <w:rFonts w:ascii="Calibri" w:eastAsia="Times New Roman" w:hAnsi="Calibri" w:cs="Calibri"/>
                <w:color w:val="000000"/>
                <w:lang w:eastAsia="en-GB"/>
              </w:rPr>
              <w:t>g</w:t>
            </w:r>
            <w:r w:rsidR="004327DD" w:rsidRPr="00DA22C3">
              <w:rPr>
                <w:rFonts w:ascii="Calibri" w:eastAsia="Times New Roman" w:hAnsi="Calibri" w:cs="Calibri"/>
                <w:color w:val="000000"/>
                <w:lang w:eastAsia="en-GB"/>
              </w:rPr>
              <w:t>irls</w:t>
            </w:r>
          </w:p>
        </w:tc>
        <w:tc>
          <w:tcPr>
            <w:tcW w:w="1134" w:type="dxa"/>
            <w:noWrap/>
            <w:vAlign w:val="center"/>
            <w:hideMark/>
          </w:tcPr>
          <w:p w14:paraId="6F07A32F" w14:textId="71E1475F" w:rsidR="004327DD" w:rsidRPr="00DA22C3" w:rsidRDefault="00973BC8" w:rsidP="00973BC8">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 xml:space="preserve">Total </w:t>
            </w:r>
            <w:r w:rsidR="006D6FDA">
              <w:rPr>
                <w:rFonts w:ascii="Calibri" w:eastAsia="Times New Roman" w:hAnsi="Calibri" w:cs="Calibri"/>
                <w:color w:val="000000"/>
                <w:lang w:eastAsia="en-GB"/>
              </w:rPr>
              <w:t xml:space="preserve">Year 7 </w:t>
            </w:r>
            <w:r w:rsidRPr="00DA22C3">
              <w:rPr>
                <w:rFonts w:ascii="Calibri" w:eastAsia="Times New Roman" w:hAnsi="Calibri" w:cs="Calibri"/>
                <w:color w:val="000000"/>
                <w:lang w:eastAsia="en-GB"/>
              </w:rPr>
              <w:t>b</w:t>
            </w:r>
            <w:r w:rsidR="004327DD" w:rsidRPr="00DA22C3">
              <w:rPr>
                <w:rFonts w:ascii="Calibri" w:eastAsia="Times New Roman" w:hAnsi="Calibri" w:cs="Calibri"/>
                <w:color w:val="000000"/>
                <w:lang w:eastAsia="en-GB"/>
              </w:rPr>
              <w:t>oys</w:t>
            </w:r>
          </w:p>
        </w:tc>
        <w:tc>
          <w:tcPr>
            <w:tcW w:w="1418" w:type="dxa"/>
            <w:noWrap/>
            <w:vAlign w:val="center"/>
            <w:hideMark/>
          </w:tcPr>
          <w:p w14:paraId="130C2834" w14:textId="54BBCB2C" w:rsidR="004327DD" w:rsidRPr="00DA22C3" w:rsidRDefault="006D6FDA" w:rsidP="00973BC8">
            <w:pPr>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Year 7 </w:t>
            </w:r>
            <w:r w:rsidR="004327DD" w:rsidRPr="00DA22C3">
              <w:rPr>
                <w:rFonts w:ascii="Calibri" w:eastAsia="Times New Roman" w:hAnsi="Calibri" w:cs="Calibri"/>
                <w:color w:val="000000"/>
                <w:lang w:eastAsia="en-GB"/>
              </w:rPr>
              <w:t>Girls</w:t>
            </w:r>
            <w:r w:rsidR="00973BC8" w:rsidRPr="00DA22C3">
              <w:rPr>
                <w:rFonts w:ascii="Calibri" w:eastAsia="Times New Roman" w:hAnsi="Calibri" w:cs="Calibri"/>
                <w:color w:val="000000"/>
                <w:lang w:eastAsia="en-GB"/>
              </w:rPr>
              <w:t xml:space="preserve"> living in Medway</w:t>
            </w:r>
          </w:p>
        </w:tc>
        <w:tc>
          <w:tcPr>
            <w:tcW w:w="1417" w:type="dxa"/>
            <w:noWrap/>
            <w:vAlign w:val="center"/>
            <w:hideMark/>
          </w:tcPr>
          <w:p w14:paraId="546F1C8B" w14:textId="737F4BED" w:rsidR="004327DD" w:rsidRPr="00DA22C3" w:rsidRDefault="006D6FDA" w:rsidP="00973BC8">
            <w:pPr>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Year 7 </w:t>
            </w:r>
            <w:r w:rsidR="004327DD" w:rsidRPr="00DA22C3">
              <w:rPr>
                <w:rFonts w:ascii="Calibri" w:eastAsia="Times New Roman" w:hAnsi="Calibri" w:cs="Calibri"/>
                <w:color w:val="000000"/>
                <w:lang w:eastAsia="en-GB"/>
              </w:rPr>
              <w:t>Boys</w:t>
            </w:r>
            <w:r w:rsidR="00973BC8" w:rsidRPr="00DA22C3">
              <w:rPr>
                <w:rFonts w:ascii="Calibri" w:eastAsia="Times New Roman" w:hAnsi="Calibri" w:cs="Calibri"/>
                <w:color w:val="000000"/>
                <w:lang w:eastAsia="en-GB"/>
              </w:rPr>
              <w:t xml:space="preserve"> living in Medway</w:t>
            </w:r>
          </w:p>
        </w:tc>
        <w:tc>
          <w:tcPr>
            <w:tcW w:w="1418" w:type="dxa"/>
            <w:noWrap/>
            <w:vAlign w:val="center"/>
            <w:hideMark/>
          </w:tcPr>
          <w:p w14:paraId="45A6EF8A" w14:textId="66D0A4E9" w:rsidR="004327DD" w:rsidRPr="00DA22C3" w:rsidRDefault="006D6FDA" w:rsidP="00973BC8">
            <w:pPr>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Year 7 </w:t>
            </w:r>
            <w:r w:rsidR="004327DD" w:rsidRPr="00DA22C3">
              <w:rPr>
                <w:rFonts w:ascii="Calibri" w:eastAsia="Times New Roman" w:hAnsi="Calibri" w:cs="Calibri"/>
                <w:color w:val="000000"/>
                <w:lang w:eastAsia="en-GB"/>
              </w:rPr>
              <w:t>Girls</w:t>
            </w:r>
            <w:r w:rsidR="00973BC8" w:rsidRPr="00DA22C3">
              <w:rPr>
                <w:rFonts w:ascii="Calibri" w:eastAsia="Times New Roman" w:hAnsi="Calibri" w:cs="Calibri"/>
                <w:color w:val="000000"/>
                <w:lang w:eastAsia="en-GB"/>
              </w:rPr>
              <w:t xml:space="preserve"> living outside Medway</w:t>
            </w:r>
          </w:p>
        </w:tc>
        <w:tc>
          <w:tcPr>
            <w:tcW w:w="1417" w:type="dxa"/>
            <w:noWrap/>
            <w:vAlign w:val="center"/>
            <w:hideMark/>
          </w:tcPr>
          <w:p w14:paraId="30406251" w14:textId="643573C0" w:rsidR="004327DD" w:rsidRPr="00DA22C3" w:rsidRDefault="006D6FDA" w:rsidP="00973BC8">
            <w:pPr>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Year 7 </w:t>
            </w:r>
            <w:r w:rsidR="004327DD" w:rsidRPr="00DA22C3">
              <w:rPr>
                <w:rFonts w:ascii="Calibri" w:eastAsia="Times New Roman" w:hAnsi="Calibri" w:cs="Calibri"/>
                <w:color w:val="000000"/>
                <w:lang w:eastAsia="en-GB"/>
              </w:rPr>
              <w:t>Boys</w:t>
            </w:r>
            <w:r w:rsidR="00973BC8" w:rsidRPr="00DA22C3">
              <w:rPr>
                <w:rFonts w:ascii="Calibri" w:eastAsia="Times New Roman" w:hAnsi="Calibri" w:cs="Calibri"/>
                <w:color w:val="000000"/>
                <w:lang w:eastAsia="en-GB"/>
              </w:rPr>
              <w:t xml:space="preserve"> living outside Medway</w:t>
            </w:r>
          </w:p>
        </w:tc>
      </w:tr>
      <w:bookmarkEnd w:id="0"/>
      <w:tr w:rsidR="004327DD" w:rsidRPr="00DA22C3" w14:paraId="48C99616" w14:textId="77777777" w:rsidTr="006D6FDA">
        <w:trPr>
          <w:trHeight w:val="300"/>
        </w:trPr>
        <w:tc>
          <w:tcPr>
            <w:tcW w:w="663" w:type="dxa"/>
            <w:noWrap/>
            <w:hideMark/>
          </w:tcPr>
          <w:p w14:paraId="2F4158AA" w14:textId="77777777" w:rsidR="004327DD" w:rsidRPr="00DA22C3" w:rsidRDefault="004327DD" w:rsidP="00032C55">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2018</w:t>
            </w:r>
          </w:p>
        </w:tc>
        <w:tc>
          <w:tcPr>
            <w:tcW w:w="1175" w:type="dxa"/>
            <w:noWrap/>
            <w:hideMark/>
          </w:tcPr>
          <w:p w14:paraId="78F33E55" w14:textId="77777777" w:rsidR="004327DD" w:rsidRPr="00DA22C3" w:rsidRDefault="004327DD" w:rsidP="00032C55">
            <w:pPr>
              <w:jc w:val="center"/>
              <w:rPr>
                <w:rFonts w:ascii="Calibri" w:eastAsia="Times New Roman" w:hAnsi="Calibri" w:cs="Calibri"/>
                <w:color w:val="000000"/>
                <w:lang w:eastAsia="en-GB"/>
              </w:rPr>
            </w:pPr>
            <w:r w:rsidRPr="00DA22C3">
              <w:t>552</w:t>
            </w:r>
          </w:p>
        </w:tc>
        <w:tc>
          <w:tcPr>
            <w:tcW w:w="1134" w:type="dxa"/>
            <w:noWrap/>
            <w:hideMark/>
          </w:tcPr>
          <w:p w14:paraId="26AB3525" w14:textId="77777777" w:rsidR="004327DD" w:rsidRPr="00DA22C3" w:rsidRDefault="004327DD" w:rsidP="00032C55">
            <w:pPr>
              <w:jc w:val="center"/>
              <w:rPr>
                <w:rFonts w:ascii="Calibri" w:eastAsia="Times New Roman" w:hAnsi="Calibri" w:cs="Calibri"/>
                <w:color w:val="000000"/>
                <w:lang w:eastAsia="en-GB"/>
              </w:rPr>
            </w:pPr>
            <w:r w:rsidRPr="00DA22C3">
              <w:t>493</w:t>
            </w:r>
          </w:p>
        </w:tc>
        <w:tc>
          <w:tcPr>
            <w:tcW w:w="1418" w:type="dxa"/>
            <w:noWrap/>
            <w:hideMark/>
          </w:tcPr>
          <w:p w14:paraId="1122A66F" w14:textId="77777777" w:rsidR="004327DD" w:rsidRPr="00DA22C3" w:rsidRDefault="004327DD" w:rsidP="00032C55">
            <w:pPr>
              <w:jc w:val="center"/>
              <w:rPr>
                <w:rFonts w:ascii="Calibri" w:eastAsia="Times New Roman" w:hAnsi="Calibri" w:cs="Calibri"/>
                <w:color w:val="000000"/>
                <w:lang w:eastAsia="en-GB"/>
              </w:rPr>
            </w:pPr>
            <w:r w:rsidRPr="00DA22C3">
              <w:t>437</w:t>
            </w:r>
          </w:p>
        </w:tc>
        <w:tc>
          <w:tcPr>
            <w:tcW w:w="1417" w:type="dxa"/>
            <w:noWrap/>
            <w:hideMark/>
          </w:tcPr>
          <w:p w14:paraId="7957A991" w14:textId="77777777" w:rsidR="004327DD" w:rsidRPr="00DA22C3" w:rsidRDefault="004327DD" w:rsidP="00032C55">
            <w:pPr>
              <w:jc w:val="center"/>
              <w:rPr>
                <w:rFonts w:ascii="Calibri" w:eastAsia="Times New Roman" w:hAnsi="Calibri" w:cs="Calibri"/>
                <w:color w:val="000000"/>
                <w:lang w:eastAsia="en-GB"/>
              </w:rPr>
            </w:pPr>
            <w:r w:rsidRPr="00DA22C3">
              <w:t>412</w:t>
            </w:r>
          </w:p>
        </w:tc>
        <w:tc>
          <w:tcPr>
            <w:tcW w:w="1418" w:type="dxa"/>
            <w:noWrap/>
            <w:hideMark/>
          </w:tcPr>
          <w:p w14:paraId="33111730" w14:textId="77777777" w:rsidR="004327DD" w:rsidRPr="00DA22C3" w:rsidRDefault="004327DD" w:rsidP="00032C55">
            <w:pPr>
              <w:jc w:val="center"/>
              <w:rPr>
                <w:rFonts w:ascii="Calibri" w:eastAsia="Times New Roman" w:hAnsi="Calibri" w:cs="Calibri"/>
                <w:color w:val="000000"/>
                <w:lang w:eastAsia="en-GB"/>
              </w:rPr>
            </w:pPr>
            <w:r w:rsidRPr="00DA22C3">
              <w:t>115</w:t>
            </w:r>
          </w:p>
        </w:tc>
        <w:tc>
          <w:tcPr>
            <w:tcW w:w="1417" w:type="dxa"/>
            <w:noWrap/>
            <w:hideMark/>
          </w:tcPr>
          <w:p w14:paraId="31B35B7D" w14:textId="77777777" w:rsidR="004327DD" w:rsidRPr="00DA22C3" w:rsidRDefault="004327DD" w:rsidP="00032C55">
            <w:pPr>
              <w:jc w:val="center"/>
              <w:rPr>
                <w:rFonts w:ascii="Calibri" w:eastAsia="Times New Roman" w:hAnsi="Calibri" w:cs="Calibri"/>
                <w:color w:val="000000"/>
                <w:lang w:eastAsia="en-GB"/>
              </w:rPr>
            </w:pPr>
            <w:r w:rsidRPr="00DA22C3">
              <w:t>81</w:t>
            </w:r>
          </w:p>
        </w:tc>
      </w:tr>
      <w:tr w:rsidR="004327DD" w:rsidRPr="00DA22C3" w14:paraId="2361D2C7" w14:textId="77777777" w:rsidTr="006D6FDA">
        <w:trPr>
          <w:trHeight w:val="300"/>
        </w:trPr>
        <w:tc>
          <w:tcPr>
            <w:tcW w:w="663" w:type="dxa"/>
            <w:noWrap/>
            <w:hideMark/>
          </w:tcPr>
          <w:p w14:paraId="788FB55C" w14:textId="77777777" w:rsidR="004327DD" w:rsidRPr="00DA22C3" w:rsidRDefault="004327DD" w:rsidP="00032C55">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2019</w:t>
            </w:r>
          </w:p>
        </w:tc>
        <w:tc>
          <w:tcPr>
            <w:tcW w:w="1175" w:type="dxa"/>
            <w:noWrap/>
            <w:hideMark/>
          </w:tcPr>
          <w:p w14:paraId="3C2D95CA" w14:textId="77777777" w:rsidR="004327DD" w:rsidRPr="00DA22C3" w:rsidRDefault="004327DD" w:rsidP="00032C55">
            <w:pPr>
              <w:jc w:val="center"/>
              <w:rPr>
                <w:rFonts w:ascii="Calibri" w:eastAsia="Times New Roman" w:hAnsi="Calibri" w:cs="Calibri"/>
                <w:color w:val="000000"/>
                <w:lang w:eastAsia="en-GB"/>
              </w:rPr>
            </w:pPr>
            <w:r w:rsidRPr="00DA22C3">
              <w:t>606</w:t>
            </w:r>
          </w:p>
        </w:tc>
        <w:tc>
          <w:tcPr>
            <w:tcW w:w="1134" w:type="dxa"/>
            <w:noWrap/>
            <w:hideMark/>
          </w:tcPr>
          <w:p w14:paraId="3BD83A87" w14:textId="77777777" w:rsidR="004327DD" w:rsidRPr="00DA22C3" w:rsidRDefault="004327DD" w:rsidP="00032C55">
            <w:pPr>
              <w:jc w:val="center"/>
              <w:rPr>
                <w:rFonts w:ascii="Calibri" w:eastAsia="Times New Roman" w:hAnsi="Calibri" w:cs="Calibri"/>
                <w:color w:val="000000"/>
                <w:lang w:eastAsia="en-GB"/>
              </w:rPr>
            </w:pPr>
            <w:r w:rsidRPr="00DA22C3">
              <w:t>490</w:t>
            </w:r>
          </w:p>
        </w:tc>
        <w:tc>
          <w:tcPr>
            <w:tcW w:w="1418" w:type="dxa"/>
            <w:noWrap/>
            <w:hideMark/>
          </w:tcPr>
          <w:p w14:paraId="714A2634" w14:textId="77777777" w:rsidR="004327DD" w:rsidRPr="00DA22C3" w:rsidRDefault="004327DD" w:rsidP="00032C55">
            <w:pPr>
              <w:jc w:val="center"/>
              <w:rPr>
                <w:rFonts w:ascii="Calibri" w:eastAsia="Times New Roman" w:hAnsi="Calibri" w:cs="Calibri"/>
                <w:color w:val="000000"/>
                <w:lang w:eastAsia="en-GB"/>
              </w:rPr>
            </w:pPr>
            <w:r w:rsidRPr="00DA22C3">
              <w:t>444</w:t>
            </w:r>
          </w:p>
        </w:tc>
        <w:tc>
          <w:tcPr>
            <w:tcW w:w="1417" w:type="dxa"/>
            <w:noWrap/>
            <w:hideMark/>
          </w:tcPr>
          <w:p w14:paraId="44A89EF0" w14:textId="77777777" w:rsidR="004327DD" w:rsidRPr="00DA22C3" w:rsidRDefault="004327DD" w:rsidP="00032C55">
            <w:pPr>
              <w:jc w:val="center"/>
              <w:rPr>
                <w:rFonts w:ascii="Calibri" w:eastAsia="Times New Roman" w:hAnsi="Calibri" w:cs="Calibri"/>
                <w:color w:val="000000"/>
                <w:lang w:eastAsia="en-GB"/>
              </w:rPr>
            </w:pPr>
            <w:r w:rsidRPr="00DA22C3">
              <w:t>397</w:t>
            </w:r>
          </w:p>
        </w:tc>
        <w:tc>
          <w:tcPr>
            <w:tcW w:w="1418" w:type="dxa"/>
            <w:noWrap/>
            <w:hideMark/>
          </w:tcPr>
          <w:p w14:paraId="13E63562" w14:textId="77777777" w:rsidR="004327DD" w:rsidRPr="00DA22C3" w:rsidRDefault="004327DD" w:rsidP="00032C55">
            <w:pPr>
              <w:jc w:val="center"/>
              <w:rPr>
                <w:rFonts w:ascii="Calibri" w:eastAsia="Times New Roman" w:hAnsi="Calibri" w:cs="Calibri"/>
                <w:color w:val="000000"/>
                <w:lang w:eastAsia="en-GB"/>
              </w:rPr>
            </w:pPr>
            <w:r w:rsidRPr="00DA22C3">
              <w:t>162</w:t>
            </w:r>
          </w:p>
        </w:tc>
        <w:tc>
          <w:tcPr>
            <w:tcW w:w="1417" w:type="dxa"/>
            <w:noWrap/>
            <w:hideMark/>
          </w:tcPr>
          <w:p w14:paraId="019A9C10" w14:textId="77777777" w:rsidR="004327DD" w:rsidRPr="00DA22C3" w:rsidRDefault="004327DD" w:rsidP="00032C55">
            <w:pPr>
              <w:jc w:val="center"/>
              <w:rPr>
                <w:rFonts w:ascii="Calibri" w:eastAsia="Times New Roman" w:hAnsi="Calibri" w:cs="Calibri"/>
                <w:color w:val="000000"/>
                <w:lang w:eastAsia="en-GB"/>
              </w:rPr>
            </w:pPr>
            <w:r w:rsidRPr="00DA22C3">
              <w:t>93</w:t>
            </w:r>
          </w:p>
        </w:tc>
      </w:tr>
      <w:tr w:rsidR="004327DD" w:rsidRPr="00DA22C3" w14:paraId="1B354F03" w14:textId="77777777" w:rsidTr="006D6FDA">
        <w:trPr>
          <w:trHeight w:val="300"/>
        </w:trPr>
        <w:tc>
          <w:tcPr>
            <w:tcW w:w="663" w:type="dxa"/>
            <w:noWrap/>
            <w:hideMark/>
          </w:tcPr>
          <w:p w14:paraId="7ADFE246" w14:textId="77777777" w:rsidR="004327DD" w:rsidRPr="00DA22C3" w:rsidRDefault="004327DD" w:rsidP="00032C55">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2020</w:t>
            </w:r>
          </w:p>
        </w:tc>
        <w:tc>
          <w:tcPr>
            <w:tcW w:w="1175" w:type="dxa"/>
            <w:noWrap/>
            <w:hideMark/>
          </w:tcPr>
          <w:p w14:paraId="79F895CB" w14:textId="77777777" w:rsidR="004327DD" w:rsidRPr="00DA22C3" w:rsidRDefault="004327DD" w:rsidP="00032C55">
            <w:pPr>
              <w:jc w:val="center"/>
              <w:rPr>
                <w:rFonts w:ascii="Calibri" w:eastAsia="Times New Roman" w:hAnsi="Calibri" w:cs="Calibri"/>
                <w:color w:val="000000"/>
                <w:lang w:eastAsia="en-GB"/>
              </w:rPr>
            </w:pPr>
            <w:r w:rsidRPr="00DA22C3">
              <w:t>648</w:t>
            </w:r>
          </w:p>
        </w:tc>
        <w:tc>
          <w:tcPr>
            <w:tcW w:w="1134" w:type="dxa"/>
            <w:noWrap/>
            <w:hideMark/>
          </w:tcPr>
          <w:p w14:paraId="509786CE" w14:textId="77777777" w:rsidR="004327DD" w:rsidRPr="00DA22C3" w:rsidRDefault="004327DD" w:rsidP="00032C55">
            <w:pPr>
              <w:jc w:val="center"/>
              <w:rPr>
                <w:rFonts w:ascii="Calibri" w:eastAsia="Times New Roman" w:hAnsi="Calibri" w:cs="Calibri"/>
                <w:color w:val="000000"/>
                <w:lang w:eastAsia="en-GB"/>
              </w:rPr>
            </w:pPr>
            <w:r w:rsidRPr="00DA22C3">
              <w:t>485</w:t>
            </w:r>
          </w:p>
        </w:tc>
        <w:tc>
          <w:tcPr>
            <w:tcW w:w="1418" w:type="dxa"/>
            <w:noWrap/>
            <w:hideMark/>
          </w:tcPr>
          <w:p w14:paraId="601B62A1" w14:textId="77777777" w:rsidR="004327DD" w:rsidRPr="00DA22C3" w:rsidRDefault="004327DD" w:rsidP="00032C55">
            <w:pPr>
              <w:jc w:val="center"/>
              <w:rPr>
                <w:rFonts w:ascii="Calibri" w:eastAsia="Times New Roman" w:hAnsi="Calibri" w:cs="Calibri"/>
                <w:color w:val="000000"/>
                <w:lang w:eastAsia="en-GB"/>
              </w:rPr>
            </w:pPr>
            <w:r w:rsidRPr="00DA22C3">
              <w:t>492</w:t>
            </w:r>
          </w:p>
        </w:tc>
        <w:tc>
          <w:tcPr>
            <w:tcW w:w="1417" w:type="dxa"/>
            <w:noWrap/>
            <w:hideMark/>
          </w:tcPr>
          <w:p w14:paraId="15A39382" w14:textId="77777777" w:rsidR="004327DD" w:rsidRPr="00DA22C3" w:rsidRDefault="004327DD" w:rsidP="00032C55">
            <w:pPr>
              <w:jc w:val="center"/>
              <w:rPr>
                <w:rFonts w:ascii="Calibri" w:eastAsia="Times New Roman" w:hAnsi="Calibri" w:cs="Calibri"/>
                <w:color w:val="000000"/>
                <w:lang w:eastAsia="en-GB"/>
              </w:rPr>
            </w:pPr>
            <w:r w:rsidRPr="00DA22C3">
              <w:t>412</w:t>
            </w:r>
          </w:p>
        </w:tc>
        <w:tc>
          <w:tcPr>
            <w:tcW w:w="1418" w:type="dxa"/>
            <w:noWrap/>
            <w:hideMark/>
          </w:tcPr>
          <w:p w14:paraId="3F5E8D9C" w14:textId="77777777" w:rsidR="004327DD" w:rsidRPr="00DA22C3" w:rsidRDefault="004327DD" w:rsidP="00032C55">
            <w:pPr>
              <w:jc w:val="center"/>
              <w:rPr>
                <w:rFonts w:ascii="Calibri" w:eastAsia="Times New Roman" w:hAnsi="Calibri" w:cs="Calibri"/>
                <w:color w:val="000000"/>
                <w:lang w:eastAsia="en-GB"/>
              </w:rPr>
            </w:pPr>
            <w:r w:rsidRPr="00DA22C3">
              <w:t>156</w:t>
            </w:r>
          </w:p>
        </w:tc>
        <w:tc>
          <w:tcPr>
            <w:tcW w:w="1417" w:type="dxa"/>
            <w:noWrap/>
            <w:hideMark/>
          </w:tcPr>
          <w:p w14:paraId="296B7A08" w14:textId="77777777" w:rsidR="004327DD" w:rsidRPr="00DA22C3" w:rsidRDefault="004327DD" w:rsidP="00032C55">
            <w:pPr>
              <w:jc w:val="center"/>
              <w:rPr>
                <w:rFonts w:ascii="Calibri" w:eastAsia="Times New Roman" w:hAnsi="Calibri" w:cs="Calibri"/>
                <w:color w:val="000000"/>
                <w:lang w:eastAsia="en-GB"/>
              </w:rPr>
            </w:pPr>
            <w:r w:rsidRPr="00DA22C3">
              <w:t>73</w:t>
            </w:r>
          </w:p>
        </w:tc>
      </w:tr>
      <w:tr w:rsidR="004327DD" w:rsidRPr="00DA22C3" w14:paraId="27BF0101" w14:textId="77777777" w:rsidTr="006D6FDA">
        <w:trPr>
          <w:trHeight w:val="300"/>
        </w:trPr>
        <w:tc>
          <w:tcPr>
            <w:tcW w:w="663" w:type="dxa"/>
            <w:noWrap/>
            <w:hideMark/>
          </w:tcPr>
          <w:p w14:paraId="6724F237" w14:textId="77777777" w:rsidR="004327DD" w:rsidRPr="00DA22C3" w:rsidRDefault="004327DD" w:rsidP="00032C55">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2021</w:t>
            </w:r>
          </w:p>
        </w:tc>
        <w:tc>
          <w:tcPr>
            <w:tcW w:w="1175" w:type="dxa"/>
            <w:noWrap/>
            <w:hideMark/>
          </w:tcPr>
          <w:p w14:paraId="0F6D16CD" w14:textId="77777777" w:rsidR="004327DD" w:rsidRPr="00DA22C3" w:rsidRDefault="004327DD" w:rsidP="00032C55">
            <w:pPr>
              <w:jc w:val="center"/>
              <w:rPr>
                <w:rFonts w:ascii="Calibri" w:eastAsia="Times New Roman" w:hAnsi="Calibri" w:cs="Calibri"/>
                <w:color w:val="000000"/>
                <w:lang w:eastAsia="en-GB"/>
              </w:rPr>
            </w:pPr>
            <w:r w:rsidRPr="00DA22C3">
              <w:t>603</w:t>
            </w:r>
          </w:p>
        </w:tc>
        <w:tc>
          <w:tcPr>
            <w:tcW w:w="1134" w:type="dxa"/>
            <w:noWrap/>
            <w:hideMark/>
          </w:tcPr>
          <w:p w14:paraId="671082BF" w14:textId="77777777" w:rsidR="004327DD" w:rsidRPr="00DA22C3" w:rsidRDefault="004327DD" w:rsidP="00032C55">
            <w:pPr>
              <w:jc w:val="center"/>
              <w:rPr>
                <w:rFonts w:ascii="Calibri" w:eastAsia="Times New Roman" w:hAnsi="Calibri" w:cs="Calibri"/>
                <w:color w:val="000000"/>
                <w:lang w:eastAsia="en-GB"/>
              </w:rPr>
            </w:pPr>
            <w:r w:rsidRPr="00DA22C3">
              <w:t>482</w:t>
            </w:r>
          </w:p>
        </w:tc>
        <w:tc>
          <w:tcPr>
            <w:tcW w:w="1418" w:type="dxa"/>
            <w:noWrap/>
            <w:hideMark/>
          </w:tcPr>
          <w:p w14:paraId="7F74D624" w14:textId="77777777" w:rsidR="004327DD" w:rsidRPr="00DA22C3" w:rsidRDefault="004327DD" w:rsidP="00032C55">
            <w:pPr>
              <w:jc w:val="center"/>
              <w:rPr>
                <w:rFonts w:ascii="Calibri" w:eastAsia="Times New Roman" w:hAnsi="Calibri" w:cs="Calibri"/>
                <w:color w:val="000000"/>
                <w:lang w:eastAsia="en-GB"/>
              </w:rPr>
            </w:pPr>
            <w:r w:rsidRPr="00DA22C3">
              <w:t>482</w:t>
            </w:r>
          </w:p>
        </w:tc>
        <w:tc>
          <w:tcPr>
            <w:tcW w:w="1417" w:type="dxa"/>
            <w:noWrap/>
            <w:hideMark/>
          </w:tcPr>
          <w:p w14:paraId="40480D7A" w14:textId="77777777" w:rsidR="004327DD" w:rsidRPr="00DA22C3" w:rsidRDefault="004327DD" w:rsidP="00032C55">
            <w:pPr>
              <w:jc w:val="center"/>
              <w:rPr>
                <w:rFonts w:ascii="Calibri" w:eastAsia="Times New Roman" w:hAnsi="Calibri" w:cs="Calibri"/>
                <w:color w:val="000000"/>
                <w:lang w:eastAsia="en-GB"/>
              </w:rPr>
            </w:pPr>
            <w:r w:rsidRPr="00DA22C3">
              <w:t>388</w:t>
            </w:r>
          </w:p>
        </w:tc>
        <w:tc>
          <w:tcPr>
            <w:tcW w:w="1418" w:type="dxa"/>
            <w:noWrap/>
            <w:hideMark/>
          </w:tcPr>
          <w:p w14:paraId="2739D877" w14:textId="77777777" w:rsidR="004327DD" w:rsidRPr="00DA22C3" w:rsidRDefault="004327DD" w:rsidP="00032C55">
            <w:pPr>
              <w:jc w:val="center"/>
              <w:rPr>
                <w:rFonts w:ascii="Calibri" w:eastAsia="Times New Roman" w:hAnsi="Calibri" w:cs="Calibri"/>
                <w:color w:val="000000"/>
                <w:lang w:eastAsia="en-GB"/>
              </w:rPr>
            </w:pPr>
            <w:r w:rsidRPr="00DA22C3">
              <w:t>121</w:t>
            </w:r>
          </w:p>
        </w:tc>
        <w:tc>
          <w:tcPr>
            <w:tcW w:w="1417" w:type="dxa"/>
            <w:noWrap/>
            <w:hideMark/>
          </w:tcPr>
          <w:p w14:paraId="71320A38" w14:textId="77777777" w:rsidR="004327DD" w:rsidRPr="00DA22C3" w:rsidRDefault="004327DD" w:rsidP="00032C55">
            <w:pPr>
              <w:jc w:val="center"/>
              <w:rPr>
                <w:rFonts w:ascii="Calibri" w:eastAsia="Times New Roman" w:hAnsi="Calibri" w:cs="Calibri"/>
                <w:color w:val="000000"/>
                <w:lang w:eastAsia="en-GB"/>
              </w:rPr>
            </w:pPr>
            <w:r w:rsidRPr="00DA22C3">
              <w:t>94</w:t>
            </w:r>
          </w:p>
        </w:tc>
      </w:tr>
      <w:tr w:rsidR="004327DD" w:rsidRPr="00DA22C3" w14:paraId="1595426F" w14:textId="77777777" w:rsidTr="006D6FDA">
        <w:trPr>
          <w:trHeight w:val="300"/>
        </w:trPr>
        <w:tc>
          <w:tcPr>
            <w:tcW w:w="663" w:type="dxa"/>
            <w:noWrap/>
            <w:hideMark/>
          </w:tcPr>
          <w:p w14:paraId="6596442D" w14:textId="77777777" w:rsidR="004327DD" w:rsidRPr="00DA22C3" w:rsidRDefault="004327DD" w:rsidP="00032C55">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2022</w:t>
            </w:r>
          </w:p>
        </w:tc>
        <w:tc>
          <w:tcPr>
            <w:tcW w:w="1175" w:type="dxa"/>
            <w:noWrap/>
            <w:hideMark/>
          </w:tcPr>
          <w:p w14:paraId="50C250C2" w14:textId="77777777" w:rsidR="004327DD" w:rsidRPr="00DA22C3" w:rsidRDefault="004327DD" w:rsidP="00032C55">
            <w:pPr>
              <w:jc w:val="center"/>
              <w:rPr>
                <w:rFonts w:ascii="Calibri" w:eastAsia="Times New Roman" w:hAnsi="Calibri" w:cs="Calibri"/>
                <w:color w:val="000000"/>
                <w:lang w:eastAsia="en-GB"/>
              </w:rPr>
            </w:pPr>
            <w:r w:rsidRPr="00DA22C3">
              <w:t>570</w:t>
            </w:r>
          </w:p>
        </w:tc>
        <w:tc>
          <w:tcPr>
            <w:tcW w:w="1134" w:type="dxa"/>
            <w:noWrap/>
            <w:hideMark/>
          </w:tcPr>
          <w:p w14:paraId="49A0F738" w14:textId="77777777" w:rsidR="004327DD" w:rsidRPr="00DA22C3" w:rsidRDefault="004327DD" w:rsidP="00032C55">
            <w:pPr>
              <w:jc w:val="center"/>
              <w:rPr>
                <w:rFonts w:ascii="Calibri" w:eastAsia="Times New Roman" w:hAnsi="Calibri" w:cs="Calibri"/>
                <w:color w:val="000000"/>
                <w:lang w:eastAsia="en-GB"/>
              </w:rPr>
            </w:pPr>
            <w:r w:rsidRPr="00DA22C3">
              <w:t>485</w:t>
            </w:r>
          </w:p>
        </w:tc>
        <w:tc>
          <w:tcPr>
            <w:tcW w:w="1418" w:type="dxa"/>
            <w:noWrap/>
            <w:hideMark/>
          </w:tcPr>
          <w:p w14:paraId="3F3909E4" w14:textId="77777777" w:rsidR="004327DD" w:rsidRPr="00DA22C3" w:rsidRDefault="004327DD" w:rsidP="00032C55">
            <w:pPr>
              <w:jc w:val="center"/>
              <w:rPr>
                <w:rFonts w:ascii="Calibri" w:eastAsia="Times New Roman" w:hAnsi="Calibri" w:cs="Calibri"/>
                <w:color w:val="000000"/>
                <w:lang w:eastAsia="en-GB"/>
              </w:rPr>
            </w:pPr>
            <w:r w:rsidRPr="00DA22C3">
              <w:t>454</w:t>
            </w:r>
          </w:p>
        </w:tc>
        <w:tc>
          <w:tcPr>
            <w:tcW w:w="1417" w:type="dxa"/>
            <w:noWrap/>
            <w:hideMark/>
          </w:tcPr>
          <w:p w14:paraId="0A3D54E9" w14:textId="77777777" w:rsidR="004327DD" w:rsidRPr="00DA22C3" w:rsidRDefault="004327DD" w:rsidP="00032C55">
            <w:pPr>
              <w:jc w:val="center"/>
              <w:rPr>
                <w:rFonts w:ascii="Calibri" w:eastAsia="Times New Roman" w:hAnsi="Calibri" w:cs="Calibri"/>
                <w:color w:val="000000"/>
                <w:lang w:eastAsia="en-GB"/>
              </w:rPr>
            </w:pPr>
            <w:r w:rsidRPr="00DA22C3">
              <w:t>402</w:t>
            </w:r>
          </w:p>
        </w:tc>
        <w:tc>
          <w:tcPr>
            <w:tcW w:w="1418" w:type="dxa"/>
            <w:noWrap/>
            <w:hideMark/>
          </w:tcPr>
          <w:p w14:paraId="6DEF2364" w14:textId="77777777" w:rsidR="004327DD" w:rsidRPr="00DA22C3" w:rsidRDefault="004327DD" w:rsidP="00032C55">
            <w:pPr>
              <w:jc w:val="center"/>
              <w:rPr>
                <w:rFonts w:ascii="Calibri" w:eastAsia="Times New Roman" w:hAnsi="Calibri" w:cs="Calibri"/>
                <w:color w:val="000000"/>
                <w:lang w:eastAsia="en-GB"/>
              </w:rPr>
            </w:pPr>
            <w:r w:rsidRPr="00DA22C3">
              <w:t>116</w:t>
            </w:r>
          </w:p>
        </w:tc>
        <w:tc>
          <w:tcPr>
            <w:tcW w:w="1417" w:type="dxa"/>
            <w:noWrap/>
            <w:hideMark/>
          </w:tcPr>
          <w:p w14:paraId="0A2DAEBD" w14:textId="77777777" w:rsidR="004327DD" w:rsidRPr="00DA22C3" w:rsidRDefault="004327DD" w:rsidP="00032C55">
            <w:pPr>
              <w:jc w:val="center"/>
              <w:rPr>
                <w:rFonts w:ascii="Calibri" w:eastAsia="Times New Roman" w:hAnsi="Calibri" w:cs="Calibri"/>
                <w:color w:val="000000"/>
                <w:lang w:eastAsia="en-GB"/>
              </w:rPr>
            </w:pPr>
            <w:r w:rsidRPr="00DA22C3">
              <w:t>83</w:t>
            </w:r>
          </w:p>
        </w:tc>
      </w:tr>
    </w:tbl>
    <w:p w14:paraId="1A225187" w14:textId="67CE091F" w:rsidR="004327DD" w:rsidRPr="00DA22C3" w:rsidRDefault="004327DD" w:rsidP="007F6954">
      <w:pPr>
        <w:pStyle w:val="Regulartext"/>
      </w:pPr>
      <w:r w:rsidRPr="00DA22C3">
        <w:t>Table 2 below shows the potential impact of the proposal if it had been implemented from 2018, with the pass rate set at 27% of Medway pupils</w:t>
      </w:r>
      <w:r w:rsidR="00F15B76" w:rsidRPr="00DA22C3">
        <w:t xml:space="preserve"> (27% is used as an example and does not mean that 27% will be the figure upon which future pass rates are determined)</w:t>
      </w:r>
    </w:p>
    <w:p w14:paraId="228CF426" w14:textId="77777777" w:rsidR="004327DD" w:rsidRPr="00DA22C3" w:rsidRDefault="004327DD" w:rsidP="004327DD">
      <w:pPr>
        <w:pStyle w:val="Caption"/>
        <w:keepNext/>
        <w:rPr>
          <w:b/>
          <w:bCs/>
          <w:i w:val="0"/>
          <w:iCs w:val="0"/>
          <w:sz w:val="22"/>
          <w:szCs w:val="22"/>
        </w:rPr>
      </w:pPr>
      <w:r w:rsidRPr="00DA22C3">
        <w:rPr>
          <w:b/>
          <w:bCs/>
          <w:i w:val="0"/>
          <w:iCs w:val="0"/>
          <w:sz w:val="22"/>
          <w:szCs w:val="22"/>
        </w:rPr>
        <w:t xml:space="preserve">Table </w:t>
      </w:r>
      <w:r w:rsidRPr="00DA22C3">
        <w:rPr>
          <w:b/>
          <w:bCs/>
          <w:i w:val="0"/>
          <w:iCs w:val="0"/>
          <w:sz w:val="22"/>
          <w:szCs w:val="22"/>
        </w:rPr>
        <w:fldChar w:fldCharType="begin"/>
      </w:r>
      <w:r w:rsidRPr="00DA22C3">
        <w:rPr>
          <w:b/>
          <w:bCs/>
          <w:i w:val="0"/>
          <w:iCs w:val="0"/>
          <w:sz w:val="22"/>
          <w:szCs w:val="22"/>
        </w:rPr>
        <w:instrText xml:space="preserve"> SEQ Table \* ARABIC </w:instrText>
      </w:r>
      <w:r w:rsidRPr="00DA22C3">
        <w:rPr>
          <w:b/>
          <w:bCs/>
          <w:i w:val="0"/>
          <w:iCs w:val="0"/>
          <w:sz w:val="22"/>
          <w:szCs w:val="22"/>
        </w:rPr>
        <w:fldChar w:fldCharType="separate"/>
      </w:r>
      <w:r w:rsidRPr="00DA22C3">
        <w:rPr>
          <w:b/>
          <w:bCs/>
          <w:i w:val="0"/>
          <w:iCs w:val="0"/>
          <w:noProof/>
          <w:sz w:val="22"/>
          <w:szCs w:val="22"/>
        </w:rPr>
        <w:t>2</w:t>
      </w:r>
      <w:r w:rsidRPr="00DA22C3">
        <w:rPr>
          <w:b/>
          <w:bCs/>
          <w:i w:val="0"/>
          <w:iCs w:val="0"/>
          <w:sz w:val="22"/>
          <w:szCs w:val="22"/>
        </w:rPr>
        <w:fldChar w:fldCharType="end"/>
      </w:r>
      <w:r w:rsidRPr="00DA22C3">
        <w:rPr>
          <w:b/>
          <w:bCs/>
          <w:i w:val="0"/>
          <w:iCs w:val="0"/>
          <w:sz w:val="22"/>
          <w:szCs w:val="22"/>
        </w:rPr>
        <w:t xml:space="preserve"> – How the proposal could have altered the estimated number of Year 7 pupils who attend Medway selective schools, with the pass rate set at 27%</w:t>
      </w:r>
    </w:p>
    <w:tbl>
      <w:tblPr>
        <w:tblStyle w:val="TableGridLight"/>
        <w:tblW w:w="8642" w:type="dxa"/>
        <w:tblLook w:val="04A0" w:firstRow="1" w:lastRow="0" w:firstColumn="1" w:lastColumn="0" w:noHBand="0" w:noVBand="1"/>
      </w:tblPr>
      <w:tblGrid>
        <w:gridCol w:w="663"/>
        <w:gridCol w:w="1175"/>
        <w:gridCol w:w="1134"/>
        <w:gridCol w:w="1276"/>
        <w:gridCol w:w="1559"/>
        <w:gridCol w:w="1418"/>
        <w:gridCol w:w="1417"/>
      </w:tblGrid>
      <w:tr w:rsidR="006D6FDA" w:rsidRPr="00DA22C3" w14:paraId="1145E03B" w14:textId="77777777" w:rsidTr="006D6FDA">
        <w:trPr>
          <w:trHeight w:val="300"/>
        </w:trPr>
        <w:tc>
          <w:tcPr>
            <w:tcW w:w="663" w:type="dxa"/>
            <w:noWrap/>
            <w:vAlign w:val="center"/>
            <w:hideMark/>
          </w:tcPr>
          <w:p w14:paraId="24ED136A" w14:textId="77777777" w:rsidR="006D6FDA" w:rsidRPr="00DA22C3" w:rsidRDefault="006D6FDA" w:rsidP="006D6FDA">
            <w:pPr>
              <w:jc w:val="center"/>
              <w:rPr>
                <w:rFonts w:ascii="Calibri" w:eastAsia="Times New Roman" w:hAnsi="Calibri" w:cs="Calibri"/>
                <w:color w:val="000000"/>
                <w:lang w:eastAsia="en-GB"/>
              </w:rPr>
            </w:pPr>
          </w:p>
        </w:tc>
        <w:tc>
          <w:tcPr>
            <w:tcW w:w="1175" w:type="dxa"/>
            <w:noWrap/>
            <w:vAlign w:val="center"/>
            <w:hideMark/>
          </w:tcPr>
          <w:p w14:paraId="360E8E25" w14:textId="690865AA" w:rsidR="006D6FDA" w:rsidRPr="00DA22C3" w:rsidRDefault="006D6FDA" w:rsidP="006D6FDA">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 xml:space="preserve">Total </w:t>
            </w:r>
            <w:r>
              <w:rPr>
                <w:rFonts w:ascii="Calibri" w:eastAsia="Times New Roman" w:hAnsi="Calibri" w:cs="Calibri"/>
                <w:color w:val="000000"/>
                <w:lang w:eastAsia="en-GB"/>
              </w:rPr>
              <w:t xml:space="preserve">Year 7 </w:t>
            </w:r>
            <w:r w:rsidRPr="00DA22C3">
              <w:rPr>
                <w:rFonts w:ascii="Calibri" w:eastAsia="Times New Roman" w:hAnsi="Calibri" w:cs="Calibri"/>
                <w:color w:val="000000"/>
                <w:lang w:eastAsia="en-GB"/>
              </w:rPr>
              <w:t>girls</w:t>
            </w:r>
          </w:p>
        </w:tc>
        <w:tc>
          <w:tcPr>
            <w:tcW w:w="1134" w:type="dxa"/>
            <w:noWrap/>
            <w:vAlign w:val="center"/>
            <w:hideMark/>
          </w:tcPr>
          <w:p w14:paraId="676FE39A" w14:textId="33836E74" w:rsidR="006D6FDA" w:rsidRPr="00DA22C3" w:rsidRDefault="006D6FDA" w:rsidP="006D6FDA">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 xml:space="preserve">Total </w:t>
            </w:r>
            <w:r>
              <w:rPr>
                <w:rFonts w:ascii="Calibri" w:eastAsia="Times New Roman" w:hAnsi="Calibri" w:cs="Calibri"/>
                <w:color w:val="000000"/>
                <w:lang w:eastAsia="en-GB"/>
              </w:rPr>
              <w:t xml:space="preserve">Year 7 </w:t>
            </w:r>
            <w:r w:rsidRPr="00DA22C3">
              <w:rPr>
                <w:rFonts w:ascii="Calibri" w:eastAsia="Times New Roman" w:hAnsi="Calibri" w:cs="Calibri"/>
                <w:color w:val="000000"/>
                <w:lang w:eastAsia="en-GB"/>
              </w:rPr>
              <w:t>boys</w:t>
            </w:r>
          </w:p>
        </w:tc>
        <w:tc>
          <w:tcPr>
            <w:tcW w:w="1276" w:type="dxa"/>
            <w:noWrap/>
            <w:vAlign w:val="center"/>
            <w:hideMark/>
          </w:tcPr>
          <w:p w14:paraId="4A7B73B2" w14:textId="7D6B9D76" w:rsidR="006D6FDA" w:rsidRPr="00DA22C3" w:rsidRDefault="006D6FDA" w:rsidP="006D6FDA">
            <w:pPr>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Year 7 </w:t>
            </w:r>
            <w:r w:rsidRPr="00DA22C3">
              <w:rPr>
                <w:rFonts w:ascii="Calibri" w:eastAsia="Times New Roman" w:hAnsi="Calibri" w:cs="Calibri"/>
                <w:color w:val="000000"/>
                <w:lang w:eastAsia="en-GB"/>
              </w:rPr>
              <w:t>Girls living in Medway</w:t>
            </w:r>
          </w:p>
        </w:tc>
        <w:tc>
          <w:tcPr>
            <w:tcW w:w="1559" w:type="dxa"/>
            <w:noWrap/>
            <w:vAlign w:val="center"/>
            <w:hideMark/>
          </w:tcPr>
          <w:p w14:paraId="7D124AF4" w14:textId="100F9976" w:rsidR="006D6FDA" w:rsidRPr="00DA22C3" w:rsidRDefault="006D6FDA" w:rsidP="006D6FDA">
            <w:pPr>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Year 7 </w:t>
            </w:r>
            <w:r w:rsidRPr="00DA22C3">
              <w:rPr>
                <w:rFonts w:ascii="Calibri" w:eastAsia="Times New Roman" w:hAnsi="Calibri" w:cs="Calibri"/>
                <w:color w:val="000000"/>
                <w:lang w:eastAsia="en-GB"/>
              </w:rPr>
              <w:t>Boys living in Medway</w:t>
            </w:r>
          </w:p>
        </w:tc>
        <w:tc>
          <w:tcPr>
            <w:tcW w:w="1418" w:type="dxa"/>
            <w:noWrap/>
            <w:vAlign w:val="center"/>
            <w:hideMark/>
          </w:tcPr>
          <w:p w14:paraId="41D263EF" w14:textId="41E33A1C" w:rsidR="006D6FDA" w:rsidRPr="00DA22C3" w:rsidRDefault="006D6FDA" w:rsidP="006D6FDA">
            <w:pPr>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Year 7 </w:t>
            </w:r>
            <w:r w:rsidRPr="00DA22C3">
              <w:rPr>
                <w:rFonts w:ascii="Calibri" w:eastAsia="Times New Roman" w:hAnsi="Calibri" w:cs="Calibri"/>
                <w:color w:val="000000"/>
                <w:lang w:eastAsia="en-GB"/>
              </w:rPr>
              <w:t>Girls living outside Medway</w:t>
            </w:r>
          </w:p>
        </w:tc>
        <w:tc>
          <w:tcPr>
            <w:tcW w:w="1417" w:type="dxa"/>
            <w:noWrap/>
            <w:vAlign w:val="center"/>
            <w:hideMark/>
          </w:tcPr>
          <w:p w14:paraId="3F5093E0" w14:textId="3D047675" w:rsidR="006D6FDA" w:rsidRPr="00DA22C3" w:rsidRDefault="006D6FDA" w:rsidP="006D6FDA">
            <w:pPr>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Year 7 </w:t>
            </w:r>
            <w:r w:rsidRPr="00DA22C3">
              <w:rPr>
                <w:rFonts w:ascii="Calibri" w:eastAsia="Times New Roman" w:hAnsi="Calibri" w:cs="Calibri"/>
                <w:color w:val="000000"/>
                <w:lang w:eastAsia="en-GB"/>
              </w:rPr>
              <w:t>Boys living outside Medway</w:t>
            </w:r>
          </w:p>
        </w:tc>
      </w:tr>
      <w:tr w:rsidR="004327DD" w:rsidRPr="00DA22C3" w14:paraId="44E5DD9D" w14:textId="77777777" w:rsidTr="006D6FDA">
        <w:trPr>
          <w:trHeight w:val="300"/>
        </w:trPr>
        <w:tc>
          <w:tcPr>
            <w:tcW w:w="663" w:type="dxa"/>
            <w:noWrap/>
            <w:hideMark/>
          </w:tcPr>
          <w:p w14:paraId="40B7E178" w14:textId="77777777" w:rsidR="004327DD" w:rsidRPr="00DA22C3" w:rsidRDefault="004327DD" w:rsidP="00032C55">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2018</w:t>
            </w:r>
          </w:p>
        </w:tc>
        <w:tc>
          <w:tcPr>
            <w:tcW w:w="1175" w:type="dxa"/>
            <w:noWrap/>
          </w:tcPr>
          <w:p w14:paraId="69518E9C" w14:textId="77777777" w:rsidR="004327DD" w:rsidRPr="00DA22C3" w:rsidRDefault="004327DD" w:rsidP="00032C55">
            <w:pPr>
              <w:jc w:val="center"/>
              <w:rPr>
                <w:rFonts w:ascii="Calibri" w:eastAsia="Times New Roman" w:hAnsi="Calibri" w:cs="Calibri"/>
                <w:color w:val="000000"/>
                <w:lang w:eastAsia="en-GB"/>
              </w:rPr>
            </w:pPr>
            <w:r w:rsidRPr="00DA22C3">
              <w:t>552</w:t>
            </w:r>
          </w:p>
        </w:tc>
        <w:tc>
          <w:tcPr>
            <w:tcW w:w="1134" w:type="dxa"/>
            <w:noWrap/>
          </w:tcPr>
          <w:p w14:paraId="78D8E497" w14:textId="77777777" w:rsidR="004327DD" w:rsidRPr="00DA22C3" w:rsidRDefault="004327DD" w:rsidP="00032C55">
            <w:pPr>
              <w:jc w:val="center"/>
              <w:rPr>
                <w:rFonts w:ascii="Calibri" w:eastAsia="Times New Roman" w:hAnsi="Calibri" w:cs="Calibri"/>
                <w:color w:val="000000"/>
                <w:lang w:eastAsia="en-GB"/>
              </w:rPr>
            </w:pPr>
            <w:r w:rsidRPr="00DA22C3">
              <w:t>493</w:t>
            </w:r>
          </w:p>
        </w:tc>
        <w:tc>
          <w:tcPr>
            <w:tcW w:w="1276" w:type="dxa"/>
            <w:noWrap/>
          </w:tcPr>
          <w:p w14:paraId="33C6609A" w14:textId="77777777" w:rsidR="004327DD" w:rsidRPr="00DA22C3" w:rsidRDefault="004327DD" w:rsidP="00032C55">
            <w:pPr>
              <w:jc w:val="center"/>
              <w:rPr>
                <w:rFonts w:ascii="Calibri" w:eastAsia="Times New Roman" w:hAnsi="Calibri" w:cs="Calibri"/>
                <w:color w:val="000000"/>
                <w:lang w:eastAsia="en-GB"/>
              </w:rPr>
            </w:pPr>
            <w:r w:rsidRPr="00DA22C3">
              <w:t>472</w:t>
            </w:r>
          </w:p>
        </w:tc>
        <w:tc>
          <w:tcPr>
            <w:tcW w:w="1559" w:type="dxa"/>
            <w:noWrap/>
          </w:tcPr>
          <w:p w14:paraId="5C74D593" w14:textId="77777777" w:rsidR="004327DD" w:rsidRPr="00DA22C3" w:rsidRDefault="004327DD" w:rsidP="00032C55">
            <w:pPr>
              <w:jc w:val="center"/>
              <w:rPr>
                <w:rFonts w:ascii="Calibri" w:eastAsia="Times New Roman" w:hAnsi="Calibri" w:cs="Calibri"/>
                <w:color w:val="000000"/>
                <w:lang w:eastAsia="en-GB"/>
              </w:rPr>
            </w:pPr>
            <w:r w:rsidRPr="00DA22C3">
              <w:t>445</w:t>
            </w:r>
          </w:p>
        </w:tc>
        <w:tc>
          <w:tcPr>
            <w:tcW w:w="1418" w:type="dxa"/>
            <w:noWrap/>
          </w:tcPr>
          <w:p w14:paraId="09325C3F" w14:textId="77777777" w:rsidR="004327DD" w:rsidRPr="00DA22C3" w:rsidRDefault="004327DD" w:rsidP="00032C55">
            <w:pPr>
              <w:jc w:val="center"/>
              <w:rPr>
                <w:rFonts w:ascii="Calibri" w:eastAsia="Times New Roman" w:hAnsi="Calibri" w:cs="Calibri"/>
                <w:color w:val="000000"/>
                <w:lang w:eastAsia="en-GB"/>
              </w:rPr>
            </w:pPr>
            <w:r w:rsidRPr="00DA22C3">
              <w:t>80</w:t>
            </w:r>
          </w:p>
        </w:tc>
        <w:tc>
          <w:tcPr>
            <w:tcW w:w="1417" w:type="dxa"/>
            <w:noWrap/>
          </w:tcPr>
          <w:p w14:paraId="6C098951" w14:textId="77777777" w:rsidR="004327DD" w:rsidRPr="00DA22C3" w:rsidRDefault="004327DD" w:rsidP="00032C55">
            <w:pPr>
              <w:jc w:val="center"/>
              <w:rPr>
                <w:rFonts w:ascii="Calibri" w:eastAsia="Times New Roman" w:hAnsi="Calibri" w:cs="Calibri"/>
                <w:color w:val="000000"/>
                <w:lang w:eastAsia="en-GB"/>
              </w:rPr>
            </w:pPr>
            <w:r w:rsidRPr="00DA22C3">
              <w:t>48</w:t>
            </w:r>
          </w:p>
        </w:tc>
      </w:tr>
      <w:tr w:rsidR="004327DD" w:rsidRPr="00DA22C3" w14:paraId="208AF566" w14:textId="77777777" w:rsidTr="006D6FDA">
        <w:trPr>
          <w:trHeight w:val="300"/>
        </w:trPr>
        <w:tc>
          <w:tcPr>
            <w:tcW w:w="663" w:type="dxa"/>
            <w:noWrap/>
            <w:hideMark/>
          </w:tcPr>
          <w:p w14:paraId="4173AD2C" w14:textId="77777777" w:rsidR="004327DD" w:rsidRPr="00DA22C3" w:rsidRDefault="004327DD" w:rsidP="00032C55">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2019</w:t>
            </w:r>
          </w:p>
        </w:tc>
        <w:tc>
          <w:tcPr>
            <w:tcW w:w="1175" w:type="dxa"/>
            <w:noWrap/>
          </w:tcPr>
          <w:p w14:paraId="0DC7425C" w14:textId="77777777" w:rsidR="004327DD" w:rsidRPr="00DA22C3" w:rsidRDefault="004327DD" w:rsidP="00032C55">
            <w:pPr>
              <w:jc w:val="center"/>
              <w:rPr>
                <w:rFonts w:ascii="Calibri" w:eastAsia="Times New Roman" w:hAnsi="Calibri" w:cs="Calibri"/>
                <w:color w:val="000000"/>
                <w:lang w:eastAsia="en-GB"/>
              </w:rPr>
            </w:pPr>
            <w:r w:rsidRPr="00DA22C3">
              <w:t>606</w:t>
            </w:r>
          </w:p>
        </w:tc>
        <w:tc>
          <w:tcPr>
            <w:tcW w:w="1134" w:type="dxa"/>
            <w:noWrap/>
          </w:tcPr>
          <w:p w14:paraId="304980F0" w14:textId="77777777" w:rsidR="004327DD" w:rsidRPr="00DA22C3" w:rsidRDefault="004327DD" w:rsidP="00032C55">
            <w:pPr>
              <w:jc w:val="center"/>
              <w:rPr>
                <w:rFonts w:ascii="Calibri" w:eastAsia="Times New Roman" w:hAnsi="Calibri" w:cs="Calibri"/>
                <w:color w:val="000000"/>
                <w:lang w:eastAsia="en-GB"/>
              </w:rPr>
            </w:pPr>
            <w:r w:rsidRPr="00DA22C3">
              <w:t>490</w:t>
            </w:r>
          </w:p>
        </w:tc>
        <w:tc>
          <w:tcPr>
            <w:tcW w:w="1276" w:type="dxa"/>
            <w:noWrap/>
          </w:tcPr>
          <w:p w14:paraId="0EE455E6" w14:textId="77777777" w:rsidR="004327DD" w:rsidRPr="00DA22C3" w:rsidRDefault="004327DD" w:rsidP="00032C55">
            <w:pPr>
              <w:jc w:val="center"/>
              <w:rPr>
                <w:rFonts w:ascii="Calibri" w:eastAsia="Times New Roman" w:hAnsi="Calibri" w:cs="Calibri"/>
                <w:color w:val="000000"/>
                <w:lang w:eastAsia="en-GB"/>
              </w:rPr>
            </w:pPr>
            <w:r w:rsidRPr="00DA22C3">
              <w:t>480</w:t>
            </w:r>
          </w:p>
        </w:tc>
        <w:tc>
          <w:tcPr>
            <w:tcW w:w="1559" w:type="dxa"/>
            <w:noWrap/>
          </w:tcPr>
          <w:p w14:paraId="68C022CE" w14:textId="77777777" w:rsidR="004327DD" w:rsidRPr="00DA22C3" w:rsidRDefault="004327DD" w:rsidP="00032C55">
            <w:pPr>
              <w:jc w:val="center"/>
              <w:rPr>
                <w:rFonts w:ascii="Calibri" w:eastAsia="Times New Roman" w:hAnsi="Calibri" w:cs="Calibri"/>
                <w:color w:val="000000"/>
                <w:lang w:eastAsia="en-GB"/>
              </w:rPr>
            </w:pPr>
            <w:r w:rsidRPr="00DA22C3">
              <w:t>429</w:t>
            </w:r>
          </w:p>
        </w:tc>
        <w:tc>
          <w:tcPr>
            <w:tcW w:w="1418" w:type="dxa"/>
            <w:noWrap/>
          </w:tcPr>
          <w:p w14:paraId="2E043944" w14:textId="77777777" w:rsidR="004327DD" w:rsidRPr="00DA22C3" w:rsidRDefault="004327DD" w:rsidP="00032C55">
            <w:pPr>
              <w:jc w:val="center"/>
              <w:rPr>
                <w:rFonts w:ascii="Calibri" w:eastAsia="Times New Roman" w:hAnsi="Calibri" w:cs="Calibri"/>
                <w:color w:val="000000"/>
                <w:lang w:eastAsia="en-GB"/>
              </w:rPr>
            </w:pPr>
            <w:r w:rsidRPr="00DA22C3">
              <w:t>126</w:t>
            </w:r>
          </w:p>
        </w:tc>
        <w:tc>
          <w:tcPr>
            <w:tcW w:w="1417" w:type="dxa"/>
            <w:noWrap/>
          </w:tcPr>
          <w:p w14:paraId="7315A5EA" w14:textId="77777777" w:rsidR="004327DD" w:rsidRPr="00DA22C3" w:rsidRDefault="004327DD" w:rsidP="00032C55">
            <w:pPr>
              <w:jc w:val="center"/>
              <w:rPr>
                <w:rFonts w:ascii="Calibri" w:eastAsia="Times New Roman" w:hAnsi="Calibri" w:cs="Calibri"/>
                <w:color w:val="000000"/>
                <w:lang w:eastAsia="en-GB"/>
              </w:rPr>
            </w:pPr>
            <w:r w:rsidRPr="00DA22C3">
              <w:t>61</w:t>
            </w:r>
          </w:p>
        </w:tc>
      </w:tr>
      <w:tr w:rsidR="004327DD" w:rsidRPr="00DA22C3" w14:paraId="3812F8B3" w14:textId="77777777" w:rsidTr="006D6FDA">
        <w:trPr>
          <w:trHeight w:val="300"/>
        </w:trPr>
        <w:tc>
          <w:tcPr>
            <w:tcW w:w="663" w:type="dxa"/>
            <w:noWrap/>
            <w:hideMark/>
          </w:tcPr>
          <w:p w14:paraId="0DF51968" w14:textId="77777777" w:rsidR="004327DD" w:rsidRPr="00DA22C3" w:rsidRDefault="004327DD" w:rsidP="00032C55">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2020</w:t>
            </w:r>
          </w:p>
        </w:tc>
        <w:tc>
          <w:tcPr>
            <w:tcW w:w="1175" w:type="dxa"/>
            <w:noWrap/>
          </w:tcPr>
          <w:p w14:paraId="0EDC6BF9" w14:textId="77777777" w:rsidR="004327DD" w:rsidRPr="00DA22C3" w:rsidRDefault="004327DD" w:rsidP="00032C55">
            <w:pPr>
              <w:jc w:val="center"/>
              <w:rPr>
                <w:rFonts w:ascii="Calibri" w:eastAsia="Times New Roman" w:hAnsi="Calibri" w:cs="Calibri"/>
                <w:color w:val="000000"/>
                <w:lang w:eastAsia="en-GB"/>
              </w:rPr>
            </w:pPr>
            <w:r w:rsidRPr="00DA22C3">
              <w:t>648</w:t>
            </w:r>
          </w:p>
        </w:tc>
        <w:tc>
          <w:tcPr>
            <w:tcW w:w="1134" w:type="dxa"/>
            <w:noWrap/>
          </w:tcPr>
          <w:p w14:paraId="3926E3FC" w14:textId="77777777" w:rsidR="004327DD" w:rsidRPr="00DA22C3" w:rsidRDefault="004327DD" w:rsidP="00032C55">
            <w:pPr>
              <w:jc w:val="center"/>
              <w:rPr>
                <w:rFonts w:ascii="Calibri" w:eastAsia="Times New Roman" w:hAnsi="Calibri" w:cs="Calibri"/>
                <w:color w:val="000000"/>
                <w:lang w:eastAsia="en-GB"/>
              </w:rPr>
            </w:pPr>
            <w:r w:rsidRPr="00DA22C3">
              <w:t>485</w:t>
            </w:r>
          </w:p>
        </w:tc>
        <w:tc>
          <w:tcPr>
            <w:tcW w:w="1276" w:type="dxa"/>
            <w:noWrap/>
          </w:tcPr>
          <w:p w14:paraId="2404FAB0" w14:textId="77777777" w:rsidR="004327DD" w:rsidRPr="00DA22C3" w:rsidRDefault="004327DD" w:rsidP="00032C55">
            <w:pPr>
              <w:jc w:val="center"/>
              <w:rPr>
                <w:rFonts w:ascii="Calibri" w:eastAsia="Times New Roman" w:hAnsi="Calibri" w:cs="Calibri"/>
                <w:color w:val="000000"/>
                <w:lang w:eastAsia="en-GB"/>
              </w:rPr>
            </w:pPr>
            <w:r w:rsidRPr="00DA22C3">
              <w:t>531</w:t>
            </w:r>
          </w:p>
        </w:tc>
        <w:tc>
          <w:tcPr>
            <w:tcW w:w="1559" w:type="dxa"/>
            <w:noWrap/>
          </w:tcPr>
          <w:p w14:paraId="6E11F7FE" w14:textId="77777777" w:rsidR="004327DD" w:rsidRPr="00DA22C3" w:rsidRDefault="004327DD" w:rsidP="00032C55">
            <w:pPr>
              <w:jc w:val="center"/>
              <w:rPr>
                <w:rFonts w:ascii="Calibri" w:eastAsia="Times New Roman" w:hAnsi="Calibri" w:cs="Calibri"/>
                <w:color w:val="000000"/>
                <w:lang w:eastAsia="en-GB"/>
              </w:rPr>
            </w:pPr>
            <w:r w:rsidRPr="00DA22C3">
              <w:t>445</w:t>
            </w:r>
          </w:p>
        </w:tc>
        <w:tc>
          <w:tcPr>
            <w:tcW w:w="1418" w:type="dxa"/>
            <w:noWrap/>
          </w:tcPr>
          <w:p w14:paraId="4263C51B" w14:textId="77777777" w:rsidR="004327DD" w:rsidRPr="00DA22C3" w:rsidRDefault="004327DD" w:rsidP="00032C55">
            <w:pPr>
              <w:jc w:val="center"/>
              <w:rPr>
                <w:rFonts w:ascii="Calibri" w:eastAsia="Times New Roman" w:hAnsi="Calibri" w:cs="Calibri"/>
                <w:color w:val="000000"/>
                <w:lang w:eastAsia="en-GB"/>
              </w:rPr>
            </w:pPr>
            <w:r w:rsidRPr="00DA22C3">
              <w:t>117</w:t>
            </w:r>
          </w:p>
        </w:tc>
        <w:tc>
          <w:tcPr>
            <w:tcW w:w="1417" w:type="dxa"/>
            <w:noWrap/>
          </w:tcPr>
          <w:p w14:paraId="088D8423" w14:textId="77777777" w:rsidR="004327DD" w:rsidRPr="00DA22C3" w:rsidRDefault="004327DD" w:rsidP="00032C55">
            <w:pPr>
              <w:jc w:val="center"/>
              <w:rPr>
                <w:rFonts w:ascii="Calibri" w:eastAsia="Times New Roman" w:hAnsi="Calibri" w:cs="Calibri"/>
                <w:color w:val="000000"/>
                <w:lang w:eastAsia="en-GB"/>
              </w:rPr>
            </w:pPr>
            <w:r w:rsidRPr="00DA22C3">
              <w:t>40</w:t>
            </w:r>
          </w:p>
        </w:tc>
      </w:tr>
      <w:tr w:rsidR="004327DD" w:rsidRPr="00DA22C3" w14:paraId="1BD1994F" w14:textId="77777777" w:rsidTr="006D6FDA">
        <w:trPr>
          <w:trHeight w:val="300"/>
        </w:trPr>
        <w:tc>
          <w:tcPr>
            <w:tcW w:w="663" w:type="dxa"/>
            <w:noWrap/>
            <w:hideMark/>
          </w:tcPr>
          <w:p w14:paraId="4ADBB787" w14:textId="77777777" w:rsidR="004327DD" w:rsidRPr="00DA22C3" w:rsidRDefault="004327DD" w:rsidP="00032C55">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2021</w:t>
            </w:r>
          </w:p>
        </w:tc>
        <w:tc>
          <w:tcPr>
            <w:tcW w:w="1175" w:type="dxa"/>
            <w:noWrap/>
          </w:tcPr>
          <w:p w14:paraId="6A1CA157" w14:textId="77777777" w:rsidR="004327DD" w:rsidRPr="00DA22C3" w:rsidRDefault="004327DD" w:rsidP="00032C55">
            <w:pPr>
              <w:jc w:val="center"/>
              <w:rPr>
                <w:rFonts w:ascii="Calibri" w:eastAsia="Times New Roman" w:hAnsi="Calibri" w:cs="Calibri"/>
                <w:color w:val="000000"/>
                <w:lang w:eastAsia="en-GB"/>
              </w:rPr>
            </w:pPr>
            <w:r w:rsidRPr="00DA22C3">
              <w:t>603</w:t>
            </w:r>
          </w:p>
        </w:tc>
        <w:tc>
          <w:tcPr>
            <w:tcW w:w="1134" w:type="dxa"/>
            <w:noWrap/>
          </w:tcPr>
          <w:p w14:paraId="676664A3" w14:textId="77777777" w:rsidR="004327DD" w:rsidRPr="00DA22C3" w:rsidRDefault="004327DD" w:rsidP="00032C55">
            <w:pPr>
              <w:jc w:val="center"/>
              <w:rPr>
                <w:rFonts w:ascii="Calibri" w:eastAsia="Times New Roman" w:hAnsi="Calibri" w:cs="Calibri"/>
                <w:color w:val="000000"/>
                <w:lang w:eastAsia="en-GB"/>
              </w:rPr>
            </w:pPr>
            <w:r w:rsidRPr="00DA22C3">
              <w:t>482</w:t>
            </w:r>
          </w:p>
        </w:tc>
        <w:tc>
          <w:tcPr>
            <w:tcW w:w="1276" w:type="dxa"/>
            <w:noWrap/>
          </w:tcPr>
          <w:p w14:paraId="5E2FBFD8" w14:textId="77777777" w:rsidR="004327DD" w:rsidRPr="00DA22C3" w:rsidRDefault="004327DD" w:rsidP="00032C55">
            <w:pPr>
              <w:jc w:val="center"/>
              <w:rPr>
                <w:rFonts w:ascii="Calibri" w:eastAsia="Times New Roman" w:hAnsi="Calibri" w:cs="Calibri"/>
                <w:color w:val="000000"/>
                <w:lang w:eastAsia="en-GB"/>
              </w:rPr>
            </w:pPr>
            <w:r w:rsidRPr="00DA22C3">
              <w:t>521</w:t>
            </w:r>
          </w:p>
        </w:tc>
        <w:tc>
          <w:tcPr>
            <w:tcW w:w="1559" w:type="dxa"/>
            <w:noWrap/>
          </w:tcPr>
          <w:p w14:paraId="68DF9A42" w14:textId="77777777" w:rsidR="004327DD" w:rsidRPr="00DA22C3" w:rsidRDefault="004327DD" w:rsidP="00032C55">
            <w:pPr>
              <w:jc w:val="center"/>
              <w:rPr>
                <w:rFonts w:ascii="Calibri" w:eastAsia="Times New Roman" w:hAnsi="Calibri" w:cs="Calibri"/>
                <w:color w:val="000000"/>
                <w:lang w:eastAsia="en-GB"/>
              </w:rPr>
            </w:pPr>
            <w:r w:rsidRPr="00DA22C3">
              <w:t>419</w:t>
            </w:r>
          </w:p>
        </w:tc>
        <w:tc>
          <w:tcPr>
            <w:tcW w:w="1418" w:type="dxa"/>
            <w:noWrap/>
          </w:tcPr>
          <w:p w14:paraId="652DB92E" w14:textId="77777777" w:rsidR="004327DD" w:rsidRPr="00DA22C3" w:rsidRDefault="004327DD" w:rsidP="00032C55">
            <w:pPr>
              <w:jc w:val="center"/>
              <w:rPr>
                <w:rFonts w:ascii="Calibri" w:eastAsia="Times New Roman" w:hAnsi="Calibri" w:cs="Calibri"/>
                <w:color w:val="000000"/>
                <w:lang w:eastAsia="en-GB"/>
              </w:rPr>
            </w:pPr>
            <w:r w:rsidRPr="00DA22C3">
              <w:t>82</w:t>
            </w:r>
          </w:p>
        </w:tc>
        <w:tc>
          <w:tcPr>
            <w:tcW w:w="1417" w:type="dxa"/>
            <w:noWrap/>
          </w:tcPr>
          <w:p w14:paraId="2626066F" w14:textId="77777777" w:rsidR="004327DD" w:rsidRPr="00DA22C3" w:rsidRDefault="004327DD" w:rsidP="00032C55">
            <w:pPr>
              <w:jc w:val="center"/>
              <w:rPr>
                <w:rFonts w:ascii="Calibri" w:eastAsia="Times New Roman" w:hAnsi="Calibri" w:cs="Calibri"/>
                <w:color w:val="000000"/>
                <w:lang w:eastAsia="en-GB"/>
              </w:rPr>
            </w:pPr>
            <w:r w:rsidRPr="00DA22C3">
              <w:t>63</w:t>
            </w:r>
          </w:p>
        </w:tc>
      </w:tr>
      <w:tr w:rsidR="004327DD" w:rsidRPr="00DA22C3" w14:paraId="48A54EC2" w14:textId="77777777" w:rsidTr="006D6FDA">
        <w:trPr>
          <w:trHeight w:val="300"/>
        </w:trPr>
        <w:tc>
          <w:tcPr>
            <w:tcW w:w="663" w:type="dxa"/>
            <w:noWrap/>
            <w:hideMark/>
          </w:tcPr>
          <w:p w14:paraId="52F31C07" w14:textId="77777777" w:rsidR="004327DD" w:rsidRPr="00DA22C3" w:rsidRDefault="004327DD" w:rsidP="00032C55">
            <w:pPr>
              <w:jc w:val="center"/>
              <w:rPr>
                <w:rFonts w:ascii="Calibri" w:eastAsia="Times New Roman" w:hAnsi="Calibri" w:cs="Calibri"/>
                <w:color w:val="000000"/>
                <w:lang w:eastAsia="en-GB"/>
              </w:rPr>
            </w:pPr>
            <w:r w:rsidRPr="00DA22C3">
              <w:rPr>
                <w:rFonts w:ascii="Calibri" w:eastAsia="Times New Roman" w:hAnsi="Calibri" w:cs="Calibri"/>
                <w:color w:val="000000"/>
                <w:lang w:eastAsia="en-GB"/>
              </w:rPr>
              <w:t>2022</w:t>
            </w:r>
          </w:p>
        </w:tc>
        <w:tc>
          <w:tcPr>
            <w:tcW w:w="1175" w:type="dxa"/>
            <w:noWrap/>
          </w:tcPr>
          <w:p w14:paraId="53871873" w14:textId="77777777" w:rsidR="004327DD" w:rsidRPr="00DA22C3" w:rsidRDefault="004327DD" w:rsidP="00032C55">
            <w:pPr>
              <w:jc w:val="center"/>
              <w:rPr>
                <w:rFonts w:ascii="Calibri" w:eastAsia="Times New Roman" w:hAnsi="Calibri" w:cs="Calibri"/>
                <w:color w:val="000000"/>
                <w:lang w:eastAsia="en-GB"/>
              </w:rPr>
            </w:pPr>
            <w:r w:rsidRPr="00DA22C3">
              <w:t>570</w:t>
            </w:r>
          </w:p>
        </w:tc>
        <w:tc>
          <w:tcPr>
            <w:tcW w:w="1134" w:type="dxa"/>
            <w:noWrap/>
          </w:tcPr>
          <w:p w14:paraId="00C1E0CD" w14:textId="77777777" w:rsidR="004327DD" w:rsidRPr="00DA22C3" w:rsidRDefault="004327DD" w:rsidP="00032C55">
            <w:pPr>
              <w:jc w:val="center"/>
              <w:rPr>
                <w:rFonts w:ascii="Calibri" w:eastAsia="Times New Roman" w:hAnsi="Calibri" w:cs="Calibri"/>
                <w:color w:val="000000"/>
                <w:lang w:eastAsia="en-GB"/>
              </w:rPr>
            </w:pPr>
            <w:r w:rsidRPr="00DA22C3">
              <w:t>485</w:t>
            </w:r>
          </w:p>
        </w:tc>
        <w:tc>
          <w:tcPr>
            <w:tcW w:w="1276" w:type="dxa"/>
            <w:noWrap/>
          </w:tcPr>
          <w:p w14:paraId="28D9D6F7" w14:textId="77777777" w:rsidR="004327DD" w:rsidRPr="00DA22C3" w:rsidRDefault="004327DD" w:rsidP="00032C55">
            <w:pPr>
              <w:jc w:val="center"/>
              <w:rPr>
                <w:rFonts w:ascii="Calibri" w:eastAsia="Times New Roman" w:hAnsi="Calibri" w:cs="Calibri"/>
                <w:color w:val="000000"/>
                <w:lang w:eastAsia="en-GB"/>
              </w:rPr>
            </w:pPr>
            <w:r w:rsidRPr="00DA22C3">
              <w:t>490</w:t>
            </w:r>
          </w:p>
        </w:tc>
        <w:tc>
          <w:tcPr>
            <w:tcW w:w="1559" w:type="dxa"/>
            <w:noWrap/>
          </w:tcPr>
          <w:p w14:paraId="481887F0" w14:textId="77777777" w:rsidR="004327DD" w:rsidRPr="00DA22C3" w:rsidRDefault="004327DD" w:rsidP="00032C55">
            <w:pPr>
              <w:jc w:val="center"/>
              <w:rPr>
                <w:rFonts w:ascii="Calibri" w:eastAsia="Times New Roman" w:hAnsi="Calibri" w:cs="Calibri"/>
                <w:color w:val="000000"/>
                <w:lang w:eastAsia="en-GB"/>
              </w:rPr>
            </w:pPr>
            <w:r w:rsidRPr="00DA22C3">
              <w:t>434</w:t>
            </w:r>
          </w:p>
        </w:tc>
        <w:tc>
          <w:tcPr>
            <w:tcW w:w="1418" w:type="dxa"/>
            <w:noWrap/>
          </w:tcPr>
          <w:p w14:paraId="7023EF18" w14:textId="77777777" w:rsidR="004327DD" w:rsidRPr="00DA22C3" w:rsidRDefault="004327DD" w:rsidP="00032C55">
            <w:pPr>
              <w:jc w:val="center"/>
              <w:rPr>
                <w:rFonts w:ascii="Calibri" w:eastAsia="Times New Roman" w:hAnsi="Calibri" w:cs="Calibri"/>
                <w:color w:val="000000"/>
                <w:lang w:eastAsia="en-GB"/>
              </w:rPr>
            </w:pPr>
            <w:r w:rsidRPr="00DA22C3">
              <w:t>80</w:t>
            </w:r>
          </w:p>
        </w:tc>
        <w:tc>
          <w:tcPr>
            <w:tcW w:w="1417" w:type="dxa"/>
            <w:noWrap/>
          </w:tcPr>
          <w:p w14:paraId="2D985944" w14:textId="77777777" w:rsidR="004327DD" w:rsidRPr="00DA22C3" w:rsidRDefault="004327DD" w:rsidP="00032C55">
            <w:pPr>
              <w:jc w:val="center"/>
              <w:rPr>
                <w:rFonts w:ascii="Calibri" w:eastAsia="Times New Roman" w:hAnsi="Calibri" w:cs="Calibri"/>
                <w:color w:val="000000"/>
                <w:lang w:eastAsia="en-GB"/>
              </w:rPr>
            </w:pPr>
            <w:r w:rsidRPr="00DA22C3">
              <w:t>51</w:t>
            </w:r>
          </w:p>
        </w:tc>
      </w:tr>
    </w:tbl>
    <w:p w14:paraId="7A7514C8" w14:textId="38CCD29B" w:rsidR="00927738" w:rsidRPr="00DA22C3" w:rsidRDefault="00423D1D" w:rsidP="000C056F">
      <w:pPr>
        <w:pStyle w:val="BlueSubheading"/>
        <w:outlineLvl w:val="0"/>
      </w:pPr>
      <w:r w:rsidRPr="00DA22C3">
        <w:t xml:space="preserve">How </w:t>
      </w:r>
      <w:r w:rsidR="005D4A9F" w:rsidRPr="00DA22C3">
        <w:t xml:space="preserve">will </w:t>
      </w:r>
      <w:r w:rsidR="00B20F07" w:rsidRPr="00DA22C3">
        <w:t xml:space="preserve">this impact </w:t>
      </w:r>
      <w:r w:rsidR="005D4A9F" w:rsidRPr="00DA22C3">
        <w:t xml:space="preserve">Medway </w:t>
      </w:r>
      <w:r w:rsidR="00927738" w:rsidRPr="00DA22C3">
        <w:t>girls</w:t>
      </w:r>
      <w:r w:rsidR="00B20F07" w:rsidRPr="00DA22C3">
        <w:t>?</w:t>
      </w:r>
    </w:p>
    <w:p w14:paraId="52625C54" w14:textId="4FE83A79" w:rsidR="00B20F07" w:rsidRPr="00DA22C3" w:rsidRDefault="00B20F07" w:rsidP="007F6954">
      <w:pPr>
        <w:pStyle w:val="Regulartext"/>
      </w:pPr>
      <w:r w:rsidRPr="00DA22C3">
        <w:t>The outcome of this proposal will mean that more Medway girls will be assessed as grammar and able to attend a Medway grammar school.</w:t>
      </w:r>
    </w:p>
    <w:p w14:paraId="13D8271C" w14:textId="6D6EE55F" w:rsidR="00927738" w:rsidRPr="00DA22C3" w:rsidRDefault="00927738" w:rsidP="007F6954">
      <w:pPr>
        <w:pStyle w:val="Regulartext"/>
      </w:pPr>
      <w:r w:rsidRPr="00DA22C3">
        <w:t xml:space="preserve">Currently there are many more places available for girls than boys. While this means that more girls can attend a selective school overall, it is a disadvantage for girls who live in Medway. The Medway test pass rate is limited by the number of boys places available. This in turn </w:t>
      </w:r>
      <w:r w:rsidR="007C1D3E" w:rsidRPr="00DA22C3">
        <w:t xml:space="preserve">currently </w:t>
      </w:r>
      <w:r w:rsidRPr="00DA22C3">
        <w:t>limits the number of Medway girls who can attend a Medway selective school. By changing to mixed gender more places will be made available for boys, but this will</w:t>
      </w:r>
      <w:r w:rsidR="00D1780B" w:rsidRPr="00DA22C3">
        <w:t xml:space="preserve"> also allow the pass rate to increase, allowing more Medway girls to attend a Medway selective school.</w:t>
      </w:r>
    </w:p>
    <w:p w14:paraId="673DC44D" w14:textId="3A2D1D16" w:rsidR="00D1780B" w:rsidRPr="00DA22C3" w:rsidRDefault="00D1780B" w:rsidP="007F6954">
      <w:pPr>
        <w:pStyle w:val="Regulartext"/>
      </w:pPr>
      <w:r w:rsidRPr="00DA22C3">
        <w:t xml:space="preserve">If </w:t>
      </w:r>
      <w:r w:rsidR="002B0718" w:rsidRPr="00DA22C3">
        <w:t>more</w:t>
      </w:r>
      <w:r w:rsidRPr="00DA22C3">
        <w:t xml:space="preserve"> Medway girls were to pass the Medway test than boys, then they would still be able to attend a </w:t>
      </w:r>
      <w:r w:rsidR="00483440" w:rsidRPr="00DA22C3">
        <w:t xml:space="preserve">Medway </w:t>
      </w:r>
      <w:r w:rsidRPr="00DA22C3">
        <w:t xml:space="preserve">selective school as the </w:t>
      </w:r>
      <w:r w:rsidR="007C1D3E" w:rsidRPr="00DA22C3">
        <w:t xml:space="preserve">mixed </w:t>
      </w:r>
      <w:r w:rsidR="002B0718" w:rsidRPr="00DA22C3">
        <w:t>places</w:t>
      </w:r>
      <w:r w:rsidR="007C1D3E" w:rsidRPr="00DA22C3">
        <w:t xml:space="preserve"> are not limited to a 50/50 split between boys and girls.</w:t>
      </w:r>
      <w:r w:rsidR="00483440" w:rsidRPr="00DA22C3">
        <w:t xml:space="preserve"> Having more mixed places makes the system more flexible. There will still be 205 </w:t>
      </w:r>
      <w:r w:rsidR="00AE3CBD" w:rsidRPr="00DA22C3">
        <w:t>places for girls only at Rochester Grammar School, and 203 places for boys only at Sir Joseph Williamsons Mathematical School.</w:t>
      </w:r>
    </w:p>
    <w:p w14:paraId="6FC1AF81" w14:textId="4BFAA34A" w:rsidR="00C063E6" w:rsidRPr="00DA22C3" w:rsidRDefault="00C063E6" w:rsidP="007F6954">
      <w:pPr>
        <w:pStyle w:val="Regulartext"/>
      </w:pPr>
      <w:r w:rsidRPr="00DA22C3">
        <w:t>For the desired outcome of more Medway boys and girls being able to attend a grammar school than currently do t</w:t>
      </w:r>
      <w:r w:rsidR="008D5D82" w:rsidRPr="00DA22C3">
        <w:t>o</w:t>
      </w:r>
      <w:r w:rsidRPr="00DA22C3">
        <w:t xml:space="preserve"> be realised, </w:t>
      </w:r>
      <w:r w:rsidR="00826028" w:rsidRPr="00DA22C3">
        <w:t>parents</w:t>
      </w:r>
      <w:r w:rsidRPr="00DA22C3">
        <w:t xml:space="preserve"> will need to apply for a place appropriately. </w:t>
      </w:r>
      <w:r w:rsidR="00826028" w:rsidRPr="00DA22C3">
        <w:t>I.E.,</w:t>
      </w:r>
      <w:r w:rsidRPr="00DA22C3">
        <w:t xml:space="preserve"> using </w:t>
      </w:r>
      <w:r w:rsidR="00826028" w:rsidRPr="00DA22C3">
        <w:t>all</w:t>
      </w:r>
      <w:r w:rsidRPr="00DA22C3">
        <w:t xml:space="preserve"> their preferences and not restricting the number of </w:t>
      </w:r>
      <w:r w:rsidR="00826028" w:rsidRPr="00DA22C3">
        <w:t>schools</w:t>
      </w:r>
      <w:r w:rsidRPr="00DA22C3">
        <w:t xml:space="preserve"> nominated on the application form. Parents of boys and girls will have five schools to name on their application form and it is recommended</w:t>
      </w:r>
      <w:r w:rsidR="00826028" w:rsidRPr="00DA22C3">
        <w:t>,</w:t>
      </w:r>
      <w:r w:rsidRPr="00DA22C3">
        <w:t xml:space="preserve"> to ensure a place is offered</w:t>
      </w:r>
      <w:r w:rsidR="00826028" w:rsidRPr="00DA22C3">
        <w:t>,</w:t>
      </w:r>
      <w:r w:rsidRPr="00DA22C3">
        <w:t xml:space="preserve"> that all five are used. </w:t>
      </w:r>
      <w:r w:rsidR="00497682" w:rsidRPr="00DA22C3">
        <w:t xml:space="preserve">Currently girls have four options and boys three. </w:t>
      </w:r>
    </w:p>
    <w:p w14:paraId="5EB46C39" w14:textId="77777777" w:rsidR="007F6954" w:rsidRPr="00DA22C3" w:rsidRDefault="007F6954">
      <w:pPr>
        <w:rPr>
          <w:rFonts w:cs="Arial"/>
          <w:b/>
          <w:color w:val="0046AF"/>
          <w:sz w:val="28"/>
        </w:rPr>
      </w:pPr>
      <w:r w:rsidRPr="00DA22C3">
        <w:br w:type="page"/>
      </w:r>
    </w:p>
    <w:p w14:paraId="74BB4C05" w14:textId="33870AC1" w:rsidR="00554D5B" w:rsidRPr="00DA22C3" w:rsidRDefault="00264CA7" w:rsidP="000C056F">
      <w:pPr>
        <w:pStyle w:val="BlueSubheading"/>
        <w:outlineLvl w:val="0"/>
      </w:pPr>
      <w:r w:rsidRPr="00DA22C3">
        <w:lastRenderedPageBreak/>
        <w:t xml:space="preserve">The </w:t>
      </w:r>
      <w:r w:rsidR="00896133" w:rsidRPr="00DA22C3">
        <w:t>process</w:t>
      </w:r>
    </w:p>
    <w:p w14:paraId="2660CD11" w14:textId="77777777" w:rsidR="00BC1FAA" w:rsidRPr="00DA22C3" w:rsidRDefault="00BC1FAA" w:rsidP="007F6954">
      <w:pPr>
        <w:pStyle w:val="Regulartext"/>
      </w:pPr>
      <w:r w:rsidRPr="00DA22C3">
        <w:t>The Department for Education (DFE) has set out the requirements and processes for making changes to academies in the guidance ‘Making significant changes to an open academy’</w:t>
      </w:r>
    </w:p>
    <w:p w14:paraId="6AA7DCEA" w14:textId="77777777" w:rsidR="00BC1FAA" w:rsidRPr="00DA22C3" w:rsidRDefault="00BF24CF" w:rsidP="00BC1FAA">
      <w:pPr>
        <w:pStyle w:val="Header"/>
        <w:ind w:right="-2"/>
        <w:rPr>
          <w:rFonts w:asciiTheme="minorHAnsi" w:hAnsiTheme="minorHAnsi" w:cstheme="minorHAnsi"/>
        </w:rPr>
      </w:pPr>
      <w:hyperlink r:id="rId9" w:history="1">
        <w:r w:rsidR="00BC1FAA" w:rsidRPr="00DA22C3">
          <w:rPr>
            <w:rStyle w:val="Hyperlink"/>
            <w:rFonts w:asciiTheme="minorHAnsi" w:hAnsiTheme="minorHAnsi" w:cstheme="minorHAnsi"/>
          </w:rPr>
          <w:t>https://www.gov.uk/government/publications/making-significant-changes-to-an-existing-academy</w:t>
        </w:r>
      </w:hyperlink>
    </w:p>
    <w:p w14:paraId="6B910613" w14:textId="77777777" w:rsidR="00BC1FAA" w:rsidRPr="00DA22C3" w:rsidRDefault="00BC1FAA" w:rsidP="007F6954">
      <w:pPr>
        <w:pStyle w:val="Regulartext"/>
      </w:pPr>
      <w:r w:rsidRPr="00DA22C3">
        <w:t>The purpose of the guidance is to ensure that academy trusts do not take decisions that will have a negative impact on other schools in the area, and that changes can be implemented quickly and effectively where there is a strong case for doing so. It is also expected that, where possible, additional new places will only be provided at schools that have an overall Ofsted rating of ‘good’ or ‘outstanding’.</w:t>
      </w:r>
    </w:p>
    <w:p w14:paraId="47046EA2" w14:textId="77777777" w:rsidR="00BC1FAA" w:rsidRPr="00DA22C3" w:rsidRDefault="00BC1FAA" w:rsidP="007F6954">
      <w:pPr>
        <w:pStyle w:val="Regulartext"/>
      </w:pPr>
      <w:r w:rsidRPr="00DA22C3">
        <w:t>The guidance also sets out the processes required to implement this proposal, and this consultation period is the first stage in that process.</w:t>
      </w:r>
    </w:p>
    <w:p w14:paraId="08279ADC" w14:textId="12D4B0D2" w:rsidR="00264CA7" w:rsidRPr="00DA22C3" w:rsidRDefault="00150B53" w:rsidP="007F6954">
      <w:pPr>
        <w:pStyle w:val="Regulartext"/>
        <w:rPr>
          <w:szCs w:val="24"/>
        </w:rPr>
      </w:pPr>
      <w:r w:rsidRPr="00DA22C3">
        <w:rPr>
          <w:szCs w:val="24"/>
        </w:rPr>
        <w:t xml:space="preserve">The three schools are all academies. This means that they must request permission from the Regional Schools Commissioner to make the proposed changes. </w:t>
      </w:r>
      <w:r w:rsidR="00AD78D3" w:rsidRPr="00DA22C3">
        <w:rPr>
          <w:szCs w:val="24"/>
        </w:rPr>
        <w:t>The proposals are being made in partnership with Medway Council and t</w:t>
      </w:r>
      <w:r w:rsidR="008E583E" w:rsidRPr="00DA22C3">
        <w:rPr>
          <w:szCs w:val="24"/>
        </w:rPr>
        <w:t>he Trusts that operate the three schools</w:t>
      </w:r>
      <w:r w:rsidR="00AD78D3" w:rsidRPr="00DA22C3">
        <w:rPr>
          <w:szCs w:val="24"/>
        </w:rPr>
        <w:t>.</w:t>
      </w:r>
      <w:r w:rsidR="00F4193A" w:rsidRPr="00DA22C3">
        <w:rPr>
          <w:szCs w:val="24"/>
        </w:rPr>
        <w:t xml:space="preserve"> </w:t>
      </w:r>
      <w:r w:rsidR="002D5194" w:rsidRPr="00DA22C3">
        <w:rPr>
          <w:szCs w:val="24"/>
        </w:rPr>
        <w:t xml:space="preserve">The trusts </w:t>
      </w:r>
      <w:r w:rsidR="008E583E" w:rsidRPr="00DA22C3">
        <w:rPr>
          <w:szCs w:val="24"/>
        </w:rPr>
        <w:t>have asked the Council to co-ordinate the process.</w:t>
      </w:r>
    </w:p>
    <w:p w14:paraId="18381DFB" w14:textId="356867B0" w:rsidR="00C11584" w:rsidRPr="00DA22C3" w:rsidRDefault="00C11584" w:rsidP="007F6954">
      <w:pPr>
        <w:pStyle w:val="Regulartext"/>
        <w:rPr>
          <w:szCs w:val="24"/>
        </w:rPr>
      </w:pPr>
      <w:r w:rsidRPr="00DA22C3">
        <w:rPr>
          <w:szCs w:val="24"/>
        </w:rPr>
        <w:t xml:space="preserve">This informal consultation is the first step, to gauge </w:t>
      </w:r>
      <w:r w:rsidR="00AD78D3" w:rsidRPr="00DA22C3">
        <w:rPr>
          <w:szCs w:val="24"/>
        </w:rPr>
        <w:t>views on</w:t>
      </w:r>
      <w:r w:rsidRPr="00DA22C3">
        <w:rPr>
          <w:szCs w:val="24"/>
        </w:rPr>
        <w:t xml:space="preserve"> the proposals. </w:t>
      </w:r>
      <w:r w:rsidR="00E31F44" w:rsidRPr="00DA22C3">
        <w:rPr>
          <w:szCs w:val="24"/>
        </w:rPr>
        <w:t xml:space="preserve">If the change is approved for progression by the </w:t>
      </w:r>
      <w:r w:rsidR="00342233" w:rsidRPr="00DA22C3">
        <w:rPr>
          <w:szCs w:val="24"/>
        </w:rPr>
        <w:t>council’s</w:t>
      </w:r>
      <w:r w:rsidR="00E31F44" w:rsidRPr="00DA22C3">
        <w:rPr>
          <w:szCs w:val="24"/>
        </w:rPr>
        <w:t xml:space="preserve"> cabinet, the schools will then need to consult on changes to their admissions arrangements. </w:t>
      </w:r>
      <w:r w:rsidRPr="00DA22C3">
        <w:rPr>
          <w:szCs w:val="24"/>
        </w:rPr>
        <w:t xml:space="preserve">The three schools will then need to submit </w:t>
      </w:r>
      <w:r w:rsidR="00E31F44" w:rsidRPr="00DA22C3">
        <w:rPr>
          <w:szCs w:val="24"/>
        </w:rPr>
        <w:t>individual</w:t>
      </w:r>
      <w:r w:rsidRPr="00DA22C3">
        <w:rPr>
          <w:szCs w:val="24"/>
        </w:rPr>
        <w:t xml:space="preserve"> business case</w:t>
      </w:r>
      <w:r w:rsidR="00E31F44" w:rsidRPr="00DA22C3">
        <w:rPr>
          <w:szCs w:val="24"/>
        </w:rPr>
        <w:t>s</w:t>
      </w:r>
      <w:r w:rsidRPr="00DA22C3">
        <w:rPr>
          <w:szCs w:val="24"/>
        </w:rPr>
        <w:t xml:space="preserve"> to the Regional Schools Commissioner</w:t>
      </w:r>
      <w:r w:rsidR="00821FCE" w:rsidRPr="00DA22C3">
        <w:rPr>
          <w:szCs w:val="24"/>
        </w:rPr>
        <w:t xml:space="preserve">. </w:t>
      </w:r>
    </w:p>
    <w:p w14:paraId="52B1B338" w14:textId="4C51A94D" w:rsidR="00415CDD" w:rsidRPr="00DA22C3" w:rsidRDefault="00415CDD" w:rsidP="007F6954">
      <w:pPr>
        <w:pStyle w:val="Regulartext"/>
        <w:rPr>
          <w:szCs w:val="24"/>
        </w:rPr>
      </w:pPr>
      <w:r w:rsidRPr="00DA22C3">
        <w:rPr>
          <w:szCs w:val="24"/>
        </w:rPr>
        <w:t xml:space="preserve">If the change is </w:t>
      </w:r>
      <w:r w:rsidR="00E31F44" w:rsidRPr="00DA22C3">
        <w:rPr>
          <w:szCs w:val="24"/>
        </w:rPr>
        <w:t xml:space="preserve">formally </w:t>
      </w:r>
      <w:r w:rsidRPr="00DA22C3">
        <w:rPr>
          <w:szCs w:val="24"/>
        </w:rPr>
        <w:t>approved</w:t>
      </w:r>
      <w:r w:rsidR="00E31F44" w:rsidRPr="00DA22C3">
        <w:rPr>
          <w:szCs w:val="24"/>
        </w:rPr>
        <w:t xml:space="preserve"> by the Regional Schools Commissioner</w:t>
      </w:r>
      <w:r w:rsidRPr="00DA22C3">
        <w:rPr>
          <w:szCs w:val="24"/>
        </w:rPr>
        <w:t>, the new admissions arrangements would start from September 2024. The three schools would start accepting boys and girls in Year 7</w:t>
      </w:r>
      <w:r w:rsidR="00C30D7F" w:rsidRPr="00DA22C3">
        <w:rPr>
          <w:szCs w:val="24"/>
        </w:rPr>
        <w:t>, and over time the whole school would become co-educational.</w:t>
      </w:r>
    </w:p>
    <w:p w14:paraId="4A05B5A1" w14:textId="62AD5451" w:rsidR="00C30D7F" w:rsidRPr="00DA22C3" w:rsidRDefault="00C30D7F" w:rsidP="007F6954">
      <w:pPr>
        <w:pStyle w:val="Regulartext"/>
        <w:rPr>
          <w:szCs w:val="24"/>
        </w:rPr>
      </w:pPr>
      <w:r w:rsidRPr="00DA22C3">
        <w:rPr>
          <w:szCs w:val="24"/>
        </w:rPr>
        <w:t xml:space="preserve">The schools may need some physical changes to areas such as toilets and changing rooms. These will be funded through the Council’s Schools Capital Programme. This may include contributions from housing developments </w:t>
      </w:r>
      <w:r w:rsidR="00E6448E" w:rsidRPr="00DA22C3">
        <w:rPr>
          <w:szCs w:val="24"/>
        </w:rPr>
        <w:t>or government grant schemes where available.</w:t>
      </w:r>
      <w:r w:rsidR="00D511CF" w:rsidRPr="00DA22C3">
        <w:rPr>
          <w:szCs w:val="24"/>
        </w:rPr>
        <w:t xml:space="preserve"> Any proposed </w:t>
      </w:r>
      <w:r w:rsidR="00357671" w:rsidRPr="00DA22C3">
        <w:rPr>
          <w:szCs w:val="24"/>
        </w:rPr>
        <w:t>building requirements</w:t>
      </w:r>
      <w:r w:rsidR="00D511CF" w:rsidRPr="00DA22C3">
        <w:rPr>
          <w:szCs w:val="24"/>
        </w:rPr>
        <w:t xml:space="preserve"> will </w:t>
      </w:r>
      <w:r w:rsidR="00FF5F18" w:rsidRPr="00DA22C3">
        <w:rPr>
          <w:szCs w:val="24"/>
        </w:rPr>
        <w:t xml:space="preserve">need to </w:t>
      </w:r>
      <w:r w:rsidR="004105C0" w:rsidRPr="00DA22C3">
        <w:rPr>
          <w:szCs w:val="24"/>
        </w:rPr>
        <w:t>be approved by</w:t>
      </w:r>
      <w:r w:rsidR="00D511CF" w:rsidRPr="00DA22C3">
        <w:rPr>
          <w:szCs w:val="24"/>
        </w:rPr>
        <w:t xml:space="preserve"> the Council’s cabinet</w:t>
      </w:r>
      <w:r w:rsidR="004105C0" w:rsidRPr="00DA22C3">
        <w:rPr>
          <w:szCs w:val="24"/>
        </w:rPr>
        <w:t>.</w:t>
      </w:r>
    </w:p>
    <w:p w14:paraId="55F93CB6" w14:textId="77777777" w:rsidR="006F0C90" w:rsidRPr="00DA22C3" w:rsidRDefault="00350175" w:rsidP="000C056F">
      <w:pPr>
        <w:pStyle w:val="BlueSubheading"/>
        <w:outlineLvl w:val="0"/>
      </w:pPr>
      <w:r w:rsidRPr="00DA22C3">
        <w:t>T</w:t>
      </w:r>
      <w:r w:rsidR="006F0C90" w:rsidRPr="00DA22C3">
        <w:t>he next stages</w:t>
      </w:r>
    </w:p>
    <w:p w14:paraId="559AF1CD" w14:textId="1C0B8724" w:rsidR="00261195" w:rsidRPr="00DA22C3" w:rsidRDefault="00261195" w:rsidP="007F6954">
      <w:pPr>
        <w:pStyle w:val="Regulartext"/>
      </w:pPr>
      <w:r w:rsidRPr="00DA22C3">
        <w:t xml:space="preserve">Following the </w:t>
      </w:r>
      <w:r w:rsidR="00EF4630" w:rsidRPr="00DA22C3">
        <w:t>seven</w:t>
      </w:r>
      <w:r w:rsidRPr="00DA22C3">
        <w:t>-week consultation period, Medway Council’s Children and Young People Overview and Scrutiny Committee may ask to see a report on the responses and comments to this proposal, whic</w:t>
      </w:r>
      <w:r w:rsidR="003D5645" w:rsidRPr="00DA22C3">
        <w:t>h would be presented to them at the next available opportunity</w:t>
      </w:r>
      <w:r w:rsidRPr="00DA22C3">
        <w:t>.</w:t>
      </w:r>
    </w:p>
    <w:p w14:paraId="64072CB0" w14:textId="77777777" w:rsidR="002C3749" w:rsidRPr="00DA22C3" w:rsidRDefault="00261195" w:rsidP="007F6954">
      <w:pPr>
        <w:pStyle w:val="Regulartext"/>
      </w:pPr>
      <w:r w:rsidRPr="00DA22C3">
        <w:t xml:space="preserve">Medway Council’s Cabinet will consider the responses to this consultation and the views of the Overview and Scrutiny Committee. </w:t>
      </w:r>
    </w:p>
    <w:p w14:paraId="5310CC2C" w14:textId="6911FEAC" w:rsidR="002C3749" w:rsidRPr="00DA22C3" w:rsidRDefault="00E055EE" w:rsidP="007F6954">
      <w:pPr>
        <w:pStyle w:val="Regulartext"/>
      </w:pPr>
      <w:r w:rsidRPr="00DA22C3">
        <w:t>Medway Council’s cabinet may agree to fund the proposal and to agree to proceed to the next stage</w:t>
      </w:r>
      <w:r w:rsidR="002C3749" w:rsidRPr="00DA22C3">
        <w:t>, where the three schools will begin their consultation on changes to their admissions arrangements. The schools will then submit the outcomes and a business case to the Regional School Commissioner.</w:t>
      </w:r>
    </w:p>
    <w:p w14:paraId="604DF8B6" w14:textId="17EAAA79" w:rsidR="002C3749" w:rsidRPr="00DA22C3" w:rsidRDefault="002C3749" w:rsidP="007F6954">
      <w:pPr>
        <w:pStyle w:val="Regulartext"/>
      </w:pPr>
      <w:r w:rsidRPr="00DA22C3">
        <w:t xml:space="preserve">The Regional Schools Commissioner will </w:t>
      </w:r>
      <w:r w:rsidR="00782972" w:rsidRPr="00DA22C3">
        <w:t>consider</w:t>
      </w:r>
      <w:r w:rsidRPr="00DA22C3">
        <w:t xml:space="preserve"> the results of the consultation and the business cases when making their decision. If they approve, the schools will become co-educational from 1 September 2024.</w:t>
      </w:r>
    </w:p>
    <w:p w14:paraId="42F2E338" w14:textId="77777777" w:rsidR="007F6954" w:rsidRPr="00DA22C3" w:rsidRDefault="007F6954">
      <w:pPr>
        <w:rPr>
          <w:rFonts w:cs="Arial"/>
          <w:b/>
          <w:color w:val="0046AF"/>
          <w:sz w:val="28"/>
        </w:rPr>
      </w:pPr>
      <w:r w:rsidRPr="00DA22C3">
        <w:br w:type="page"/>
      </w:r>
    </w:p>
    <w:p w14:paraId="02BAAF35" w14:textId="4AA8A5F1" w:rsidR="006F0C90" w:rsidRPr="00DA22C3" w:rsidRDefault="005E4571" w:rsidP="000C056F">
      <w:pPr>
        <w:pStyle w:val="BlueSubheading"/>
        <w:outlineLvl w:val="0"/>
      </w:pPr>
      <w:r w:rsidRPr="00DA22C3">
        <w:lastRenderedPageBreak/>
        <w:t>Next steps</w:t>
      </w:r>
      <w:r w:rsidR="003D5645" w:rsidRPr="00DA22C3">
        <w:t xml:space="preserve"> – </w:t>
      </w:r>
      <w:r w:rsidRPr="00DA22C3">
        <w:t xml:space="preserve">timings </w:t>
      </w:r>
      <w:r w:rsidR="003D5645" w:rsidRPr="00DA22C3">
        <w:t>subject to change as necessary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54"/>
        <w:gridCol w:w="4250"/>
      </w:tblGrid>
      <w:tr w:rsidR="00261195" w:rsidRPr="00DA22C3" w14:paraId="3A46C639" w14:textId="77777777" w:rsidTr="003447DA">
        <w:tc>
          <w:tcPr>
            <w:tcW w:w="5954" w:type="dxa"/>
            <w:vAlign w:val="center"/>
          </w:tcPr>
          <w:p w14:paraId="4EE02380" w14:textId="77777777" w:rsidR="00261195" w:rsidRPr="00DA22C3" w:rsidRDefault="00261195" w:rsidP="00355D77">
            <w:pPr>
              <w:pStyle w:val="Tabletext"/>
              <w:rPr>
                <w:szCs w:val="24"/>
              </w:rPr>
            </w:pPr>
            <w:r w:rsidRPr="00DA22C3">
              <w:rPr>
                <w:szCs w:val="24"/>
              </w:rPr>
              <w:t>Consultation period</w:t>
            </w:r>
          </w:p>
        </w:tc>
        <w:tc>
          <w:tcPr>
            <w:tcW w:w="4250" w:type="dxa"/>
            <w:vAlign w:val="center"/>
          </w:tcPr>
          <w:p w14:paraId="07BEB588" w14:textId="4DEB3357" w:rsidR="00261195" w:rsidRPr="00DA22C3" w:rsidRDefault="001F6239" w:rsidP="00CC282E">
            <w:pPr>
              <w:pStyle w:val="Tabletext"/>
              <w:rPr>
                <w:szCs w:val="24"/>
              </w:rPr>
            </w:pPr>
            <w:r w:rsidRPr="00DA22C3">
              <w:rPr>
                <w:szCs w:val="24"/>
              </w:rPr>
              <w:t>3</w:t>
            </w:r>
            <w:r w:rsidR="00782972" w:rsidRPr="00DA22C3">
              <w:rPr>
                <w:szCs w:val="24"/>
              </w:rPr>
              <w:t xml:space="preserve"> May</w:t>
            </w:r>
            <w:r w:rsidR="00261195" w:rsidRPr="00DA22C3">
              <w:rPr>
                <w:szCs w:val="24"/>
              </w:rPr>
              <w:t xml:space="preserve"> to </w:t>
            </w:r>
            <w:r w:rsidRPr="00DA22C3">
              <w:rPr>
                <w:szCs w:val="24"/>
              </w:rPr>
              <w:t>26</w:t>
            </w:r>
            <w:r w:rsidR="00261195" w:rsidRPr="00DA22C3">
              <w:rPr>
                <w:szCs w:val="24"/>
              </w:rPr>
              <w:t xml:space="preserve"> </w:t>
            </w:r>
            <w:r w:rsidR="00782972" w:rsidRPr="00DA22C3">
              <w:rPr>
                <w:szCs w:val="24"/>
              </w:rPr>
              <w:t>Ju</w:t>
            </w:r>
            <w:r w:rsidRPr="00DA22C3">
              <w:rPr>
                <w:szCs w:val="24"/>
              </w:rPr>
              <w:t>ne</w:t>
            </w:r>
            <w:r w:rsidR="00261195" w:rsidRPr="00DA22C3">
              <w:rPr>
                <w:szCs w:val="24"/>
              </w:rPr>
              <w:t xml:space="preserve"> 20</w:t>
            </w:r>
            <w:r w:rsidR="00782972" w:rsidRPr="00DA22C3">
              <w:rPr>
                <w:szCs w:val="24"/>
              </w:rPr>
              <w:t>22</w:t>
            </w:r>
            <w:r w:rsidR="00261195" w:rsidRPr="00DA22C3">
              <w:rPr>
                <w:szCs w:val="24"/>
              </w:rPr>
              <w:t xml:space="preserve"> </w:t>
            </w:r>
          </w:p>
        </w:tc>
      </w:tr>
      <w:tr w:rsidR="00061E4F" w:rsidRPr="00DA22C3" w14:paraId="52A134E5" w14:textId="77777777" w:rsidTr="003447DA">
        <w:tc>
          <w:tcPr>
            <w:tcW w:w="5954" w:type="dxa"/>
            <w:vAlign w:val="center"/>
          </w:tcPr>
          <w:p w14:paraId="169339F7" w14:textId="77777777" w:rsidR="00061E4F" w:rsidRPr="00DA22C3" w:rsidRDefault="00061E4F" w:rsidP="00355D77">
            <w:pPr>
              <w:pStyle w:val="Tabletext"/>
              <w:rPr>
                <w:szCs w:val="24"/>
              </w:rPr>
            </w:pPr>
            <w:r w:rsidRPr="00DA22C3">
              <w:rPr>
                <w:szCs w:val="24"/>
              </w:rPr>
              <w:t xml:space="preserve">Drop-in session at Holcombe Grammar School </w:t>
            </w:r>
          </w:p>
        </w:tc>
        <w:tc>
          <w:tcPr>
            <w:tcW w:w="4250" w:type="dxa"/>
            <w:vAlign w:val="center"/>
          </w:tcPr>
          <w:p w14:paraId="2923848F" w14:textId="68F801B9" w:rsidR="00061E4F" w:rsidRPr="00DA22C3" w:rsidRDefault="00061E4F" w:rsidP="00CC282E">
            <w:pPr>
              <w:pStyle w:val="Tabletext"/>
              <w:rPr>
                <w:szCs w:val="24"/>
              </w:rPr>
            </w:pPr>
            <w:r>
              <w:rPr>
                <w:szCs w:val="24"/>
              </w:rPr>
              <w:t>18</w:t>
            </w:r>
            <w:r w:rsidRPr="00DA22C3">
              <w:rPr>
                <w:szCs w:val="24"/>
              </w:rPr>
              <w:t xml:space="preserve"> May 2022 4pm to 5pm</w:t>
            </w:r>
          </w:p>
        </w:tc>
      </w:tr>
      <w:tr w:rsidR="000C165A" w:rsidRPr="00DA22C3" w14:paraId="555474C5" w14:textId="77777777" w:rsidTr="003447DA">
        <w:tc>
          <w:tcPr>
            <w:tcW w:w="5954" w:type="dxa"/>
            <w:vAlign w:val="center"/>
          </w:tcPr>
          <w:p w14:paraId="6C365690" w14:textId="7F72E089" w:rsidR="000C165A" w:rsidRPr="00DA22C3" w:rsidRDefault="000C165A" w:rsidP="00355D77">
            <w:pPr>
              <w:pStyle w:val="Tabletext"/>
              <w:rPr>
                <w:szCs w:val="24"/>
              </w:rPr>
            </w:pPr>
            <w:r w:rsidRPr="00DA22C3">
              <w:rPr>
                <w:szCs w:val="24"/>
              </w:rPr>
              <w:t xml:space="preserve">Drop-in session at Fort Pitt Grammar School </w:t>
            </w:r>
          </w:p>
        </w:tc>
        <w:tc>
          <w:tcPr>
            <w:tcW w:w="4250" w:type="dxa"/>
            <w:vAlign w:val="center"/>
          </w:tcPr>
          <w:p w14:paraId="7BA3C89F" w14:textId="61B337C0" w:rsidR="000C165A" w:rsidRPr="00DA22C3" w:rsidRDefault="000C165A" w:rsidP="00CC282E">
            <w:pPr>
              <w:pStyle w:val="Tabletext"/>
              <w:rPr>
                <w:szCs w:val="24"/>
              </w:rPr>
            </w:pPr>
            <w:r w:rsidRPr="00DA22C3">
              <w:rPr>
                <w:szCs w:val="24"/>
              </w:rPr>
              <w:t>24 May 2022 4pm to 5pm</w:t>
            </w:r>
          </w:p>
        </w:tc>
      </w:tr>
      <w:tr w:rsidR="00CE26F9" w:rsidRPr="00DA22C3" w14:paraId="6BB25FA4" w14:textId="77777777" w:rsidTr="003447DA">
        <w:tc>
          <w:tcPr>
            <w:tcW w:w="5954" w:type="dxa"/>
            <w:vAlign w:val="center"/>
          </w:tcPr>
          <w:p w14:paraId="1428ED0A" w14:textId="269B4CCC" w:rsidR="00CE26F9" w:rsidRPr="00DA22C3" w:rsidRDefault="00520B45" w:rsidP="00355D77">
            <w:pPr>
              <w:pStyle w:val="Tabletext"/>
              <w:rPr>
                <w:szCs w:val="24"/>
              </w:rPr>
            </w:pPr>
            <w:r w:rsidRPr="00DA22C3">
              <w:rPr>
                <w:szCs w:val="24"/>
              </w:rPr>
              <w:t>Drop-in session at Chatham Grammar School</w:t>
            </w:r>
          </w:p>
        </w:tc>
        <w:tc>
          <w:tcPr>
            <w:tcW w:w="4250" w:type="dxa"/>
            <w:vAlign w:val="center"/>
          </w:tcPr>
          <w:p w14:paraId="011A5EC5" w14:textId="5494BBDD" w:rsidR="00CE26F9" w:rsidRPr="00DA22C3" w:rsidRDefault="00520B45" w:rsidP="00CC282E">
            <w:pPr>
              <w:pStyle w:val="Tabletext"/>
              <w:rPr>
                <w:szCs w:val="24"/>
              </w:rPr>
            </w:pPr>
            <w:r w:rsidRPr="00DA22C3">
              <w:rPr>
                <w:szCs w:val="24"/>
              </w:rPr>
              <w:t>8 June 2022 4pm to 5pm</w:t>
            </w:r>
          </w:p>
        </w:tc>
      </w:tr>
      <w:tr w:rsidR="00574312" w:rsidRPr="00DA22C3" w14:paraId="00A07EA4" w14:textId="77777777" w:rsidTr="003447DA">
        <w:tc>
          <w:tcPr>
            <w:tcW w:w="5954" w:type="dxa"/>
            <w:vAlign w:val="center"/>
          </w:tcPr>
          <w:p w14:paraId="482F4BCD" w14:textId="77777777" w:rsidR="00574312" w:rsidRPr="00DA22C3" w:rsidRDefault="00574312" w:rsidP="00574312">
            <w:pPr>
              <w:pStyle w:val="Tabletext"/>
              <w:rPr>
                <w:szCs w:val="24"/>
              </w:rPr>
            </w:pPr>
            <w:r w:rsidRPr="00DA22C3">
              <w:rPr>
                <w:szCs w:val="24"/>
              </w:rPr>
              <w:t>Report to Children and Young People Overview and Scrutiny Committee with Outcomes of Consultation</w:t>
            </w:r>
            <w:r w:rsidR="0093065F" w:rsidRPr="00DA22C3">
              <w:rPr>
                <w:szCs w:val="24"/>
              </w:rPr>
              <w:t xml:space="preserve"> if required</w:t>
            </w:r>
          </w:p>
        </w:tc>
        <w:tc>
          <w:tcPr>
            <w:tcW w:w="4250" w:type="dxa"/>
            <w:vAlign w:val="center"/>
          </w:tcPr>
          <w:p w14:paraId="597BE22B" w14:textId="47AE2205" w:rsidR="00574312" w:rsidRPr="00DA22C3" w:rsidRDefault="00782972" w:rsidP="00574312">
            <w:pPr>
              <w:pStyle w:val="Tabletext"/>
              <w:rPr>
                <w:szCs w:val="24"/>
              </w:rPr>
            </w:pPr>
            <w:r w:rsidRPr="00DA22C3">
              <w:rPr>
                <w:szCs w:val="24"/>
              </w:rPr>
              <w:t>28</w:t>
            </w:r>
            <w:r w:rsidR="0093065F" w:rsidRPr="00DA22C3">
              <w:rPr>
                <w:szCs w:val="24"/>
              </w:rPr>
              <w:t xml:space="preserve"> </w:t>
            </w:r>
            <w:r w:rsidRPr="00DA22C3">
              <w:rPr>
                <w:szCs w:val="24"/>
              </w:rPr>
              <w:t>July</w:t>
            </w:r>
            <w:r w:rsidR="00806898" w:rsidRPr="00DA22C3">
              <w:rPr>
                <w:szCs w:val="24"/>
              </w:rPr>
              <w:t xml:space="preserve"> 20</w:t>
            </w:r>
            <w:r w:rsidRPr="00DA22C3">
              <w:rPr>
                <w:szCs w:val="24"/>
              </w:rPr>
              <w:t>22</w:t>
            </w:r>
          </w:p>
        </w:tc>
      </w:tr>
      <w:tr w:rsidR="00574312" w:rsidRPr="00DA22C3" w14:paraId="24FEB68A" w14:textId="77777777" w:rsidTr="003447DA">
        <w:tc>
          <w:tcPr>
            <w:tcW w:w="5954" w:type="dxa"/>
            <w:vAlign w:val="center"/>
          </w:tcPr>
          <w:p w14:paraId="28270616" w14:textId="77777777" w:rsidR="00574312" w:rsidRPr="00DA22C3" w:rsidRDefault="00574312" w:rsidP="00574312">
            <w:pPr>
              <w:pStyle w:val="Tabletext"/>
              <w:rPr>
                <w:szCs w:val="24"/>
              </w:rPr>
            </w:pPr>
            <w:r w:rsidRPr="00DA22C3">
              <w:rPr>
                <w:szCs w:val="24"/>
              </w:rPr>
              <w:t>Report Outcome of Consultation to Cabinet</w:t>
            </w:r>
          </w:p>
        </w:tc>
        <w:tc>
          <w:tcPr>
            <w:tcW w:w="4250" w:type="dxa"/>
            <w:vAlign w:val="center"/>
          </w:tcPr>
          <w:p w14:paraId="7C214FC8" w14:textId="1AB8538C" w:rsidR="00574312" w:rsidRPr="00DA22C3" w:rsidRDefault="00782972" w:rsidP="00574312">
            <w:pPr>
              <w:pStyle w:val="Tabletext"/>
              <w:rPr>
                <w:szCs w:val="24"/>
              </w:rPr>
            </w:pPr>
            <w:r w:rsidRPr="00DA22C3">
              <w:rPr>
                <w:szCs w:val="24"/>
              </w:rPr>
              <w:t>23 August</w:t>
            </w:r>
            <w:r w:rsidR="0093065F" w:rsidRPr="00DA22C3">
              <w:rPr>
                <w:szCs w:val="24"/>
              </w:rPr>
              <w:t xml:space="preserve"> 202</w:t>
            </w:r>
            <w:r w:rsidRPr="00DA22C3">
              <w:rPr>
                <w:szCs w:val="24"/>
              </w:rPr>
              <w:t>2</w:t>
            </w:r>
          </w:p>
        </w:tc>
      </w:tr>
      <w:tr w:rsidR="00574312" w:rsidRPr="00DA22C3" w14:paraId="48DC50BD" w14:textId="77777777" w:rsidTr="003447DA">
        <w:tc>
          <w:tcPr>
            <w:tcW w:w="5954" w:type="dxa"/>
            <w:vAlign w:val="center"/>
          </w:tcPr>
          <w:p w14:paraId="5AAD8633" w14:textId="44B7B354" w:rsidR="00574312" w:rsidRPr="00DA22C3" w:rsidRDefault="00782972" w:rsidP="00574312">
            <w:pPr>
              <w:pStyle w:val="Tabletext"/>
              <w:rPr>
                <w:szCs w:val="24"/>
              </w:rPr>
            </w:pPr>
            <w:r w:rsidRPr="00DA22C3">
              <w:rPr>
                <w:szCs w:val="24"/>
              </w:rPr>
              <w:t>Consultation on admissions arrangements</w:t>
            </w:r>
          </w:p>
        </w:tc>
        <w:tc>
          <w:tcPr>
            <w:tcW w:w="4250" w:type="dxa"/>
            <w:vAlign w:val="center"/>
          </w:tcPr>
          <w:p w14:paraId="4E0249F6" w14:textId="1296180B" w:rsidR="00574312" w:rsidRPr="00DA22C3" w:rsidRDefault="00782972" w:rsidP="0093065F">
            <w:pPr>
              <w:pStyle w:val="Tabletext"/>
              <w:rPr>
                <w:szCs w:val="24"/>
              </w:rPr>
            </w:pPr>
            <w:r w:rsidRPr="00DA22C3">
              <w:rPr>
                <w:szCs w:val="24"/>
              </w:rPr>
              <w:t>6 weeks starting October 2022</w:t>
            </w:r>
          </w:p>
        </w:tc>
      </w:tr>
      <w:tr w:rsidR="00574312" w:rsidRPr="00DA22C3" w14:paraId="74E0A831" w14:textId="77777777" w:rsidTr="003447DA">
        <w:tc>
          <w:tcPr>
            <w:tcW w:w="5954" w:type="dxa"/>
            <w:vAlign w:val="center"/>
          </w:tcPr>
          <w:p w14:paraId="47122B7E" w14:textId="4820D7A5" w:rsidR="00574312" w:rsidRPr="00DA22C3" w:rsidRDefault="00782972" w:rsidP="00574312">
            <w:pPr>
              <w:pStyle w:val="Tabletext"/>
              <w:rPr>
                <w:szCs w:val="24"/>
              </w:rPr>
            </w:pPr>
            <w:r w:rsidRPr="00DA22C3">
              <w:rPr>
                <w:szCs w:val="24"/>
              </w:rPr>
              <w:t>Schools submit business case to RSC</w:t>
            </w:r>
          </w:p>
        </w:tc>
        <w:tc>
          <w:tcPr>
            <w:tcW w:w="4250" w:type="dxa"/>
            <w:vAlign w:val="center"/>
          </w:tcPr>
          <w:p w14:paraId="1F1B4988" w14:textId="097153CE" w:rsidR="00574312" w:rsidRPr="00DA22C3" w:rsidRDefault="00782972" w:rsidP="00F70F50">
            <w:pPr>
              <w:pStyle w:val="Tabletext"/>
              <w:rPr>
                <w:szCs w:val="24"/>
              </w:rPr>
            </w:pPr>
            <w:r w:rsidRPr="00DA22C3">
              <w:rPr>
                <w:szCs w:val="24"/>
              </w:rPr>
              <w:t>December 2022/ January 2023</w:t>
            </w:r>
          </w:p>
        </w:tc>
      </w:tr>
      <w:tr w:rsidR="00574312" w:rsidRPr="00DA22C3" w14:paraId="7A01839C" w14:textId="77777777" w:rsidTr="003447DA">
        <w:tc>
          <w:tcPr>
            <w:tcW w:w="5954" w:type="dxa"/>
            <w:vAlign w:val="center"/>
          </w:tcPr>
          <w:p w14:paraId="69A14C12" w14:textId="7D99FC8E" w:rsidR="00574312" w:rsidRPr="00DA22C3" w:rsidRDefault="003447DA" w:rsidP="003447DA">
            <w:pPr>
              <w:pStyle w:val="Tabletext"/>
              <w:rPr>
                <w:szCs w:val="24"/>
              </w:rPr>
            </w:pPr>
            <w:r w:rsidRPr="00DA22C3">
              <w:rPr>
                <w:szCs w:val="24"/>
              </w:rPr>
              <w:t xml:space="preserve">Formal </w:t>
            </w:r>
            <w:r w:rsidR="001C68C4">
              <w:rPr>
                <w:szCs w:val="24"/>
              </w:rPr>
              <w:t>i</w:t>
            </w:r>
            <w:r w:rsidRPr="00DA22C3">
              <w:rPr>
                <w:szCs w:val="24"/>
              </w:rPr>
              <w:t xml:space="preserve">mplementation of </w:t>
            </w:r>
            <w:r w:rsidR="00574312" w:rsidRPr="00DA22C3">
              <w:rPr>
                <w:szCs w:val="24"/>
              </w:rPr>
              <w:t>proposals if approved</w:t>
            </w:r>
          </w:p>
        </w:tc>
        <w:tc>
          <w:tcPr>
            <w:tcW w:w="4250" w:type="dxa"/>
            <w:vAlign w:val="center"/>
          </w:tcPr>
          <w:p w14:paraId="6BF03A82" w14:textId="61B9F90A" w:rsidR="00574312" w:rsidRPr="00DA22C3" w:rsidRDefault="00806898" w:rsidP="00574312">
            <w:pPr>
              <w:pStyle w:val="Tabletext"/>
              <w:rPr>
                <w:szCs w:val="24"/>
              </w:rPr>
            </w:pPr>
            <w:r w:rsidRPr="00DA22C3">
              <w:rPr>
                <w:szCs w:val="24"/>
              </w:rPr>
              <w:t>1 September 202</w:t>
            </w:r>
            <w:r w:rsidR="00782972" w:rsidRPr="00DA22C3">
              <w:rPr>
                <w:szCs w:val="24"/>
              </w:rPr>
              <w:t>4</w:t>
            </w:r>
          </w:p>
        </w:tc>
      </w:tr>
    </w:tbl>
    <w:p w14:paraId="03809EA5" w14:textId="77777777" w:rsidR="006F0C90" w:rsidRPr="00DA22C3" w:rsidRDefault="00970B54" w:rsidP="00F70F50">
      <w:pPr>
        <w:pStyle w:val="Explanationbox"/>
      </w:pPr>
      <w:r w:rsidRPr="00DA22C3">
        <w:t>No decisions will be made until the consultation has been completed and local views have been carefully considered.</w:t>
      </w:r>
    </w:p>
    <w:p w14:paraId="7852C40E" w14:textId="77777777" w:rsidR="00550A09" w:rsidRPr="00DA22C3" w:rsidRDefault="00550A09">
      <w:pPr>
        <w:rPr>
          <w:rFonts w:ascii="Arial" w:hAnsi="Arial" w:cs="Arial"/>
          <w:b/>
          <w:color w:val="0046AF"/>
          <w:sz w:val="28"/>
        </w:rPr>
      </w:pPr>
      <w:r w:rsidRPr="00DA22C3">
        <w:br w:type="page"/>
      </w:r>
    </w:p>
    <w:p w14:paraId="1A383C0F" w14:textId="77777777" w:rsidR="00970B54" w:rsidRPr="00DA22C3" w:rsidRDefault="00D84882" w:rsidP="000C056F">
      <w:pPr>
        <w:pStyle w:val="BlueSubheading"/>
        <w:outlineLvl w:val="0"/>
      </w:pPr>
      <w:r w:rsidRPr="00DA22C3">
        <w:lastRenderedPageBreak/>
        <w:t>How to make comments</w:t>
      </w:r>
    </w:p>
    <w:p w14:paraId="7A64BF5F" w14:textId="77777777" w:rsidR="00D84882" w:rsidRPr="00DA22C3" w:rsidRDefault="00D84882" w:rsidP="00261195">
      <w:pPr>
        <w:pStyle w:val="Regulartext"/>
      </w:pPr>
      <w:r w:rsidRPr="00DA22C3">
        <w:t>We would like to hear your views on these proposals.</w:t>
      </w:r>
    </w:p>
    <w:p w14:paraId="060E9AFF" w14:textId="6C53A4CA" w:rsidR="00D84882" w:rsidRPr="00DA22C3" w:rsidRDefault="00D84882" w:rsidP="00261195">
      <w:pPr>
        <w:pStyle w:val="Regulartext"/>
      </w:pPr>
      <w:r w:rsidRPr="00DA22C3">
        <w:t xml:space="preserve">Email your comments to </w:t>
      </w:r>
      <w:hyperlink r:id="rId10" w:history="1">
        <w:r w:rsidR="00050736" w:rsidRPr="00DA22C3">
          <w:rPr>
            <w:rStyle w:val="Hyperlink"/>
          </w:rPr>
          <w:t>prim.reorg@medway.gov.uk</w:t>
        </w:r>
      </w:hyperlink>
    </w:p>
    <w:p w14:paraId="795CE94C" w14:textId="0423BF6C" w:rsidR="00D84882" w:rsidRPr="00DA22C3" w:rsidRDefault="00DC4159" w:rsidP="00261195">
      <w:pPr>
        <w:pStyle w:val="Regulartext"/>
      </w:pPr>
      <w:r w:rsidRPr="00DA22C3">
        <w:t>Alternatively,</w:t>
      </w:r>
      <w:r w:rsidR="00D84882" w:rsidRPr="00DA22C3">
        <w:t xml:space="preserve"> you can hand the form below to the school office</w:t>
      </w:r>
      <w:r w:rsidR="00983813" w:rsidRPr="00DA22C3">
        <w:t xml:space="preserve"> at Chatham Grammar, Fort Pitt Grammar, or Holcombe Grammar,</w:t>
      </w:r>
      <w:r w:rsidR="00D84882" w:rsidRPr="00DA22C3">
        <w:t xml:space="preserve"> or send it to:</w:t>
      </w:r>
      <w:r w:rsidR="00550A09" w:rsidRPr="00DA22C3">
        <w:t xml:space="preserve"> </w:t>
      </w:r>
      <w:r w:rsidR="00D84882" w:rsidRPr="00DA22C3">
        <w:rPr>
          <w:b/>
        </w:rPr>
        <w:t>FREEPOST RRUY-ZBTJ-CZZC, School Organisation, Medway Council, Gun Wharf, Dock Road, Chatham ME4 4TR</w:t>
      </w:r>
    </w:p>
    <w:p w14:paraId="7C6EFF71" w14:textId="7055025A" w:rsidR="00D84882" w:rsidRPr="00DA22C3" w:rsidRDefault="00713568" w:rsidP="00D80EEF">
      <w:pPr>
        <w:pStyle w:val="Regulartext"/>
      </w:pPr>
      <w:r w:rsidRPr="00DA22C3">
        <w:t>Unfortunately,</w:t>
      </w:r>
      <w:r w:rsidR="00D84882" w:rsidRPr="00DA22C3">
        <w:t xml:space="preserve"> it will not be possible to acknowledge receipt.</w:t>
      </w:r>
      <w:r w:rsidR="00D80EEF" w:rsidRPr="00DA22C3">
        <w:t xml:space="preserve"> A copy of our privacy notice can be found at </w:t>
      </w:r>
      <w:hyperlink r:id="rId11" w:history="1">
        <w:r w:rsidR="00D80EEF" w:rsidRPr="005B2088">
          <w:rPr>
            <w:rStyle w:val="Hyperlink"/>
          </w:rPr>
          <w:t>www.medway.gov.uk/privacynotice</w:t>
        </w:r>
      </w:hyperlink>
    </w:p>
    <w:p w14:paraId="494A958D" w14:textId="7845DC5C" w:rsidR="00D84882" w:rsidRPr="00DA22C3" w:rsidRDefault="00D84882" w:rsidP="00261195">
      <w:pPr>
        <w:pStyle w:val="Regulartext"/>
      </w:pPr>
      <w:r w:rsidRPr="00DA22C3">
        <w:t xml:space="preserve">All responses must be received by </w:t>
      </w:r>
      <w:r w:rsidR="00BC3545" w:rsidRPr="00DA22C3">
        <w:rPr>
          <w:b/>
        </w:rPr>
        <w:t xml:space="preserve">Sunday </w:t>
      </w:r>
      <w:r w:rsidR="001F6239" w:rsidRPr="00DA22C3">
        <w:rPr>
          <w:b/>
        </w:rPr>
        <w:t>26</w:t>
      </w:r>
      <w:r w:rsidRPr="00DA22C3">
        <w:rPr>
          <w:b/>
        </w:rPr>
        <w:t xml:space="preserve"> </w:t>
      </w:r>
      <w:r w:rsidR="00FC4410" w:rsidRPr="00DA22C3">
        <w:rPr>
          <w:b/>
        </w:rPr>
        <w:t>Ju</w:t>
      </w:r>
      <w:r w:rsidR="001F6239" w:rsidRPr="00DA22C3">
        <w:rPr>
          <w:b/>
        </w:rPr>
        <w:t>ne</w:t>
      </w:r>
      <w:r w:rsidRPr="00DA22C3">
        <w:rPr>
          <w:b/>
        </w:rPr>
        <w:t xml:space="preserve"> 20</w:t>
      </w:r>
      <w:r w:rsidR="00FC4410" w:rsidRPr="00DA22C3">
        <w:rPr>
          <w:b/>
        </w:rPr>
        <w:t>22</w:t>
      </w:r>
      <w:r w:rsidRPr="00DA22C3">
        <w:rPr>
          <w:b/>
        </w:rPr>
        <w:t>.</w:t>
      </w:r>
    </w:p>
    <w:p w14:paraId="4D5813AB" w14:textId="77777777" w:rsidR="00D84882" w:rsidRPr="00DA22C3" w:rsidRDefault="00D84882" w:rsidP="00261195">
      <w:pPr>
        <w:pStyle w:val="Regulartext"/>
      </w:pPr>
      <w:r w:rsidRPr="00DA22C3">
        <w:t>It would be helpful to have the following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9104"/>
      </w:tblGrid>
      <w:tr w:rsidR="009C3F3E" w:rsidRPr="00DA22C3" w14:paraId="1E9F3135" w14:textId="77777777" w:rsidTr="005D4A9F">
        <w:trPr>
          <w:trHeight w:val="375"/>
        </w:trPr>
        <w:tc>
          <w:tcPr>
            <w:tcW w:w="1101" w:type="dxa"/>
            <w:vAlign w:val="bottom"/>
          </w:tcPr>
          <w:p w14:paraId="46F771F8" w14:textId="77777777" w:rsidR="009C3F3E" w:rsidRPr="00DA22C3" w:rsidRDefault="009C3F3E" w:rsidP="00261195">
            <w:pPr>
              <w:pStyle w:val="Tabletext"/>
            </w:pPr>
            <w:r w:rsidRPr="00DA22C3">
              <w:t>Name</w:t>
            </w:r>
          </w:p>
        </w:tc>
        <w:tc>
          <w:tcPr>
            <w:tcW w:w="9213" w:type="dxa"/>
            <w:tcBorders>
              <w:bottom w:val="dashed" w:sz="4" w:space="0" w:color="auto"/>
            </w:tcBorders>
          </w:tcPr>
          <w:p w14:paraId="1DDC11AF" w14:textId="77777777" w:rsidR="009C3F3E" w:rsidRPr="00DA22C3" w:rsidRDefault="009C3F3E" w:rsidP="00261195">
            <w:pPr>
              <w:pStyle w:val="Regulartext"/>
            </w:pPr>
          </w:p>
        </w:tc>
      </w:tr>
      <w:tr w:rsidR="009C3F3E" w:rsidRPr="00DA22C3" w14:paraId="4B76B482" w14:textId="77777777" w:rsidTr="00530AA2">
        <w:trPr>
          <w:trHeight w:val="440"/>
        </w:trPr>
        <w:tc>
          <w:tcPr>
            <w:tcW w:w="1101" w:type="dxa"/>
            <w:vAlign w:val="bottom"/>
          </w:tcPr>
          <w:p w14:paraId="5C2F6E6E" w14:textId="77777777" w:rsidR="009C3F3E" w:rsidRPr="00DA22C3" w:rsidRDefault="009C3F3E" w:rsidP="00261195">
            <w:pPr>
              <w:pStyle w:val="Tabletext"/>
            </w:pPr>
            <w:r w:rsidRPr="00DA22C3">
              <w:t>Address</w:t>
            </w:r>
          </w:p>
        </w:tc>
        <w:tc>
          <w:tcPr>
            <w:tcW w:w="9213" w:type="dxa"/>
            <w:tcBorders>
              <w:top w:val="dashed" w:sz="4" w:space="0" w:color="auto"/>
              <w:bottom w:val="dashed" w:sz="4" w:space="0" w:color="auto"/>
            </w:tcBorders>
          </w:tcPr>
          <w:p w14:paraId="22AC6A4C" w14:textId="77777777" w:rsidR="009C3F3E" w:rsidRPr="00DA22C3" w:rsidRDefault="009C3F3E" w:rsidP="00261195">
            <w:pPr>
              <w:pStyle w:val="Regulartext"/>
            </w:pPr>
          </w:p>
        </w:tc>
      </w:tr>
      <w:tr w:rsidR="009C3F3E" w:rsidRPr="00DA22C3" w14:paraId="6354133E" w14:textId="77777777" w:rsidTr="00AD735D">
        <w:trPr>
          <w:trHeight w:val="407"/>
        </w:trPr>
        <w:tc>
          <w:tcPr>
            <w:tcW w:w="1101" w:type="dxa"/>
            <w:vAlign w:val="center"/>
          </w:tcPr>
          <w:p w14:paraId="23F7C355" w14:textId="77777777" w:rsidR="009C3F3E" w:rsidRPr="00DA22C3" w:rsidRDefault="009C3F3E" w:rsidP="00261195">
            <w:pPr>
              <w:pStyle w:val="Tabletext"/>
            </w:pPr>
          </w:p>
        </w:tc>
        <w:tc>
          <w:tcPr>
            <w:tcW w:w="9213" w:type="dxa"/>
            <w:tcBorders>
              <w:top w:val="dashed" w:sz="4" w:space="0" w:color="auto"/>
              <w:bottom w:val="dashed" w:sz="4" w:space="0" w:color="auto"/>
            </w:tcBorders>
          </w:tcPr>
          <w:p w14:paraId="730D6121" w14:textId="77777777" w:rsidR="009C3F3E" w:rsidRPr="00DA22C3" w:rsidRDefault="009C3F3E" w:rsidP="00261195">
            <w:pPr>
              <w:pStyle w:val="Regulartext"/>
            </w:pPr>
          </w:p>
        </w:tc>
      </w:tr>
    </w:tbl>
    <w:tbl>
      <w:tblPr>
        <w:tblStyle w:val="TableGrid"/>
        <w:tblpPr w:leftFromText="180" w:rightFromText="180" w:vertAnchor="text" w:horzAnchor="margin" w:tblpXSpec="right" w:tblpY="303"/>
        <w:tblW w:w="0" w:type="auto"/>
        <w:tblLook w:val="04A0" w:firstRow="1" w:lastRow="0" w:firstColumn="1" w:lastColumn="0" w:noHBand="0" w:noVBand="1"/>
      </w:tblPr>
      <w:tblGrid>
        <w:gridCol w:w="534"/>
        <w:gridCol w:w="3685"/>
        <w:gridCol w:w="605"/>
        <w:gridCol w:w="2869"/>
      </w:tblGrid>
      <w:tr w:rsidR="00AD735D" w:rsidRPr="00DA22C3" w14:paraId="3986B3E0" w14:textId="77777777" w:rsidTr="0019227D">
        <w:tc>
          <w:tcPr>
            <w:tcW w:w="534" w:type="dxa"/>
            <w:vAlign w:val="center"/>
          </w:tcPr>
          <w:p w14:paraId="2B730CDD" w14:textId="77777777" w:rsidR="00AD735D" w:rsidRPr="00DA22C3" w:rsidRDefault="00AD735D" w:rsidP="0019227D">
            <w:pPr>
              <w:pStyle w:val="Regulartext"/>
              <w:jc w:val="center"/>
            </w:pPr>
          </w:p>
        </w:tc>
        <w:tc>
          <w:tcPr>
            <w:tcW w:w="3685" w:type="dxa"/>
            <w:tcBorders>
              <w:top w:val="nil"/>
              <w:bottom w:val="nil"/>
            </w:tcBorders>
            <w:vAlign w:val="center"/>
          </w:tcPr>
          <w:p w14:paraId="77C13DDE" w14:textId="77777777" w:rsidR="00AD735D" w:rsidRPr="00DA22C3" w:rsidRDefault="00AD735D" w:rsidP="00261195">
            <w:pPr>
              <w:pStyle w:val="Tabletext"/>
            </w:pPr>
            <w:r w:rsidRPr="00DA22C3">
              <w:t>Parent/ guardian</w:t>
            </w:r>
          </w:p>
        </w:tc>
        <w:tc>
          <w:tcPr>
            <w:tcW w:w="605" w:type="dxa"/>
            <w:vAlign w:val="center"/>
          </w:tcPr>
          <w:p w14:paraId="4B6F67B5" w14:textId="77777777" w:rsidR="00AD735D" w:rsidRPr="00DA22C3" w:rsidRDefault="00AD735D" w:rsidP="0019227D">
            <w:pPr>
              <w:pStyle w:val="Tabletext"/>
              <w:jc w:val="center"/>
            </w:pPr>
          </w:p>
        </w:tc>
        <w:tc>
          <w:tcPr>
            <w:tcW w:w="2869" w:type="dxa"/>
            <w:tcBorders>
              <w:top w:val="nil"/>
              <w:bottom w:val="nil"/>
              <w:right w:val="nil"/>
            </w:tcBorders>
            <w:vAlign w:val="center"/>
          </w:tcPr>
          <w:p w14:paraId="0BEA608D" w14:textId="77777777" w:rsidR="00AD735D" w:rsidRPr="00DA22C3" w:rsidRDefault="00AD735D" w:rsidP="00261195">
            <w:pPr>
              <w:pStyle w:val="Tabletext"/>
            </w:pPr>
            <w:r w:rsidRPr="00DA22C3">
              <w:t>Governor</w:t>
            </w:r>
          </w:p>
        </w:tc>
      </w:tr>
      <w:tr w:rsidR="00AD735D" w:rsidRPr="00DA22C3" w14:paraId="1096A688" w14:textId="77777777" w:rsidTr="000E1DA7">
        <w:tc>
          <w:tcPr>
            <w:tcW w:w="534" w:type="dxa"/>
            <w:vAlign w:val="center"/>
          </w:tcPr>
          <w:p w14:paraId="7FAF6A1E" w14:textId="77777777" w:rsidR="00AD735D" w:rsidRPr="00DA22C3" w:rsidRDefault="00AD735D" w:rsidP="0019227D">
            <w:pPr>
              <w:pStyle w:val="Regulartext"/>
              <w:jc w:val="center"/>
            </w:pPr>
          </w:p>
        </w:tc>
        <w:tc>
          <w:tcPr>
            <w:tcW w:w="3685" w:type="dxa"/>
            <w:tcBorders>
              <w:top w:val="nil"/>
              <w:bottom w:val="nil"/>
            </w:tcBorders>
            <w:vAlign w:val="center"/>
          </w:tcPr>
          <w:p w14:paraId="078707A0" w14:textId="77777777" w:rsidR="00AD735D" w:rsidRPr="00DA22C3" w:rsidRDefault="00AD735D" w:rsidP="00261195">
            <w:pPr>
              <w:pStyle w:val="Tabletext"/>
            </w:pPr>
            <w:r w:rsidRPr="00DA22C3">
              <w:t>Member of staff</w:t>
            </w:r>
          </w:p>
        </w:tc>
        <w:tc>
          <w:tcPr>
            <w:tcW w:w="605" w:type="dxa"/>
            <w:tcBorders>
              <w:bottom w:val="single" w:sz="4" w:space="0" w:color="auto"/>
            </w:tcBorders>
            <w:vAlign w:val="center"/>
          </w:tcPr>
          <w:p w14:paraId="623C2904" w14:textId="77777777" w:rsidR="00AD735D" w:rsidRPr="00DA22C3" w:rsidRDefault="00AD735D" w:rsidP="0019227D">
            <w:pPr>
              <w:pStyle w:val="Tabletext"/>
              <w:jc w:val="center"/>
            </w:pPr>
          </w:p>
        </w:tc>
        <w:tc>
          <w:tcPr>
            <w:tcW w:w="2869" w:type="dxa"/>
            <w:tcBorders>
              <w:top w:val="nil"/>
              <w:bottom w:val="nil"/>
              <w:right w:val="nil"/>
            </w:tcBorders>
            <w:vAlign w:val="center"/>
          </w:tcPr>
          <w:p w14:paraId="38FE5885" w14:textId="7D09C584" w:rsidR="00AD735D" w:rsidRPr="00DA22C3" w:rsidRDefault="001C5B69" w:rsidP="00261195">
            <w:pPr>
              <w:pStyle w:val="Tabletext"/>
            </w:pPr>
            <w:r w:rsidRPr="00DA22C3">
              <w:t>Medway</w:t>
            </w:r>
            <w:r w:rsidR="00AD735D" w:rsidRPr="00DA22C3">
              <w:t xml:space="preserve"> Resident</w:t>
            </w:r>
          </w:p>
        </w:tc>
      </w:tr>
      <w:tr w:rsidR="00AD735D" w:rsidRPr="00DA22C3" w14:paraId="66E521CB" w14:textId="77777777" w:rsidTr="000E1DA7">
        <w:tc>
          <w:tcPr>
            <w:tcW w:w="534" w:type="dxa"/>
            <w:vAlign w:val="center"/>
          </w:tcPr>
          <w:p w14:paraId="7E7F7C6E" w14:textId="77777777" w:rsidR="00AD735D" w:rsidRPr="00DA22C3" w:rsidRDefault="00AD735D" w:rsidP="0019227D">
            <w:pPr>
              <w:pStyle w:val="Regulartext"/>
              <w:jc w:val="center"/>
            </w:pPr>
          </w:p>
        </w:tc>
        <w:tc>
          <w:tcPr>
            <w:tcW w:w="3685" w:type="dxa"/>
            <w:tcBorders>
              <w:top w:val="nil"/>
              <w:bottom w:val="nil"/>
              <w:right w:val="single" w:sz="4" w:space="0" w:color="auto"/>
            </w:tcBorders>
            <w:vAlign w:val="center"/>
          </w:tcPr>
          <w:p w14:paraId="7BD57DAC" w14:textId="77777777" w:rsidR="00AD735D" w:rsidRPr="00DA22C3" w:rsidRDefault="00AD735D" w:rsidP="00261195">
            <w:pPr>
              <w:pStyle w:val="Tabletext"/>
            </w:pPr>
            <w:r w:rsidRPr="00DA22C3">
              <w:t>None of the above (please specify)</w:t>
            </w:r>
          </w:p>
        </w:tc>
        <w:tc>
          <w:tcPr>
            <w:tcW w:w="605" w:type="dxa"/>
            <w:tcBorders>
              <w:left w:val="single" w:sz="4" w:space="0" w:color="auto"/>
              <w:bottom w:val="single" w:sz="4" w:space="0" w:color="auto"/>
              <w:right w:val="single" w:sz="4" w:space="0" w:color="auto"/>
            </w:tcBorders>
            <w:vAlign w:val="center"/>
          </w:tcPr>
          <w:p w14:paraId="4843171C" w14:textId="77777777" w:rsidR="00AD735D" w:rsidRPr="00DA22C3" w:rsidRDefault="00AD735D" w:rsidP="007F6954">
            <w:pPr>
              <w:pStyle w:val="Tabletext"/>
              <w:jc w:val="center"/>
            </w:pPr>
          </w:p>
        </w:tc>
        <w:tc>
          <w:tcPr>
            <w:tcW w:w="2869" w:type="dxa"/>
            <w:tcBorders>
              <w:top w:val="nil"/>
              <w:left w:val="single" w:sz="4" w:space="0" w:color="auto"/>
              <w:bottom w:val="nil"/>
              <w:right w:val="nil"/>
            </w:tcBorders>
            <w:vAlign w:val="center"/>
          </w:tcPr>
          <w:p w14:paraId="50DA6F1A" w14:textId="4E0AE76B" w:rsidR="00AD735D" w:rsidRPr="00DA22C3" w:rsidRDefault="000E1DA7" w:rsidP="00261195">
            <w:pPr>
              <w:pStyle w:val="Tabletext"/>
            </w:pPr>
            <w:r w:rsidRPr="00DA22C3">
              <w:t>Non-Medway</w:t>
            </w:r>
            <w:r w:rsidR="001C5B69" w:rsidRPr="00DA22C3">
              <w:t xml:space="preserve"> resident</w:t>
            </w:r>
          </w:p>
        </w:tc>
      </w:tr>
    </w:tbl>
    <w:p w14:paraId="7F4E516B" w14:textId="2828031A" w:rsidR="009C3F3E" w:rsidRPr="00DA22C3" w:rsidRDefault="00E5197F" w:rsidP="00261195">
      <w:pPr>
        <w:pStyle w:val="Regulartext"/>
      </w:pPr>
      <w:r w:rsidRPr="00DA22C3">
        <w:t xml:space="preserve">I am </w:t>
      </w:r>
      <w:r w:rsidR="0031111C" w:rsidRPr="00DA22C3">
        <w:t xml:space="preserve">a </w:t>
      </w:r>
      <w:r w:rsidRPr="00DA22C3">
        <w:t>(please tick</w:t>
      </w:r>
      <w:r w:rsidR="001C5B69" w:rsidRPr="00DA22C3">
        <w:t xml:space="preserve"> all that apply</w:t>
      </w:r>
      <w:r w:rsidRPr="00DA22C3">
        <w:t>)</w:t>
      </w:r>
    </w:p>
    <w:p w14:paraId="7A966C8E" w14:textId="77777777" w:rsidR="00AD735D" w:rsidRPr="00DA22C3" w:rsidRDefault="00AD735D" w:rsidP="00261195">
      <w:pPr>
        <w:pStyle w:val="Regulartext"/>
      </w:pPr>
    </w:p>
    <w:p w14:paraId="77CF78FF" w14:textId="77777777" w:rsidR="00AD735D" w:rsidRPr="00DA22C3" w:rsidRDefault="00AD735D" w:rsidP="00261195">
      <w:pPr>
        <w:pStyle w:val="Regulartext"/>
      </w:pPr>
    </w:p>
    <w:p w14:paraId="770ACB2E" w14:textId="56BC59C5" w:rsidR="00E5197F" w:rsidRPr="00DA22C3" w:rsidRDefault="00E5197F" w:rsidP="00261195">
      <w:pPr>
        <w:pStyle w:val="Regulartext"/>
      </w:pPr>
      <w:proofErr w:type="gramStart"/>
      <w:r w:rsidRPr="00DA22C3">
        <w:t>With regard to</w:t>
      </w:r>
      <w:proofErr w:type="gramEnd"/>
      <w:r w:rsidRPr="00DA22C3">
        <w:t xml:space="preserve"> the proposal </w:t>
      </w:r>
      <w:r w:rsidR="00FC4410" w:rsidRPr="00DA22C3">
        <w:t>to change Chatham</w:t>
      </w:r>
      <w:r w:rsidR="000C165A" w:rsidRPr="00DA22C3">
        <w:t xml:space="preserve"> Grammar</w:t>
      </w:r>
      <w:r w:rsidR="00FC4410" w:rsidRPr="00DA22C3">
        <w:t>, Fort Pitt</w:t>
      </w:r>
      <w:r w:rsidR="000C165A" w:rsidRPr="00DA22C3">
        <w:t xml:space="preserve"> Grammar</w:t>
      </w:r>
      <w:r w:rsidR="00FC4410" w:rsidRPr="00DA22C3">
        <w:t>, and Holcombe Grammar schools to co-educational provisions</w:t>
      </w:r>
      <w:r w:rsidR="0010597D" w:rsidRPr="00DA22C3">
        <w:t>:</w:t>
      </w:r>
    </w:p>
    <w:tbl>
      <w:tblPr>
        <w:tblStyle w:val="TableGrid"/>
        <w:tblW w:w="10206" w:type="dxa"/>
        <w:tblInd w:w="108" w:type="dxa"/>
        <w:tblLook w:val="04A0" w:firstRow="1" w:lastRow="0" w:firstColumn="1" w:lastColumn="0" w:noHBand="0" w:noVBand="1"/>
      </w:tblPr>
      <w:tblGrid>
        <w:gridCol w:w="534"/>
        <w:gridCol w:w="9672"/>
      </w:tblGrid>
      <w:tr w:rsidR="00E5197F" w:rsidRPr="00DA22C3" w14:paraId="00CA1B07" w14:textId="77777777" w:rsidTr="00A04B3B">
        <w:trPr>
          <w:trHeight w:val="333"/>
        </w:trPr>
        <w:tc>
          <w:tcPr>
            <w:tcW w:w="534" w:type="dxa"/>
            <w:vAlign w:val="center"/>
          </w:tcPr>
          <w:p w14:paraId="7421A170" w14:textId="77777777" w:rsidR="00E5197F" w:rsidRPr="00DA22C3" w:rsidRDefault="00E5197F" w:rsidP="0019227D">
            <w:pPr>
              <w:pStyle w:val="Regulartext"/>
              <w:jc w:val="center"/>
            </w:pPr>
          </w:p>
        </w:tc>
        <w:tc>
          <w:tcPr>
            <w:tcW w:w="9672" w:type="dxa"/>
            <w:tcBorders>
              <w:top w:val="nil"/>
              <w:bottom w:val="nil"/>
              <w:right w:val="nil"/>
            </w:tcBorders>
            <w:vAlign w:val="center"/>
          </w:tcPr>
          <w:p w14:paraId="493B3E19" w14:textId="666E4840" w:rsidR="00E5197F" w:rsidRPr="00DA22C3" w:rsidRDefault="00EC4061" w:rsidP="0029453C">
            <w:pPr>
              <w:pStyle w:val="Tabletext"/>
            </w:pPr>
            <w:r w:rsidRPr="00DA22C3">
              <w:t xml:space="preserve">I </w:t>
            </w:r>
            <w:r w:rsidRPr="00DA22C3">
              <w:rPr>
                <w:b/>
              </w:rPr>
              <w:t>approve</w:t>
            </w:r>
            <w:r w:rsidRPr="00DA22C3">
              <w:t xml:space="preserve"> of the </w:t>
            </w:r>
            <w:r w:rsidR="00444407" w:rsidRPr="00DA22C3">
              <w:t>proposal</w:t>
            </w:r>
          </w:p>
        </w:tc>
      </w:tr>
      <w:tr w:rsidR="00FC4410" w:rsidRPr="00DA22C3" w14:paraId="06E66CFB" w14:textId="77777777" w:rsidTr="00FE43B9">
        <w:trPr>
          <w:trHeight w:val="77"/>
        </w:trPr>
        <w:tc>
          <w:tcPr>
            <w:tcW w:w="534" w:type="dxa"/>
            <w:tcBorders>
              <w:left w:val="single" w:sz="4" w:space="0" w:color="FFFFFF" w:themeColor="background1"/>
              <w:right w:val="single" w:sz="4" w:space="0" w:color="FFFFFF" w:themeColor="background1"/>
            </w:tcBorders>
          </w:tcPr>
          <w:p w14:paraId="193CD5B5" w14:textId="77777777" w:rsidR="00FC4410" w:rsidRPr="00DA22C3" w:rsidRDefault="00FC4410" w:rsidP="00261195">
            <w:pPr>
              <w:pStyle w:val="Regulartext"/>
              <w:rPr>
                <w:sz w:val="2"/>
                <w:szCs w:val="2"/>
              </w:rPr>
            </w:pPr>
          </w:p>
        </w:tc>
        <w:tc>
          <w:tcPr>
            <w:tcW w:w="9672" w:type="dxa"/>
            <w:tcBorders>
              <w:top w:val="nil"/>
              <w:left w:val="single" w:sz="4" w:space="0" w:color="FFFFFF" w:themeColor="background1"/>
              <w:bottom w:val="nil"/>
              <w:right w:val="nil"/>
            </w:tcBorders>
            <w:vAlign w:val="center"/>
          </w:tcPr>
          <w:p w14:paraId="4DDF344E" w14:textId="77777777" w:rsidR="00FC4410" w:rsidRPr="00DA22C3" w:rsidRDefault="00FC4410" w:rsidP="0029453C">
            <w:pPr>
              <w:pStyle w:val="Tabletext"/>
              <w:rPr>
                <w:sz w:val="2"/>
                <w:szCs w:val="2"/>
              </w:rPr>
            </w:pPr>
          </w:p>
        </w:tc>
      </w:tr>
      <w:tr w:rsidR="00E5197F" w:rsidRPr="00DA22C3" w14:paraId="234BF722" w14:textId="77777777" w:rsidTr="0019227D">
        <w:tc>
          <w:tcPr>
            <w:tcW w:w="534" w:type="dxa"/>
            <w:vAlign w:val="center"/>
          </w:tcPr>
          <w:p w14:paraId="647B9C21" w14:textId="77777777" w:rsidR="00E5197F" w:rsidRPr="00DA22C3" w:rsidRDefault="00E5197F" w:rsidP="0019227D">
            <w:pPr>
              <w:pStyle w:val="Regulartext"/>
              <w:jc w:val="center"/>
            </w:pPr>
          </w:p>
        </w:tc>
        <w:tc>
          <w:tcPr>
            <w:tcW w:w="9672" w:type="dxa"/>
            <w:tcBorders>
              <w:top w:val="nil"/>
              <w:bottom w:val="nil"/>
              <w:right w:val="nil"/>
            </w:tcBorders>
            <w:vAlign w:val="center"/>
          </w:tcPr>
          <w:p w14:paraId="75218DDB" w14:textId="2FD6BEB4" w:rsidR="00E5197F" w:rsidRPr="00DA22C3" w:rsidRDefault="00E5197F" w:rsidP="0029453C">
            <w:pPr>
              <w:pStyle w:val="Tabletext"/>
            </w:pPr>
            <w:r w:rsidRPr="00DA22C3">
              <w:t xml:space="preserve">I </w:t>
            </w:r>
            <w:r w:rsidRPr="00DA22C3">
              <w:rPr>
                <w:b/>
              </w:rPr>
              <w:t>object</w:t>
            </w:r>
            <w:r w:rsidR="00444407" w:rsidRPr="00DA22C3">
              <w:t xml:space="preserve"> to the proposal </w:t>
            </w:r>
          </w:p>
        </w:tc>
      </w:tr>
      <w:tr w:rsidR="00A04B3B" w:rsidRPr="00DA22C3" w14:paraId="49833411" w14:textId="77777777" w:rsidTr="00B248DF">
        <w:trPr>
          <w:trHeight w:val="176"/>
        </w:trPr>
        <w:tc>
          <w:tcPr>
            <w:tcW w:w="534" w:type="dxa"/>
            <w:tcBorders>
              <w:left w:val="single" w:sz="4" w:space="0" w:color="FFFFFF" w:themeColor="background1"/>
              <w:right w:val="single" w:sz="4" w:space="0" w:color="FFFFFF" w:themeColor="background1"/>
            </w:tcBorders>
          </w:tcPr>
          <w:p w14:paraId="43FCA7F2" w14:textId="77777777" w:rsidR="00A04B3B" w:rsidRPr="00DA22C3" w:rsidRDefault="00A04B3B" w:rsidP="00B248DF">
            <w:pPr>
              <w:pStyle w:val="Regulartext"/>
              <w:rPr>
                <w:sz w:val="2"/>
                <w:szCs w:val="2"/>
              </w:rPr>
            </w:pPr>
          </w:p>
        </w:tc>
        <w:tc>
          <w:tcPr>
            <w:tcW w:w="9672" w:type="dxa"/>
            <w:tcBorders>
              <w:top w:val="nil"/>
              <w:left w:val="single" w:sz="4" w:space="0" w:color="FFFFFF" w:themeColor="background1"/>
              <w:bottom w:val="nil"/>
              <w:right w:val="nil"/>
            </w:tcBorders>
            <w:vAlign w:val="center"/>
          </w:tcPr>
          <w:p w14:paraId="4EC3D305" w14:textId="77777777" w:rsidR="00A04B3B" w:rsidRPr="00DA22C3" w:rsidRDefault="00A04B3B" w:rsidP="00B248DF">
            <w:pPr>
              <w:pStyle w:val="Tabletext"/>
              <w:rPr>
                <w:sz w:val="2"/>
                <w:szCs w:val="2"/>
              </w:rPr>
            </w:pPr>
          </w:p>
        </w:tc>
      </w:tr>
      <w:tr w:rsidR="00A04B3B" w:rsidRPr="00DA22C3" w14:paraId="50A41CD1" w14:textId="77777777" w:rsidTr="00B248DF">
        <w:tc>
          <w:tcPr>
            <w:tcW w:w="534" w:type="dxa"/>
            <w:vAlign w:val="center"/>
          </w:tcPr>
          <w:p w14:paraId="4971546E" w14:textId="77777777" w:rsidR="00A04B3B" w:rsidRPr="00DA22C3" w:rsidRDefault="00A04B3B" w:rsidP="00B248DF">
            <w:pPr>
              <w:pStyle w:val="Regulartext"/>
              <w:jc w:val="center"/>
            </w:pPr>
          </w:p>
        </w:tc>
        <w:tc>
          <w:tcPr>
            <w:tcW w:w="9672" w:type="dxa"/>
            <w:tcBorders>
              <w:top w:val="nil"/>
              <w:bottom w:val="nil"/>
              <w:right w:val="nil"/>
            </w:tcBorders>
            <w:vAlign w:val="center"/>
          </w:tcPr>
          <w:p w14:paraId="1BC0DB27" w14:textId="410CD8DB" w:rsidR="00A04B3B" w:rsidRPr="00DA22C3" w:rsidRDefault="00A04B3B" w:rsidP="00B248DF">
            <w:pPr>
              <w:pStyle w:val="Tabletext"/>
            </w:pPr>
            <w:r w:rsidRPr="00DA22C3">
              <w:t xml:space="preserve">I </w:t>
            </w:r>
            <w:r w:rsidRPr="00DA22C3">
              <w:rPr>
                <w:b/>
                <w:bCs/>
              </w:rPr>
              <w:t>neither</w:t>
            </w:r>
            <w:r w:rsidRPr="00DA22C3">
              <w:t xml:space="preserve"> approve nor object</w:t>
            </w:r>
          </w:p>
        </w:tc>
      </w:tr>
    </w:tbl>
    <w:p w14:paraId="2AEA777F" w14:textId="77777777" w:rsidR="00E5197F" w:rsidRPr="00DA22C3" w:rsidRDefault="00E5197F" w:rsidP="00626859">
      <w:pPr>
        <w:pStyle w:val="Regulartext"/>
        <w:contextualSpacing/>
        <w:rPr>
          <w:b/>
        </w:rPr>
      </w:pPr>
      <w:r w:rsidRPr="00DA22C3">
        <w:rPr>
          <w:b/>
        </w:rPr>
        <w:t>Comments</w:t>
      </w:r>
    </w:p>
    <w:p w14:paraId="7FF71E2C" w14:textId="5C924D05" w:rsidR="00E5197F" w:rsidRPr="00DA22C3" w:rsidRDefault="00E5197F" w:rsidP="00626859">
      <w:pPr>
        <w:pStyle w:val="Regulartext"/>
        <w:contextualSpacing/>
      </w:pPr>
      <w:r w:rsidRPr="00DA22C3">
        <w:t xml:space="preserve">Please give your reasons as fully as possible to </w:t>
      </w:r>
      <w:r w:rsidR="00334468" w:rsidRPr="00DA22C3">
        <w:t>enable us to gauge opinions</w:t>
      </w:r>
      <w:r w:rsidRPr="00DA22C3">
        <w:t xml:space="preserve"> for and against the proposals.</w:t>
      </w:r>
      <w:r w:rsidR="005D4A9F" w:rsidRPr="00DA22C3">
        <w:t xml:space="preserve"> If completing on paper, please use additional sheets if necessary</w:t>
      </w:r>
    </w:p>
    <w:tbl>
      <w:tblPr>
        <w:tblStyle w:val="TableGrid"/>
        <w:tblW w:w="10206" w:type="dxa"/>
        <w:tblInd w:w="108" w:type="dxa"/>
        <w:tblLook w:val="04A0" w:firstRow="1" w:lastRow="0" w:firstColumn="1" w:lastColumn="0" w:noHBand="0" w:noVBand="1"/>
      </w:tblPr>
      <w:tblGrid>
        <w:gridCol w:w="10206"/>
      </w:tblGrid>
      <w:tr w:rsidR="006C3BB9" w:rsidRPr="00DA22C3" w14:paraId="242B7D91" w14:textId="77777777" w:rsidTr="00FE43B9">
        <w:trPr>
          <w:trHeight w:val="2112"/>
        </w:trPr>
        <w:tc>
          <w:tcPr>
            <w:tcW w:w="10206" w:type="dxa"/>
          </w:tcPr>
          <w:p w14:paraId="464D726C" w14:textId="24A1E5A4" w:rsidR="00A04B3B" w:rsidRPr="00DA22C3" w:rsidRDefault="00A04B3B" w:rsidP="00261195">
            <w:pPr>
              <w:pStyle w:val="Tabletext"/>
            </w:pPr>
          </w:p>
        </w:tc>
      </w:tr>
    </w:tbl>
    <w:p w14:paraId="41863FEB" w14:textId="4E0ECACD" w:rsidR="00E5197F" w:rsidRPr="00DA22C3" w:rsidRDefault="00550A09" w:rsidP="00261195">
      <w:pPr>
        <w:pStyle w:val="Otherformats"/>
        <w:rPr>
          <w:b/>
        </w:rPr>
      </w:pPr>
      <w:r w:rsidRPr="00DA22C3">
        <w:t xml:space="preserve">This information can be made available in other formats from </w:t>
      </w:r>
      <w:r w:rsidRPr="00DA22C3">
        <w:rPr>
          <w:b/>
        </w:rPr>
        <w:t>01634 333</w:t>
      </w:r>
      <w:r w:rsidR="0041311A">
        <w:rPr>
          <w:b/>
        </w:rPr>
        <w:t xml:space="preserve"> </w:t>
      </w:r>
      <w:r w:rsidRPr="00DA22C3">
        <w:rPr>
          <w:b/>
        </w:rPr>
        <w:t>333</w:t>
      </w:r>
    </w:p>
    <w:p w14:paraId="564EE23A" w14:textId="34BCE7A1" w:rsidR="005B069C" w:rsidRPr="00550A09" w:rsidRDefault="005B069C" w:rsidP="00261195">
      <w:pPr>
        <w:pStyle w:val="Ownlanguage"/>
      </w:pPr>
      <w:r w:rsidRPr="00DA22C3">
        <w:rPr>
          <w:noProof/>
          <w:lang w:eastAsia="en-GB"/>
        </w:rPr>
        <w:drawing>
          <wp:inline distT="0" distB="0" distL="0" distR="0" wp14:anchorId="18F69F47" wp14:editId="06CAFF9D">
            <wp:extent cx="6524625" cy="298608"/>
            <wp:effectExtent l="0" t="0" r="0" b="6350"/>
            <wp:docPr id="8" name="Picture 8" descr="To find out more about this leaflet in alternative languages please call 01634 335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o find out more about this leaflet in alternative languages please call 01634 335 5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52688" cy="299892"/>
                    </a:xfrm>
                    <a:prstGeom prst="rect">
                      <a:avLst/>
                    </a:prstGeom>
                  </pic:spPr>
                </pic:pic>
              </a:graphicData>
            </a:graphic>
          </wp:inline>
        </w:drawing>
      </w:r>
      <w:r w:rsidR="00550A09" w:rsidRPr="00DA22C3">
        <w:t xml:space="preserve">If you have any questions about this leaflet and you want to speak to someone in your own </w:t>
      </w:r>
      <w:r w:rsidR="00050736" w:rsidRPr="00DA22C3">
        <w:t>language,</w:t>
      </w:r>
      <w:r w:rsidR="00550A09" w:rsidRPr="00DA22C3">
        <w:t xml:space="preserve"> please ring 01634 335</w:t>
      </w:r>
      <w:r w:rsidR="0041311A">
        <w:t xml:space="preserve"> </w:t>
      </w:r>
      <w:r w:rsidR="00550A09" w:rsidRPr="00DA22C3">
        <w:t>577</w:t>
      </w:r>
    </w:p>
    <w:sectPr w:rsidR="005B069C" w:rsidRPr="00550A09" w:rsidSect="004E11F3">
      <w:footerReference w:type="default" r:id="rId13"/>
      <w:headerReference w:type="first" r:id="rId14"/>
      <w:type w:val="continuous"/>
      <w:pgSz w:w="11906" w:h="16838" w:code="9"/>
      <w:pgMar w:top="284" w:right="851" w:bottom="568"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AB5D" w14:textId="77777777" w:rsidR="00265D3C" w:rsidRDefault="00265D3C" w:rsidP="000510D9">
      <w:pPr>
        <w:spacing w:after="0" w:line="240" w:lineRule="auto"/>
      </w:pPr>
      <w:r>
        <w:separator/>
      </w:r>
    </w:p>
  </w:endnote>
  <w:endnote w:type="continuationSeparator" w:id="0">
    <w:p w14:paraId="191EAA1A" w14:textId="77777777" w:rsidR="00265D3C" w:rsidRDefault="00265D3C" w:rsidP="0005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111017"/>
      <w:docPartObj>
        <w:docPartGallery w:val="Page Numbers (Bottom of Page)"/>
        <w:docPartUnique/>
      </w:docPartObj>
    </w:sdtPr>
    <w:sdtEndPr>
      <w:rPr>
        <w:noProof/>
      </w:rPr>
    </w:sdtEndPr>
    <w:sdtContent>
      <w:p w14:paraId="33198BA5" w14:textId="2AD2827C" w:rsidR="002E1B54" w:rsidRDefault="002E1B54" w:rsidP="000507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F401" w14:textId="77777777" w:rsidR="00265D3C" w:rsidRDefault="00265D3C" w:rsidP="000510D9">
      <w:pPr>
        <w:spacing w:after="0" w:line="240" w:lineRule="auto"/>
      </w:pPr>
      <w:r>
        <w:separator/>
      </w:r>
    </w:p>
  </w:footnote>
  <w:footnote w:type="continuationSeparator" w:id="0">
    <w:p w14:paraId="6AD0DB71" w14:textId="77777777" w:rsidR="00265D3C" w:rsidRDefault="00265D3C" w:rsidP="00051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809C" w14:textId="350DD227" w:rsidR="004E11F3" w:rsidRDefault="004E11F3" w:rsidP="004E11F3">
    <w:pPr>
      <w:pStyle w:val="Header"/>
      <w:ind w:left="9071"/>
    </w:pPr>
    <w:r w:rsidRPr="00DA22C3">
      <w:rPr>
        <w:noProof/>
        <w:lang w:eastAsia="en-GB"/>
      </w:rPr>
      <w:drawing>
        <wp:inline distT="0" distB="0" distL="0" distR="0" wp14:anchorId="6E43EFAE" wp14:editId="30416AC8">
          <wp:extent cx="1079500" cy="744855"/>
          <wp:effectExtent l="0" t="0" r="6350" b="0"/>
          <wp:docPr id="2" name="Picture 2" descr="Medwa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Medway Council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744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650"/>
    <w:multiLevelType w:val="hybridMultilevel"/>
    <w:tmpl w:val="1D9EC216"/>
    <w:lvl w:ilvl="0" w:tplc="4FD4DA42">
      <w:start w:val="1"/>
      <w:numFmt w:val="bullet"/>
      <w:pStyle w:val="Explanationbox"/>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209D0"/>
    <w:multiLevelType w:val="hybridMultilevel"/>
    <w:tmpl w:val="2DF8F32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27D83B63"/>
    <w:multiLevelType w:val="hybridMultilevel"/>
    <w:tmpl w:val="08A2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10BB0"/>
    <w:multiLevelType w:val="hybridMultilevel"/>
    <w:tmpl w:val="0C4C3DEE"/>
    <w:lvl w:ilvl="0" w:tplc="492ECC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57"/>
  <w:drawingGridVerticalSpacing w:val="57"/>
  <w:doNotUseMarginsForDrawingGridOrigin/>
  <w:drawingGridHorizontalOrigin w:val="0"/>
  <w:drawingGridVerticalOrigin w:val="0"/>
  <w:characterSpacingControl w:val="doNotCompress"/>
  <w:hdrShapeDefaults>
    <o:shapedefaults v:ext="edit" spidmax="2050">
      <o:colormru v:ext="edit" colors="#0046a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2E"/>
    <w:rsid w:val="00000325"/>
    <w:rsid w:val="0000392B"/>
    <w:rsid w:val="00012DD3"/>
    <w:rsid w:val="00014B5B"/>
    <w:rsid w:val="00031EEE"/>
    <w:rsid w:val="000334C8"/>
    <w:rsid w:val="00033FB4"/>
    <w:rsid w:val="0003522E"/>
    <w:rsid w:val="000446FD"/>
    <w:rsid w:val="00045D0D"/>
    <w:rsid w:val="00045EEE"/>
    <w:rsid w:val="00050736"/>
    <w:rsid w:val="000510D9"/>
    <w:rsid w:val="00052576"/>
    <w:rsid w:val="00061E4F"/>
    <w:rsid w:val="000660A1"/>
    <w:rsid w:val="000736D8"/>
    <w:rsid w:val="0008660A"/>
    <w:rsid w:val="00090626"/>
    <w:rsid w:val="000A77BD"/>
    <w:rsid w:val="000C056F"/>
    <w:rsid w:val="000C165A"/>
    <w:rsid w:val="000C4397"/>
    <w:rsid w:val="000E1DA7"/>
    <w:rsid w:val="000F331B"/>
    <w:rsid w:val="00100F7E"/>
    <w:rsid w:val="0010597D"/>
    <w:rsid w:val="0011611F"/>
    <w:rsid w:val="00124715"/>
    <w:rsid w:val="00124FE8"/>
    <w:rsid w:val="001411B2"/>
    <w:rsid w:val="00150B53"/>
    <w:rsid w:val="001513B7"/>
    <w:rsid w:val="001569C8"/>
    <w:rsid w:val="00166C56"/>
    <w:rsid w:val="001717A6"/>
    <w:rsid w:val="001820F3"/>
    <w:rsid w:val="001822EE"/>
    <w:rsid w:val="0019227D"/>
    <w:rsid w:val="001A02C8"/>
    <w:rsid w:val="001A195F"/>
    <w:rsid w:val="001B3539"/>
    <w:rsid w:val="001C3FBE"/>
    <w:rsid w:val="001C5B69"/>
    <w:rsid w:val="001C68C4"/>
    <w:rsid w:val="001D0736"/>
    <w:rsid w:val="001D50F8"/>
    <w:rsid w:val="001E2DF8"/>
    <w:rsid w:val="001F6239"/>
    <w:rsid w:val="00201051"/>
    <w:rsid w:val="0021088C"/>
    <w:rsid w:val="00210942"/>
    <w:rsid w:val="002119C1"/>
    <w:rsid w:val="002145BA"/>
    <w:rsid w:val="00216E1F"/>
    <w:rsid w:val="00217538"/>
    <w:rsid w:val="002237E2"/>
    <w:rsid w:val="0023069D"/>
    <w:rsid w:val="00236FCE"/>
    <w:rsid w:val="00242B7B"/>
    <w:rsid w:val="00250A43"/>
    <w:rsid w:val="00250FA9"/>
    <w:rsid w:val="00261195"/>
    <w:rsid w:val="00264CA7"/>
    <w:rsid w:val="00265D3C"/>
    <w:rsid w:val="00270401"/>
    <w:rsid w:val="00271AA2"/>
    <w:rsid w:val="002742B0"/>
    <w:rsid w:val="0028259D"/>
    <w:rsid w:val="00285F53"/>
    <w:rsid w:val="0029453C"/>
    <w:rsid w:val="00295A6E"/>
    <w:rsid w:val="002A1DFA"/>
    <w:rsid w:val="002B0718"/>
    <w:rsid w:val="002C1F1C"/>
    <w:rsid w:val="002C3749"/>
    <w:rsid w:val="002C6574"/>
    <w:rsid w:val="002D4F90"/>
    <w:rsid w:val="002D5194"/>
    <w:rsid w:val="002D5323"/>
    <w:rsid w:val="002D7A45"/>
    <w:rsid w:val="002E1B54"/>
    <w:rsid w:val="002E752D"/>
    <w:rsid w:val="0030639B"/>
    <w:rsid w:val="0031111C"/>
    <w:rsid w:val="00332236"/>
    <w:rsid w:val="00334468"/>
    <w:rsid w:val="003408E6"/>
    <w:rsid w:val="00342233"/>
    <w:rsid w:val="003447DA"/>
    <w:rsid w:val="00350175"/>
    <w:rsid w:val="003505DB"/>
    <w:rsid w:val="00355D77"/>
    <w:rsid w:val="00357671"/>
    <w:rsid w:val="003666F1"/>
    <w:rsid w:val="003702C9"/>
    <w:rsid w:val="003767DE"/>
    <w:rsid w:val="003812B8"/>
    <w:rsid w:val="00385249"/>
    <w:rsid w:val="003903C2"/>
    <w:rsid w:val="00394218"/>
    <w:rsid w:val="003A1689"/>
    <w:rsid w:val="003A1973"/>
    <w:rsid w:val="003B2E14"/>
    <w:rsid w:val="003B538F"/>
    <w:rsid w:val="003B7427"/>
    <w:rsid w:val="003C2F04"/>
    <w:rsid w:val="003C6EF6"/>
    <w:rsid w:val="003D5645"/>
    <w:rsid w:val="003D64D6"/>
    <w:rsid w:val="003E22B1"/>
    <w:rsid w:val="0040238D"/>
    <w:rsid w:val="004046A6"/>
    <w:rsid w:val="004058C3"/>
    <w:rsid w:val="004105C0"/>
    <w:rsid w:val="0041311A"/>
    <w:rsid w:val="00415CDD"/>
    <w:rsid w:val="00420818"/>
    <w:rsid w:val="004208D9"/>
    <w:rsid w:val="00423D1D"/>
    <w:rsid w:val="0043122F"/>
    <w:rsid w:val="004327DD"/>
    <w:rsid w:val="00444407"/>
    <w:rsid w:val="00446259"/>
    <w:rsid w:val="00483440"/>
    <w:rsid w:val="00492BD4"/>
    <w:rsid w:val="00497682"/>
    <w:rsid w:val="004A1ECC"/>
    <w:rsid w:val="004B3AF9"/>
    <w:rsid w:val="004D6036"/>
    <w:rsid w:val="004E11F3"/>
    <w:rsid w:val="004E5355"/>
    <w:rsid w:val="00502940"/>
    <w:rsid w:val="00507B3A"/>
    <w:rsid w:val="00515BF4"/>
    <w:rsid w:val="00520B45"/>
    <w:rsid w:val="005215C9"/>
    <w:rsid w:val="005279D0"/>
    <w:rsid w:val="00530805"/>
    <w:rsid w:val="00530AA2"/>
    <w:rsid w:val="005314CA"/>
    <w:rsid w:val="00531835"/>
    <w:rsid w:val="00533734"/>
    <w:rsid w:val="00550A09"/>
    <w:rsid w:val="00551DC0"/>
    <w:rsid w:val="00554D5B"/>
    <w:rsid w:val="00563CC0"/>
    <w:rsid w:val="00574312"/>
    <w:rsid w:val="0058508C"/>
    <w:rsid w:val="00592239"/>
    <w:rsid w:val="005A06E7"/>
    <w:rsid w:val="005B069C"/>
    <w:rsid w:val="005B2088"/>
    <w:rsid w:val="005D4A9F"/>
    <w:rsid w:val="005E4571"/>
    <w:rsid w:val="005E578E"/>
    <w:rsid w:val="005F554E"/>
    <w:rsid w:val="00602C23"/>
    <w:rsid w:val="00626859"/>
    <w:rsid w:val="00627F74"/>
    <w:rsid w:val="006346C1"/>
    <w:rsid w:val="00680818"/>
    <w:rsid w:val="006871F3"/>
    <w:rsid w:val="00693F6A"/>
    <w:rsid w:val="006970AD"/>
    <w:rsid w:val="006A0F8B"/>
    <w:rsid w:val="006A1ACF"/>
    <w:rsid w:val="006B0709"/>
    <w:rsid w:val="006C3BB9"/>
    <w:rsid w:val="006D6FDA"/>
    <w:rsid w:val="006E1AE1"/>
    <w:rsid w:val="006E7F45"/>
    <w:rsid w:val="006F0C90"/>
    <w:rsid w:val="006F1905"/>
    <w:rsid w:val="0070306F"/>
    <w:rsid w:val="00706C31"/>
    <w:rsid w:val="00713568"/>
    <w:rsid w:val="00715105"/>
    <w:rsid w:val="00716784"/>
    <w:rsid w:val="00726455"/>
    <w:rsid w:val="007326CB"/>
    <w:rsid w:val="00733159"/>
    <w:rsid w:val="007334B7"/>
    <w:rsid w:val="00742315"/>
    <w:rsid w:val="00743388"/>
    <w:rsid w:val="007572CE"/>
    <w:rsid w:val="0077496B"/>
    <w:rsid w:val="007817A8"/>
    <w:rsid w:val="00782972"/>
    <w:rsid w:val="007850FC"/>
    <w:rsid w:val="00793FB4"/>
    <w:rsid w:val="007A189C"/>
    <w:rsid w:val="007C1D3E"/>
    <w:rsid w:val="007C72EE"/>
    <w:rsid w:val="007D422E"/>
    <w:rsid w:val="007E08B4"/>
    <w:rsid w:val="007F53AF"/>
    <w:rsid w:val="007F6954"/>
    <w:rsid w:val="00806898"/>
    <w:rsid w:val="008103C2"/>
    <w:rsid w:val="00812CC7"/>
    <w:rsid w:val="00813116"/>
    <w:rsid w:val="00821EDB"/>
    <w:rsid w:val="00821FCE"/>
    <w:rsid w:val="008251CF"/>
    <w:rsid w:val="00826028"/>
    <w:rsid w:val="008342A8"/>
    <w:rsid w:val="00843C42"/>
    <w:rsid w:val="00847D96"/>
    <w:rsid w:val="00880DD7"/>
    <w:rsid w:val="008823FB"/>
    <w:rsid w:val="008956DA"/>
    <w:rsid w:val="00896133"/>
    <w:rsid w:val="008D5D82"/>
    <w:rsid w:val="008D5E4A"/>
    <w:rsid w:val="008E583E"/>
    <w:rsid w:val="008F4BA4"/>
    <w:rsid w:val="008F5603"/>
    <w:rsid w:val="009053CD"/>
    <w:rsid w:val="00910F2E"/>
    <w:rsid w:val="009178DA"/>
    <w:rsid w:val="00921E42"/>
    <w:rsid w:val="00923CB7"/>
    <w:rsid w:val="00926B2A"/>
    <w:rsid w:val="00927738"/>
    <w:rsid w:val="0093065F"/>
    <w:rsid w:val="00937A0F"/>
    <w:rsid w:val="00945B71"/>
    <w:rsid w:val="00961CD3"/>
    <w:rsid w:val="00970B54"/>
    <w:rsid w:val="00973BC8"/>
    <w:rsid w:val="00983813"/>
    <w:rsid w:val="0098633F"/>
    <w:rsid w:val="0099263B"/>
    <w:rsid w:val="0099661E"/>
    <w:rsid w:val="009A6922"/>
    <w:rsid w:val="009B5AED"/>
    <w:rsid w:val="009C2F95"/>
    <w:rsid w:val="009C3F3E"/>
    <w:rsid w:val="009D03F7"/>
    <w:rsid w:val="009D5D38"/>
    <w:rsid w:val="009F5C56"/>
    <w:rsid w:val="00A0211C"/>
    <w:rsid w:val="00A04B3B"/>
    <w:rsid w:val="00A0740F"/>
    <w:rsid w:val="00A14690"/>
    <w:rsid w:val="00A14C7F"/>
    <w:rsid w:val="00A17803"/>
    <w:rsid w:val="00A2189A"/>
    <w:rsid w:val="00A32D08"/>
    <w:rsid w:val="00A53A08"/>
    <w:rsid w:val="00A6428B"/>
    <w:rsid w:val="00A712B4"/>
    <w:rsid w:val="00A86051"/>
    <w:rsid w:val="00AD0B88"/>
    <w:rsid w:val="00AD735D"/>
    <w:rsid w:val="00AD78D3"/>
    <w:rsid w:val="00AE0E7C"/>
    <w:rsid w:val="00AE3CBD"/>
    <w:rsid w:val="00AF1687"/>
    <w:rsid w:val="00B01BB1"/>
    <w:rsid w:val="00B0676D"/>
    <w:rsid w:val="00B137E7"/>
    <w:rsid w:val="00B17ACE"/>
    <w:rsid w:val="00B20D57"/>
    <w:rsid w:val="00B20F07"/>
    <w:rsid w:val="00B2788B"/>
    <w:rsid w:val="00B32F6D"/>
    <w:rsid w:val="00B45C14"/>
    <w:rsid w:val="00B83F2E"/>
    <w:rsid w:val="00B85392"/>
    <w:rsid w:val="00B85F9A"/>
    <w:rsid w:val="00B914D5"/>
    <w:rsid w:val="00B92518"/>
    <w:rsid w:val="00B92B5C"/>
    <w:rsid w:val="00BA3AA0"/>
    <w:rsid w:val="00BA6AAD"/>
    <w:rsid w:val="00BB442D"/>
    <w:rsid w:val="00BB4C59"/>
    <w:rsid w:val="00BB5739"/>
    <w:rsid w:val="00BB6099"/>
    <w:rsid w:val="00BC1FAA"/>
    <w:rsid w:val="00BC29AB"/>
    <w:rsid w:val="00BC3545"/>
    <w:rsid w:val="00BC4DCE"/>
    <w:rsid w:val="00BD01CC"/>
    <w:rsid w:val="00BD3204"/>
    <w:rsid w:val="00BD66EF"/>
    <w:rsid w:val="00BE3C19"/>
    <w:rsid w:val="00BF24CF"/>
    <w:rsid w:val="00BF2992"/>
    <w:rsid w:val="00BF6A85"/>
    <w:rsid w:val="00C03FE2"/>
    <w:rsid w:val="00C063E6"/>
    <w:rsid w:val="00C11584"/>
    <w:rsid w:val="00C16817"/>
    <w:rsid w:val="00C27BB3"/>
    <w:rsid w:val="00C30D7F"/>
    <w:rsid w:val="00C87133"/>
    <w:rsid w:val="00C872EC"/>
    <w:rsid w:val="00C94E7A"/>
    <w:rsid w:val="00C96B52"/>
    <w:rsid w:val="00C96CD9"/>
    <w:rsid w:val="00CA39A5"/>
    <w:rsid w:val="00CB5D07"/>
    <w:rsid w:val="00CB7A59"/>
    <w:rsid w:val="00CC0663"/>
    <w:rsid w:val="00CC282E"/>
    <w:rsid w:val="00CD3130"/>
    <w:rsid w:val="00CD6053"/>
    <w:rsid w:val="00CD69B5"/>
    <w:rsid w:val="00CE1553"/>
    <w:rsid w:val="00CE26F9"/>
    <w:rsid w:val="00CF1746"/>
    <w:rsid w:val="00CF676F"/>
    <w:rsid w:val="00CF6D94"/>
    <w:rsid w:val="00D01CF1"/>
    <w:rsid w:val="00D02C90"/>
    <w:rsid w:val="00D14F62"/>
    <w:rsid w:val="00D1780B"/>
    <w:rsid w:val="00D26EB4"/>
    <w:rsid w:val="00D309A8"/>
    <w:rsid w:val="00D33BD6"/>
    <w:rsid w:val="00D35D2A"/>
    <w:rsid w:val="00D36CB5"/>
    <w:rsid w:val="00D37351"/>
    <w:rsid w:val="00D501B0"/>
    <w:rsid w:val="00D511CF"/>
    <w:rsid w:val="00D64C6B"/>
    <w:rsid w:val="00D71815"/>
    <w:rsid w:val="00D80EEF"/>
    <w:rsid w:val="00D84882"/>
    <w:rsid w:val="00D87322"/>
    <w:rsid w:val="00D9014A"/>
    <w:rsid w:val="00D9220E"/>
    <w:rsid w:val="00DA22C3"/>
    <w:rsid w:val="00DA3FF5"/>
    <w:rsid w:val="00DA58D9"/>
    <w:rsid w:val="00DC4159"/>
    <w:rsid w:val="00DC6425"/>
    <w:rsid w:val="00DD705C"/>
    <w:rsid w:val="00DE1D85"/>
    <w:rsid w:val="00DE3BDF"/>
    <w:rsid w:val="00DE60C7"/>
    <w:rsid w:val="00DE6348"/>
    <w:rsid w:val="00DF6A15"/>
    <w:rsid w:val="00E0118C"/>
    <w:rsid w:val="00E03793"/>
    <w:rsid w:val="00E055EE"/>
    <w:rsid w:val="00E06B9A"/>
    <w:rsid w:val="00E20DC8"/>
    <w:rsid w:val="00E27022"/>
    <w:rsid w:val="00E30472"/>
    <w:rsid w:val="00E31F44"/>
    <w:rsid w:val="00E40FDB"/>
    <w:rsid w:val="00E42F20"/>
    <w:rsid w:val="00E45844"/>
    <w:rsid w:val="00E51021"/>
    <w:rsid w:val="00E5197F"/>
    <w:rsid w:val="00E605DB"/>
    <w:rsid w:val="00E6097D"/>
    <w:rsid w:val="00E6448E"/>
    <w:rsid w:val="00E75503"/>
    <w:rsid w:val="00E83F11"/>
    <w:rsid w:val="00E87038"/>
    <w:rsid w:val="00EC4061"/>
    <w:rsid w:val="00ED0C2E"/>
    <w:rsid w:val="00EE2DB1"/>
    <w:rsid w:val="00EE6227"/>
    <w:rsid w:val="00EF384A"/>
    <w:rsid w:val="00EF4630"/>
    <w:rsid w:val="00F05817"/>
    <w:rsid w:val="00F07865"/>
    <w:rsid w:val="00F154CD"/>
    <w:rsid w:val="00F15B76"/>
    <w:rsid w:val="00F1683B"/>
    <w:rsid w:val="00F17D13"/>
    <w:rsid w:val="00F23251"/>
    <w:rsid w:val="00F27A20"/>
    <w:rsid w:val="00F4193A"/>
    <w:rsid w:val="00F5256A"/>
    <w:rsid w:val="00F628DA"/>
    <w:rsid w:val="00F70F50"/>
    <w:rsid w:val="00F7239D"/>
    <w:rsid w:val="00F81631"/>
    <w:rsid w:val="00F90A6E"/>
    <w:rsid w:val="00FC30B6"/>
    <w:rsid w:val="00FC4410"/>
    <w:rsid w:val="00FD163B"/>
    <w:rsid w:val="00FD182D"/>
    <w:rsid w:val="00FE2996"/>
    <w:rsid w:val="00FE43B9"/>
    <w:rsid w:val="00FF2680"/>
    <w:rsid w:val="00FF5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6af"/>
    </o:shapedefaults>
    <o:shapelayout v:ext="edit">
      <o:idmap v:ext="edit" data="2"/>
    </o:shapelayout>
  </w:shapeDefaults>
  <w:decimalSymbol w:val="."/>
  <w:listSeparator w:val=","/>
  <w14:docId w14:val="3CC0FF1E"/>
  <w15:docId w15:val="{A70664FF-1ACF-43D6-B231-35A37643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E6"/>
    <w:rPr>
      <w:rFonts w:ascii="Tahoma" w:hAnsi="Tahoma" w:cs="Tahoma"/>
      <w:sz w:val="16"/>
      <w:szCs w:val="16"/>
    </w:rPr>
  </w:style>
  <w:style w:type="paragraph" w:customStyle="1" w:styleId="Titleheading">
    <w:name w:val="Title heading"/>
    <w:basedOn w:val="Normal"/>
    <w:qFormat/>
    <w:rsid w:val="003408E6"/>
    <w:pPr>
      <w:spacing w:line="520" w:lineRule="exact"/>
      <w:contextualSpacing/>
    </w:pPr>
    <w:rPr>
      <w:b/>
      <w:sz w:val="48"/>
    </w:rPr>
  </w:style>
  <w:style w:type="paragraph" w:customStyle="1" w:styleId="Titlesubheading">
    <w:name w:val="Title subheading"/>
    <w:basedOn w:val="Normal"/>
    <w:qFormat/>
    <w:rsid w:val="003408E6"/>
    <w:rPr>
      <w:rFonts w:ascii="Calibri" w:hAnsi="Calibri"/>
      <w:sz w:val="28"/>
    </w:rPr>
  </w:style>
  <w:style w:type="paragraph" w:styleId="ListParagraph">
    <w:name w:val="List Paragraph"/>
    <w:basedOn w:val="Normal"/>
    <w:uiPriority w:val="34"/>
    <w:qFormat/>
    <w:rsid w:val="006F0C90"/>
    <w:pPr>
      <w:ind w:left="720"/>
      <w:contextualSpacing/>
    </w:pPr>
  </w:style>
  <w:style w:type="paragraph" w:customStyle="1" w:styleId="Regulartext">
    <w:name w:val="Regular text"/>
    <w:basedOn w:val="Explanationbox"/>
    <w:qFormat/>
    <w:rsid w:val="007F6954"/>
    <w:pPr>
      <w:numPr>
        <w:numId w:val="0"/>
      </w:numPr>
      <w:shd w:val="clear" w:color="auto" w:fill="auto"/>
    </w:pPr>
    <w:rPr>
      <w:b w:val="0"/>
    </w:rPr>
  </w:style>
  <w:style w:type="paragraph" w:customStyle="1" w:styleId="Explanationbox">
    <w:name w:val="Explanation box"/>
    <w:basedOn w:val="Normal"/>
    <w:qFormat/>
    <w:rsid w:val="00DA22C3"/>
    <w:pPr>
      <w:numPr>
        <w:numId w:val="3"/>
      </w:numPr>
      <w:shd w:val="clear" w:color="auto" w:fill="DBF0F9"/>
      <w:spacing w:before="200" w:line="240" w:lineRule="auto"/>
      <w:ind w:left="284" w:hanging="284"/>
    </w:pPr>
    <w:rPr>
      <w:rFonts w:cs="Arial"/>
      <w:b/>
      <w:sz w:val="24"/>
    </w:rPr>
  </w:style>
  <w:style w:type="paragraph" w:customStyle="1" w:styleId="BlueSubheading">
    <w:name w:val="Blue Sub heading"/>
    <w:basedOn w:val="Regulartext"/>
    <w:next w:val="Regulartext"/>
    <w:qFormat/>
    <w:rsid w:val="00BB4C59"/>
    <w:pPr>
      <w:spacing w:before="480"/>
    </w:pPr>
    <w:rPr>
      <w:b/>
      <w:color w:val="0046AF"/>
      <w:sz w:val="28"/>
    </w:rPr>
  </w:style>
  <w:style w:type="table" w:styleId="TableGrid">
    <w:name w:val="Table Grid"/>
    <w:basedOn w:val="TableNormal"/>
    <w:uiPriority w:val="59"/>
    <w:rsid w:val="006F0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Regulartext"/>
    <w:qFormat/>
    <w:rsid w:val="00E5197F"/>
    <w:pPr>
      <w:spacing w:before="0" w:after="0"/>
    </w:pPr>
  </w:style>
  <w:style w:type="paragraph" w:customStyle="1" w:styleId="Otherformats">
    <w:name w:val="Other formats"/>
    <w:basedOn w:val="Regulartext"/>
    <w:qFormat/>
    <w:rsid w:val="00550A09"/>
    <w:pPr>
      <w:pBdr>
        <w:top w:val="single" w:sz="4" w:space="1" w:color="auto"/>
        <w:bottom w:val="single" w:sz="4" w:space="1" w:color="auto"/>
      </w:pBdr>
    </w:pPr>
    <w:rPr>
      <w:sz w:val="28"/>
    </w:rPr>
  </w:style>
  <w:style w:type="paragraph" w:customStyle="1" w:styleId="Ownlanguage">
    <w:name w:val="Own language"/>
    <w:basedOn w:val="Regulartext"/>
    <w:qFormat/>
    <w:rsid w:val="00550A09"/>
    <w:rPr>
      <w:sz w:val="18"/>
    </w:rPr>
  </w:style>
  <w:style w:type="paragraph" w:customStyle="1" w:styleId="Picture">
    <w:name w:val="Picture"/>
    <w:qFormat/>
    <w:rsid w:val="007D422E"/>
    <w:pPr>
      <w:spacing w:before="240" w:after="240" w:line="240" w:lineRule="auto"/>
      <w:jc w:val="center"/>
    </w:pPr>
    <w:rPr>
      <w:rFonts w:ascii="Arial" w:hAnsi="Arial" w:cs="Arial"/>
      <w:b/>
      <w:noProof/>
      <w:color w:val="0046AF"/>
      <w:lang w:eastAsia="en-GB"/>
    </w:rPr>
  </w:style>
  <w:style w:type="paragraph" w:styleId="Header">
    <w:name w:val="header"/>
    <w:basedOn w:val="Normal"/>
    <w:link w:val="HeaderChar"/>
    <w:semiHidden/>
    <w:rsid w:val="0035017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35017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118C"/>
    <w:rPr>
      <w:color w:val="0000FF" w:themeColor="hyperlink"/>
      <w:u w:val="single"/>
    </w:rPr>
  </w:style>
  <w:style w:type="character" w:styleId="UnresolvedMention">
    <w:name w:val="Unresolved Mention"/>
    <w:basedOn w:val="DefaultParagraphFont"/>
    <w:uiPriority w:val="99"/>
    <w:semiHidden/>
    <w:unhideWhenUsed/>
    <w:rsid w:val="00E0118C"/>
    <w:rPr>
      <w:color w:val="605E5C"/>
      <w:shd w:val="clear" w:color="auto" w:fill="E1DFDD"/>
    </w:rPr>
  </w:style>
  <w:style w:type="paragraph" w:styleId="Caption">
    <w:name w:val="caption"/>
    <w:basedOn w:val="Normal"/>
    <w:next w:val="Normal"/>
    <w:uiPriority w:val="35"/>
    <w:unhideWhenUsed/>
    <w:qFormat/>
    <w:rsid w:val="00492BD4"/>
    <w:pPr>
      <w:spacing w:line="240" w:lineRule="auto"/>
    </w:pPr>
    <w:rPr>
      <w:i/>
      <w:iCs/>
      <w:color w:val="1F497D" w:themeColor="text2"/>
      <w:sz w:val="18"/>
      <w:szCs w:val="18"/>
    </w:rPr>
  </w:style>
  <w:style w:type="table" w:styleId="TableGridLight">
    <w:name w:val="Grid Table Light"/>
    <w:basedOn w:val="TableNormal"/>
    <w:uiPriority w:val="40"/>
    <w:rsid w:val="00012D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2E1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B54"/>
  </w:style>
  <w:style w:type="character" w:styleId="FollowedHyperlink">
    <w:name w:val="FollowedHyperlink"/>
    <w:basedOn w:val="DefaultParagraphFont"/>
    <w:uiPriority w:val="99"/>
    <w:semiHidden/>
    <w:unhideWhenUsed/>
    <w:rsid w:val="00050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1537">
      <w:bodyDiv w:val="1"/>
      <w:marLeft w:val="0"/>
      <w:marRight w:val="0"/>
      <w:marTop w:val="0"/>
      <w:marBottom w:val="0"/>
      <w:divBdr>
        <w:top w:val="none" w:sz="0" w:space="0" w:color="auto"/>
        <w:left w:val="none" w:sz="0" w:space="0" w:color="auto"/>
        <w:bottom w:val="none" w:sz="0" w:space="0" w:color="auto"/>
        <w:right w:val="none" w:sz="0" w:space="0" w:color="auto"/>
      </w:divBdr>
    </w:div>
    <w:div w:id="9293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way.gov.uk/privacynot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m.reorg@medway.gov.uk?subject=Consultation%20on%20grammar%20change%20to%20co-ed" TargetMode="External"/><Relationship Id="rId4" Type="http://schemas.openxmlformats.org/officeDocument/2006/relationships/webSettings" Target="webSettings.xml"/><Relationship Id="rId9" Type="http://schemas.openxmlformats.org/officeDocument/2006/relationships/hyperlink" Target="https://www.gov.uk/government/publications/making-significant-changes-to-an-existing-academ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D01243-5221-4069-B9B2-09E3C043CF6A}">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Consultation on Chatham Grammar, Fort Pitt Grammar, and Holcombe Grammar schools changing to co-educational provisions</vt:lpstr>
    </vt:vector>
  </TitlesOfParts>
  <Company>Medway Council</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Chatham Grammar, Fort Pitt Grammar, and Holcombe Grammar schools changing to co-educational provisions</dc:title>
  <dc:creator>Thomas cogley</dc:creator>
  <cp:lastModifiedBy>maskell, skye</cp:lastModifiedBy>
  <cp:revision>2</cp:revision>
  <cp:lastPrinted>2016-11-01T13:15:00Z</cp:lastPrinted>
  <dcterms:created xsi:type="dcterms:W3CDTF">2022-05-04T11:03:00Z</dcterms:created>
  <dcterms:modified xsi:type="dcterms:W3CDTF">2022-05-04T11:03:00Z</dcterms:modified>
</cp:coreProperties>
</file>