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8859" w14:textId="77777777" w:rsidR="005C6E3E" w:rsidRPr="00AB7555" w:rsidRDefault="00932656" w:rsidP="005C6E3E">
      <w:pPr>
        <w:pStyle w:val="Default"/>
        <w:jc w:val="right"/>
      </w:pPr>
      <w:r w:rsidRPr="00AB7555">
        <w:t>Appendix 3</w:t>
      </w:r>
    </w:p>
    <w:p w14:paraId="3259A97B" w14:textId="77777777" w:rsidR="00CD4059" w:rsidRPr="00AB7555" w:rsidRDefault="00CD4059" w:rsidP="00932656">
      <w:pPr>
        <w:pStyle w:val="Default"/>
      </w:pPr>
    </w:p>
    <w:p w14:paraId="34C7A3C8" w14:textId="77777777" w:rsidR="00CD4059" w:rsidRPr="00AB7555" w:rsidRDefault="00CD4059" w:rsidP="00CD4059">
      <w:pPr>
        <w:pStyle w:val="Default"/>
        <w:jc w:val="right"/>
      </w:pPr>
    </w:p>
    <w:p w14:paraId="69E31029" w14:textId="77777777" w:rsidR="00CD4059" w:rsidRPr="00AB7555" w:rsidRDefault="00CD4059" w:rsidP="00CD4059">
      <w:pPr>
        <w:pStyle w:val="Default"/>
        <w:jc w:val="center"/>
        <w:rPr>
          <w:b/>
        </w:rPr>
      </w:pPr>
      <w:r w:rsidRPr="00AB7555">
        <w:rPr>
          <w:b/>
        </w:rPr>
        <w:t>Schools in Financial Difficulty due to statuary class sizes management Policy</w:t>
      </w:r>
    </w:p>
    <w:p w14:paraId="46EFF34C" w14:textId="3D06DAE3" w:rsidR="00CD4059" w:rsidRPr="00AB7555" w:rsidRDefault="00CD4059" w:rsidP="00CD4059">
      <w:pPr>
        <w:pStyle w:val="Default"/>
        <w:jc w:val="center"/>
        <w:rPr>
          <w:b/>
        </w:rPr>
      </w:pPr>
      <w:r w:rsidRPr="00AB7555">
        <w:rPr>
          <w:b/>
        </w:rPr>
        <w:t xml:space="preserve">Version: </w:t>
      </w:r>
      <w:r w:rsidR="00932656" w:rsidRPr="005C0240">
        <w:rPr>
          <w:b/>
          <w:highlight w:val="yellow"/>
        </w:rPr>
        <w:t>May</w:t>
      </w:r>
      <w:r w:rsidRPr="005C0240">
        <w:rPr>
          <w:b/>
          <w:highlight w:val="yellow"/>
        </w:rPr>
        <w:t xml:space="preserve"> 202</w:t>
      </w:r>
      <w:r w:rsidR="005C0240" w:rsidRPr="005C0240">
        <w:rPr>
          <w:b/>
          <w:highlight w:val="yellow"/>
        </w:rPr>
        <w:t>2</w:t>
      </w:r>
    </w:p>
    <w:p w14:paraId="7E5594DB" w14:textId="77777777" w:rsidR="00CD4059" w:rsidRPr="00AB7555" w:rsidRDefault="00CD4059" w:rsidP="00CD4059">
      <w:pPr>
        <w:pStyle w:val="Default"/>
      </w:pPr>
    </w:p>
    <w:p w14:paraId="343C8521" w14:textId="77777777" w:rsidR="00CD4059" w:rsidRPr="00AB7555" w:rsidRDefault="00CD4059" w:rsidP="00CD4059">
      <w:pPr>
        <w:pStyle w:val="Default"/>
        <w:ind w:left="567" w:hanging="567"/>
        <w:rPr>
          <w:b/>
          <w:bCs/>
        </w:rPr>
      </w:pPr>
      <w:r w:rsidRPr="00AB7555">
        <w:rPr>
          <w:b/>
          <w:bCs/>
        </w:rPr>
        <w:t xml:space="preserve">1. </w:t>
      </w:r>
      <w:r w:rsidRPr="00AB7555">
        <w:rPr>
          <w:b/>
          <w:bCs/>
        </w:rPr>
        <w:tab/>
        <w:t xml:space="preserve">Overview </w:t>
      </w:r>
    </w:p>
    <w:p w14:paraId="10CC084D" w14:textId="77777777" w:rsidR="00CD4059" w:rsidRPr="00AB7555" w:rsidRDefault="00CD4059" w:rsidP="00CD4059">
      <w:pPr>
        <w:pStyle w:val="Default"/>
      </w:pPr>
    </w:p>
    <w:p w14:paraId="7E67261F" w14:textId="77777777" w:rsidR="00CD4059" w:rsidRPr="00AB7555" w:rsidRDefault="00CD4059" w:rsidP="00CD4059">
      <w:pPr>
        <w:pStyle w:val="Default"/>
        <w:numPr>
          <w:ilvl w:val="1"/>
          <w:numId w:val="23"/>
        </w:numPr>
        <w:ind w:left="567" w:hanging="567"/>
      </w:pPr>
      <w:r w:rsidRPr="00AB7555">
        <w:t xml:space="preserve">This funding policy is for revenue associated reorganisations only and does not relate to capital items. </w:t>
      </w:r>
    </w:p>
    <w:p w14:paraId="562E5D49" w14:textId="77777777" w:rsidR="00CD4059" w:rsidRPr="00AB7555" w:rsidRDefault="00CD4059" w:rsidP="00CD4059">
      <w:pPr>
        <w:pStyle w:val="Default"/>
        <w:ind w:left="567"/>
      </w:pPr>
    </w:p>
    <w:p w14:paraId="4BBD9442" w14:textId="77777777" w:rsidR="00CD4059" w:rsidRPr="00AB7555" w:rsidRDefault="00CD4059" w:rsidP="00CD4059">
      <w:pPr>
        <w:pStyle w:val="Default"/>
        <w:numPr>
          <w:ilvl w:val="1"/>
          <w:numId w:val="23"/>
        </w:numPr>
        <w:ind w:left="567" w:hanging="567"/>
      </w:pPr>
      <w:r w:rsidRPr="00AB7555">
        <w:t xml:space="preserve">Schools (the term schools used throughout this document includes academies) can access the funding and eligibility where there is a basic need requirement due to small statuary maximum class sizes of 30 in years R, 1 and 2. The DfE define Basic Need as new pupil places which are requested by the local authority because there are insufficient places available for pupils in the area. </w:t>
      </w:r>
    </w:p>
    <w:p w14:paraId="42ED808B" w14:textId="77777777" w:rsidR="00CD4059" w:rsidRPr="00AB7555" w:rsidRDefault="00CD4059" w:rsidP="00CD4059">
      <w:pPr>
        <w:pStyle w:val="Default"/>
        <w:ind w:left="360"/>
      </w:pPr>
    </w:p>
    <w:p w14:paraId="2C6922CC" w14:textId="77777777" w:rsidR="00CD4059" w:rsidRPr="00AB7555" w:rsidRDefault="00CD4059" w:rsidP="00CD4059">
      <w:pPr>
        <w:pStyle w:val="Default"/>
        <w:numPr>
          <w:ilvl w:val="1"/>
          <w:numId w:val="23"/>
        </w:numPr>
        <w:ind w:left="567" w:hanging="567"/>
      </w:pPr>
      <w:r w:rsidRPr="00AB7555">
        <w:t>Medway Council’s</w:t>
      </w:r>
      <w:r w:rsidR="007A7073" w:rsidRPr="00AB7555">
        <w:t xml:space="preserve"> director of education </w:t>
      </w:r>
      <w:r w:rsidRPr="00AB7555">
        <w:t>will determine if a school meets the eligibility criteria</w:t>
      </w:r>
      <w:r w:rsidR="00A556CE" w:rsidRPr="00AB7555">
        <w:t xml:space="preserve"> set by the policy</w:t>
      </w:r>
      <w:r w:rsidRPr="00AB7555">
        <w:t>.</w:t>
      </w:r>
    </w:p>
    <w:p w14:paraId="5868BED4" w14:textId="77777777" w:rsidR="00CD4059" w:rsidRPr="00AB7555" w:rsidRDefault="00CD4059" w:rsidP="00CD4059">
      <w:pPr>
        <w:pStyle w:val="Default"/>
        <w:ind w:left="567"/>
      </w:pPr>
    </w:p>
    <w:p w14:paraId="456DB93C" w14:textId="77777777" w:rsidR="00CD4059" w:rsidRPr="00AB7555" w:rsidRDefault="00CD4059" w:rsidP="00CD4059">
      <w:pPr>
        <w:pStyle w:val="Default"/>
        <w:numPr>
          <w:ilvl w:val="1"/>
          <w:numId w:val="23"/>
        </w:numPr>
        <w:ind w:left="567" w:hanging="567"/>
      </w:pPr>
      <w:r w:rsidRPr="00AB7555">
        <w:t>Funding will be allocated for one year only and will be paid on an academic year basis. Schools will need to reapply and submit a business case in November for funding each year if additional years funding is required.</w:t>
      </w:r>
    </w:p>
    <w:p w14:paraId="603A4E37" w14:textId="77777777" w:rsidR="00AB7555" w:rsidRPr="00AB7555" w:rsidRDefault="00AB7555" w:rsidP="00CD4059">
      <w:pPr>
        <w:pStyle w:val="Default"/>
        <w:ind w:left="567" w:hanging="567"/>
        <w:rPr>
          <w:b/>
          <w:bCs/>
        </w:rPr>
      </w:pPr>
    </w:p>
    <w:p w14:paraId="3CD62E15" w14:textId="46164AA4" w:rsidR="00CD4059" w:rsidRPr="00AB7555" w:rsidRDefault="00CD4059" w:rsidP="00CD4059">
      <w:pPr>
        <w:pStyle w:val="Default"/>
        <w:ind w:left="567" w:hanging="567"/>
      </w:pPr>
      <w:r w:rsidRPr="00AB7555">
        <w:rPr>
          <w:b/>
          <w:bCs/>
        </w:rPr>
        <w:t xml:space="preserve">2. </w:t>
      </w:r>
      <w:r w:rsidRPr="00AB7555">
        <w:rPr>
          <w:b/>
          <w:bCs/>
        </w:rPr>
        <w:tab/>
        <w:t xml:space="preserve">Criteria to access funding </w:t>
      </w:r>
    </w:p>
    <w:p w14:paraId="7FB2C307" w14:textId="77777777" w:rsidR="00CD4059" w:rsidRPr="00AB7555" w:rsidRDefault="00CD4059" w:rsidP="00CD4059">
      <w:pPr>
        <w:pStyle w:val="Default"/>
        <w:ind w:left="567" w:hanging="567"/>
      </w:pPr>
    </w:p>
    <w:p w14:paraId="07F0D6DD" w14:textId="77777777" w:rsidR="00CD4059" w:rsidRPr="00AB7555" w:rsidRDefault="00CD4059" w:rsidP="00CD4059">
      <w:pPr>
        <w:pStyle w:val="ListParagraph"/>
        <w:numPr>
          <w:ilvl w:val="1"/>
          <w:numId w:val="29"/>
        </w:numPr>
        <w:tabs>
          <w:tab w:val="clear" w:pos="1069"/>
        </w:tabs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B7555">
        <w:rPr>
          <w:rFonts w:ascii="Arial" w:hAnsi="Arial" w:cs="Arial"/>
          <w:sz w:val="24"/>
          <w:szCs w:val="24"/>
        </w:rPr>
        <w:t>Schools can request funding support if schools meet the following criteria:</w:t>
      </w:r>
    </w:p>
    <w:p w14:paraId="3D6F7E61" w14:textId="77777777" w:rsidR="00CD4059" w:rsidRPr="00AB7555" w:rsidRDefault="00CD4059" w:rsidP="00CD4059">
      <w:pPr>
        <w:pStyle w:val="ListParagraph"/>
        <w:ind w:left="567"/>
        <w:rPr>
          <w:rFonts w:ascii="Arial" w:hAnsi="Arial" w:cs="Arial"/>
          <w:sz w:val="24"/>
          <w:szCs w:val="24"/>
        </w:rPr>
      </w:pPr>
    </w:p>
    <w:p w14:paraId="79501B83" w14:textId="77777777" w:rsidR="00CD4059" w:rsidRPr="00AB7555" w:rsidRDefault="00CD4059" w:rsidP="00CD4059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7555">
        <w:rPr>
          <w:rFonts w:ascii="Arial" w:hAnsi="Arial" w:cs="Arial"/>
          <w:sz w:val="24"/>
          <w:szCs w:val="24"/>
        </w:rPr>
        <w:t xml:space="preserve">Those schools who can’t reduce their published admissions numbers due to statuary school class sizes in key stage 1 </w:t>
      </w:r>
      <w:proofErr w:type="gramStart"/>
      <w:r w:rsidR="00DB40E3" w:rsidRPr="00AB7555">
        <w:rPr>
          <w:rFonts w:ascii="Arial" w:hAnsi="Arial" w:cs="Arial"/>
          <w:sz w:val="24"/>
          <w:szCs w:val="24"/>
        </w:rPr>
        <w:t>i.e.</w:t>
      </w:r>
      <w:proofErr w:type="gramEnd"/>
      <w:r w:rsidRPr="00AB7555">
        <w:rPr>
          <w:rFonts w:ascii="Arial" w:hAnsi="Arial" w:cs="Arial"/>
          <w:sz w:val="24"/>
          <w:szCs w:val="24"/>
        </w:rPr>
        <w:t xml:space="preserve"> years R, 1 and 2.</w:t>
      </w:r>
    </w:p>
    <w:p w14:paraId="113C6D59" w14:textId="77777777" w:rsidR="00CD4059" w:rsidRPr="00AB7555" w:rsidRDefault="00CD4059" w:rsidP="00CD4059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7555">
        <w:rPr>
          <w:rFonts w:ascii="Arial" w:hAnsi="Arial" w:cs="Arial"/>
          <w:sz w:val="24"/>
          <w:szCs w:val="24"/>
        </w:rPr>
        <w:t xml:space="preserve">Where the place planning team determine there is a requirement for a minimum percentage of the surplus places within the next three years and </w:t>
      </w:r>
      <w:proofErr w:type="gramStart"/>
      <w:r w:rsidRPr="00AB7555">
        <w:rPr>
          <w:rFonts w:ascii="Arial" w:hAnsi="Arial" w:cs="Arial"/>
          <w:sz w:val="24"/>
          <w:szCs w:val="24"/>
        </w:rPr>
        <w:t>can’t</w:t>
      </w:r>
      <w:proofErr w:type="gramEnd"/>
      <w:r w:rsidRPr="00AB7555">
        <w:rPr>
          <w:rFonts w:ascii="Arial" w:hAnsi="Arial" w:cs="Arial"/>
          <w:sz w:val="24"/>
          <w:szCs w:val="24"/>
        </w:rPr>
        <w:t xml:space="preserve"> enter into a local area amendment arrangement? Especially where the school has requested to reduce their PAN or enter into a local agreement which has been denied by the LA.</w:t>
      </w:r>
    </w:p>
    <w:p w14:paraId="563BB371" w14:textId="77777777" w:rsidR="00CD4059" w:rsidRPr="00AB7555" w:rsidRDefault="00CD4059" w:rsidP="00CD4059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7555">
        <w:rPr>
          <w:rFonts w:ascii="Arial" w:hAnsi="Arial" w:cs="Arial"/>
          <w:sz w:val="24"/>
          <w:szCs w:val="24"/>
        </w:rPr>
        <w:t xml:space="preserve">Schools must submit a business case for approval by the Schools Forum in November so it can be discussed at the January Schools Forum meeting with funding starting from in September. </w:t>
      </w:r>
      <w:proofErr w:type="gramStart"/>
      <w:r w:rsidR="00DB40E3" w:rsidRPr="00AB7555">
        <w:rPr>
          <w:rFonts w:ascii="Arial" w:hAnsi="Arial" w:cs="Arial"/>
          <w:sz w:val="24"/>
          <w:szCs w:val="24"/>
        </w:rPr>
        <w:t>I.e</w:t>
      </w:r>
      <w:r w:rsidRPr="00AB7555">
        <w:rPr>
          <w:rFonts w:ascii="Arial" w:hAnsi="Arial" w:cs="Arial"/>
          <w:sz w:val="24"/>
          <w:szCs w:val="24"/>
        </w:rPr>
        <w:t>.</w:t>
      </w:r>
      <w:proofErr w:type="gramEnd"/>
      <w:r w:rsidRPr="00AB7555">
        <w:rPr>
          <w:rFonts w:ascii="Arial" w:hAnsi="Arial" w:cs="Arial"/>
          <w:sz w:val="24"/>
          <w:szCs w:val="24"/>
        </w:rPr>
        <w:t xml:space="preserve"> submit business case in November 2017, Schools Forum approval in January 2018 with funding to start from September 2018. Where business cases are rejected, schools will be told why.</w:t>
      </w:r>
    </w:p>
    <w:p w14:paraId="4B5FD429" w14:textId="77777777" w:rsidR="00CD4059" w:rsidRPr="00AB7555" w:rsidRDefault="00CD4059" w:rsidP="00CD4059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7555">
        <w:rPr>
          <w:rFonts w:ascii="Arial" w:hAnsi="Arial" w:cs="Arial"/>
          <w:sz w:val="24"/>
          <w:szCs w:val="24"/>
        </w:rPr>
        <w:t>The school does not receive pupil growth funding support for new classes.</w:t>
      </w:r>
    </w:p>
    <w:p w14:paraId="365B0821" w14:textId="77777777" w:rsidR="00CD4059" w:rsidRPr="00AB7555" w:rsidRDefault="00CD4059" w:rsidP="00CD4059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7555">
        <w:rPr>
          <w:rFonts w:ascii="Arial" w:hAnsi="Arial" w:cs="Arial"/>
          <w:sz w:val="24"/>
          <w:szCs w:val="24"/>
        </w:rPr>
        <w:t>This funding is not intended to support schools who fall into financial difficulties through budget mismanagement.</w:t>
      </w:r>
    </w:p>
    <w:p w14:paraId="5D53AEA8" w14:textId="77777777" w:rsidR="00CD4059" w:rsidRPr="00AB7555" w:rsidRDefault="00CD4059" w:rsidP="00CD4059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7555">
        <w:rPr>
          <w:rFonts w:ascii="Arial" w:hAnsi="Arial" w:cs="Arial"/>
          <w:sz w:val="24"/>
          <w:szCs w:val="24"/>
        </w:rPr>
        <w:t xml:space="preserve">A school will not be eligible or will stop being eligible for funding if the class is more than 2 thirds full </w:t>
      </w:r>
      <w:proofErr w:type="gramStart"/>
      <w:r w:rsidRPr="00AB7555">
        <w:rPr>
          <w:rFonts w:ascii="Arial" w:hAnsi="Arial" w:cs="Arial"/>
          <w:sz w:val="24"/>
          <w:szCs w:val="24"/>
        </w:rPr>
        <w:t>with</w:t>
      </w:r>
      <w:proofErr w:type="gramEnd"/>
      <w:r w:rsidRPr="00AB7555">
        <w:rPr>
          <w:rFonts w:ascii="Arial" w:hAnsi="Arial" w:cs="Arial"/>
          <w:sz w:val="24"/>
          <w:szCs w:val="24"/>
        </w:rPr>
        <w:t xml:space="preserve"> schools who have a PAN of 60</w:t>
      </w:r>
      <w:r w:rsidR="007A7073" w:rsidRPr="00AB7555">
        <w:rPr>
          <w:rFonts w:ascii="Arial" w:hAnsi="Arial" w:cs="Arial"/>
          <w:sz w:val="24"/>
          <w:szCs w:val="24"/>
        </w:rPr>
        <w:t xml:space="preserve"> or less</w:t>
      </w:r>
      <w:r w:rsidRPr="00AB7555">
        <w:rPr>
          <w:rFonts w:ascii="Arial" w:hAnsi="Arial" w:cs="Arial"/>
          <w:sz w:val="24"/>
          <w:szCs w:val="24"/>
        </w:rPr>
        <w:t xml:space="preserve"> across key stage 1. </w:t>
      </w:r>
      <w:proofErr w:type="gramStart"/>
      <w:r w:rsidRPr="00AB7555">
        <w:rPr>
          <w:rFonts w:ascii="Arial" w:hAnsi="Arial" w:cs="Arial"/>
          <w:sz w:val="24"/>
          <w:szCs w:val="24"/>
        </w:rPr>
        <w:t>I.e.</w:t>
      </w:r>
      <w:proofErr w:type="gramEnd"/>
      <w:r w:rsidRPr="00AB7555">
        <w:rPr>
          <w:rFonts w:ascii="Arial" w:hAnsi="Arial" w:cs="Arial"/>
          <w:sz w:val="24"/>
          <w:szCs w:val="24"/>
        </w:rPr>
        <w:t xml:space="preserve"> 21 for a</w:t>
      </w:r>
      <w:r w:rsidR="00BB01B1" w:rsidRPr="00AB7555">
        <w:rPr>
          <w:rFonts w:ascii="Arial" w:hAnsi="Arial" w:cs="Arial"/>
          <w:sz w:val="24"/>
          <w:szCs w:val="24"/>
        </w:rPr>
        <w:t xml:space="preserve"> PAN of 30, 41 for a PAN of 60</w:t>
      </w:r>
    </w:p>
    <w:p w14:paraId="6E60469C" w14:textId="77777777" w:rsidR="00CD4059" w:rsidRPr="00AB7555" w:rsidRDefault="00CD4059" w:rsidP="00CD4059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AB7555">
        <w:rPr>
          <w:rFonts w:ascii="Arial" w:hAnsi="Arial" w:cs="Arial"/>
          <w:sz w:val="24"/>
          <w:szCs w:val="24"/>
        </w:rPr>
        <w:lastRenderedPageBreak/>
        <w:t xml:space="preserve">A school will not be eligible or will stop being eligible for funding if the class is more than </w:t>
      </w:r>
      <w:r w:rsidR="00BB01B1" w:rsidRPr="00AB7555">
        <w:rPr>
          <w:rFonts w:ascii="Arial" w:hAnsi="Arial" w:cs="Arial"/>
          <w:sz w:val="24"/>
          <w:szCs w:val="24"/>
        </w:rPr>
        <w:t>67</w:t>
      </w:r>
      <w:r w:rsidRPr="00AB7555">
        <w:rPr>
          <w:rFonts w:ascii="Arial" w:hAnsi="Arial" w:cs="Arial"/>
          <w:sz w:val="24"/>
          <w:szCs w:val="24"/>
        </w:rPr>
        <w:t xml:space="preserve">% full with schools who have a PAN of 90 across key stage </w:t>
      </w:r>
      <w:proofErr w:type="gramStart"/>
      <w:r w:rsidRPr="00AB7555">
        <w:rPr>
          <w:rFonts w:ascii="Arial" w:hAnsi="Arial" w:cs="Arial"/>
          <w:sz w:val="24"/>
          <w:szCs w:val="24"/>
        </w:rPr>
        <w:t>1 .</w:t>
      </w:r>
      <w:proofErr w:type="gramEnd"/>
      <w:r w:rsidRPr="00AB755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B7555">
        <w:rPr>
          <w:rFonts w:ascii="Arial" w:hAnsi="Arial" w:cs="Arial"/>
          <w:sz w:val="24"/>
          <w:szCs w:val="24"/>
        </w:rPr>
        <w:t>I.e.</w:t>
      </w:r>
      <w:proofErr w:type="gramEnd"/>
      <w:r w:rsidRPr="00AB7555">
        <w:rPr>
          <w:rFonts w:ascii="Arial" w:hAnsi="Arial" w:cs="Arial"/>
          <w:sz w:val="24"/>
          <w:szCs w:val="24"/>
        </w:rPr>
        <w:t xml:space="preserve"> 75 for a PAN of 90.</w:t>
      </w:r>
    </w:p>
    <w:p w14:paraId="7E81B7DE" w14:textId="77777777" w:rsidR="00CD4059" w:rsidRPr="00AB7555" w:rsidRDefault="00CD4059" w:rsidP="00CD405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177C0C0" w14:textId="77777777" w:rsidR="00CD4059" w:rsidRPr="00AB7555" w:rsidRDefault="00CD4059" w:rsidP="00CD4059">
      <w:pPr>
        <w:pStyle w:val="Default"/>
        <w:ind w:left="567" w:hanging="567"/>
        <w:rPr>
          <w:bCs/>
          <w:color w:val="auto"/>
        </w:rPr>
      </w:pPr>
    </w:p>
    <w:p w14:paraId="7A2A5E63" w14:textId="77777777" w:rsidR="00CD4059" w:rsidRPr="00AB7555" w:rsidRDefault="00CD4059" w:rsidP="00CD4059">
      <w:pPr>
        <w:pStyle w:val="Default"/>
        <w:ind w:left="567" w:hanging="567"/>
        <w:rPr>
          <w:b/>
          <w:bCs/>
          <w:color w:val="auto"/>
        </w:rPr>
      </w:pPr>
      <w:r w:rsidRPr="00AB7555">
        <w:rPr>
          <w:b/>
          <w:bCs/>
          <w:color w:val="auto"/>
        </w:rPr>
        <w:t xml:space="preserve">3. </w:t>
      </w:r>
      <w:r w:rsidRPr="00AB7555">
        <w:rPr>
          <w:b/>
          <w:bCs/>
          <w:color w:val="auto"/>
        </w:rPr>
        <w:tab/>
        <w:t>Methodologies for distributing funding</w:t>
      </w:r>
    </w:p>
    <w:p w14:paraId="4673F799" w14:textId="77777777" w:rsidR="00CD4059" w:rsidRPr="00AB7555" w:rsidRDefault="00CD4059" w:rsidP="00CD4059">
      <w:pPr>
        <w:pStyle w:val="Default"/>
        <w:rPr>
          <w:color w:val="auto"/>
        </w:rPr>
      </w:pPr>
    </w:p>
    <w:p w14:paraId="69EE7754" w14:textId="77777777" w:rsidR="00CD4059" w:rsidRPr="00AB7555" w:rsidRDefault="00CD4059" w:rsidP="00CD4059">
      <w:pPr>
        <w:pStyle w:val="Default"/>
        <w:ind w:left="567" w:hanging="567"/>
        <w:rPr>
          <w:color w:val="auto"/>
        </w:rPr>
      </w:pPr>
      <w:r w:rsidRPr="00AB7555">
        <w:rPr>
          <w:color w:val="auto"/>
        </w:rPr>
        <w:t xml:space="preserve">3.1 </w:t>
      </w:r>
      <w:r w:rsidRPr="00AB7555">
        <w:rPr>
          <w:color w:val="auto"/>
        </w:rPr>
        <w:tab/>
        <w:t>Funding will be for one year only and schools will need to reapply every year if additional funding is required.  The funding is to help contribute towards the costs of a class teacher.</w:t>
      </w:r>
    </w:p>
    <w:p w14:paraId="7C64CE0B" w14:textId="77777777" w:rsidR="00CD4059" w:rsidRPr="00AB7555" w:rsidRDefault="00CD4059" w:rsidP="00CD4059">
      <w:pPr>
        <w:pStyle w:val="Default"/>
        <w:ind w:left="567" w:hanging="567"/>
        <w:rPr>
          <w:color w:val="auto"/>
        </w:rPr>
      </w:pPr>
    </w:p>
    <w:p w14:paraId="424177DA" w14:textId="77777777" w:rsidR="00CD4059" w:rsidRPr="00AB7555" w:rsidRDefault="00CD4059" w:rsidP="00CD4059">
      <w:pPr>
        <w:pStyle w:val="ListParagraph"/>
        <w:numPr>
          <w:ilvl w:val="1"/>
          <w:numId w:val="31"/>
        </w:num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B7555">
        <w:rPr>
          <w:rFonts w:ascii="Arial" w:hAnsi="Arial" w:cs="Arial"/>
          <w:sz w:val="24"/>
          <w:szCs w:val="24"/>
        </w:rPr>
        <w:t>Schools must invoice the LA for this funding before 31 March of that financial year.</w:t>
      </w:r>
    </w:p>
    <w:p w14:paraId="649FC9C6" w14:textId="77777777" w:rsidR="00CD4059" w:rsidRPr="00AB7555" w:rsidRDefault="00CD4059" w:rsidP="00CD4059">
      <w:pPr>
        <w:pStyle w:val="Default"/>
        <w:ind w:left="567" w:hanging="567"/>
        <w:rPr>
          <w:color w:val="auto"/>
        </w:rPr>
      </w:pPr>
    </w:p>
    <w:p w14:paraId="610C9A21" w14:textId="27025E9C" w:rsidR="00CD4059" w:rsidRPr="00AB7555" w:rsidRDefault="00CD4059" w:rsidP="00CD4059">
      <w:pPr>
        <w:pStyle w:val="Default"/>
        <w:numPr>
          <w:ilvl w:val="1"/>
          <w:numId w:val="31"/>
        </w:numPr>
        <w:ind w:left="567" w:hanging="567"/>
        <w:rPr>
          <w:color w:val="auto"/>
        </w:rPr>
      </w:pPr>
      <w:r w:rsidRPr="00AB7555">
        <w:rPr>
          <w:color w:val="auto"/>
        </w:rPr>
        <w:t xml:space="preserve"> A school or academy will receive</w:t>
      </w:r>
      <w:r w:rsidR="00D623C6" w:rsidRPr="00AB7555">
        <w:rPr>
          <w:color w:val="auto"/>
        </w:rPr>
        <w:t xml:space="preserve"> </w:t>
      </w:r>
      <w:r w:rsidR="00D623C6" w:rsidRPr="00470D9F">
        <w:rPr>
          <w:color w:val="auto"/>
          <w:highlight w:val="yellow"/>
        </w:rPr>
        <w:t>£</w:t>
      </w:r>
      <w:r w:rsidR="00AB7555" w:rsidRPr="0038393D">
        <w:rPr>
          <w:color w:val="auto"/>
          <w:highlight w:val="yellow"/>
        </w:rPr>
        <w:t>4</w:t>
      </w:r>
      <w:r w:rsidR="00D623C6" w:rsidRPr="0038393D">
        <w:rPr>
          <w:color w:val="auto"/>
          <w:highlight w:val="yellow"/>
        </w:rPr>
        <w:t>,</w:t>
      </w:r>
      <w:r w:rsidR="0038393D" w:rsidRPr="0038393D">
        <w:rPr>
          <w:color w:val="auto"/>
          <w:highlight w:val="yellow"/>
        </w:rPr>
        <w:t>265</w:t>
      </w:r>
      <w:r w:rsidR="00D623C6" w:rsidRPr="00AB7555">
        <w:rPr>
          <w:color w:val="auto"/>
        </w:rPr>
        <w:t xml:space="preserve"> per pupil up</w:t>
      </w:r>
      <w:r w:rsidR="00BB01B1" w:rsidRPr="00AB7555">
        <w:rPr>
          <w:color w:val="auto"/>
        </w:rPr>
        <w:t xml:space="preserve"> </w:t>
      </w:r>
      <w:r w:rsidR="00D623C6" w:rsidRPr="00AB7555">
        <w:rPr>
          <w:color w:val="auto"/>
        </w:rPr>
        <w:t>to</w:t>
      </w:r>
      <w:r w:rsidRPr="00AB7555">
        <w:rPr>
          <w:color w:val="auto"/>
        </w:rPr>
        <w:t xml:space="preserve"> </w:t>
      </w:r>
      <w:r w:rsidR="00D623C6" w:rsidRPr="00AB7555">
        <w:rPr>
          <w:color w:val="auto"/>
        </w:rPr>
        <w:t xml:space="preserve">a maximum of </w:t>
      </w:r>
      <w:r w:rsidRPr="00AB7555">
        <w:rPr>
          <w:color w:val="auto"/>
        </w:rPr>
        <w:t xml:space="preserve">£55,000 per class per year. The £55,000 will be pro-rated against the maximum PAN. </w:t>
      </w:r>
    </w:p>
    <w:p w14:paraId="3B81BEBA" w14:textId="77777777" w:rsidR="00CD4059" w:rsidRPr="00AB7555" w:rsidRDefault="00CD4059" w:rsidP="00CD4059">
      <w:pPr>
        <w:pStyle w:val="ListParagraph"/>
        <w:rPr>
          <w:rFonts w:ascii="Arial" w:hAnsi="Arial" w:cs="Arial"/>
          <w:sz w:val="24"/>
          <w:szCs w:val="24"/>
        </w:rPr>
      </w:pPr>
    </w:p>
    <w:p w14:paraId="7B7EBE22" w14:textId="152167F7" w:rsidR="00D623C6" w:rsidRPr="00AB7555" w:rsidRDefault="00D623C6" w:rsidP="00D623C6">
      <w:pPr>
        <w:pStyle w:val="Default"/>
        <w:ind w:left="567"/>
        <w:rPr>
          <w:color w:val="auto"/>
        </w:rPr>
      </w:pPr>
      <w:r w:rsidRPr="00AB7555">
        <w:rPr>
          <w:color w:val="auto"/>
        </w:rPr>
        <w:t xml:space="preserve">Example: A school has 21 pupils on roll from a PAN of 30 = </w:t>
      </w:r>
      <w:r w:rsidRPr="00470D9F">
        <w:rPr>
          <w:color w:val="auto"/>
          <w:highlight w:val="yellow"/>
        </w:rPr>
        <w:t>£</w:t>
      </w:r>
      <w:r w:rsidR="00AB7555" w:rsidRPr="00470D9F">
        <w:rPr>
          <w:color w:val="auto"/>
          <w:highlight w:val="yellow"/>
        </w:rPr>
        <w:t>4,</w:t>
      </w:r>
      <w:r w:rsidR="0038393D">
        <w:rPr>
          <w:color w:val="auto"/>
          <w:highlight w:val="yellow"/>
        </w:rPr>
        <w:t>265</w:t>
      </w:r>
      <w:r w:rsidRPr="00AB7555">
        <w:rPr>
          <w:color w:val="auto"/>
        </w:rPr>
        <w:t xml:space="preserve"> * (30-21) = </w:t>
      </w:r>
      <w:r w:rsidRPr="0038393D">
        <w:rPr>
          <w:color w:val="auto"/>
          <w:highlight w:val="yellow"/>
        </w:rPr>
        <w:t>£</w:t>
      </w:r>
      <w:r w:rsidR="0038393D" w:rsidRPr="0038393D">
        <w:rPr>
          <w:color w:val="auto"/>
          <w:highlight w:val="yellow"/>
        </w:rPr>
        <w:t>38,365</w:t>
      </w:r>
    </w:p>
    <w:p w14:paraId="48511304" w14:textId="77777777" w:rsidR="00D623C6" w:rsidRPr="00AB7555" w:rsidRDefault="00D623C6" w:rsidP="00D623C6">
      <w:pPr>
        <w:pStyle w:val="ListParagraph"/>
        <w:ind w:left="567"/>
        <w:rPr>
          <w:rFonts w:ascii="Arial" w:hAnsi="Arial" w:cs="Arial"/>
          <w:sz w:val="24"/>
          <w:szCs w:val="24"/>
        </w:rPr>
      </w:pPr>
      <w:r w:rsidRPr="00AB7555">
        <w:rPr>
          <w:rFonts w:ascii="Arial" w:hAnsi="Arial" w:cs="Arial"/>
          <w:sz w:val="24"/>
          <w:szCs w:val="24"/>
        </w:rPr>
        <w:t>A school has 42 pupils on roll from a PAN of 60 = £0.</w:t>
      </w:r>
    </w:p>
    <w:p w14:paraId="6953533F" w14:textId="1D0264F7" w:rsidR="00D623C6" w:rsidRPr="00AB7555" w:rsidRDefault="00D623C6" w:rsidP="00D623C6">
      <w:pPr>
        <w:pStyle w:val="ListParagraph"/>
        <w:ind w:left="567"/>
        <w:rPr>
          <w:rFonts w:ascii="Arial" w:hAnsi="Arial" w:cs="Arial"/>
          <w:sz w:val="24"/>
          <w:szCs w:val="24"/>
        </w:rPr>
      </w:pPr>
      <w:r w:rsidRPr="00AB7555">
        <w:rPr>
          <w:rFonts w:ascii="Arial" w:hAnsi="Arial" w:cs="Arial"/>
          <w:sz w:val="24"/>
          <w:szCs w:val="24"/>
        </w:rPr>
        <w:t xml:space="preserve"> A school has 74 pupils on roll from a PAN of 90 = £</w:t>
      </w:r>
      <w:r w:rsidR="00AB7555" w:rsidRPr="00470D9F">
        <w:rPr>
          <w:rFonts w:ascii="Arial" w:hAnsi="Arial" w:cs="Arial"/>
          <w:sz w:val="24"/>
          <w:szCs w:val="24"/>
          <w:highlight w:val="yellow"/>
        </w:rPr>
        <w:t>4,</w:t>
      </w:r>
      <w:r w:rsidR="0038393D">
        <w:rPr>
          <w:rFonts w:ascii="Arial" w:hAnsi="Arial" w:cs="Arial"/>
          <w:sz w:val="24"/>
          <w:szCs w:val="24"/>
          <w:highlight w:val="yellow"/>
        </w:rPr>
        <w:t>265</w:t>
      </w:r>
      <w:r w:rsidRPr="00AB7555">
        <w:rPr>
          <w:rFonts w:ascii="Arial" w:hAnsi="Arial" w:cs="Arial"/>
          <w:sz w:val="24"/>
          <w:szCs w:val="24"/>
        </w:rPr>
        <w:t xml:space="preserve"> (90 -74) = </w:t>
      </w:r>
      <w:r w:rsidRPr="0038393D">
        <w:rPr>
          <w:rFonts w:ascii="Arial" w:hAnsi="Arial" w:cs="Arial"/>
          <w:sz w:val="24"/>
          <w:szCs w:val="24"/>
          <w:highlight w:val="yellow"/>
        </w:rPr>
        <w:t>£</w:t>
      </w:r>
      <w:r w:rsidR="0038393D" w:rsidRPr="0038393D">
        <w:rPr>
          <w:rFonts w:ascii="Arial" w:hAnsi="Arial" w:cs="Arial"/>
          <w:sz w:val="24"/>
          <w:szCs w:val="24"/>
          <w:highlight w:val="yellow"/>
        </w:rPr>
        <w:t>68,240</w:t>
      </w:r>
      <w:r w:rsidRPr="00AB7555">
        <w:rPr>
          <w:rFonts w:ascii="Arial" w:hAnsi="Arial" w:cs="Arial"/>
          <w:sz w:val="24"/>
          <w:szCs w:val="24"/>
        </w:rPr>
        <w:t xml:space="preserve"> capped to £55,000.</w:t>
      </w:r>
    </w:p>
    <w:p w14:paraId="3CAD8D13" w14:textId="77777777" w:rsidR="00CD4059" w:rsidRPr="00AB7555" w:rsidRDefault="00CD4059" w:rsidP="00CD4059">
      <w:pPr>
        <w:pStyle w:val="Default"/>
        <w:ind w:left="567"/>
        <w:rPr>
          <w:color w:val="auto"/>
        </w:rPr>
      </w:pPr>
    </w:p>
    <w:p w14:paraId="6909EF09" w14:textId="77777777" w:rsidR="00CD4059" w:rsidRPr="00AB7555" w:rsidRDefault="00CD4059" w:rsidP="00CD4059">
      <w:pPr>
        <w:pStyle w:val="Default"/>
        <w:numPr>
          <w:ilvl w:val="1"/>
          <w:numId w:val="31"/>
        </w:numPr>
        <w:ind w:left="567" w:hanging="567"/>
        <w:rPr>
          <w:color w:val="auto"/>
        </w:rPr>
      </w:pPr>
      <w:r w:rsidRPr="00AB7555">
        <w:rPr>
          <w:color w:val="auto"/>
        </w:rPr>
        <w:t xml:space="preserve">A school will not be eligible for funding if the school receives growth funding. </w:t>
      </w:r>
    </w:p>
    <w:p w14:paraId="3D242401" w14:textId="77777777" w:rsidR="00CD4059" w:rsidRPr="00AB7555" w:rsidRDefault="00CD4059" w:rsidP="00CD4059">
      <w:pPr>
        <w:pStyle w:val="Default"/>
        <w:ind w:left="567" w:hanging="567"/>
        <w:rPr>
          <w:color w:val="auto"/>
        </w:rPr>
      </w:pPr>
    </w:p>
    <w:p w14:paraId="2E861E3E" w14:textId="77777777" w:rsidR="00CD4059" w:rsidRPr="00AB7555" w:rsidRDefault="00CD4059" w:rsidP="00CD4059">
      <w:pPr>
        <w:pStyle w:val="Default"/>
        <w:ind w:left="567" w:hanging="567"/>
        <w:rPr>
          <w:b/>
          <w:bCs/>
          <w:color w:val="auto"/>
        </w:rPr>
      </w:pPr>
      <w:r w:rsidRPr="00AB7555">
        <w:rPr>
          <w:b/>
          <w:bCs/>
          <w:color w:val="auto"/>
        </w:rPr>
        <w:t>4.</w:t>
      </w:r>
      <w:r w:rsidRPr="00AB7555">
        <w:rPr>
          <w:b/>
          <w:bCs/>
          <w:color w:val="auto"/>
        </w:rPr>
        <w:tab/>
        <w:t xml:space="preserve">Budget </w:t>
      </w:r>
    </w:p>
    <w:p w14:paraId="6A430F3B" w14:textId="77777777" w:rsidR="00CD4059" w:rsidRPr="00AB7555" w:rsidRDefault="00CD4059" w:rsidP="00CD4059">
      <w:pPr>
        <w:pStyle w:val="Default"/>
        <w:ind w:left="567" w:hanging="567"/>
        <w:rPr>
          <w:b/>
          <w:bCs/>
          <w:color w:val="auto"/>
        </w:rPr>
      </w:pPr>
    </w:p>
    <w:p w14:paraId="29AC3B0D" w14:textId="77777777" w:rsidR="00CD4059" w:rsidRPr="00AB7555" w:rsidRDefault="00CD4059" w:rsidP="00CD4059">
      <w:pPr>
        <w:ind w:left="567" w:hanging="567"/>
        <w:rPr>
          <w:rFonts w:ascii="Arial" w:hAnsi="Arial" w:cs="Arial"/>
          <w:sz w:val="24"/>
          <w:szCs w:val="24"/>
        </w:rPr>
      </w:pPr>
      <w:r w:rsidRPr="00AB7555">
        <w:rPr>
          <w:rFonts w:ascii="Arial" w:hAnsi="Arial" w:cs="Arial"/>
          <w:sz w:val="24"/>
          <w:szCs w:val="24"/>
        </w:rPr>
        <w:t xml:space="preserve">4.1 </w:t>
      </w:r>
      <w:r w:rsidRPr="00AB7555">
        <w:rPr>
          <w:rFonts w:ascii="Arial" w:hAnsi="Arial" w:cs="Arial"/>
          <w:sz w:val="24"/>
          <w:szCs w:val="24"/>
        </w:rPr>
        <w:tab/>
        <w:t xml:space="preserve">The budget will be set annually to support this policy. </w:t>
      </w:r>
    </w:p>
    <w:p w14:paraId="4F623BC9" w14:textId="77777777" w:rsidR="00CD4059" w:rsidRPr="00AB7555" w:rsidRDefault="00CD4059" w:rsidP="00CD4059">
      <w:pPr>
        <w:ind w:left="567" w:hanging="567"/>
        <w:rPr>
          <w:rFonts w:ascii="Arial" w:hAnsi="Arial" w:cs="Arial"/>
          <w:sz w:val="24"/>
          <w:szCs w:val="24"/>
          <w:highlight w:val="yellow"/>
        </w:rPr>
      </w:pPr>
    </w:p>
    <w:p w14:paraId="069C749A" w14:textId="5DCB2F54" w:rsidR="00CD4059" w:rsidRPr="00AB7555" w:rsidRDefault="00CD4059" w:rsidP="00CD4059">
      <w:pPr>
        <w:ind w:left="567" w:hanging="567"/>
        <w:rPr>
          <w:rFonts w:ascii="Arial" w:hAnsi="Arial" w:cs="Arial"/>
          <w:sz w:val="24"/>
          <w:szCs w:val="24"/>
        </w:rPr>
      </w:pPr>
      <w:r w:rsidRPr="00AB7555">
        <w:rPr>
          <w:rFonts w:ascii="Arial" w:hAnsi="Arial" w:cs="Arial"/>
          <w:sz w:val="24"/>
          <w:szCs w:val="24"/>
        </w:rPr>
        <w:t xml:space="preserve">School forum Approval: </w:t>
      </w:r>
      <w:r w:rsidR="00470D9F">
        <w:rPr>
          <w:rFonts w:ascii="Arial" w:hAnsi="Arial" w:cs="Arial"/>
          <w:sz w:val="24"/>
          <w:szCs w:val="24"/>
          <w:highlight w:val="yellow"/>
        </w:rPr>
        <w:t>18</w:t>
      </w:r>
      <w:r w:rsidR="00932656" w:rsidRPr="00470D9F">
        <w:rPr>
          <w:rFonts w:ascii="Arial" w:hAnsi="Arial" w:cs="Arial"/>
          <w:sz w:val="24"/>
          <w:szCs w:val="24"/>
          <w:highlight w:val="yellow"/>
        </w:rPr>
        <w:t>.05.2</w:t>
      </w:r>
      <w:r w:rsidR="00932656" w:rsidRPr="0038393D">
        <w:rPr>
          <w:rFonts w:ascii="Arial" w:hAnsi="Arial" w:cs="Arial"/>
          <w:sz w:val="24"/>
          <w:szCs w:val="24"/>
          <w:highlight w:val="yellow"/>
        </w:rPr>
        <w:t>02</w:t>
      </w:r>
      <w:r w:rsidR="00470D9F" w:rsidRPr="0038393D">
        <w:rPr>
          <w:rFonts w:ascii="Arial" w:hAnsi="Arial" w:cs="Arial"/>
          <w:sz w:val="24"/>
          <w:szCs w:val="24"/>
          <w:highlight w:val="yellow"/>
        </w:rPr>
        <w:t>2</w:t>
      </w:r>
    </w:p>
    <w:p w14:paraId="3B31DE9C" w14:textId="2158900C" w:rsidR="00CD4059" w:rsidRPr="00AB7555" w:rsidRDefault="00CD4059" w:rsidP="00CD4059">
      <w:pPr>
        <w:ind w:left="567" w:hanging="567"/>
        <w:rPr>
          <w:rFonts w:ascii="Arial" w:hAnsi="Arial" w:cs="Arial"/>
          <w:sz w:val="24"/>
          <w:szCs w:val="24"/>
        </w:rPr>
      </w:pPr>
      <w:r w:rsidRPr="00AB7555">
        <w:rPr>
          <w:rFonts w:ascii="Arial" w:hAnsi="Arial" w:cs="Arial"/>
          <w:sz w:val="24"/>
          <w:szCs w:val="24"/>
        </w:rPr>
        <w:t>Review Date:</w:t>
      </w:r>
      <w:r w:rsidRPr="00AB7555">
        <w:rPr>
          <w:rFonts w:ascii="Arial" w:hAnsi="Arial" w:cs="Arial"/>
          <w:sz w:val="24"/>
          <w:szCs w:val="24"/>
        </w:rPr>
        <w:tab/>
      </w:r>
      <w:r w:rsidRPr="00AB7555">
        <w:rPr>
          <w:rFonts w:ascii="Arial" w:hAnsi="Arial" w:cs="Arial"/>
          <w:sz w:val="24"/>
          <w:szCs w:val="24"/>
        </w:rPr>
        <w:tab/>
      </w:r>
      <w:r w:rsidR="00932656" w:rsidRPr="00470D9F">
        <w:rPr>
          <w:rFonts w:ascii="Arial" w:hAnsi="Arial" w:cs="Arial"/>
          <w:sz w:val="24"/>
          <w:szCs w:val="24"/>
          <w:highlight w:val="yellow"/>
        </w:rPr>
        <w:t>May</w:t>
      </w:r>
      <w:r w:rsidRPr="00470D9F">
        <w:rPr>
          <w:rFonts w:ascii="Arial" w:hAnsi="Arial" w:cs="Arial"/>
          <w:sz w:val="24"/>
          <w:szCs w:val="24"/>
          <w:highlight w:val="yellow"/>
        </w:rPr>
        <w:t xml:space="preserve"> 202</w:t>
      </w:r>
      <w:r w:rsidR="00470D9F">
        <w:rPr>
          <w:rFonts w:ascii="Arial" w:hAnsi="Arial" w:cs="Arial"/>
          <w:sz w:val="24"/>
          <w:szCs w:val="24"/>
          <w:highlight w:val="yellow"/>
        </w:rPr>
        <w:t>3</w:t>
      </w:r>
      <w:r w:rsidRPr="00470D9F">
        <w:rPr>
          <w:rFonts w:ascii="Arial" w:hAnsi="Arial" w:cs="Arial"/>
          <w:sz w:val="24"/>
          <w:szCs w:val="24"/>
          <w:highlight w:val="yellow"/>
        </w:rPr>
        <w:t>.</w:t>
      </w:r>
    </w:p>
    <w:p w14:paraId="0335D606" w14:textId="77777777" w:rsidR="002F5803" w:rsidRPr="00AB7555" w:rsidRDefault="002F5803" w:rsidP="00D5364A">
      <w:pPr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2F5803" w:rsidRPr="00AB7555" w:rsidSect="005E3B88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B67D0" w14:textId="77777777" w:rsidR="00BB7A20" w:rsidRDefault="00BB7A20" w:rsidP="00BB7A20">
      <w:pPr>
        <w:spacing w:after="0" w:line="240" w:lineRule="auto"/>
      </w:pPr>
      <w:r>
        <w:separator/>
      </w:r>
    </w:p>
  </w:endnote>
  <w:endnote w:type="continuationSeparator" w:id="0">
    <w:p w14:paraId="6073BA33" w14:textId="77777777" w:rsidR="00BB7A20" w:rsidRDefault="00BB7A20" w:rsidP="00BB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0655E" w14:textId="77777777" w:rsidR="00BB7A20" w:rsidRDefault="00BB7A20" w:rsidP="00BB7A20">
      <w:pPr>
        <w:spacing w:after="0" w:line="240" w:lineRule="auto"/>
      </w:pPr>
      <w:r>
        <w:separator/>
      </w:r>
    </w:p>
  </w:footnote>
  <w:footnote w:type="continuationSeparator" w:id="0">
    <w:p w14:paraId="5FDE30C6" w14:textId="77777777" w:rsidR="00BB7A20" w:rsidRDefault="00BB7A20" w:rsidP="00BB7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F99"/>
    <w:multiLevelType w:val="multilevel"/>
    <w:tmpl w:val="65303F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4A3021"/>
    <w:multiLevelType w:val="multilevel"/>
    <w:tmpl w:val="2F3A2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7E78CB"/>
    <w:multiLevelType w:val="hybridMultilevel"/>
    <w:tmpl w:val="B22E104A"/>
    <w:lvl w:ilvl="0" w:tplc="E71229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DC71A4"/>
    <w:multiLevelType w:val="multilevel"/>
    <w:tmpl w:val="E47617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2F11745"/>
    <w:multiLevelType w:val="multilevel"/>
    <w:tmpl w:val="392CC62C"/>
    <w:lvl w:ilvl="0">
      <w:start w:val="2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 w15:restartNumberingAfterBreak="0">
    <w:nsid w:val="04555600"/>
    <w:multiLevelType w:val="hybridMultilevel"/>
    <w:tmpl w:val="84C63104"/>
    <w:lvl w:ilvl="0" w:tplc="CE40125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76D2006"/>
    <w:multiLevelType w:val="multilevel"/>
    <w:tmpl w:val="96A00E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081816"/>
    <w:multiLevelType w:val="hybridMultilevel"/>
    <w:tmpl w:val="5CB29886"/>
    <w:lvl w:ilvl="0" w:tplc="B2B0BE3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31A72"/>
    <w:multiLevelType w:val="hybridMultilevel"/>
    <w:tmpl w:val="BBB6A576"/>
    <w:lvl w:ilvl="0" w:tplc="72F812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DCF7EBF"/>
    <w:multiLevelType w:val="hybridMultilevel"/>
    <w:tmpl w:val="6C14A7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544AF5"/>
    <w:multiLevelType w:val="multilevel"/>
    <w:tmpl w:val="C0FE5C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4D01DEE"/>
    <w:multiLevelType w:val="hybridMultilevel"/>
    <w:tmpl w:val="8ECA8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2C1E7E"/>
    <w:multiLevelType w:val="hybridMultilevel"/>
    <w:tmpl w:val="019AAE26"/>
    <w:lvl w:ilvl="0" w:tplc="F49828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F17AEF"/>
    <w:multiLevelType w:val="hybridMultilevel"/>
    <w:tmpl w:val="1D746B1E"/>
    <w:lvl w:ilvl="0" w:tplc="E55CA67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15B9C"/>
    <w:multiLevelType w:val="multilevel"/>
    <w:tmpl w:val="F5F69CB8"/>
    <w:lvl w:ilvl="0">
      <w:start w:val="2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5" w15:restartNumberingAfterBreak="0">
    <w:nsid w:val="2EE13C8A"/>
    <w:multiLevelType w:val="multilevel"/>
    <w:tmpl w:val="79D8BA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1857056"/>
    <w:multiLevelType w:val="hybridMultilevel"/>
    <w:tmpl w:val="FBE42072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FB775E"/>
    <w:multiLevelType w:val="multilevel"/>
    <w:tmpl w:val="B9465F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86833C7"/>
    <w:multiLevelType w:val="multilevel"/>
    <w:tmpl w:val="2EC233D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9" w15:restartNumberingAfterBreak="0">
    <w:nsid w:val="3894409C"/>
    <w:multiLevelType w:val="hybridMultilevel"/>
    <w:tmpl w:val="C2801BDC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2C005FC"/>
    <w:multiLevelType w:val="multilevel"/>
    <w:tmpl w:val="95765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22C2027"/>
    <w:multiLevelType w:val="hybridMultilevel"/>
    <w:tmpl w:val="DB76EDC4"/>
    <w:lvl w:ilvl="0" w:tplc="7EC0EAF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4E053BB"/>
    <w:multiLevelType w:val="multilevel"/>
    <w:tmpl w:val="D88887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7174F3A"/>
    <w:multiLevelType w:val="multilevel"/>
    <w:tmpl w:val="6478C89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4" w15:restartNumberingAfterBreak="0">
    <w:nsid w:val="572C7C7B"/>
    <w:multiLevelType w:val="hybridMultilevel"/>
    <w:tmpl w:val="AF887820"/>
    <w:lvl w:ilvl="0" w:tplc="A6DA741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61FA0"/>
    <w:multiLevelType w:val="hybridMultilevel"/>
    <w:tmpl w:val="91D8AD8A"/>
    <w:lvl w:ilvl="0" w:tplc="8C9A7E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B32F4C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B34A6D"/>
    <w:multiLevelType w:val="multilevel"/>
    <w:tmpl w:val="07EE7A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FE753B"/>
    <w:multiLevelType w:val="hybridMultilevel"/>
    <w:tmpl w:val="092C39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62A45"/>
    <w:multiLevelType w:val="hybridMultilevel"/>
    <w:tmpl w:val="B022A7D2"/>
    <w:lvl w:ilvl="0" w:tplc="E1E47E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46D4C05"/>
    <w:multiLevelType w:val="hybridMultilevel"/>
    <w:tmpl w:val="27F430A2"/>
    <w:lvl w:ilvl="0" w:tplc="3FE0F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E42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B4B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6A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CC7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EA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22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49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6A4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5B447B0"/>
    <w:multiLevelType w:val="hybridMultilevel"/>
    <w:tmpl w:val="0220E254"/>
    <w:lvl w:ilvl="0" w:tplc="8F902FF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878614C"/>
    <w:multiLevelType w:val="multilevel"/>
    <w:tmpl w:val="D9C87A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FE00AD4"/>
    <w:multiLevelType w:val="hybridMultilevel"/>
    <w:tmpl w:val="DB12F45C"/>
    <w:lvl w:ilvl="0" w:tplc="CCB4A1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0"/>
  </w:num>
  <w:num w:numId="3">
    <w:abstractNumId w:val="14"/>
  </w:num>
  <w:num w:numId="4">
    <w:abstractNumId w:val="2"/>
  </w:num>
  <w:num w:numId="5">
    <w:abstractNumId w:val="12"/>
  </w:num>
  <w:num w:numId="6">
    <w:abstractNumId w:val="16"/>
  </w:num>
  <w:num w:numId="7">
    <w:abstractNumId w:val="1"/>
  </w:num>
  <w:num w:numId="8">
    <w:abstractNumId w:val="9"/>
  </w:num>
  <w:num w:numId="9">
    <w:abstractNumId w:val="20"/>
  </w:num>
  <w:num w:numId="10">
    <w:abstractNumId w:val="3"/>
  </w:num>
  <w:num w:numId="11">
    <w:abstractNumId w:val="22"/>
  </w:num>
  <w:num w:numId="12">
    <w:abstractNumId w:val="17"/>
  </w:num>
  <w:num w:numId="13">
    <w:abstractNumId w:val="27"/>
  </w:num>
  <w:num w:numId="14">
    <w:abstractNumId w:val="28"/>
  </w:num>
  <w:num w:numId="15">
    <w:abstractNumId w:val="13"/>
  </w:num>
  <w:num w:numId="16">
    <w:abstractNumId w:val="24"/>
  </w:num>
  <w:num w:numId="17">
    <w:abstractNumId w:val="6"/>
  </w:num>
  <w:num w:numId="18">
    <w:abstractNumId w:val="26"/>
  </w:num>
  <w:num w:numId="19">
    <w:abstractNumId w:val="19"/>
  </w:num>
  <w:num w:numId="20">
    <w:abstractNumId w:val="30"/>
  </w:num>
  <w:num w:numId="21">
    <w:abstractNumId w:val="7"/>
  </w:num>
  <w:num w:numId="22">
    <w:abstractNumId w:val="29"/>
  </w:num>
  <w:num w:numId="23">
    <w:abstractNumId w:val="15"/>
  </w:num>
  <w:num w:numId="24">
    <w:abstractNumId w:val="32"/>
  </w:num>
  <w:num w:numId="25">
    <w:abstractNumId w:val="0"/>
  </w:num>
  <w:num w:numId="26">
    <w:abstractNumId w:val="21"/>
  </w:num>
  <w:num w:numId="27">
    <w:abstractNumId w:val="5"/>
  </w:num>
  <w:num w:numId="28">
    <w:abstractNumId w:val="8"/>
  </w:num>
  <w:num w:numId="29">
    <w:abstractNumId w:val="4"/>
  </w:num>
  <w:num w:numId="30">
    <w:abstractNumId w:val="11"/>
  </w:num>
  <w:num w:numId="31">
    <w:abstractNumId w:val="31"/>
  </w:num>
  <w:num w:numId="32">
    <w:abstractNumId w:val="1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5B3"/>
    <w:rsid w:val="00007373"/>
    <w:rsid w:val="00091651"/>
    <w:rsid w:val="00092D11"/>
    <w:rsid w:val="000A2FB0"/>
    <w:rsid w:val="000E1598"/>
    <w:rsid w:val="000F2BAE"/>
    <w:rsid w:val="00104A65"/>
    <w:rsid w:val="0016277F"/>
    <w:rsid w:val="00195AE3"/>
    <w:rsid w:val="001B5453"/>
    <w:rsid w:val="001C6945"/>
    <w:rsid w:val="001D55CF"/>
    <w:rsid w:val="00203D23"/>
    <w:rsid w:val="00215022"/>
    <w:rsid w:val="00250067"/>
    <w:rsid w:val="0027210F"/>
    <w:rsid w:val="002C128E"/>
    <w:rsid w:val="002C20B9"/>
    <w:rsid w:val="002C7D5B"/>
    <w:rsid w:val="002F5803"/>
    <w:rsid w:val="00300AB7"/>
    <w:rsid w:val="00311020"/>
    <w:rsid w:val="00341E24"/>
    <w:rsid w:val="00351C64"/>
    <w:rsid w:val="00375E08"/>
    <w:rsid w:val="0038382F"/>
    <w:rsid w:val="0038393D"/>
    <w:rsid w:val="003944F3"/>
    <w:rsid w:val="00395E4C"/>
    <w:rsid w:val="003F0C32"/>
    <w:rsid w:val="0041141D"/>
    <w:rsid w:val="004634C1"/>
    <w:rsid w:val="00464DFC"/>
    <w:rsid w:val="00470D9F"/>
    <w:rsid w:val="004A0E55"/>
    <w:rsid w:val="004A5840"/>
    <w:rsid w:val="004C4CF4"/>
    <w:rsid w:val="004E028D"/>
    <w:rsid w:val="00506A3F"/>
    <w:rsid w:val="00510396"/>
    <w:rsid w:val="0055154F"/>
    <w:rsid w:val="00572304"/>
    <w:rsid w:val="00582E03"/>
    <w:rsid w:val="00596ED7"/>
    <w:rsid w:val="005C0240"/>
    <w:rsid w:val="005C524A"/>
    <w:rsid w:val="005C6E3E"/>
    <w:rsid w:val="005C7175"/>
    <w:rsid w:val="005E3B88"/>
    <w:rsid w:val="00624370"/>
    <w:rsid w:val="00632B03"/>
    <w:rsid w:val="006407CE"/>
    <w:rsid w:val="00651F6B"/>
    <w:rsid w:val="0065292B"/>
    <w:rsid w:val="006537F9"/>
    <w:rsid w:val="006631C5"/>
    <w:rsid w:val="0068338B"/>
    <w:rsid w:val="006923CF"/>
    <w:rsid w:val="0069703F"/>
    <w:rsid w:val="006C22BA"/>
    <w:rsid w:val="006D7C24"/>
    <w:rsid w:val="006E2B70"/>
    <w:rsid w:val="007153A7"/>
    <w:rsid w:val="007233B2"/>
    <w:rsid w:val="0072574F"/>
    <w:rsid w:val="007367C8"/>
    <w:rsid w:val="00756664"/>
    <w:rsid w:val="00766EC5"/>
    <w:rsid w:val="00794BA4"/>
    <w:rsid w:val="007A01D7"/>
    <w:rsid w:val="007A7073"/>
    <w:rsid w:val="007C2D1B"/>
    <w:rsid w:val="007D4A8F"/>
    <w:rsid w:val="00800E19"/>
    <w:rsid w:val="00804B5E"/>
    <w:rsid w:val="00810CCB"/>
    <w:rsid w:val="00824B08"/>
    <w:rsid w:val="00830A8F"/>
    <w:rsid w:val="00831AA5"/>
    <w:rsid w:val="0085128F"/>
    <w:rsid w:val="00852D21"/>
    <w:rsid w:val="00855930"/>
    <w:rsid w:val="00855A80"/>
    <w:rsid w:val="00857F51"/>
    <w:rsid w:val="008919DC"/>
    <w:rsid w:val="00891F70"/>
    <w:rsid w:val="008E0DC0"/>
    <w:rsid w:val="009006A9"/>
    <w:rsid w:val="00916E74"/>
    <w:rsid w:val="00927343"/>
    <w:rsid w:val="009278F2"/>
    <w:rsid w:val="00932656"/>
    <w:rsid w:val="00933B32"/>
    <w:rsid w:val="009341F8"/>
    <w:rsid w:val="0094579B"/>
    <w:rsid w:val="009506DA"/>
    <w:rsid w:val="00951CE6"/>
    <w:rsid w:val="009B2E5A"/>
    <w:rsid w:val="009B63DB"/>
    <w:rsid w:val="009C21C2"/>
    <w:rsid w:val="009D2B17"/>
    <w:rsid w:val="009D37BF"/>
    <w:rsid w:val="009F0FEC"/>
    <w:rsid w:val="009F482D"/>
    <w:rsid w:val="00A04F00"/>
    <w:rsid w:val="00A25A51"/>
    <w:rsid w:val="00A34B61"/>
    <w:rsid w:val="00A4336B"/>
    <w:rsid w:val="00A526F5"/>
    <w:rsid w:val="00A556CE"/>
    <w:rsid w:val="00A873D4"/>
    <w:rsid w:val="00AB6D64"/>
    <w:rsid w:val="00AB7555"/>
    <w:rsid w:val="00AD780F"/>
    <w:rsid w:val="00AE3D18"/>
    <w:rsid w:val="00B053C8"/>
    <w:rsid w:val="00B14E6F"/>
    <w:rsid w:val="00B532BA"/>
    <w:rsid w:val="00B65E19"/>
    <w:rsid w:val="00B7599D"/>
    <w:rsid w:val="00BB01B1"/>
    <w:rsid w:val="00BB7A20"/>
    <w:rsid w:val="00BD16FF"/>
    <w:rsid w:val="00C22E0D"/>
    <w:rsid w:val="00C56248"/>
    <w:rsid w:val="00C61762"/>
    <w:rsid w:val="00C9012C"/>
    <w:rsid w:val="00C97755"/>
    <w:rsid w:val="00CC0DDA"/>
    <w:rsid w:val="00CC4C19"/>
    <w:rsid w:val="00CD4059"/>
    <w:rsid w:val="00CF1070"/>
    <w:rsid w:val="00D06020"/>
    <w:rsid w:val="00D354FF"/>
    <w:rsid w:val="00D5364A"/>
    <w:rsid w:val="00D623C6"/>
    <w:rsid w:val="00D81227"/>
    <w:rsid w:val="00D828F5"/>
    <w:rsid w:val="00DB40E3"/>
    <w:rsid w:val="00DD15D6"/>
    <w:rsid w:val="00DE15B3"/>
    <w:rsid w:val="00E03728"/>
    <w:rsid w:val="00E0694C"/>
    <w:rsid w:val="00E27916"/>
    <w:rsid w:val="00E31D56"/>
    <w:rsid w:val="00E63062"/>
    <w:rsid w:val="00E6452D"/>
    <w:rsid w:val="00E84D16"/>
    <w:rsid w:val="00E90D89"/>
    <w:rsid w:val="00EA3482"/>
    <w:rsid w:val="00EB1963"/>
    <w:rsid w:val="00EC3D83"/>
    <w:rsid w:val="00EE3569"/>
    <w:rsid w:val="00F05BED"/>
    <w:rsid w:val="00F123AB"/>
    <w:rsid w:val="00F21894"/>
    <w:rsid w:val="00F251EE"/>
    <w:rsid w:val="00F5669A"/>
    <w:rsid w:val="00F91EC6"/>
    <w:rsid w:val="00FA662C"/>
    <w:rsid w:val="00FB183B"/>
    <w:rsid w:val="00FE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843B14"/>
  <w15:docId w15:val="{9DFDBC3B-3F6C-4CA2-831A-0DA373DF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2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3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30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5BE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556C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9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585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22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604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9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maria.beaney</dc:creator>
  <cp:lastModifiedBy>beaney, maria</cp:lastModifiedBy>
  <cp:revision>5</cp:revision>
  <dcterms:created xsi:type="dcterms:W3CDTF">2022-05-10T20:39:00Z</dcterms:created>
  <dcterms:modified xsi:type="dcterms:W3CDTF">2022-05-10T20:46:00Z</dcterms:modified>
</cp:coreProperties>
</file>