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2EA7" w14:textId="77777777" w:rsidR="00E63062" w:rsidRPr="008A704B" w:rsidRDefault="00756664" w:rsidP="00756664">
      <w:pPr>
        <w:pStyle w:val="Default"/>
        <w:jc w:val="center"/>
        <w:rPr>
          <w:b/>
        </w:rPr>
      </w:pPr>
      <w:r w:rsidRPr="008A704B">
        <w:rPr>
          <w:b/>
        </w:rPr>
        <w:t>Medway Council Growth Funding Policy</w:t>
      </w:r>
    </w:p>
    <w:p w14:paraId="0CCC868D" w14:textId="208DA569" w:rsidR="005C7175" w:rsidRPr="008A704B" w:rsidRDefault="000C6743" w:rsidP="00756664">
      <w:pPr>
        <w:pStyle w:val="Default"/>
        <w:jc w:val="center"/>
        <w:rPr>
          <w:b/>
        </w:rPr>
      </w:pPr>
      <w:r w:rsidRPr="008A704B">
        <w:rPr>
          <w:b/>
          <w:highlight w:val="yellow"/>
        </w:rPr>
        <w:t xml:space="preserve">Version Update: </w:t>
      </w:r>
      <w:r w:rsidR="00781AD9" w:rsidRPr="008A704B">
        <w:rPr>
          <w:b/>
          <w:highlight w:val="yellow"/>
        </w:rPr>
        <w:t>May 202</w:t>
      </w:r>
      <w:r w:rsidR="00973A7D">
        <w:rPr>
          <w:b/>
        </w:rPr>
        <w:t>2</w:t>
      </w:r>
    </w:p>
    <w:p w14:paraId="1D528672" w14:textId="77777777" w:rsidR="00E63062" w:rsidRPr="008A704B" w:rsidRDefault="00E63062" w:rsidP="00E63062">
      <w:pPr>
        <w:pStyle w:val="Default"/>
      </w:pPr>
      <w:r w:rsidRPr="008A704B">
        <w:t xml:space="preserve"> </w:t>
      </w:r>
    </w:p>
    <w:p w14:paraId="01FC983D" w14:textId="77777777" w:rsidR="00756664" w:rsidRPr="008A704B" w:rsidRDefault="00E63062" w:rsidP="0094579B">
      <w:pPr>
        <w:pStyle w:val="Default"/>
        <w:ind w:left="567" w:hanging="567"/>
        <w:rPr>
          <w:b/>
          <w:bCs/>
        </w:rPr>
      </w:pPr>
      <w:r w:rsidRPr="008A704B">
        <w:rPr>
          <w:b/>
          <w:bCs/>
        </w:rPr>
        <w:t xml:space="preserve">1. </w:t>
      </w:r>
      <w:r w:rsidR="0094579B" w:rsidRPr="008A704B">
        <w:rPr>
          <w:b/>
          <w:bCs/>
        </w:rPr>
        <w:tab/>
      </w:r>
      <w:r w:rsidRPr="008A704B">
        <w:rPr>
          <w:b/>
          <w:bCs/>
        </w:rPr>
        <w:t xml:space="preserve">Overview </w:t>
      </w:r>
    </w:p>
    <w:p w14:paraId="526900F3" w14:textId="77777777" w:rsidR="00756664" w:rsidRPr="008A704B" w:rsidRDefault="00756664" w:rsidP="00E63062">
      <w:pPr>
        <w:pStyle w:val="Default"/>
      </w:pPr>
    </w:p>
    <w:p w14:paraId="21564B3D" w14:textId="77777777" w:rsidR="00756664" w:rsidRPr="008A704B" w:rsidRDefault="007233B2" w:rsidP="009278F2">
      <w:pPr>
        <w:pStyle w:val="Default"/>
        <w:numPr>
          <w:ilvl w:val="1"/>
          <w:numId w:val="23"/>
        </w:numPr>
        <w:ind w:left="567" w:hanging="567"/>
      </w:pPr>
      <w:r w:rsidRPr="008A704B">
        <w:t>Th</w:t>
      </w:r>
      <w:r w:rsidR="00E63062" w:rsidRPr="008A704B">
        <w:t xml:space="preserve">is funding </w:t>
      </w:r>
      <w:r w:rsidR="00756664" w:rsidRPr="008A704B">
        <w:t xml:space="preserve">policy </w:t>
      </w:r>
      <w:r w:rsidR="00E63062" w:rsidRPr="008A704B">
        <w:t>is for revenue associated reorganisation</w:t>
      </w:r>
      <w:r w:rsidR="00756664" w:rsidRPr="008A704B">
        <w:t>s</w:t>
      </w:r>
      <w:r w:rsidR="00E63062" w:rsidRPr="008A704B">
        <w:t xml:space="preserve"> only and does not relate to capital items. </w:t>
      </w:r>
    </w:p>
    <w:p w14:paraId="06912F4B" w14:textId="77777777" w:rsidR="009278F2" w:rsidRPr="008A704B" w:rsidRDefault="009278F2" w:rsidP="009278F2">
      <w:pPr>
        <w:pStyle w:val="Default"/>
        <w:ind w:left="567"/>
      </w:pPr>
    </w:p>
    <w:p w14:paraId="0ACFF258" w14:textId="77777777" w:rsidR="007233B2" w:rsidRPr="008A704B" w:rsidRDefault="009278F2" w:rsidP="007233B2">
      <w:pPr>
        <w:pStyle w:val="Default"/>
        <w:numPr>
          <w:ilvl w:val="1"/>
          <w:numId w:val="23"/>
        </w:numPr>
        <w:ind w:left="567" w:hanging="567"/>
      </w:pPr>
      <w:r w:rsidRPr="008A704B">
        <w:t>S</w:t>
      </w:r>
      <w:r w:rsidR="00E63062" w:rsidRPr="008A704B">
        <w:t>chools (the term schools used throughout this document includes academies) can access the funding and eligibility where there is a basic need requirement. The DfE define Basic Need as new pupil pla</w:t>
      </w:r>
      <w:r w:rsidR="007233B2" w:rsidRPr="008A704B">
        <w:t>ces which are requested by the local authority</w:t>
      </w:r>
      <w:r w:rsidR="00E63062" w:rsidRPr="008A704B">
        <w:t xml:space="preserve"> because there are insufficient places available for pupils in the area. </w:t>
      </w:r>
    </w:p>
    <w:p w14:paraId="6690BFE1" w14:textId="77777777" w:rsidR="007233B2" w:rsidRPr="008A704B" w:rsidRDefault="007233B2" w:rsidP="007233B2">
      <w:pPr>
        <w:pStyle w:val="Default"/>
        <w:ind w:left="360"/>
      </w:pPr>
    </w:p>
    <w:p w14:paraId="5A1E177E" w14:textId="77777777" w:rsidR="007233B2" w:rsidRPr="008A704B" w:rsidRDefault="00756664" w:rsidP="007233B2">
      <w:pPr>
        <w:pStyle w:val="Default"/>
        <w:numPr>
          <w:ilvl w:val="1"/>
          <w:numId w:val="23"/>
        </w:numPr>
        <w:ind w:left="567" w:hanging="567"/>
      </w:pPr>
      <w:r w:rsidRPr="008A704B">
        <w:t>Medway Council</w:t>
      </w:r>
      <w:r w:rsidR="007233B2" w:rsidRPr="008A704B">
        <w:t>’s</w:t>
      </w:r>
      <w:r w:rsidRPr="008A704B">
        <w:t xml:space="preserve"> place planning team will</w:t>
      </w:r>
      <w:r w:rsidR="00E63062" w:rsidRPr="008A704B">
        <w:t xml:space="preserve"> determine if </w:t>
      </w:r>
      <w:r w:rsidRPr="008A704B">
        <w:t xml:space="preserve">a </w:t>
      </w:r>
      <w:r w:rsidR="00E63062" w:rsidRPr="008A704B">
        <w:t>school meet</w:t>
      </w:r>
      <w:r w:rsidR="007233B2" w:rsidRPr="008A704B">
        <w:t>s the</w:t>
      </w:r>
      <w:r w:rsidR="00E63062" w:rsidRPr="008A704B">
        <w:t xml:space="preserve"> eligibility </w:t>
      </w:r>
      <w:r w:rsidR="007233B2" w:rsidRPr="008A704B">
        <w:t>criteria.</w:t>
      </w:r>
    </w:p>
    <w:p w14:paraId="4F78272C" w14:textId="77777777" w:rsidR="00D81227" w:rsidRPr="008A704B" w:rsidRDefault="00D81227" w:rsidP="00D81227">
      <w:pPr>
        <w:pStyle w:val="Default"/>
        <w:ind w:left="567"/>
      </w:pPr>
    </w:p>
    <w:p w14:paraId="4F839A20" w14:textId="77777777" w:rsidR="00E63062" w:rsidRPr="008A704B" w:rsidRDefault="00E63062" w:rsidP="007233B2">
      <w:pPr>
        <w:pStyle w:val="Default"/>
        <w:numPr>
          <w:ilvl w:val="1"/>
          <w:numId w:val="23"/>
        </w:numPr>
        <w:ind w:left="567" w:hanging="567"/>
      </w:pPr>
      <w:r w:rsidRPr="008A704B">
        <w:t>Reorganisation funding and rising roll funding will be paid on an academic year basis and will be calculated on the growth in numbers from September less the preceding October’s school census count.</w:t>
      </w:r>
    </w:p>
    <w:p w14:paraId="06BCA0FC" w14:textId="77777777" w:rsidR="00756664" w:rsidRPr="008A704B" w:rsidRDefault="00756664" w:rsidP="00756664">
      <w:pPr>
        <w:spacing w:after="0" w:line="240" w:lineRule="auto"/>
        <w:ind w:left="567" w:hanging="567"/>
        <w:rPr>
          <w:rFonts w:ascii="Arial" w:hAnsi="Arial" w:cs="Arial"/>
          <w:sz w:val="24"/>
          <w:szCs w:val="24"/>
        </w:rPr>
      </w:pPr>
    </w:p>
    <w:p w14:paraId="0D78917B" w14:textId="77777777" w:rsidR="00756664" w:rsidRPr="008A704B" w:rsidRDefault="00756664" w:rsidP="0094579B">
      <w:pPr>
        <w:pStyle w:val="Default"/>
        <w:ind w:left="567" w:hanging="567"/>
      </w:pPr>
      <w:r w:rsidRPr="008A704B">
        <w:rPr>
          <w:b/>
          <w:bCs/>
        </w:rPr>
        <w:t xml:space="preserve">2. </w:t>
      </w:r>
      <w:r w:rsidR="0094579B" w:rsidRPr="008A704B">
        <w:rPr>
          <w:b/>
          <w:bCs/>
        </w:rPr>
        <w:tab/>
      </w:r>
      <w:r w:rsidRPr="008A704B">
        <w:rPr>
          <w:b/>
          <w:bCs/>
        </w:rPr>
        <w:t>Reorganisa</w:t>
      </w:r>
      <w:r w:rsidR="007233B2" w:rsidRPr="008A704B">
        <w:rPr>
          <w:b/>
          <w:bCs/>
        </w:rPr>
        <w:t>tion Funding – Protected Pupil F</w:t>
      </w:r>
      <w:r w:rsidRPr="008A704B">
        <w:rPr>
          <w:b/>
          <w:bCs/>
        </w:rPr>
        <w:t xml:space="preserve">unding </w:t>
      </w:r>
    </w:p>
    <w:p w14:paraId="6571DC6B" w14:textId="77777777" w:rsidR="00756664" w:rsidRPr="008A704B" w:rsidRDefault="00756664" w:rsidP="007233B2">
      <w:pPr>
        <w:pStyle w:val="Default"/>
        <w:ind w:left="567" w:hanging="567"/>
      </w:pPr>
    </w:p>
    <w:p w14:paraId="5C21F2AD" w14:textId="77777777" w:rsidR="00756664" w:rsidRPr="008A704B" w:rsidRDefault="00D81227" w:rsidP="007233B2">
      <w:pPr>
        <w:pStyle w:val="Default"/>
        <w:numPr>
          <w:ilvl w:val="1"/>
          <w:numId w:val="3"/>
        </w:numPr>
        <w:ind w:left="567" w:hanging="567"/>
      </w:pPr>
      <w:r w:rsidRPr="008A704B">
        <w:t>Funding paid to schools for p</w:t>
      </w:r>
      <w:r w:rsidR="00756664" w:rsidRPr="008A704B">
        <w:t xml:space="preserve">rotected </w:t>
      </w:r>
      <w:r w:rsidRPr="008A704B">
        <w:t>p</w:t>
      </w:r>
      <w:r w:rsidR="00756664" w:rsidRPr="008A704B">
        <w:t xml:space="preserve">upil funding includes: </w:t>
      </w:r>
    </w:p>
    <w:p w14:paraId="1D67AFB7" w14:textId="77777777" w:rsidR="007233B2" w:rsidRPr="008A704B" w:rsidRDefault="007233B2" w:rsidP="007233B2">
      <w:pPr>
        <w:pStyle w:val="Default"/>
        <w:ind w:left="1069"/>
      </w:pPr>
    </w:p>
    <w:p w14:paraId="2DCCC34B" w14:textId="77777777" w:rsidR="00756664" w:rsidRPr="008A704B" w:rsidRDefault="00756664" w:rsidP="007233B2">
      <w:pPr>
        <w:pStyle w:val="Default"/>
        <w:tabs>
          <w:tab w:val="left" w:pos="851"/>
        </w:tabs>
        <w:spacing w:after="20"/>
        <w:ind w:left="851" w:hanging="284"/>
      </w:pPr>
      <w:r w:rsidRPr="008A704B">
        <w:t xml:space="preserve">a) Permanent expansion – an increase over time to all year groups in the school </w:t>
      </w:r>
    </w:p>
    <w:p w14:paraId="236CD67C" w14:textId="77777777" w:rsidR="00756664" w:rsidRPr="008A704B" w:rsidRDefault="00756664" w:rsidP="007233B2">
      <w:pPr>
        <w:pStyle w:val="Default"/>
        <w:tabs>
          <w:tab w:val="left" w:pos="851"/>
        </w:tabs>
        <w:spacing w:after="20"/>
        <w:ind w:left="851" w:hanging="284"/>
      </w:pPr>
      <w:r w:rsidRPr="008A704B">
        <w:t xml:space="preserve">b) Bulge year/ bulge </w:t>
      </w:r>
      <w:r w:rsidR="007233B2" w:rsidRPr="008A704B">
        <w:t>classes</w:t>
      </w:r>
      <w:r w:rsidR="00D81227" w:rsidRPr="008A704B">
        <w:t xml:space="preserve"> (</w:t>
      </w:r>
      <w:proofErr w:type="gramStart"/>
      <w:r w:rsidR="007233B2" w:rsidRPr="008A704B">
        <w:t>i.e.</w:t>
      </w:r>
      <w:proofErr w:type="gramEnd"/>
      <w:r w:rsidR="007233B2" w:rsidRPr="008A704B">
        <w:t xml:space="preserve"> </w:t>
      </w:r>
      <w:r w:rsidRPr="008A704B">
        <w:t xml:space="preserve">not a permanent expansion) </w:t>
      </w:r>
    </w:p>
    <w:p w14:paraId="216D1C67" w14:textId="77777777" w:rsidR="00756664" w:rsidRPr="008A704B" w:rsidRDefault="00756664" w:rsidP="007233B2">
      <w:pPr>
        <w:pStyle w:val="Default"/>
        <w:tabs>
          <w:tab w:val="left" w:pos="851"/>
        </w:tabs>
        <w:ind w:left="851" w:hanging="284"/>
      </w:pPr>
      <w:r w:rsidRPr="008A704B">
        <w:t xml:space="preserve">c) A new </w:t>
      </w:r>
      <w:r w:rsidR="00D81227" w:rsidRPr="008A704B">
        <w:t xml:space="preserve">opening </w:t>
      </w:r>
      <w:proofErr w:type="gramStart"/>
      <w:r w:rsidRPr="008A704B">
        <w:t>school</w:t>
      </w:r>
      <w:proofErr w:type="gramEnd"/>
      <w:r w:rsidRPr="008A704B">
        <w:t xml:space="preserve"> </w:t>
      </w:r>
    </w:p>
    <w:p w14:paraId="71E76E96" w14:textId="77777777" w:rsidR="00756664" w:rsidRPr="008A704B" w:rsidRDefault="00756664" w:rsidP="00756664">
      <w:pPr>
        <w:pStyle w:val="Default"/>
      </w:pPr>
    </w:p>
    <w:p w14:paraId="568A6228" w14:textId="77777777" w:rsidR="004634C1" w:rsidRPr="008A704B" w:rsidRDefault="00756664" w:rsidP="004634C1">
      <w:pPr>
        <w:pStyle w:val="ListParagraph"/>
        <w:numPr>
          <w:ilvl w:val="1"/>
          <w:numId w:val="3"/>
        </w:numPr>
        <w:tabs>
          <w:tab w:val="clear" w:pos="1069"/>
          <w:tab w:val="num" w:pos="567"/>
        </w:tabs>
        <w:spacing w:after="0" w:line="240" w:lineRule="auto"/>
        <w:ind w:left="567" w:hanging="567"/>
        <w:rPr>
          <w:rFonts w:ascii="Arial" w:hAnsi="Arial" w:cs="Arial"/>
          <w:sz w:val="24"/>
          <w:szCs w:val="24"/>
        </w:rPr>
      </w:pPr>
      <w:r w:rsidRPr="008A704B">
        <w:rPr>
          <w:rFonts w:ascii="Arial" w:hAnsi="Arial" w:cs="Arial"/>
          <w:sz w:val="24"/>
          <w:szCs w:val="24"/>
        </w:rPr>
        <w:t xml:space="preserve">Reorganisation protection in </w:t>
      </w:r>
      <w:r w:rsidR="00D81227" w:rsidRPr="008A704B">
        <w:rPr>
          <w:rFonts w:ascii="Arial" w:hAnsi="Arial" w:cs="Arial"/>
          <w:sz w:val="24"/>
          <w:szCs w:val="24"/>
        </w:rPr>
        <w:t xml:space="preserve">primary and secondary </w:t>
      </w:r>
      <w:r w:rsidRPr="008A704B">
        <w:rPr>
          <w:rFonts w:ascii="Arial" w:hAnsi="Arial" w:cs="Arial"/>
          <w:sz w:val="24"/>
          <w:szCs w:val="24"/>
        </w:rPr>
        <w:t>schools can be split into two different types</w:t>
      </w:r>
      <w:r w:rsidR="004634C1" w:rsidRPr="008A704B">
        <w:rPr>
          <w:rFonts w:ascii="Arial" w:hAnsi="Arial" w:cs="Arial"/>
          <w:sz w:val="24"/>
          <w:szCs w:val="24"/>
        </w:rPr>
        <w:t>. O</w:t>
      </w:r>
      <w:r w:rsidRPr="008A704B">
        <w:rPr>
          <w:rFonts w:ascii="Arial" w:hAnsi="Arial" w:cs="Arial"/>
          <w:sz w:val="24"/>
          <w:szCs w:val="24"/>
        </w:rPr>
        <w:t>ne</w:t>
      </w:r>
      <w:r w:rsidR="004634C1" w:rsidRPr="008A704B">
        <w:rPr>
          <w:rFonts w:ascii="Arial" w:hAnsi="Arial" w:cs="Arial"/>
          <w:sz w:val="24"/>
          <w:szCs w:val="24"/>
        </w:rPr>
        <w:t>,</w:t>
      </w:r>
      <w:r w:rsidRPr="008A704B">
        <w:rPr>
          <w:rFonts w:ascii="Arial" w:hAnsi="Arial" w:cs="Arial"/>
          <w:sz w:val="24"/>
          <w:szCs w:val="24"/>
        </w:rPr>
        <w:t xml:space="preserve"> where the increase in pupils triggers </w:t>
      </w:r>
      <w:r w:rsidR="004634C1" w:rsidRPr="008A704B">
        <w:rPr>
          <w:rFonts w:ascii="Arial" w:hAnsi="Arial" w:cs="Arial"/>
          <w:sz w:val="24"/>
          <w:szCs w:val="24"/>
        </w:rPr>
        <w:t xml:space="preserve">sufficient </w:t>
      </w:r>
      <w:r w:rsidRPr="008A704B">
        <w:rPr>
          <w:rFonts w:ascii="Arial" w:hAnsi="Arial" w:cs="Arial"/>
          <w:sz w:val="24"/>
          <w:szCs w:val="24"/>
        </w:rPr>
        <w:t xml:space="preserve">funding </w:t>
      </w:r>
      <w:r w:rsidR="004634C1" w:rsidRPr="008A704B">
        <w:rPr>
          <w:rFonts w:ascii="Arial" w:hAnsi="Arial" w:cs="Arial"/>
          <w:sz w:val="24"/>
          <w:szCs w:val="24"/>
        </w:rPr>
        <w:t>to</w:t>
      </w:r>
      <w:r w:rsidRPr="008A704B">
        <w:rPr>
          <w:rFonts w:ascii="Arial" w:hAnsi="Arial" w:cs="Arial"/>
          <w:sz w:val="24"/>
          <w:szCs w:val="24"/>
        </w:rPr>
        <w:t xml:space="preserve"> meet the cost of the resource needed to support the additiona</w:t>
      </w:r>
      <w:r w:rsidR="004634C1" w:rsidRPr="008A704B">
        <w:rPr>
          <w:rFonts w:ascii="Arial" w:hAnsi="Arial" w:cs="Arial"/>
          <w:sz w:val="24"/>
          <w:szCs w:val="24"/>
        </w:rPr>
        <w:t xml:space="preserve">l pupil </w:t>
      </w:r>
      <w:r w:rsidRPr="008A704B">
        <w:rPr>
          <w:rFonts w:ascii="Arial" w:hAnsi="Arial" w:cs="Arial"/>
          <w:sz w:val="24"/>
          <w:szCs w:val="24"/>
        </w:rPr>
        <w:t xml:space="preserve">intake and </w:t>
      </w:r>
      <w:r w:rsidR="004634C1" w:rsidRPr="008A704B">
        <w:rPr>
          <w:rFonts w:ascii="Arial" w:hAnsi="Arial" w:cs="Arial"/>
          <w:sz w:val="24"/>
          <w:szCs w:val="24"/>
        </w:rPr>
        <w:t>two, where</w:t>
      </w:r>
      <w:r w:rsidRPr="008A704B">
        <w:rPr>
          <w:rFonts w:ascii="Arial" w:hAnsi="Arial" w:cs="Arial"/>
          <w:sz w:val="24"/>
          <w:szCs w:val="24"/>
        </w:rPr>
        <w:t xml:space="preserve"> the increase in PAN will take a longer </w:t>
      </w:r>
      <w:proofErr w:type="gramStart"/>
      <w:r w:rsidRPr="008A704B">
        <w:rPr>
          <w:rFonts w:ascii="Arial" w:hAnsi="Arial" w:cs="Arial"/>
          <w:sz w:val="24"/>
          <w:szCs w:val="24"/>
        </w:rPr>
        <w:t>period of time</w:t>
      </w:r>
      <w:proofErr w:type="gramEnd"/>
      <w:r w:rsidRPr="008A704B">
        <w:rPr>
          <w:rFonts w:ascii="Arial" w:hAnsi="Arial" w:cs="Arial"/>
          <w:sz w:val="24"/>
          <w:szCs w:val="24"/>
        </w:rPr>
        <w:t xml:space="preserve"> to fill up and</w:t>
      </w:r>
      <w:r w:rsidR="004634C1" w:rsidRPr="008A704B">
        <w:rPr>
          <w:rFonts w:ascii="Arial" w:hAnsi="Arial" w:cs="Arial"/>
          <w:sz w:val="24"/>
          <w:szCs w:val="24"/>
        </w:rPr>
        <w:t xml:space="preserve"> therefore </w:t>
      </w:r>
      <w:r w:rsidRPr="008A704B">
        <w:rPr>
          <w:rFonts w:ascii="Arial" w:hAnsi="Arial" w:cs="Arial"/>
          <w:sz w:val="24"/>
          <w:szCs w:val="24"/>
        </w:rPr>
        <w:t>provide the necessary level of resources needed to cover the costs of the additional</w:t>
      </w:r>
      <w:r w:rsidR="004634C1" w:rsidRPr="008A704B">
        <w:rPr>
          <w:rFonts w:ascii="Arial" w:hAnsi="Arial" w:cs="Arial"/>
          <w:sz w:val="24"/>
          <w:szCs w:val="24"/>
        </w:rPr>
        <w:t xml:space="preserve"> pupil</w:t>
      </w:r>
      <w:r w:rsidRPr="008A704B">
        <w:rPr>
          <w:rFonts w:ascii="Arial" w:hAnsi="Arial" w:cs="Arial"/>
          <w:sz w:val="24"/>
          <w:szCs w:val="24"/>
        </w:rPr>
        <w:t xml:space="preserve"> intake.</w:t>
      </w:r>
    </w:p>
    <w:p w14:paraId="15E48781" w14:textId="77777777" w:rsidR="004634C1" w:rsidRPr="008A704B" w:rsidRDefault="004634C1" w:rsidP="004634C1">
      <w:pPr>
        <w:pStyle w:val="Default"/>
      </w:pPr>
    </w:p>
    <w:p w14:paraId="7B2F13B6" w14:textId="77777777" w:rsidR="004634C1" w:rsidRPr="008A704B" w:rsidRDefault="004634C1" w:rsidP="004634C1">
      <w:pPr>
        <w:pStyle w:val="Default"/>
        <w:ind w:left="567"/>
      </w:pPr>
      <w:r w:rsidRPr="008A704B">
        <w:t>Example</w:t>
      </w:r>
      <w:r w:rsidR="00D81227" w:rsidRPr="008A704B">
        <w:t xml:space="preserve">: </w:t>
      </w:r>
      <w:r w:rsidRPr="008A704B">
        <w:t xml:space="preserve"> Where the PAN increase is 30, the extra pupils will fully fund the cost of the additional class. In this instance protection will be provided in the year of admission only. </w:t>
      </w:r>
    </w:p>
    <w:p w14:paraId="581421A1" w14:textId="77777777" w:rsidR="004634C1" w:rsidRPr="008A704B" w:rsidRDefault="004634C1" w:rsidP="004634C1">
      <w:pPr>
        <w:pStyle w:val="ListParagraph"/>
        <w:tabs>
          <w:tab w:val="num" w:pos="567"/>
        </w:tabs>
        <w:spacing w:after="0" w:line="240" w:lineRule="auto"/>
        <w:ind w:left="567" w:hanging="567"/>
        <w:rPr>
          <w:rFonts w:ascii="Arial" w:hAnsi="Arial" w:cs="Arial"/>
          <w:sz w:val="24"/>
          <w:szCs w:val="24"/>
        </w:rPr>
      </w:pPr>
    </w:p>
    <w:p w14:paraId="175B08B7" w14:textId="77777777" w:rsidR="00D81227" w:rsidRPr="008A704B" w:rsidRDefault="00756664" w:rsidP="004634C1">
      <w:pPr>
        <w:pStyle w:val="ListParagraph"/>
        <w:numPr>
          <w:ilvl w:val="1"/>
          <w:numId w:val="3"/>
        </w:numPr>
        <w:tabs>
          <w:tab w:val="clear" w:pos="1069"/>
          <w:tab w:val="num" w:pos="567"/>
        </w:tabs>
        <w:spacing w:after="0" w:line="240" w:lineRule="auto"/>
        <w:ind w:left="567" w:hanging="567"/>
        <w:rPr>
          <w:rFonts w:ascii="Arial" w:hAnsi="Arial" w:cs="Arial"/>
          <w:sz w:val="24"/>
          <w:szCs w:val="24"/>
        </w:rPr>
      </w:pPr>
      <w:r w:rsidRPr="008A704B">
        <w:rPr>
          <w:rFonts w:ascii="Arial" w:hAnsi="Arial" w:cs="Arial"/>
          <w:sz w:val="24"/>
          <w:szCs w:val="24"/>
        </w:rPr>
        <w:t>Growth funding will only be triggered where the increase to the PAN is over a certain threshold, for a primary s</w:t>
      </w:r>
      <w:r w:rsidR="00D81227" w:rsidRPr="008A704B">
        <w:rPr>
          <w:rFonts w:ascii="Arial" w:hAnsi="Arial" w:cs="Arial"/>
          <w:sz w:val="24"/>
          <w:szCs w:val="24"/>
        </w:rPr>
        <w:t>chool it will be 20% and for a s</w:t>
      </w:r>
      <w:r w:rsidRPr="008A704B">
        <w:rPr>
          <w:rFonts w:ascii="Arial" w:hAnsi="Arial" w:cs="Arial"/>
          <w:sz w:val="24"/>
          <w:szCs w:val="24"/>
        </w:rPr>
        <w:t>econdary school it will be 1</w:t>
      </w:r>
      <w:r w:rsidR="00D81227" w:rsidRPr="008A704B">
        <w:rPr>
          <w:rFonts w:ascii="Arial" w:hAnsi="Arial" w:cs="Arial"/>
          <w:sz w:val="24"/>
          <w:szCs w:val="24"/>
        </w:rPr>
        <w:t>0</w:t>
      </w:r>
      <w:r w:rsidRPr="008A704B">
        <w:rPr>
          <w:rFonts w:ascii="Arial" w:hAnsi="Arial" w:cs="Arial"/>
          <w:sz w:val="24"/>
          <w:szCs w:val="24"/>
        </w:rPr>
        <w:t xml:space="preserve">%. </w:t>
      </w:r>
      <w:r w:rsidR="00D81227" w:rsidRPr="008A704B">
        <w:rPr>
          <w:rFonts w:ascii="Arial" w:hAnsi="Arial" w:cs="Arial"/>
          <w:sz w:val="24"/>
          <w:szCs w:val="24"/>
        </w:rPr>
        <w:t>The rational for applying a threshold is that the additional number of pupils would not constitute an increase in additional resources.</w:t>
      </w:r>
    </w:p>
    <w:p w14:paraId="1A6A0530" w14:textId="77777777" w:rsidR="00D81227" w:rsidRPr="008A704B" w:rsidRDefault="00D81227" w:rsidP="00D81227">
      <w:pPr>
        <w:pStyle w:val="ListParagraph"/>
        <w:spacing w:after="0" w:line="240" w:lineRule="auto"/>
        <w:ind w:left="567"/>
        <w:rPr>
          <w:rFonts w:ascii="Arial" w:hAnsi="Arial" w:cs="Arial"/>
          <w:sz w:val="24"/>
          <w:szCs w:val="24"/>
        </w:rPr>
      </w:pPr>
    </w:p>
    <w:p w14:paraId="7055B875" w14:textId="77777777" w:rsidR="00D81227" w:rsidRPr="008A704B" w:rsidRDefault="00D81227" w:rsidP="00D81227">
      <w:pPr>
        <w:pStyle w:val="ListParagraph"/>
        <w:spacing w:after="0" w:line="240" w:lineRule="auto"/>
        <w:ind w:left="567"/>
        <w:rPr>
          <w:rFonts w:ascii="Arial" w:hAnsi="Arial" w:cs="Arial"/>
          <w:sz w:val="24"/>
          <w:szCs w:val="24"/>
        </w:rPr>
      </w:pPr>
      <w:r w:rsidRPr="008A704B">
        <w:rPr>
          <w:rFonts w:ascii="Arial" w:hAnsi="Arial" w:cs="Arial"/>
          <w:sz w:val="24"/>
          <w:szCs w:val="24"/>
        </w:rPr>
        <w:t>E</w:t>
      </w:r>
      <w:r w:rsidR="00756664" w:rsidRPr="008A704B">
        <w:rPr>
          <w:rFonts w:ascii="Arial" w:hAnsi="Arial" w:cs="Arial"/>
          <w:sz w:val="24"/>
          <w:szCs w:val="24"/>
        </w:rPr>
        <w:t>xample</w:t>
      </w:r>
      <w:r w:rsidRPr="008A704B">
        <w:rPr>
          <w:rFonts w:ascii="Arial" w:hAnsi="Arial" w:cs="Arial"/>
          <w:sz w:val="24"/>
          <w:szCs w:val="24"/>
        </w:rPr>
        <w:t>:</w:t>
      </w:r>
      <w:r w:rsidR="00756664" w:rsidRPr="008A704B">
        <w:rPr>
          <w:rFonts w:ascii="Arial" w:hAnsi="Arial" w:cs="Arial"/>
          <w:sz w:val="24"/>
          <w:szCs w:val="24"/>
        </w:rPr>
        <w:t xml:space="preserve"> if a primary school </w:t>
      </w:r>
      <w:proofErr w:type="gramStart"/>
      <w:r w:rsidR="00756664" w:rsidRPr="008A704B">
        <w:rPr>
          <w:rFonts w:ascii="Arial" w:hAnsi="Arial" w:cs="Arial"/>
          <w:sz w:val="24"/>
          <w:szCs w:val="24"/>
        </w:rPr>
        <w:t>was</w:t>
      </w:r>
      <w:proofErr w:type="gramEnd"/>
      <w:r w:rsidR="00756664" w:rsidRPr="008A704B">
        <w:rPr>
          <w:rFonts w:ascii="Arial" w:hAnsi="Arial" w:cs="Arial"/>
          <w:sz w:val="24"/>
          <w:szCs w:val="24"/>
        </w:rPr>
        <w:t xml:space="preserve"> increasing its PAN from 30 to 45 this would trigger funding as it is an increase of 50%.</w:t>
      </w:r>
    </w:p>
    <w:p w14:paraId="23925F49" w14:textId="77777777" w:rsidR="00756664" w:rsidRPr="008A704B" w:rsidRDefault="00D81227" w:rsidP="00D81227">
      <w:pPr>
        <w:pStyle w:val="ListParagraph"/>
        <w:spacing w:after="0" w:line="240" w:lineRule="auto"/>
        <w:ind w:left="567"/>
        <w:rPr>
          <w:rFonts w:ascii="Arial" w:hAnsi="Arial" w:cs="Arial"/>
          <w:sz w:val="24"/>
          <w:szCs w:val="24"/>
        </w:rPr>
      </w:pPr>
      <w:r w:rsidRPr="008A704B">
        <w:rPr>
          <w:rFonts w:ascii="Arial" w:hAnsi="Arial" w:cs="Arial"/>
          <w:sz w:val="24"/>
          <w:szCs w:val="24"/>
        </w:rPr>
        <w:t>Example: if a p</w:t>
      </w:r>
      <w:r w:rsidR="00756664" w:rsidRPr="008A704B">
        <w:rPr>
          <w:rFonts w:ascii="Arial" w:hAnsi="Arial" w:cs="Arial"/>
          <w:sz w:val="24"/>
          <w:szCs w:val="24"/>
        </w:rPr>
        <w:t xml:space="preserve">rimary school </w:t>
      </w:r>
      <w:proofErr w:type="gramStart"/>
      <w:r w:rsidR="00756664" w:rsidRPr="008A704B">
        <w:rPr>
          <w:rFonts w:ascii="Arial" w:hAnsi="Arial" w:cs="Arial"/>
          <w:sz w:val="24"/>
          <w:szCs w:val="24"/>
        </w:rPr>
        <w:t>was</w:t>
      </w:r>
      <w:proofErr w:type="gramEnd"/>
      <w:r w:rsidR="00756664" w:rsidRPr="008A704B">
        <w:rPr>
          <w:rFonts w:ascii="Arial" w:hAnsi="Arial" w:cs="Arial"/>
          <w:sz w:val="24"/>
          <w:szCs w:val="24"/>
        </w:rPr>
        <w:t xml:space="preserve"> increasing its PAN from 28 to 30 this would not trigger funding as it is an increase of 7% and below the 20% threshold. </w:t>
      </w:r>
    </w:p>
    <w:p w14:paraId="415E33E2" w14:textId="77777777" w:rsidR="0016277F" w:rsidRPr="008A704B" w:rsidRDefault="0016277F" w:rsidP="0016277F">
      <w:pPr>
        <w:pStyle w:val="Default"/>
      </w:pPr>
    </w:p>
    <w:p w14:paraId="55F94010" w14:textId="77777777" w:rsidR="00D81227" w:rsidRPr="008A704B" w:rsidRDefault="00756664" w:rsidP="00D81227">
      <w:pPr>
        <w:pStyle w:val="Default"/>
        <w:numPr>
          <w:ilvl w:val="1"/>
          <w:numId w:val="3"/>
        </w:numPr>
        <w:tabs>
          <w:tab w:val="clear" w:pos="1069"/>
        </w:tabs>
        <w:ind w:left="567" w:hanging="567"/>
        <w:rPr>
          <w:color w:val="auto"/>
        </w:rPr>
      </w:pPr>
      <w:r w:rsidRPr="008A704B">
        <w:rPr>
          <w:color w:val="auto"/>
        </w:rPr>
        <w:t>For a new school protection will be</w:t>
      </w:r>
      <w:r w:rsidR="00D81227" w:rsidRPr="008A704B">
        <w:rPr>
          <w:color w:val="auto"/>
        </w:rPr>
        <w:t xml:space="preserve"> applied in the same way as </w:t>
      </w:r>
      <w:r w:rsidR="00852D21" w:rsidRPr="008A704B">
        <w:rPr>
          <w:color w:val="auto"/>
        </w:rPr>
        <w:t>2.2 above</w:t>
      </w:r>
      <w:r w:rsidR="00D81227" w:rsidRPr="008A704B">
        <w:rPr>
          <w:color w:val="auto"/>
        </w:rPr>
        <w:t>,</w:t>
      </w:r>
      <w:r w:rsidRPr="008A704B">
        <w:rPr>
          <w:color w:val="auto"/>
        </w:rPr>
        <w:t xml:space="preserve"> however </w:t>
      </w:r>
      <w:proofErr w:type="gramStart"/>
      <w:r w:rsidRPr="008A704B">
        <w:rPr>
          <w:color w:val="auto"/>
        </w:rPr>
        <w:t>all of</w:t>
      </w:r>
      <w:proofErr w:type="gramEnd"/>
      <w:r w:rsidRPr="008A704B">
        <w:rPr>
          <w:color w:val="auto"/>
        </w:rPr>
        <w:t xml:space="preserve"> the other factors including in the delegated formula budget (including any Minimum Funding Guarantee (MFG)) will be included in the calculation. </w:t>
      </w:r>
    </w:p>
    <w:p w14:paraId="561B9348" w14:textId="77777777" w:rsidR="000C6743" w:rsidRPr="008A704B" w:rsidRDefault="000C6743" w:rsidP="000C6743">
      <w:pPr>
        <w:pStyle w:val="Default"/>
        <w:ind w:left="567"/>
        <w:rPr>
          <w:color w:val="auto"/>
        </w:rPr>
      </w:pPr>
    </w:p>
    <w:p w14:paraId="7AEE1974" w14:textId="77777777" w:rsidR="00D81227" w:rsidRPr="008A704B" w:rsidRDefault="00756664" w:rsidP="00756664">
      <w:pPr>
        <w:pStyle w:val="Default"/>
        <w:numPr>
          <w:ilvl w:val="1"/>
          <w:numId w:val="3"/>
        </w:numPr>
        <w:tabs>
          <w:tab w:val="clear" w:pos="1069"/>
        </w:tabs>
        <w:ind w:left="567" w:hanging="567"/>
        <w:rPr>
          <w:color w:val="auto"/>
        </w:rPr>
      </w:pPr>
      <w:r w:rsidRPr="008A704B">
        <w:rPr>
          <w:color w:val="auto"/>
        </w:rPr>
        <w:t xml:space="preserve">Schools </w:t>
      </w:r>
      <w:r w:rsidR="00D81227" w:rsidRPr="008A704B">
        <w:rPr>
          <w:color w:val="auto"/>
        </w:rPr>
        <w:t xml:space="preserve">can be asked </w:t>
      </w:r>
      <w:r w:rsidRPr="008A704B">
        <w:rPr>
          <w:color w:val="auto"/>
        </w:rPr>
        <w:t>to increase</w:t>
      </w:r>
      <w:r w:rsidR="00B16180" w:rsidRPr="008A704B">
        <w:rPr>
          <w:color w:val="auto"/>
        </w:rPr>
        <w:t>/reduce</w:t>
      </w:r>
      <w:r w:rsidRPr="008A704B">
        <w:rPr>
          <w:color w:val="auto"/>
        </w:rPr>
        <w:t xml:space="preserve"> their PAN permanently or for a defined period </w:t>
      </w:r>
      <w:proofErr w:type="gramStart"/>
      <w:r w:rsidRPr="008A704B">
        <w:rPr>
          <w:color w:val="auto"/>
        </w:rPr>
        <w:t>i.e.</w:t>
      </w:r>
      <w:proofErr w:type="gramEnd"/>
      <w:r w:rsidRPr="008A704B">
        <w:rPr>
          <w:color w:val="auto"/>
        </w:rPr>
        <w:t xml:space="preserve"> one year, two years etc. In relation to where a school is requested to increase</w:t>
      </w:r>
      <w:r w:rsidR="00B16180" w:rsidRPr="008A704B">
        <w:rPr>
          <w:color w:val="auto"/>
        </w:rPr>
        <w:t>/decrease</w:t>
      </w:r>
      <w:r w:rsidRPr="008A704B">
        <w:rPr>
          <w:color w:val="auto"/>
        </w:rPr>
        <w:t xml:space="preserve"> their PAN permanently, protection will </w:t>
      </w:r>
      <w:proofErr w:type="gramStart"/>
      <w:r w:rsidRPr="008A704B">
        <w:rPr>
          <w:color w:val="auto"/>
        </w:rPr>
        <w:t>paid</w:t>
      </w:r>
      <w:proofErr w:type="gramEnd"/>
      <w:r w:rsidRPr="008A704B">
        <w:rPr>
          <w:color w:val="auto"/>
        </w:rPr>
        <w:t xml:space="preserve"> for a maximum period </w:t>
      </w:r>
      <w:r w:rsidR="00D81227" w:rsidRPr="008A704B">
        <w:rPr>
          <w:color w:val="auto"/>
        </w:rPr>
        <w:t>(see below)</w:t>
      </w:r>
      <w:r w:rsidRPr="008A704B">
        <w:rPr>
          <w:color w:val="auto"/>
        </w:rPr>
        <w:t xml:space="preserve">, and this will only include protection for the individual year group in the year the expansion takes place. </w:t>
      </w:r>
    </w:p>
    <w:p w14:paraId="1B53715A" w14:textId="77777777" w:rsidR="00D81227" w:rsidRPr="008A704B" w:rsidRDefault="00D81227" w:rsidP="00D81227">
      <w:pPr>
        <w:pStyle w:val="Default"/>
        <w:ind w:left="567"/>
        <w:rPr>
          <w:color w:val="auto"/>
        </w:rPr>
      </w:pPr>
    </w:p>
    <w:p w14:paraId="6B30470F" w14:textId="0BDC3017" w:rsidR="00756664" w:rsidRPr="008A704B" w:rsidRDefault="00D81227" w:rsidP="00D81227">
      <w:pPr>
        <w:pStyle w:val="Default"/>
        <w:ind w:left="1134" w:hanging="283"/>
        <w:rPr>
          <w:bCs/>
          <w:color w:val="auto"/>
        </w:rPr>
      </w:pPr>
      <w:r w:rsidRPr="008A704B">
        <w:rPr>
          <w:bCs/>
          <w:color w:val="auto"/>
        </w:rPr>
        <w:t>Infant</w:t>
      </w:r>
      <w:r w:rsidRPr="008A704B">
        <w:rPr>
          <w:bCs/>
          <w:color w:val="auto"/>
        </w:rPr>
        <w:tab/>
        <w:t>3 years maximum support.</w:t>
      </w:r>
    </w:p>
    <w:p w14:paraId="36230196" w14:textId="59A436EE" w:rsidR="00D81227" w:rsidRPr="008A704B" w:rsidRDefault="00D81227" w:rsidP="00D81227">
      <w:pPr>
        <w:pStyle w:val="Default"/>
        <w:ind w:left="1134" w:hanging="283"/>
        <w:rPr>
          <w:bCs/>
          <w:color w:val="auto"/>
        </w:rPr>
      </w:pPr>
      <w:r w:rsidRPr="008A704B">
        <w:rPr>
          <w:bCs/>
          <w:color w:val="auto"/>
        </w:rPr>
        <w:t>Junior</w:t>
      </w:r>
      <w:r w:rsidRPr="008A704B">
        <w:rPr>
          <w:bCs/>
          <w:color w:val="auto"/>
        </w:rPr>
        <w:tab/>
        <w:t>4 years maximum support.</w:t>
      </w:r>
    </w:p>
    <w:p w14:paraId="7800AA23" w14:textId="77777777" w:rsidR="00D81227" w:rsidRPr="008A704B" w:rsidRDefault="00D81227" w:rsidP="00D81227">
      <w:pPr>
        <w:pStyle w:val="Default"/>
        <w:ind w:left="1134" w:hanging="283"/>
        <w:rPr>
          <w:bCs/>
          <w:color w:val="auto"/>
        </w:rPr>
      </w:pPr>
      <w:r w:rsidRPr="008A704B">
        <w:rPr>
          <w:bCs/>
          <w:color w:val="auto"/>
        </w:rPr>
        <w:t>Primary</w:t>
      </w:r>
      <w:r w:rsidRPr="008A704B">
        <w:rPr>
          <w:bCs/>
          <w:color w:val="auto"/>
        </w:rPr>
        <w:tab/>
        <w:t>7 years maximum support.</w:t>
      </w:r>
    </w:p>
    <w:p w14:paraId="4C8BE7F7" w14:textId="77777777" w:rsidR="00D81227" w:rsidRPr="008A704B" w:rsidRDefault="00D81227" w:rsidP="00D81227">
      <w:pPr>
        <w:pStyle w:val="Default"/>
        <w:ind w:left="1134" w:hanging="283"/>
        <w:rPr>
          <w:bCs/>
          <w:color w:val="auto"/>
        </w:rPr>
      </w:pPr>
      <w:r w:rsidRPr="008A704B">
        <w:rPr>
          <w:bCs/>
          <w:color w:val="auto"/>
        </w:rPr>
        <w:t>Secondary</w:t>
      </w:r>
      <w:r w:rsidRPr="008A704B">
        <w:rPr>
          <w:bCs/>
          <w:color w:val="auto"/>
        </w:rPr>
        <w:tab/>
        <w:t>5 years maximum support.</w:t>
      </w:r>
    </w:p>
    <w:p w14:paraId="2E4ED442" w14:textId="77777777" w:rsidR="00756664" w:rsidRPr="008A704B" w:rsidRDefault="00756664" w:rsidP="00756664">
      <w:pPr>
        <w:pStyle w:val="Default"/>
        <w:rPr>
          <w:b/>
          <w:bCs/>
          <w:color w:val="auto"/>
        </w:rPr>
      </w:pPr>
    </w:p>
    <w:p w14:paraId="2131C68A" w14:textId="77777777" w:rsidR="0094579B" w:rsidRPr="008A704B" w:rsidRDefault="005E3B88" w:rsidP="005E3B88">
      <w:pPr>
        <w:pStyle w:val="Default"/>
        <w:ind w:left="567" w:hanging="567"/>
        <w:rPr>
          <w:bCs/>
          <w:color w:val="auto"/>
        </w:rPr>
      </w:pPr>
      <w:r w:rsidRPr="008A704B">
        <w:rPr>
          <w:bCs/>
          <w:color w:val="auto"/>
        </w:rPr>
        <w:t>2.6</w:t>
      </w:r>
      <w:r w:rsidRPr="008A704B">
        <w:rPr>
          <w:bCs/>
          <w:color w:val="auto"/>
        </w:rPr>
        <w:tab/>
      </w:r>
      <w:r w:rsidR="0094579B" w:rsidRPr="008A704B">
        <w:rPr>
          <w:bCs/>
          <w:color w:val="auto"/>
        </w:rPr>
        <w:t>Support would cease as soon as capacity is reached or if a change is made back to the original PAN or PAN reduction.</w:t>
      </w:r>
    </w:p>
    <w:p w14:paraId="0D9A5874" w14:textId="77777777" w:rsidR="0094579B" w:rsidRPr="008A704B" w:rsidRDefault="0094579B" w:rsidP="005E3B88">
      <w:pPr>
        <w:pStyle w:val="Default"/>
        <w:ind w:left="567" w:hanging="567"/>
        <w:rPr>
          <w:bCs/>
          <w:color w:val="auto"/>
        </w:rPr>
      </w:pPr>
    </w:p>
    <w:p w14:paraId="75401615" w14:textId="77777777" w:rsidR="00D81227" w:rsidRPr="008A704B" w:rsidRDefault="0094579B" w:rsidP="005E3B88">
      <w:pPr>
        <w:pStyle w:val="Default"/>
        <w:ind w:left="567" w:hanging="567"/>
        <w:rPr>
          <w:bCs/>
          <w:color w:val="auto"/>
        </w:rPr>
      </w:pPr>
      <w:r w:rsidRPr="008A704B">
        <w:rPr>
          <w:bCs/>
          <w:color w:val="auto"/>
        </w:rPr>
        <w:t>2.7</w:t>
      </w:r>
      <w:r w:rsidRPr="008A704B">
        <w:rPr>
          <w:bCs/>
          <w:color w:val="auto"/>
        </w:rPr>
        <w:tab/>
      </w:r>
      <w:r w:rsidR="005E3B88" w:rsidRPr="008A704B">
        <w:rPr>
          <w:bCs/>
          <w:color w:val="auto"/>
        </w:rPr>
        <w:t>Permanent PAN increases</w:t>
      </w:r>
      <w:r w:rsidR="00B16180" w:rsidRPr="008A704B">
        <w:rPr>
          <w:bCs/>
          <w:color w:val="auto"/>
        </w:rPr>
        <w:t>/reductions</w:t>
      </w:r>
      <w:r w:rsidR="005E3B88" w:rsidRPr="008A704B">
        <w:rPr>
          <w:bCs/>
          <w:color w:val="auto"/>
        </w:rPr>
        <w:t xml:space="preserve"> will be paid through the funding formula, whilst temporary funding will be paid from the growth fund.</w:t>
      </w:r>
    </w:p>
    <w:p w14:paraId="369C0975" w14:textId="77777777" w:rsidR="00B16180" w:rsidRPr="008A704B" w:rsidRDefault="00B16180" w:rsidP="005E3B88">
      <w:pPr>
        <w:pStyle w:val="Default"/>
        <w:ind w:left="567" w:hanging="567"/>
        <w:rPr>
          <w:bCs/>
          <w:color w:val="auto"/>
        </w:rPr>
      </w:pPr>
    </w:p>
    <w:p w14:paraId="1B23A1A7" w14:textId="77777777" w:rsidR="00781AD9" w:rsidRPr="008A704B" w:rsidRDefault="00B16180" w:rsidP="00781AD9">
      <w:pPr>
        <w:pStyle w:val="Default"/>
        <w:ind w:left="567" w:hanging="567"/>
        <w:rPr>
          <w:bCs/>
          <w:color w:val="auto"/>
        </w:rPr>
      </w:pPr>
      <w:r w:rsidRPr="008A704B">
        <w:rPr>
          <w:bCs/>
          <w:color w:val="auto"/>
        </w:rPr>
        <w:t>2.8</w:t>
      </w:r>
      <w:r w:rsidRPr="008A704B">
        <w:rPr>
          <w:bCs/>
          <w:color w:val="auto"/>
        </w:rPr>
        <w:tab/>
        <w:t>In both cases increase</w:t>
      </w:r>
      <w:r w:rsidR="00150C4A" w:rsidRPr="008A704B">
        <w:rPr>
          <w:bCs/>
          <w:color w:val="auto"/>
        </w:rPr>
        <w:t>s</w:t>
      </w:r>
      <w:r w:rsidRPr="008A704B">
        <w:rPr>
          <w:bCs/>
          <w:color w:val="auto"/>
        </w:rPr>
        <w:t xml:space="preserve"> and reductions to PAN must be with the agreement of both the Local Authority and the Schools Forum to qualify for this funding.</w:t>
      </w:r>
    </w:p>
    <w:p w14:paraId="40FD3678" w14:textId="77777777" w:rsidR="005E3B88" w:rsidRPr="008A704B" w:rsidRDefault="005E3B88" w:rsidP="00756664">
      <w:pPr>
        <w:pStyle w:val="Default"/>
        <w:rPr>
          <w:b/>
          <w:bCs/>
          <w:color w:val="auto"/>
        </w:rPr>
      </w:pPr>
    </w:p>
    <w:p w14:paraId="4D1F7947" w14:textId="77777777" w:rsidR="00756664" w:rsidRPr="008A704B" w:rsidRDefault="005E3B88" w:rsidP="0094579B">
      <w:pPr>
        <w:pStyle w:val="Default"/>
        <w:ind w:left="567" w:hanging="567"/>
        <w:rPr>
          <w:color w:val="auto"/>
        </w:rPr>
      </w:pPr>
      <w:r w:rsidRPr="008A704B">
        <w:rPr>
          <w:b/>
          <w:bCs/>
          <w:color w:val="auto"/>
        </w:rPr>
        <w:t xml:space="preserve">3. </w:t>
      </w:r>
      <w:r w:rsidR="0094579B" w:rsidRPr="008A704B">
        <w:rPr>
          <w:b/>
          <w:bCs/>
          <w:color w:val="auto"/>
        </w:rPr>
        <w:tab/>
      </w:r>
      <w:r w:rsidR="00B532BA" w:rsidRPr="008A704B">
        <w:rPr>
          <w:b/>
          <w:bCs/>
          <w:color w:val="auto"/>
        </w:rPr>
        <w:t>Reorganisation</w:t>
      </w:r>
      <w:r w:rsidR="00756664" w:rsidRPr="008A704B">
        <w:rPr>
          <w:b/>
          <w:bCs/>
          <w:color w:val="auto"/>
        </w:rPr>
        <w:t xml:space="preserve"> Funding –</w:t>
      </w:r>
      <w:r w:rsidR="00B532BA" w:rsidRPr="008A704B">
        <w:rPr>
          <w:b/>
          <w:bCs/>
          <w:color w:val="auto"/>
        </w:rPr>
        <w:t xml:space="preserve"> </w:t>
      </w:r>
      <w:r w:rsidR="00756664" w:rsidRPr="008A704B">
        <w:rPr>
          <w:b/>
          <w:bCs/>
          <w:color w:val="auto"/>
        </w:rPr>
        <w:t xml:space="preserve">Set-up </w:t>
      </w:r>
      <w:r w:rsidR="009278F2" w:rsidRPr="008A704B">
        <w:rPr>
          <w:b/>
          <w:bCs/>
          <w:color w:val="auto"/>
        </w:rPr>
        <w:t xml:space="preserve">lump sum </w:t>
      </w:r>
      <w:r w:rsidR="00756664" w:rsidRPr="008A704B">
        <w:rPr>
          <w:b/>
          <w:bCs/>
          <w:color w:val="auto"/>
        </w:rPr>
        <w:t xml:space="preserve">funding </w:t>
      </w:r>
    </w:p>
    <w:p w14:paraId="4B7C70E9" w14:textId="77777777" w:rsidR="00756664" w:rsidRPr="008A704B" w:rsidRDefault="00756664" w:rsidP="00756664">
      <w:pPr>
        <w:pStyle w:val="Default"/>
        <w:rPr>
          <w:color w:val="auto"/>
        </w:rPr>
      </w:pPr>
    </w:p>
    <w:p w14:paraId="00046581" w14:textId="77777777" w:rsidR="00756664" w:rsidRPr="008A704B" w:rsidRDefault="00756664" w:rsidP="0016277F">
      <w:pPr>
        <w:pStyle w:val="Default"/>
        <w:ind w:left="567" w:hanging="567"/>
        <w:rPr>
          <w:color w:val="auto"/>
        </w:rPr>
      </w:pPr>
      <w:r w:rsidRPr="008A704B">
        <w:rPr>
          <w:color w:val="auto"/>
        </w:rPr>
        <w:t xml:space="preserve">3.1 </w:t>
      </w:r>
      <w:r w:rsidR="0016277F" w:rsidRPr="008A704B">
        <w:rPr>
          <w:color w:val="auto"/>
        </w:rPr>
        <w:tab/>
      </w:r>
      <w:r w:rsidRPr="008A704B">
        <w:rPr>
          <w:color w:val="auto"/>
        </w:rPr>
        <w:t>A one off lump sum of £5</w:t>
      </w:r>
      <w:r w:rsidR="00794BA4" w:rsidRPr="008A704B">
        <w:rPr>
          <w:color w:val="auto"/>
        </w:rPr>
        <w:t>5</w:t>
      </w:r>
      <w:r w:rsidRPr="008A704B">
        <w:rPr>
          <w:color w:val="auto"/>
        </w:rPr>
        <w:t>,000</w:t>
      </w:r>
      <w:r w:rsidR="005E3B88" w:rsidRPr="008A704B">
        <w:rPr>
          <w:color w:val="auto"/>
        </w:rPr>
        <w:t xml:space="preserve"> will be payable </w:t>
      </w:r>
      <w:r w:rsidRPr="008A704B">
        <w:rPr>
          <w:color w:val="auto"/>
        </w:rPr>
        <w:t xml:space="preserve">to cover costs incurred prior to opening </w:t>
      </w:r>
      <w:r w:rsidR="000C6743" w:rsidRPr="008A704B">
        <w:rPr>
          <w:color w:val="auto"/>
        </w:rPr>
        <w:t xml:space="preserve">of </w:t>
      </w:r>
      <w:r w:rsidR="005E3B88" w:rsidRPr="008A704B">
        <w:rPr>
          <w:color w:val="auto"/>
        </w:rPr>
        <w:t xml:space="preserve">a new school and is </w:t>
      </w:r>
      <w:r w:rsidRPr="008A704B">
        <w:rPr>
          <w:color w:val="auto"/>
        </w:rPr>
        <w:t>prov</w:t>
      </w:r>
      <w:r w:rsidR="00794BA4" w:rsidRPr="008A704B">
        <w:rPr>
          <w:color w:val="auto"/>
        </w:rPr>
        <w:t xml:space="preserve">ided to set up </w:t>
      </w:r>
      <w:r w:rsidR="000C6743" w:rsidRPr="008A704B">
        <w:rPr>
          <w:bCs/>
          <w:color w:val="auto"/>
        </w:rPr>
        <w:t>costs</w:t>
      </w:r>
      <w:r w:rsidR="00794BA4" w:rsidRPr="008A704B">
        <w:rPr>
          <w:bCs/>
          <w:color w:val="auto"/>
        </w:rPr>
        <w:t>.</w:t>
      </w:r>
      <w:r w:rsidR="005E3B88" w:rsidRPr="008A704B">
        <w:rPr>
          <w:bCs/>
          <w:color w:val="auto"/>
        </w:rPr>
        <w:t xml:space="preserve"> This payment is opening </w:t>
      </w:r>
      <w:r w:rsidR="009278F2" w:rsidRPr="008A704B">
        <w:rPr>
          <w:bCs/>
          <w:color w:val="auto"/>
        </w:rPr>
        <w:t xml:space="preserve">payable to </w:t>
      </w:r>
      <w:r w:rsidR="00852D21" w:rsidRPr="008A704B">
        <w:rPr>
          <w:bCs/>
          <w:color w:val="auto"/>
        </w:rPr>
        <w:t>opening a</w:t>
      </w:r>
      <w:r w:rsidR="009278F2" w:rsidRPr="008A704B">
        <w:rPr>
          <w:bCs/>
          <w:color w:val="auto"/>
        </w:rPr>
        <w:t xml:space="preserve"> new s</w:t>
      </w:r>
      <w:r w:rsidR="005E3B88" w:rsidRPr="008A704B">
        <w:rPr>
          <w:bCs/>
          <w:color w:val="auto"/>
        </w:rPr>
        <w:t>chool.</w:t>
      </w:r>
    </w:p>
    <w:p w14:paraId="43B6A496" w14:textId="77777777" w:rsidR="00756664" w:rsidRPr="008A704B" w:rsidRDefault="00756664" w:rsidP="0016277F">
      <w:pPr>
        <w:pStyle w:val="Default"/>
        <w:ind w:left="567" w:hanging="567"/>
        <w:rPr>
          <w:color w:val="auto"/>
        </w:rPr>
      </w:pPr>
    </w:p>
    <w:p w14:paraId="50D4D41A" w14:textId="77777777" w:rsidR="00781AD9" w:rsidRPr="008A704B" w:rsidRDefault="0016277F" w:rsidP="0016277F">
      <w:pPr>
        <w:pStyle w:val="Default"/>
        <w:ind w:left="567" w:hanging="567"/>
        <w:rPr>
          <w:color w:val="auto"/>
        </w:rPr>
      </w:pPr>
      <w:r w:rsidRPr="008A704B">
        <w:rPr>
          <w:color w:val="auto"/>
        </w:rPr>
        <w:t>3.2</w:t>
      </w:r>
      <w:r w:rsidRPr="008A704B">
        <w:rPr>
          <w:color w:val="auto"/>
        </w:rPr>
        <w:tab/>
      </w:r>
      <w:r w:rsidR="000C6743" w:rsidRPr="008A704B">
        <w:rPr>
          <w:color w:val="auto"/>
        </w:rPr>
        <w:t>A one off lump sum of £6,000 will be payable to any school opening a new form of entry at the request of the local authority to meet the basic need pupil requirements. This £6,000 will be paid upon receipt of an invoice in the first year for one class only - unless the school is opening more than one form of entry - and is provided to cover set up costs such as equipment of the new class.</w:t>
      </w:r>
    </w:p>
    <w:p w14:paraId="0FD9C755" w14:textId="77777777" w:rsidR="00756664" w:rsidRPr="008A704B" w:rsidRDefault="000C6743" w:rsidP="0016277F">
      <w:pPr>
        <w:pStyle w:val="Default"/>
        <w:ind w:left="567" w:hanging="567"/>
        <w:rPr>
          <w:color w:val="auto"/>
        </w:rPr>
      </w:pPr>
      <w:r w:rsidRPr="008A704B">
        <w:rPr>
          <w:color w:val="auto"/>
        </w:rPr>
        <w:t xml:space="preserve"> </w:t>
      </w:r>
    </w:p>
    <w:p w14:paraId="30C0D236" w14:textId="77777777" w:rsidR="00781AD9" w:rsidRPr="008A704B" w:rsidRDefault="00781AD9" w:rsidP="0016277F">
      <w:pPr>
        <w:pStyle w:val="Default"/>
        <w:ind w:left="567" w:hanging="567"/>
        <w:rPr>
          <w:color w:val="auto"/>
        </w:rPr>
      </w:pPr>
      <w:r w:rsidRPr="008A704B">
        <w:rPr>
          <w:color w:val="auto"/>
        </w:rPr>
        <w:t>3.3</w:t>
      </w:r>
      <w:r w:rsidRPr="008A704B">
        <w:rPr>
          <w:color w:val="auto"/>
        </w:rPr>
        <w:tab/>
        <w:t xml:space="preserve">Where a school changes the PAN and moves from an infant or Junior school to a primary school; and there is an overall drop in pupil numbers in years one or two; a </w:t>
      </w:r>
      <w:proofErr w:type="gramStart"/>
      <w:r w:rsidRPr="008A704B">
        <w:rPr>
          <w:color w:val="auto"/>
        </w:rPr>
        <w:t>one off</w:t>
      </w:r>
      <w:proofErr w:type="gramEnd"/>
      <w:r w:rsidRPr="008A704B">
        <w:rPr>
          <w:color w:val="auto"/>
        </w:rPr>
        <w:t xml:space="preserve"> lump sum of £55,000 will be payable to help retain staff to cover the shortfall in funding capped at two years.</w:t>
      </w:r>
    </w:p>
    <w:p w14:paraId="704D1C49" w14:textId="77777777" w:rsidR="0016277F" w:rsidRPr="008A704B" w:rsidRDefault="0016277F" w:rsidP="00756664">
      <w:pPr>
        <w:pStyle w:val="Default"/>
        <w:rPr>
          <w:color w:val="auto"/>
          <w:highlight w:val="yellow"/>
        </w:rPr>
      </w:pPr>
    </w:p>
    <w:p w14:paraId="5942FEF9" w14:textId="77777777" w:rsidR="00756664" w:rsidRPr="008A704B" w:rsidRDefault="00756664" w:rsidP="005E3B88">
      <w:pPr>
        <w:pStyle w:val="Default"/>
        <w:ind w:left="567" w:hanging="567"/>
        <w:rPr>
          <w:color w:val="auto"/>
        </w:rPr>
      </w:pPr>
      <w:r w:rsidRPr="008A704B">
        <w:rPr>
          <w:b/>
          <w:bCs/>
          <w:color w:val="auto"/>
        </w:rPr>
        <w:t xml:space="preserve">4.  </w:t>
      </w:r>
      <w:r w:rsidR="0094579B" w:rsidRPr="008A704B">
        <w:rPr>
          <w:b/>
          <w:bCs/>
          <w:color w:val="auto"/>
        </w:rPr>
        <w:tab/>
      </w:r>
      <w:r w:rsidRPr="008A704B">
        <w:rPr>
          <w:b/>
          <w:bCs/>
          <w:color w:val="auto"/>
        </w:rPr>
        <w:t xml:space="preserve">Amalgamations </w:t>
      </w:r>
    </w:p>
    <w:p w14:paraId="7A3C8A5E" w14:textId="77777777" w:rsidR="00756664" w:rsidRPr="008A704B" w:rsidRDefault="00756664" w:rsidP="005E3B88">
      <w:pPr>
        <w:pStyle w:val="Default"/>
        <w:ind w:left="567" w:hanging="567"/>
        <w:rPr>
          <w:color w:val="auto"/>
        </w:rPr>
      </w:pPr>
    </w:p>
    <w:p w14:paraId="7F953846" w14:textId="77777777" w:rsidR="006E2B70" w:rsidRPr="008A704B" w:rsidRDefault="009278F2" w:rsidP="005E3B88">
      <w:pPr>
        <w:pStyle w:val="Default"/>
        <w:ind w:left="567" w:hanging="567"/>
        <w:rPr>
          <w:color w:val="000000" w:themeColor="text1"/>
        </w:rPr>
      </w:pPr>
      <w:r w:rsidRPr="008A704B">
        <w:rPr>
          <w:color w:val="auto"/>
        </w:rPr>
        <w:t>4</w:t>
      </w:r>
      <w:r w:rsidR="006E2B70" w:rsidRPr="008A704B">
        <w:rPr>
          <w:color w:val="auto"/>
        </w:rPr>
        <w:t>.1</w:t>
      </w:r>
      <w:r w:rsidR="006E2B70" w:rsidRPr="008A704B">
        <w:rPr>
          <w:color w:val="auto"/>
        </w:rPr>
        <w:tab/>
      </w:r>
      <w:r w:rsidR="00756664" w:rsidRPr="008A704B">
        <w:rPr>
          <w:color w:val="auto"/>
        </w:rPr>
        <w:t xml:space="preserve">In the year of amalgamation the two predecessor schools will retain their individual lump </w:t>
      </w:r>
      <w:r w:rsidR="00756664" w:rsidRPr="008A704B">
        <w:rPr>
          <w:color w:val="000000" w:themeColor="text1"/>
        </w:rPr>
        <w:t>sums (As part of the funding formula) unti</w:t>
      </w:r>
      <w:r w:rsidR="006E2B70" w:rsidRPr="008A704B">
        <w:rPr>
          <w:color w:val="000000" w:themeColor="text1"/>
        </w:rPr>
        <w:t xml:space="preserve">l the end of the financial year (March for </w:t>
      </w:r>
      <w:r w:rsidR="00852D21" w:rsidRPr="008A704B">
        <w:rPr>
          <w:color w:val="000000" w:themeColor="text1"/>
        </w:rPr>
        <w:t>a maintained</w:t>
      </w:r>
      <w:r w:rsidR="00756664" w:rsidRPr="008A704B">
        <w:rPr>
          <w:color w:val="000000" w:themeColor="text1"/>
        </w:rPr>
        <w:t xml:space="preserve"> school and</w:t>
      </w:r>
      <w:r w:rsidR="006E2B70" w:rsidRPr="008A704B">
        <w:rPr>
          <w:color w:val="000000" w:themeColor="text1"/>
        </w:rPr>
        <w:t xml:space="preserve"> </w:t>
      </w:r>
      <w:r w:rsidR="00794BA4" w:rsidRPr="008A704B">
        <w:rPr>
          <w:color w:val="000000" w:themeColor="text1"/>
        </w:rPr>
        <w:t>August</w:t>
      </w:r>
      <w:r w:rsidR="006E2B70" w:rsidRPr="008A704B">
        <w:rPr>
          <w:color w:val="000000" w:themeColor="text1"/>
        </w:rPr>
        <w:t xml:space="preserve"> </w:t>
      </w:r>
      <w:r w:rsidR="00852D21" w:rsidRPr="008A704B">
        <w:rPr>
          <w:color w:val="000000" w:themeColor="text1"/>
        </w:rPr>
        <w:t>for an</w:t>
      </w:r>
      <w:r w:rsidR="00756664" w:rsidRPr="008A704B">
        <w:rPr>
          <w:color w:val="000000" w:themeColor="text1"/>
        </w:rPr>
        <w:t xml:space="preserve"> aca</w:t>
      </w:r>
      <w:r w:rsidR="006E2B70" w:rsidRPr="008A704B">
        <w:rPr>
          <w:color w:val="000000" w:themeColor="text1"/>
        </w:rPr>
        <w:t>demy.)</w:t>
      </w:r>
    </w:p>
    <w:p w14:paraId="1A9CC6A6" w14:textId="77777777" w:rsidR="006E2B70" w:rsidRPr="008A704B" w:rsidRDefault="006E2B70" w:rsidP="005E3B88">
      <w:pPr>
        <w:pStyle w:val="Default"/>
        <w:ind w:left="567" w:hanging="567"/>
        <w:rPr>
          <w:color w:val="000000" w:themeColor="text1"/>
        </w:rPr>
      </w:pPr>
    </w:p>
    <w:p w14:paraId="0B7D9378" w14:textId="798C3F88" w:rsidR="006E2B70" w:rsidRPr="008A704B" w:rsidRDefault="009278F2" w:rsidP="005E3B88">
      <w:pPr>
        <w:pStyle w:val="Default"/>
        <w:ind w:left="567" w:hanging="567"/>
        <w:rPr>
          <w:color w:val="000000" w:themeColor="text1"/>
        </w:rPr>
      </w:pPr>
      <w:r w:rsidRPr="008A704B">
        <w:rPr>
          <w:color w:val="000000" w:themeColor="text1"/>
        </w:rPr>
        <w:lastRenderedPageBreak/>
        <w:t>4</w:t>
      </w:r>
      <w:r w:rsidR="006E2B70" w:rsidRPr="008A704B">
        <w:rPr>
          <w:color w:val="000000" w:themeColor="text1"/>
        </w:rPr>
        <w:t>.2</w:t>
      </w:r>
      <w:r w:rsidR="006E2B70" w:rsidRPr="008A704B">
        <w:rPr>
          <w:color w:val="000000" w:themeColor="text1"/>
        </w:rPr>
        <w:tab/>
      </w:r>
      <w:r w:rsidR="00756664" w:rsidRPr="008A704B">
        <w:rPr>
          <w:color w:val="000000" w:themeColor="text1"/>
        </w:rPr>
        <w:t>In the financial year following the amalgamation the newly amalgamated school will receive 85% of the collective lump sums for the two predecessor schools</w:t>
      </w:r>
      <w:r w:rsidR="008A704B" w:rsidRPr="008A704B">
        <w:rPr>
          <w:color w:val="000000" w:themeColor="text1"/>
        </w:rPr>
        <w:t xml:space="preserve"> i.e.</w:t>
      </w:r>
      <w:r w:rsidR="00756664" w:rsidRPr="008A704B">
        <w:rPr>
          <w:color w:val="000000" w:themeColor="text1"/>
        </w:rPr>
        <w:t xml:space="preserve"> The school will receive </w:t>
      </w:r>
      <w:r w:rsidR="00756664" w:rsidRPr="008A704B">
        <w:rPr>
          <w:color w:val="000000" w:themeColor="text1"/>
          <w:highlight w:val="yellow"/>
        </w:rPr>
        <w:t xml:space="preserve">2 </w:t>
      </w:r>
      <w:r w:rsidR="006E2B70" w:rsidRPr="008A704B">
        <w:rPr>
          <w:color w:val="000000" w:themeColor="text1"/>
          <w:highlight w:val="yellow"/>
        </w:rPr>
        <w:t xml:space="preserve">X </w:t>
      </w:r>
      <w:r w:rsidR="00B16180" w:rsidRPr="008A704B">
        <w:rPr>
          <w:color w:val="000000" w:themeColor="text1"/>
          <w:highlight w:val="yellow"/>
        </w:rPr>
        <w:t>£</w:t>
      </w:r>
      <w:r w:rsidR="009162C8">
        <w:rPr>
          <w:color w:val="000000" w:themeColor="text1"/>
          <w:highlight w:val="yellow"/>
        </w:rPr>
        <w:t xml:space="preserve">83,000 </w:t>
      </w:r>
      <w:r w:rsidR="006E2B70" w:rsidRPr="008A704B">
        <w:rPr>
          <w:color w:val="000000" w:themeColor="text1"/>
          <w:highlight w:val="yellow"/>
        </w:rPr>
        <w:t>= £</w:t>
      </w:r>
      <w:r w:rsidR="00781AD9" w:rsidRPr="008A704B">
        <w:rPr>
          <w:color w:val="000000" w:themeColor="text1"/>
          <w:highlight w:val="yellow"/>
        </w:rPr>
        <w:t>1</w:t>
      </w:r>
      <w:r w:rsidR="009162C8">
        <w:rPr>
          <w:color w:val="000000" w:themeColor="text1"/>
          <w:highlight w:val="yellow"/>
        </w:rPr>
        <w:t>66</w:t>
      </w:r>
      <w:r w:rsidR="008A704B" w:rsidRPr="008A704B">
        <w:rPr>
          <w:color w:val="000000" w:themeColor="text1"/>
          <w:highlight w:val="yellow"/>
        </w:rPr>
        <w:t>,</w:t>
      </w:r>
      <w:r w:rsidR="009162C8">
        <w:rPr>
          <w:color w:val="000000" w:themeColor="text1"/>
          <w:highlight w:val="yellow"/>
        </w:rPr>
        <w:t>0</w:t>
      </w:r>
      <w:r w:rsidR="008A704B" w:rsidRPr="008A704B">
        <w:rPr>
          <w:color w:val="000000" w:themeColor="text1"/>
          <w:highlight w:val="yellow"/>
        </w:rPr>
        <w:t>00</w:t>
      </w:r>
      <w:r w:rsidR="006E2B70" w:rsidRPr="008A704B">
        <w:rPr>
          <w:color w:val="000000" w:themeColor="text1"/>
          <w:highlight w:val="yellow"/>
        </w:rPr>
        <w:t xml:space="preserve"> X 85% = £</w:t>
      </w:r>
      <w:r w:rsidR="008A704B" w:rsidRPr="008A704B">
        <w:rPr>
          <w:color w:val="000000" w:themeColor="text1"/>
          <w:highlight w:val="yellow"/>
        </w:rPr>
        <w:t>1</w:t>
      </w:r>
      <w:r w:rsidR="009162C8">
        <w:rPr>
          <w:color w:val="000000" w:themeColor="text1"/>
          <w:highlight w:val="yellow"/>
        </w:rPr>
        <w:t>41,100</w:t>
      </w:r>
      <w:r w:rsidR="008A704B" w:rsidRPr="008A704B">
        <w:rPr>
          <w:color w:val="000000" w:themeColor="text1"/>
          <w:highlight w:val="yellow"/>
        </w:rPr>
        <w:t>.</w:t>
      </w:r>
      <w:r w:rsidR="006E2B70" w:rsidRPr="008A704B">
        <w:rPr>
          <w:color w:val="000000" w:themeColor="text1"/>
        </w:rPr>
        <w:t xml:space="preserve"> </w:t>
      </w:r>
      <w:r w:rsidR="008A704B" w:rsidRPr="008A704B">
        <w:rPr>
          <w:color w:val="000000" w:themeColor="text1"/>
          <w:highlight w:val="yellow"/>
        </w:rPr>
        <w:t>The lump sum will be matched to the lump sum as part of the funding formula.</w:t>
      </w:r>
    </w:p>
    <w:p w14:paraId="6B8F08CE" w14:textId="77777777" w:rsidR="006E2B70" w:rsidRPr="008A704B" w:rsidRDefault="006E2B70" w:rsidP="005E3B88">
      <w:pPr>
        <w:pStyle w:val="Default"/>
        <w:ind w:left="567" w:hanging="567"/>
        <w:rPr>
          <w:color w:val="auto"/>
        </w:rPr>
      </w:pPr>
    </w:p>
    <w:p w14:paraId="6951B919" w14:textId="4A632CEF" w:rsidR="00756664" w:rsidRPr="008A704B" w:rsidRDefault="009278F2" w:rsidP="005E3B88">
      <w:pPr>
        <w:pStyle w:val="Default"/>
        <w:ind w:left="567" w:hanging="567"/>
        <w:rPr>
          <w:color w:val="auto"/>
        </w:rPr>
      </w:pPr>
      <w:r w:rsidRPr="008A704B">
        <w:rPr>
          <w:color w:val="auto"/>
        </w:rPr>
        <w:t>4</w:t>
      </w:r>
      <w:r w:rsidR="006E2B70" w:rsidRPr="008A704B">
        <w:rPr>
          <w:color w:val="auto"/>
        </w:rPr>
        <w:t>.3</w:t>
      </w:r>
      <w:r w:rsidR="006E2B70" w:rsidRPr="008A704B">
        <w:rPr>
          <w:color w:val="auto"/>
        </w:rPr>
        <w:tab/>
      </w:r>
      <w:r w:rsidR="00756664" w:rsidRPr="008A704B">
        <w:rPr>
          <w:color w:val="auto"/>
        </w:rPr>
        <w:t>From the second financial year after the amalgamation took place the new amalgamated sch</w:t>
      </w:r>
      <w:r w:rsidR="00794BA4" w:rsidRPr="008A704B">
        <w:rPr>
          <w:color w:val="auto"/>
        </w:rPr>
        <w:t xml:space="preserve">ool will receive one </w:t>
      </w:r>
      <w:r w:rsidR="00794BA4" w:rsidRPr="008A704B">
        <w:rPr>
          <w:color w:val="auto"/>
          <w:highlight w:val="yellow"/>
        </w:rPr>
        <w:t xml:space="preserve">lump of </w:t>
      </w:r>
      <w:r w:rsidR="00781AD9" w:rsidRPr="008A704B">
        <w:rPr>
          <w:color w:val="auto"/>
          <w:highlight w:val="yellow"/>
        </w:rPr>
        <w:t>£</w:t>
      </w:r>
      <w:r w:rsidR="009162C8">
        <w:rPr>
          <w:color w:val="auto"/>
          <w:highlight w:val="yellow"/>
        </w:rPr>
        <w:t>83</w:t>
      </w:r>
      <w:r w:rsidR="008A704B" w:rsidRPr="008A704B">
        <w:rPr>
          <w:color w:val="auto"/>
          <w:highlight w:val="yellow"/>
        </w:rPr>
        <w:t>,</w:t>
      </w:r>
      <w:r w:rsidR="009162C8">
        <w:rPr>
          <w:color w:val="auto"/>
          <w:highlight w:val="yellow"/>
        </w:rPr>
        <w:t>0</w:t>
      </w:r>
      <w:r w:rsidR="008A704B" w:rsidRPr="008A704B">
        <w:rPr>
          <w:color w:val="auto"/>
          <w:highlight w:val="yellow"/>
        </w:rPr>
        <w:t>00</w:t>
      </w:r>
      <w:r w:rsidR="008A704B" w:rsidRPr="008A704B">
        <w:rPr>
          <w:highlight w:val="yellow"/>
        </w:rPr>
        <w:t xml:space="preserve"> once again </w:t>
      </w:r>
      <w:r w:rsidR="008A704B" w:rsidRPr="008A704B">
        <w:rPr>
          <w:color w:val="auto"/>
          <w:highlight w:val="yellow"/>
        </w:rPr>
        <w:t>matched to the lump sum as part of the funding formula.</w:t>
      </w:r>
    </w:p>
    <w:p w14:paraId="7F36F46E" w14:textId="77777777" w:rsidR="00756664" w:rsidRPr="008A704B" w:rsidRDefault="00756664" w:rsidP="005E3B88">
      <w:pPr>
        <w:pStyle w:val="Default"/>
        <w:ind w:left="567" w:hanging="567"/>
        <w:rPr>
          <w:color w:val="auto"/>
        </w:rPr>
      </w:pPr>
    </w:p>
    <w:p w14:paraId="7A4C25EE" w14:textId="77777777" w:rsidR="00756664" w:rsidRPr="008A704B" w:rsidRDefault="009278F2" w:rsidP="005E3B88">
      <w:pPr>
        <w:pStyle w:val="Default"/>
        <w:ind w:left="567" w:hanging="567"/>
        <w:rPr>
          <w:color w:val="auto"/>
        </w:rPr>
      </w:pPr>
      <w:r w:rsidRPr="008A704B">
        <w:rPr>
          <w:color w:val="auto"/>
        </w:rPr>
        <w:t>4</w:t>
      </w:r>
      <w:r w:rsidR="00794BA4" w:rsidRPr="008A704B">
        <w:rPr>
          <w:color w:val="auto"/>
        </w:rPr>
        <w:t>.4</w:t>
      </w:r>
      <w:r w:rsidR="00794BA4" w:rsidRPr="008A704B">
        <w:rPr>
          <w:color w:val="auto"/>
        </w:rPr>
        <w:tab/>
      </w:r>
      <w:r w:rsidR="00756664" w:rsidRPr="008A704B">
        <w:rPr>
          <w:color w:val="auto"/>
        </w:rPr>
        <w:t xml:space="preserve">The protected lump sum will automatically be funded from the Schools Block DSG and will not be a charged against the LAs growth fund as this is a national funding arrangement. </w:t>
      </w:r>
    </w:p>
    <w:p w14:paraId="565812F8" w14:textId="77777777" w:rsidR="00756664" w:rsidRPr="008A704B" w:rsidRDefault="00756664" w:rsidP="005E3B88">
      <w:pPr>
        <w:pStyle w:val="Default"/>
        <w:ind w:left="567" w:hanging="567"/>
        <w:rPr>
          <w:b/>
          <w:bCs/>
          <w:color w:val="auto"/>
        </w:rPr>
      </w:pPr>
    </w:p>
    <w:p w14:paraId="0BDCA983" w14:textId="77777777" w:rsidR="00756664" w:rsidRPr="008A704B" w:rsidRDefault="009278F2" w:rsidP="005E3B88">
      <w:pPr>
        <w:pStyle w:val="Default"/>
        <w:ind w:left="567" w:hanging="567"/>
        <w:rPr>
          <w:b/>
          <w:bCs/>
          <w:color w:val="auto"/>
        </w:rPr>
      </w:pPr>
      <w:r w:rsidRPr="008A704B">
        <w:rPr>
          <w:b/>
          <w:bCs/>
          <w:color w:val="auto"/>
        </w:rPr>
        <w:t>5</w:t>
      </w:r>
      <w:r w:rsidR="00756664" w:rsidRPr="008A704B">
        <w:rPr>
          <w:b/>
          <w:bCs/>
          <w:color w:val="auto"/>
        </w:rPr>
        <w:t>.</w:t>
      </w:r>
      <w:r w:rsidR="0094579B" w:rsidRPr="008A704B">
        <w:rPr>
          <w:b/>
          <w:bCs/>
          <w:color w:val="auto"/>
        </w:rPr>
        <w:tab/>
      </w:r>
      <w:r w:rsidR="00756664" w:rsidRPr="008A704B">
        <w:rPr>
          <w:b/>
          <w:bCs/>
          <w:color w:val="auto"/>
        </w:rPr>
        <w:t xml:space="preserve">Budget </w:t>
      </w:r>
    </w:p>
    <w:p w14:paraId="2B5FABE8" w14:textId="77777777" w:rsidR="00756664" w:rsidRPr="008A704B" w:rsidRDefault="00756664" w:rsidP="005E3B88">
      <w:pPr>
        <w:pStyle w:val="Default"/>
        <w:ind w:left="567" w:hanging="567"/>
        <w:rPr>
          <w:color w:val="auto"/>
        </w:rPr>
      </w:pPr>
    </w:p>
    <w:p w14:paraId="1052A84B" w14:textId="77777777" w:rsidR="00756664" w:rsidRPr="008A704B" w:rsidRDefault="009278F2" w:rsidP="005E3B88">
      <w:pPr>
        <w:spacing w:after="0" w:line="240" w:lineRule="auto"/>
        <w:ind w:left="567" w:hanging="567"/>
        <w:rPr>
          <w:rFonts w:ascii="Arial" w:hAnsi="Arial" w:cs="Arial"/>
          <w:sz w:val="24"/>
          <w:szCs w:val="24"/>
        </w:rPr>
      </w:pPr>
      <w:r w:rsidRPr="008A704B">
        <w:rPr>
          <w:rFonts w:ascii="Arial" w:hAnsi="Arial" w:cs="Arial"/>
          <w:sz w:val="24"/>
          <w:szCs w:val="24"/>
        </w:rPr>
        <w:t>5</w:t>
      </w:r>
      <w:r w:rsidR="00756664" w:rsidRPr="008A704B">
        <w:rPr>
          <w:rFonts w:ascii="Arial" w:hAnsi="Arial" w:cs="Arial"/>
          <w:sz w:val="24"/>
          <w:szCs w:val="24"/>
        </w:rPr>
        <w:t xml:space="preserve">.1 </w:t>
      </w:r>
      <w:r w:rsidR="0094579B" w:rsidRPr="008A704B">
        <w:rPr>
          <w:rFonts w:ascii="Arial" w:hAnsi="Arial" w:cs="Arial"/>
          <w:sz w:val="24"/>
          <w:szCs w:val="24"/>
        </w:rPr>
        <w:tab/>
      </w:r>
      <w:r w:rsidR="00756664" w:rsidRPr="008A704B">
        <w:rPr>
          <w:rFonts w:ascii="Arial" w:hAnsi="Arial" w:cs="Arial"/>
          <w:sz w:val="24"/>
          <w:szCs w:val="24"/>
        </w:rPr>
        <w:t xml:space="preserve">The growth funding budget will be set annually to support this policy. </w:t>
      </w:r>
    </w:p>
    <w:p w14:paraId="4E0F03E3" w14:textId="77777777" w:rsidR="009F70DC" w:rsidRPr="008A704B" w:rsidRDefault="009F70DC" w:rsidP="005E3B88">
      <w:pPr>
        <w:spacing w:after="0" w:line="240" w:lineRule="auto"/>
        <w:ind w:left="567" w:hanging="567"/>
        <w:rPr>
          <w:rFonts w:ascii="Arial" w:hAnsi="Arial" w:cs="Arial"/>
          <w:sz w:val="24"/>
          <w:szCs w:val="24"/>
        </w:rPr>
      </w:pPr>
    </w:p>
    <w:p w14:paraId="3114EF9C" w14:textId="4F8586ED" w:rsidR="009F70DC" w:rsidRPr="008A704B" w:rsidRDefault="009F70DC" w:rsidP="005E3B88">
      <w:pPr>
        <w:spacing w:after="0" w:line="240" w:lineRule="auto"/>
        <w:ind w:left="567" w:hanging="567"/>
        <w:rPr>
          <w:rFonts w:ascii="Arial" w:hAnsi="Arial" w:cs="Arial"/>
          <w:sz w:val="24"/>
          <w:szCs w:val="24"/>
          <w:highlight w:val="yellow"/>
        </w:rPr>
      </w:pPr>
      <w:r w:rsidRPr="008A704B">
        <w:rPr>
          <w:rFonts w:ascii="Arial" w:hAnsi="Arial" w:cs="Arial"/>
          <w:sz w:val="24"/>
          <w:szCs w:val="24"/>
          <w:highlight w:val="yellow"/>
        </w:rPr>
        <w:t xml:space="preserve">School forum Approval: </w:t>
      </w:r>
      <w:r w:rsidR="008A704B" w:rsidRPr="008A704B">
        <w:rPr>
          <w:rFonts w:ascii="Arial" w:hAnsi="Arial" w:cs="Arial"/>
          <w:sz w:val="24"/>
          <w:szCs w:val="24"/>
          <w:highlight w:val="yellow"/>
        </w:rPr>
        <w:t>1</w:t>
      </w:r>
      <w:r w:rsidR="00973A7D">
        <w:rPr>
          <w:rFonts w:ascii="Arial" w:hAnsi="Arial" w:cs="Arial"/>
          <w:sz w:val="24"/>
          <w:szCs w:val="24"/>
          <w:highlight w:val="yellow"/>
        </w:rPr>
        <w:t>8</w:t>
      </w:r>
      <w:r w:rsidR="008A704B" w:rsidRPr="008A704B">
        <w:rPr>
          <w:rFonts w:ascii="Arial" w:hAnsi="Arial" w:cs="Arial"/>
          <w:sz w:val="24"/>
          <w:szCs w:val="24"/>
          <w:highlight w:val="yellow"/>
        </w:rPr>
        <w:t>.</w:t>
      </w:r>
      <w:r w:rsidR="00781AD9" w:rsidRPr="008A704B">
        <w:rPr>
          <w:rFonts w:ascii="Arial" w:hAnsi="Arial" w:cs="Arial"/>
          <w:sz w:val="24"/>
          <w:szCs w:val="24"/>
          <w:highlight w:val="yellow"/>
        </w:rPr>
        <w:t>05.2</w:t>
      </w:r>
      <w:r w:rsidR="00973A7D">
        <w:rPr>
          <w:rFonts w:ascii="Arial" w:hAnsi="Arial" w:cs="Arial"/>
          <w:sz w:val="24"/>
          <w:szCs w:val="24"/>
          <w:highlight w:val="yellow"/>
        </w:rPr>
        <w:t>2</w:t>
      </w:r>
    </w:p>
    <w:p w14:paraId="0B390CD7" w14:textId="2AD2BFA4" w:rsidR="009F70DC" w:rsidRPr="008A704B" w:rsidRDefault="00781AD9" w:rsidP="005E3B88">
      <w:pPr>
        <w:spacing w:after="0" w:line="240" w:lineRule="auto"/>
        <w:ind w:left="567" w:hanging="567"/>
        <w:rPr>
          <w:rFonts w:ascii="Arial" w:eastAsia="Times New Roman" w:hAnsi="Arial" w:cs="Arial"/>
          <w:sz w:val="24"/>
          <w:szCs w:val="24"/>
        </w:rPr>
      </w:pPr>
      <w:r w:rsidRPr="008A704B">
        <w:rPr>
          <w:rFonts w:ascii="Arial" w:hAnsi="Arial" w:cs="Arial"/>
          <w:sz w:val="24"/>
          <w:szCs w:val="24"/>
          <w:highlight w:val="yellow"/>
        </w:rPr>
        <w:t>Review Date:</w:t>
      </w:r>
      <w:r w:rsidRPr="008A704B">
        <w:rPr>
          <w:rFonts w:ascii="Arial" w:hAnsi="Arial" w:cs="Arial"/>
          <w:sz w:val="24"/>
          <w:szCs w:val="24"/>
          <w:highlight w:val="yellow"/>
        </w:rPr>
        <w:tab/>
      </w:r>
      <w:r w:rsidRPr="008A704B">
        <w:rPr>
          <w:rFonts w:ascii="Arial" w:hAnsi="Arial" w:cs="Arial"/>
          <w:sz w:val="24"/>
          <w:szCs w:val="24"/>
          <w:highlight w:val="yellow"/>
        </w:rPr>
        <w:tab/>
      </w:r>
      <w:r w:rsidR="008A704B" w:rsidRPr="008A704B">
        <w:rPr>
          <w:rFonts w:ascii="Arial" w:hAnsi="Arial" w:cs="Arial"/>
          <w:sz w:val="24"/>
          <w:szCs w:val="24"/>
          <w:highlight w:val="yellow"/>
        </w:rPr>
        <w:t>May</w:t>
      </w:r>
      <w:r w:rsidRPr="008A704B">
        <w:rPr>
          <w:rFonts w:ascii="Arial" w:hAnsi="Arial" w:cs="Arial"/>
          <w:sz w:val="24"/>
          <w:szCs w:val="24"/>
          <w:highlight w:val="yellow"/>
        </w:rPr>
        <w:t xml:space="preserve"> 202</w:t>
      </w:r>
      <w:r w:rsidR="00973A7D">
        <w:rPr>
          <w:rFonts w:ascii="Arial" w:hAnsi="Arial" w:cs="Arial"/>
          <w:sz w:val="24"/>
          <w:szCs w:val="24"/>
          <w:highlight w:val="yellow"/>
        </w:rPr>
        <w:t>3</w:t>
      </w:r>
      <w:r w:rsidR="009F70DC" w:rsidRPr="008A704B">
        <w:rPr>
          <w:rFonts w:ascii="Arial" w:hAnsi="Arial" w:cs="Arial"/>
          <w:sz w:val="24"/>
          <w:szCs w:val="24"/>
          <w:highlight w:val="yellow"/>
        </w:rPr>
        <w:t>.</w:t>
      </w:r>
    </w:p>
    <w:sectPr w:rsidR="009F70DC" w:rsidRPr="008A704B" w:rsidSect="005E3B8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5121" w14:textId="77777777" w:rsidR="00150C4A" w:rsidRDefault="00150C4A" w:rsidP="00150C4A">
      <w:pPr>
        <w:spacing w:after="0" w:line="240" w:lineRule="auto"/>
      </w:pPr>
      <w:r>
        <w:separator/>
      </w:r>
    </w:p>
  </w:endnote>
  <w:endnote w:type="continuationSeparator" w:id="0">
    <w:p w14:paraId="79BCA1D7" w14:textId="77777777" w:rsidR="00150C4A" w:rsidRDefault="00150C4A" w:rsidP="0015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4D6D" w14:textId="77777777" w:rsidR="00150C4A" w:rsidRDefault="00150C4A" w:rsidP="00150C4A">
      <w:pPr>
        <w:spacing w:after="0" w:line="240" w:lineRule="auto"/>
      </w:pPr>
      <w:r>
        <w:separator/>
      </w:r>
    </w:p>
  </w:footnote>
  <w:footnote w:type="continuationSeparator" w:id="0">
    <w:p w14:paraId="4A230555" w14:textId="77777777" w:rsidR="00150C4A" w:rsidRDefault="00150C4A" w:rsidP="00150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F99"/>
    <w:multiLevelType w:val="multilevel"/>
    <w:tmpl w:val="65303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A3021"/>
    <w:multiLevelType w:val="multilevel"/>
    <w:tmpl w:val="2F3A2C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E78CB"/>
    <w:multiLevelType w:val="hybridMultilevel"/>
    <w:tmpl w:val="B22E104A"/>
    <w:lvl w:ilvl="0" w:tplc="E71229C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2DC71A4"/>
    <w:multiLevelType w:val="multilevel"/>
    <w:tmpl w:val="E47617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555600"/>
    <w:multiLevelType w:val="hybridMultilevel"/>
    <w:tmpl w:val="84C63104"/>
    <w:lvl w:ilvl="0" w:tplc="CE40125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076D2006"/>
    <w:multiLevelType w:val="multilevel"/>
    <w:tmpl w:val="96A00E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081816"/>
    <w:multiLevelType w:val="hybridMultilevel"/>
    <w:tmpl w:val="5CB29886"/>
    <w:lvl w:ilvl="0" w:tplc="B2B0BE3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F7EBF"/>
    <w:multiLevelType w:val="hybridMultilevel"/>
    <w:tmpl w:val="6C14A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544AF5"/>
    <w:multiLevelType w:val="multilevel"/>
    <w:tmpl w:val="C0FE5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2C1E7E"/>
    <w:multiLevelType w:val="hybridMultilevel"/>
    <w:tmpl w:val="019AAE26"/>
    <w:lvl w:ilvl="0" w:tplc="F49828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3F17AEF"/>
    <w:multiLevelType w:val="hybridMultilevel"/>
    <w:tmpl w:val="1D746B1E"/>
    <w:lvl w:ilvl="0" w:tplc="E55CA67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E15B9C"/>
    <w:multiLevelType w:val="multilevel"/>
    <w:tmpl w:val="F5F69CB8"/>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2" w15:restartNumberingAfterBreak="0">
    <w:nsid w:val="2EE13C8A"/>
    <w:multiLevelType w:val="multilevel"/>
    <w:tmpl w:val="79D8B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857056"/>
    <w:multiLevelType w:val="hybridMultilevel"/>
    <w:tmpl w:val="FBE42072"/>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FB775E"/>
    <w:multiLevelType w:val="multilevel"/>
    <w:tmpl w:val="B9465F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94409C"/>
    <w:multiLevelType w:val="hybridMultilevel"/>
    <w:tmpl w:val="C2801BD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2C005FC"/>
    <w:multiLevelType w:val="multilevel"/>
    <w:tmpl w:val="95765D5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2C2027"/>
    <w:multiLevelType w:val="hybridMultilevel"/>
    <w:tmpl w:val="DB76EDC4"/>
    <w:lvl w:ilvl="0" w:tplc="7EC0EAFE">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54E053BB"/>
    <w:multiLevelType w:val="multilevel"/>
    <w:tmpl w:val="D88887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2C7C7B"/>
    <w:multiLevelType w:val="hybridMultilevel"/>
    <w:tmpl w:val="AF887820"/>
    <w:lvl w:ilvl="0" w:tplc="A6DA741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61FA0"/>
    <w:multiLevelType w:val="hybridMultilevel"/>
    <w:tmpl w:val="91D8AD8A"/>
    <w:lvl w:ilvl="0" w:tplc="8C9A7E86">
      <w:start w:val="1"/>
      <w:numFmt w:val="lowerLetter"/>
      <w:lvlText w:val="%1)"/>
      <w:lvlJc w:val="left"/>
      <w:pPr>
        <w:ind w:left="1080" w:hanging="360"/>
      </w:pPr>
      <w:rPr>
        <w:rFonts w:hint="default"/>
      </w:rPr>
    </w:lvl>
    <w:lvl w:ilvl="1" w:tplc="0B32F4C2">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B34A6D"/>
    <w:multiLevelType w:val="multilevel"/>
    <w:tmpl w:val="07EE7A3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FE753B"/>
    <w:multiLevelType w:val="hybridMultilevel"/>
    <w:tmpl w:val="092C39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D62A45"/>
    <w:multiLevelType w:val="hybridMultilevel"/>
    <w:tmpl w:val="B022A7D2"/>
    <w:lvl w:ilvl="0" w:tplc="E1E47E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46D4C05"/>
    <w:multiLevelType w:val="hybridMultilevel"/>
    <w:tmpl w:val="27F430A2"/>
    <w:lvl w:ilvl="0" w:tplc="3FE0FFA2">
      <w:start w:val="1"/>
      <w:numFmt w:val="bullet"/>
      <w:lvlText w:val="•"/>
      <w:lvlJc w:val="left"/>
      <w:pPr>
        <w:tabs>
          <w:tab w:val="num" w:pos="720"/>
        </w:tabs>
        <w:ind w:left="720" w:hanging="360"/>
      </w:pPr>
      <w:rPr>
        <w:rFonts w:ascii="Arial" w:hAnsi="Arial" w:hint="default"/>
      </w:rPr>
    </w:lvl>
    <w:lvl w:ilvl="1" w:tplc="A4E426AC" w:tentative="1">
      <w:start w:val="1"/>
      <w:numFmt w:val="bullet"/>
      <w:lvlText w:val="•"/>
      <w:lvlJc w:val="left"/>
      <w:pPr>
        <w:tabs>
          <w:tab w:val="num" w:pos="1440"/>
        </w:tabs>
        <w:ind w:left="1440" w:hanging="360"/>
      </w:pPr>
      <w:rPr>
        <w:rFonts w:ascii="Arial" w:hAnsi="Arial" w:hint="default"/>
      </w:rPr>
    </w:lvl>
    <w:lvl w:ilvl="2" w:tplc="EDB4B4B4" w:tentative="1">
      <w:start w:val="1"/>
      <w:numFmt w:val="bullet"/>
      <w:lvlText w:val="•"/>
      <w:lvlJc w:val="left"/>
      <w:pPr>
        <w:tabs>
          <w:tab w:val="num" w:pos="2160"/>
        </w:tabs>
        <w:ind w:left="2160" w:hanging="360"/>
      </w:pPr>
      <w:rPr>
        <w:rFonts w:ascii="Arial" w:hAnsi="Arial" w:hint="default"/>
      </w:rPr>
    </w:lvl>
    <w:lvl w:ilvl="3" w:tplc="0316A01E" w:tentative="1">
      <w:start w:val="1"/>
      <w:numFmt w:val="bullet"/>
      <w:lvlText w:val="•"/>
      <w:lvlJc w:val="left"/>
      <w:pPr>
        <w:tabs>
          <w:tab w:val="num" w:pos="2880"/>
        </w:tabs>
        <w:ind w:left="2880" w:hanging="360"/>
      </w:pPr>
      <w:rPr>
        <w:rFonts w:ascii="Arial" w:hAnsi="Arial" w:hint="default"/>
      </w:rPr>
    </w:lvl>
    <w:lvl w:ilvl="4" w:tplc="4ECC70EC" w:tentative="1">
      <w:start w:val="1"/>
      <w:numFmt w:val="bullet"/>
      <w:lvlText w:val="•"/>
      <w:lvlJc w:val="left"/>
      <w:pPr>
        <w:tabs>
          <w:tab w:val="num" w:pos="3600"/>
        </w:tabs>
        <w:ind w:left="3600" w:hanging="360"/>
      </w:pPr>
      <w:rPr>
        <w:rFonts w:ascii="Arial" w:hAnsi="Arial" w:hint="default"/>
      </w:rPr>
    </w:lvl>
    <w:lvl w:ilvl="5" w:tplc="6C7EA72C" w:tentative="1">
      <w:start w:val="1"/>
      <w:numFmt w:val="bullet"/>
      <w:lvlText w:val="•"/>
      <w:lvlJc w:val="left"/>
      <w:pPr>
        <w:tabs>
          <w:tab w:val="num" w:pos="4320"/>
        </w:tabs>
        <w:ind w:left="4320" w:hanging="360"/>
      </w:pPr>
      <w:rPr>
        <w:rFonts w:ascii="Arial" w:hAnsi="Arial" w:hint="default"/>
      </w:rPr>
    </w:lvl>
    <w:lvl w:ilvl="6" w:tplc="B54223BE" w:tentative="1">
      <w:start w:val="1"/>
      <w:numFmt w:val="bullet"/>
      <w:lvlText w:val="•"/>
      <w:lvlJc w:val="left"/>
      <w:pPr>
        <w:tabs>
          <w:tab w:val="num" w:pos="5040"/>
        </w:tabs>
        <w:ind w:left="5040" w:hanging="360"/>
      </w:pPr>
      <w:rPr>
        <w:rFonts w:ascii="Arial" w:hAnsi="Arial" w:hint="default"/>
      </w:rPr>
    </w:lvl>
    <w:lvl w:ilvl="7" w:tplc="78549BEA" w:tentative="1">
      <w:start w:val="1"/>
      <w:numFmt w:val="bullet"/>
      <w:lvlText w:val="•"/>
      <w:lvlJc w:val="left"/>
      <w:pPr>
        <w:tabs>
          <w:tab w:val="num" w:pos="5760"/>
        </w:tabs>
        <w:ind w:left="5760" w:hanging="360"/>
      </w:pPr>
      <w:rPr>
        <w:rFonts w:ascii="Arial" w:hAnsi="Arial" w:hint="default"/>
      </w:rPr>
    </w:lvl>
    <w:lvl w:ilvl="8" w:tplc="036A47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B447B0"/>
    <w:multiLevelType w:val="hybridMultilevel"/>
    <w:tmpl w:val="0220E254"/>
    <w:lvl w:ilvl="0" w:tplc="8F902FF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7FE00AD4"/>
    <w:multiLevelType w:val="hybridMultilevel"/>
    <w:tmpl w:val="DB12F45C"/>
    <w:lvl w:ilvl="0" w:tplc="CCB4A19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8"/>
  </w:num>
  <w:num w:numId="3">
    <w:abstractNumId w:val="11"/>
  </w:num>
  <w:num w:numId="4">
    <w:abstractNumId w:val="2"/>
  </w:num>
  <w:num w:numId="5">
    <w:abstractNumId w:val="9"/>
  </w:num>
  <w:num w:numId="6">
    <w:abstractNumId w:val="13"/>
  </w:num>
  <w:num w:numId="7">
    <w:abstractNumId w:val="1"/>
  </w:num>
  <w:num w:numId="8">
    <w:abstractNumId w:val="7"/>
  </w:num>
  <w:num w:numId="9">
    <w:abstractNumId w:val="16"/>
  </w:num>
  <w:num w:numId="10">
    <w:abstractNumId w:val="3"/>
  </w:num>
  <w:num w:numId="11">
    <w:abstractNumId w:val="18"/>
  </w:num>
  <w:num w:numId="12">
    <w:abstractNumId w:val="14"/>
  </w:num>
  <w:num w:numId="13">
    <w:abstractNumId w:val="22"/>
  </w:num>
  <w:num w:numId="14">
    <w:abstractNumId w:val="23"/>
  </w:num>
  <w:num w:numId="15">
    <w:abstractNumId w:val="10"/>
  </w:num>
  <w:num w:numId="16">
    <w:abstractNumId w:val="19"/>
  </w:num>
  <w:num w:numId="17">
    <w:abstractNumId w:val="5"/>
  </w:num>
  <w:num w:numId="18">
    <w:abstractNumId w:val="21"/>
  </w:num>
  <w:num w:numId="19">
    <w:abstractNumId w:val="15"/>
  </w:num>
  <w:num w:numId="20">
    <w:abstractNumId w:val="25"/>
  </w:num>
  <w:num w:numId="21">
    <w:abstractNumId w:val="6"/>
  </w:num>
  <w:num w:numId="22">
    <w:abstractNumId w:val="24"/>
  </w:num>
  <w:num w:numId="23">
    <w:abstractNumId w:val="12"/>
  </w:num>
  <w:num w:numId="24">
    <w:abstractNumId w:val="26"/>
  </w:num>
  <w:num w:numId="25">
    <w:abstractNumId w:val="0"/>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5B3"/>
    <w:rsid w:val="000032A5"/>
    <w:rsid w:val="00092D11"/>
    <w:rsid w:val="000A2FB0"/>
    <w:rsid w:val="000C6743"/>
    <w:rsid w:val="000E1598"/>
    <w:rsid w:val="000F2BAE"/>
    <w:rsid w:val="00104A65"/>
    <w:rsid w:val="00150C4A"/>
    <w:rsid w:val="0016277F"/>
    <w:rsid w:val="00195AE3"/>
    <w:rsid w:val="001C6945"/>
    <w:rsid w:val="001D55CF"/>
    <w:rsid w:val="00203D23"/>
    <w:rsid w:val="00215022"/>
    <w:rsid w:val="00250067"/>
    <w:rsid w:val="0027210F"/>
    <w:rsid w:val="002C128E"/>
    <w:rsid w:val="002C20B9"/>
    <w:rsid w:val="002C7D5B"/>
    <w:rsid w:val="002F5803"/>
    <w:rsid w:val="00300AB7"/>
    <w:rsid w:val="00311020"/>
    <w:rsid w:val="00341E24"/>
    <w:rsid w:val="00351C64"/>
    <w:rsid w:val="00375E08"/>
    <w:rsid w:val="0038382F"/>
    <w:rsid w:val="003944F3"/>
    <w:rsid w:val="00395E4C"/>
    <w:rsid w:val="003F0C32"/>
    <w:rsid w:val="004634C1"/>
    <w:rsid w:val="00464DFC"/>
    <w:rsid w:val="004A0E55"/>
    <w:rsid w:val="004A5840"/>
    <w:rsid w:val="004E028D"/>
    <w:rsid w:val="00506A3F"/>
    <w:rsid w:val="00510396"/>
    <w:rsid w:val="00572304"/>
    <w:rsid w:val="00582E03"/>
    <w:rsid w:val="005C524A"/>
    <w:rsid w:val="005C7175"/>
    <w:rsid w:val="005E3B88"/>
    <w:rsid w:val="00624370"/>
    <w:rsid w:val="00632B03"/>
    <w:rsid w:val="006407CE"/>
    <w:rsid w:val="00651F6B"/>
    <w:rsid w:val="0065292B"/>
    <w:rsid w:val="006537F9"/>
    <w:rsid w:val="006631C5"/>
    <w:rsid w:val="0068338B"/>
    <w:rsid w:val="006923CF"/>
    <w:rsid w:val="0069703F"/>
    <w:rsid w:val="006C22BA"/>
    <w:rsid w:val="006D7C24"/>
    <w:rsid w:val="006E2B70"/>
    <w:rsid w:val="007153A7"/>
    <w:rsid w:val="007233B2"/>
    <w:rsid w:val="0072574F"/>
    <w:rsid w:val="007367C8"/>
    <w:rsid w:val="00756664"/>
    <w:rsid w:val="00766EC5"/>
    <w:rsid w:val="00781AD9"/>
    <w:rsid w:val="00794BA4"/>
    <w:rsid w:val="007A01D7"/>
    <w:rsid w:val="007D4A8F"/>
    <w:rsid w:val="00800E19"/>
    <w:rsid w:val="00804B5E"/>
    <w:rsid w:val="00810CCB"/>
    <w:rsid w:val="00824B08"/>
    <w:rsid w:val="00831AA5"/>
    <w:rsid w:val="00852D21"/>
    <w:rsid w:val="00855930"/>
    <w:rsid w:val="00855A80"/>
    <w:rsid w:val="00857F51"/>
    <w:rsid w:val="00891F70"/>
    <w:rsid w:val="008A704B"/>
    <w:rsid w:val="009006A9"/>
    <w:rsid w:val="009162C8"/>
    <w:rsid w:val="00916E74"/>
    <w:rsid w:val="00927343"/>
    <w:rsid w:val="009278F2"/>
    <w:rsid w:val="00933B32"/>
    <w:rsid w:val="009341F8"/>
    <w:rsid w:val="0094579B"/>
    <w:rsid w:val="009506DA"/>
    <w:rsid w:val="00951CE6"/>
    <w:rsid w:val="00973A7D"/>
    <w:rsid w:val="009B2E5A"/>
    <w:rsid w:val="009B63DB"/>
    <w:rsid w:val="009D2B17"/>
    <w:rsid w:val="009F0FEC"/>
    <w:rsid w:val="009F482D"/>
    <w:rsid w:val="009F70DC"/>
    <w:rsid w:val="00A04F00"/>
    <w:rsid w:val="00A25A51"/>
    <w:rsid w:val="00A34B61"/>
    <w:rsid w:val="00A4336B"/>
    <w:rsid w:val="00A526F5"/>
    <w:rsid w:val="00A873D4"/>
    <w:rsid w:val="00AB6D64"/>
    <w:rsid w:val="00AD780F"/>
    <w:rsid w:val="00AE3D18"/>
    <w:rsid w:val="00B053C8"/>
    <w:rsid w:val="00B14E6F"/>
    <w:rsid w:val="00B16180"/>
    <w:rsid w:val="00B532BA"/>
    <w:rsid w:val="00B65E19"/>
    <w:rsid w:val="00BD16FF"/>
    <w:rsid w:val="00C22E0D"/>
    <w:rsid w:val="00C42C8F"/>
    <w:rsid w:val="00C56248"/>
    <w:rsid w:val="00C61762"/>
    <w:rsid w:val="00C9012C"/>
    <w:rsid w:val="00C97755"/>
    <w:rsid w:val="00CC0DDA"/>
    <w:rsid w:val="00CC4C19"/>
    <w:rsid w:val="00CF1070"/>
    <w:rsid w:val="00D06020"/>
    <w:rsid w:val="00D354FF"/>
    <w:rsid w:val="00D81227"/>
    <w:rsid w:val="00D828F5"/>
    <w:rsid w:val="00DD15D6"/>
    <w:rsid w:val="00DE15B3"/>
    <w:rsid w:val="00E03728"/>
    <w:rsid w:val="00E0694C"/>
    <w:rsid w:val="00E27916"/>
    <w:rsid w:val="00E31D56"/>
    <w:rsid w:val="00E63062"/>
    <w:rsid w:val="00EA3482"/>
    <w:rsid w:val="00EB1963"/>
    <w:rsid w:val="00EC3D83"/>
    <w:rsid w:val="00F21894"/>
    <w:rsid w:val="00F251EE"/>
    <w:rsid w:val="00F8778F"/>
    <w:rsid w:val="00FA662C"/>
    <w:rsid w:val="00FE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B0835"/>
  <w15:docId w15:val="{93BBE7C2-E520-4723-BADD-757149A4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28E"/>
    <w:pPr>
      <w:ind w:left="720"/>
      <w:contextualSpacing/>
    </w:pPr>
  </w:style>
  <w:style w:type="paragraph" w:styleId="BalloonText">
    <w:name w:val="Balloon Text"/>
    <w:basedOn w:val="Normal"/>
    <w:link w:val="BalloonTextChar"/>
    <w:uiPriority w:val="99"/>
    <w:semiHidden/>
    <w:unhideWhenUsed/>
    <w:rsid w:val="00715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A7"/>
    <w:rPr>
      <w:rFonts w:ascii="Tahoma" w:hAnsi="Tahoma" w:cs="Tahoma"/>
      <w:sz w:val="16"/>
      <w:szCs w:val="16"/>
    </w:rPr>
  </w:style>
  <w:style w:type="paragraph" w:customStyle="1" w:styleId="Default">
    <w:name w:val="Default"/>
    <w:rsid w:val="00E630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9830">
      <w:bodyDiv w:val="1"/>
      <w:marLeft w:val="0"/>
      <w:marRight w:val="0"/>
      <w:marTop w:val="0"/>
      <w:marBottom w:val="0"/>
      <w:divBdr>
        <w:top w:val="none" w:sz="0" w:space="0" w:color="auto"/>
        <w:left w:val="none" w:sz="0" w:space="0" w:color="auto"/>
        <w:bottom w:val="none" w:sz="0" w:space="0" w:color="auto"/>
        <w:right w:val="none" w:sz="0" w:space="0" w:color="auto"/>
      </w:divBdr>
    </w:div>
    <w:div w:id="1196431295">
      <w:bodyDiv w:val="1"/>
      <w:marLeft w:val="0"/>
      <w:marRight w:val="0"/>
      <w:marTop w:val="0"/>
      <w:marBottom w:val="0"/>
      <w:divBdr>
        <w:top w:val="none" w:sz="0" w:space="0" w:color="auto"/>
        <w:left w:val="none" w:sz="0" w:space="0" w:color="auto"/>
        <w:bottom w:val="none" w:sz="0" w:space="0" w:color="auto"/>
        <w:right w:val="none" w:sz="0" w:space="0" w:color="auto"/>
      </w:divBdr>
    </w:div>
    <w:div w:id="1198540542">
      <w:bodyDiv w:val="1"/>
      <w:marLeft w:val="0"/>
      <w:marRight w:val="0"/>
      <w:marTop w:val="0"/>
      <w:marBottom w:val="0"/>
      <w:divBdr>
        <w:top w:val="none" w:sz="0" w:space="0" w:color="auto"/>
        <w:left w:val="none" w:sz="0" w:space="0" w:color="auto"/>
        <w:bottom w:val="none" w:sz="0" w:space="0" w:color="auto"/>
        <w:right w:val="none" w:sz="0" w:space="0" w:color="auto"/>
      </w:divBdr>
    </w:div>
    <w:div w:id="1367952616">
      <w:bodyDiv w:val="1"/>
      <w:marLeft w:val="0"/>
      <w:marRight w:val="0"/>
      <w:marTop w:val="0"/>
      <w:marBottom w:val="0"/>
      <w:divBdr>
        <w:top w:val="none" w:sz="0" w:space="0" w:color="auto"/>
        <w:left w:val="none" w:sz="0" w:space="0" w:color="auto"/>
        <w:bottom w:val="none" w:sz="0" w:space="0" w:color="auto"/>
        <w:right w:val="none" w:sz="0" w:space="0" w:color="auto"/>
      </w:divBdr>
    </w:div>
    <w:div w:id="1461916982">
      <w:bodyDiv w:val="1"/>
      <w:marLeft w:val="0"/>
      <w:marRight w:val="0"/>
      <w:marTop w:val="0"/>
      <w:marBottom w:val="0"/>
      <w:divBdr>
        <w:top w:val="none" w:sz="0" w:space="0" w:color="auto"/>
        <w:left w:val="none" w:sz="0" w:space="0" w:color="auto"/>
        <w:bottom w:val="none" w:sz="0" w:space="0" w:color="auto"/>
        <w:right w:val="none" w:sz="0" w:space="0" w:color="auto"/>
      </w:divBdr>
    </w:div>
    <w:div w:id="1522355678">
      <w:bodyDiv w:val="1"/>
      <w:marLeft w:val="0"/>
      <w:marRight w:val="0"/>
      <w:marTop w:val="0"/>
      <w:marBottom w:val="0"/>
      <w:divBdr>
        <w:top w:val="none" w:sz="0" w:space="0" w:color="auto"/>
        <w:left w:val="none" w:sz="0" w:space="0" w:color="auto"/>
        <w:bottom w:val="none" w:sz="0" w:space="0" w:color="auto"/>
        <w:right w:val="none" w:sz="0" w:space="0" w:color="auto"/>
      </w:divBdr>
    </w:div>
    <w:div w:id="1662271741">
      <w:bodyDiv w:val="1"/>
      <w:marLeft w:val="0"/>
      <w:marRight w:val="0"/>
      <w:marTop w:val="0"/>
      <w:marBottom w:val="0"/>
      <w:divBdr>
        <w:top w:val="none" w:sz="0" w:space="0" w:color="auto"/>
        <w:left w:val="none" w:sz="0" w:space="0" w:color="auto"/>
        <w:bottom w:val="none" w:sz="0" w:space="0" w:color="auto"/>
        <w:right w:val="none" w:sz="0" w:space="0" w:color="auto"/>
      </w:divBdr>
    </w:div>
    <w:div w:id="1686979082">
      <w:bodyDiv w:val="1"/>
      <w:marLeft w:val="0"/>
      <w:marRight w:val="0"/>
      <w:marTop w:val="0"/>
      <w:marBottom w:val="0"/>
      <w:divBdr>
        <w:top w:val="none" w:sz="0" w:space="0" w:color="auto"/>
        <w:left w:val="none" w:sz="0" w:space="0" w:color="auto"/>
        <w:bottom w:val="none" w:sz="0" w:space="0" w:color="auto"/>
        <w:right w:val="none" w:sz="0" w:space="0" w:color="auto"/>
      </w:divBdr>
      <w:divsChild>
        <w:div w:id="963735857">
          <w:marLeft w:val="547"/>
          <w:marRight w:val="0"/>
          <w:marTop w:val="82"/>
          <w:marBottom w:val="0"/>
          <w:divBdr>
            <w:top w:val="none" w:sz="0" w:space="0" w:color="auto"/>
            <w:left w:val="none" w:sz="0" w:space="0" w:color="auto"/>
            <w:bottom w:val="none" w:sz="0" w:space="0" w:color="auto"/>
            <w:right w:val="none" w:sz="0" w:space="0" w:color="auto"/>
          </w:divBdr>
        </w:div>
        <w:div w:id="1195969229">
          <w:marLeft w:val="547"/>
          <w:marRight w:val="0"/>
          <w:marTop w:val="82"/>
          <w:marBottom w:val="0"/>
          <w:divBdr>
            <w:top w:val="none" w:sz="0" w:space="0" w:color="auto"/>
            <w:left w:val="none" w:sz="0" w:space="0" w:color="auto"/>
            <w:bottom w:val="none" w:sz="0" w:space="0" w:color="auto"/>
            <w:right w:val="none" w:sz="0" w:space="0" w:color="auto"/>
          </w:divBdr>
        </w:div>
        <w:div w:id="238760464">
          <w:marLeft w:val="547"/>
          <w:marRight w:val="0"/>
          <w:marTop w:val="82"/>
          <w:marBottom w:val="0"/>
          <w:divBdr>
            <w:top w:val="none" w:sz="0" w:space="0" w:color="auto"/>
            <w:left w:val="none" w:sz="0" w:space="0" w:color="auto"/>
            <w:bottom w:val="none" w:sz="0" w:space="0" w:color="auto"/>
            <w:right w:val="none" w:sz="0" w:space="0" w:color="auto"/>
          </w:divBdr>
        </w:div>
        <w:div w:id="598293941">
          <w:marLeft w:val="547"/>
          <w:marRight w:val="0"/>
          <w:marTop w:val="82"/>
          <w:marBottom w:val="0"/>
          <w:divBdr>
            <w:top w:val="none" w:sz="0" w:space="0" w:color="auto"/>
            <w:left w:val="none" w:sz="0" w:space="0" w:color="auto"/>
            <w:bottom w:val="none" w:sz="0" w:space="0" w:color="auto"/>
            <w:right w:val="none" w:sz="0" w:space="0" w:color="auto"/>
          </w:divBdr>
        </w:div>
      </w:divsChild>
    </w:div>
    <w:div w:id="1704137882">
      <w:bodyDiv w:val="1"/>
      <w:marLeft w:val="0"/>
      <w:marRight w:val="0"/>
      <w:marTop w:val="0"/>
      <w:marBottom w:val="0"/>
      <w:divBdr>
        <w:top w:val="none" w:sz="0" w:space="0" w:color="auto"/>
        <w:left w:val="none" w:sz="0" w:space="0" w:color="auto"/>
        <w:bottom w:val="none" w:sz="0" w:space="0" w:color="auto"/>
        <w:right w:val="none" w:sz="0" w:space="0" w:color="auto"/>
      </w:divBdr>
    </w:div>
    <w:div w:id="20552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maria.beaney</dc:creator>
  <cp:lastModifiedBy>beaney, maria</cp:lastModifiedBy>
  <cp:revision>3</cp:revision>
  <dcterms:created xsi:type="dcterms:W3CDTF">2022-05-10T20:39:00Z</dcterms:created>
  <dcterms:modified xsi:type="dcterms:W3CDTF">2022-05-10T20:44:00Z</dcterms:modified>
</cp:coreProperties>
</file>