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412" w14:textId="77777777" w:rsidR="007F04B8" w:rsidRPr="00C858CF" w:rsidRDefault="007F04B8" w:rsidP="007F04B8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 w:rsidRPr="00C858CF">
        <w:rPr>
          <w:rFonts w:ascii="Calibri" w:hAnsi="Calibri" w:cs="Arial"/>
          <w:b/>
          <w:bCs/>
          <w:szCs w:val="24"/>
        </w:rPr>
        <w:t>SCHOOLS FORUM</w:t>
      </w:r>
    </w:p>
    <w:p w14:paraId="6AE2F878" w14:textId="3D4F2BEE" w:rsidR="007F04B8" w:rsidRPr="00730910" w:rsidRDefault="00FD22E0" w:rsidP="007F04B8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7F04B8">
        <w:rPr>
          <w:rFonts w:ascii="Calibri" w:hAnsi="Calibri" w:cs="Arial"/>
          <w:b/>
          <w:bCs/>
          <w:szCs w:val="24"/>
        </w:rPr>
        <w:t xml:space="preserve"> July 202</w:t>
      </w:r>
      <w:r>
        <w:rPr>
          <w:rFonts w:ascii="Calibri" w:hAnsi="Calibri" w:cs="Arial"/>
          <w:b/>
          <w:bCs/>
          <w:szCs w:val="24"/>
        </w:rPr>
        <w:t>2</w:t>
      </w:r>
    </w:p>
    <w:p w14:paraId="2062FCF2" w14:textId="13868097" w:rsidR="007F04B8" w:rsidRPr="00730910" w:rsidRDefault="007F04B8" w:rsidP="007F04B8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30910">
        <w:rPr>
          <w:rFonts w:ascii="Calibri" w:hAnsi="Calibri" w:cs="Arial"/>
          <w:b/>
          <w:bCs/>
          <w:sz w:val="24"/>
          <w:szCs w:val="24"/>
        </w:rPr>
        <w:t xml:space="preserve">Agenda </w:t>
      </w:r>
      <w:r w:rsidR="003F4C4B">
        <w:rPr>
          <w:rFonts w:ascii="Calibri" w:hAnsi="Calibri" w:cs="Arial"/>
          <w:b/>
          <w:bCs/>
          <w:sz w:val="24"/>
          <w:szCs w:val="24"/>
        </w:rPr>
        <w:t>8</w:t>
      </w:r>
      <w:r w:rsidRPr="00730910">
        <w:rPr>
          <w:rFonts w:ascii="Calibri" w:hAnsi="Calibri" w:cs="Arial"/>
          <w:b/>
          <w:bCs/>
          <w:sz w:val="24"/>
          <w:szCs w:val="24"/>
        </w:rPr>
        <w:t xml:space="preserve">: </w:t>
      </w:r>
      <w:r w:rsidR="003F4C4B">
        <w:rPr>
          <w:rFonts w:ascii="Calibri" w:hAnsi="Calibri" w:cs="Arial"/>
          <w:b/>
          <w:bCs/>
          <w:sz w:val="24"/>
          <w:szCs w:val="24"/>
        </w:rPr>
        <w:t xml:space="preserve">Notional SEND Allocation as part of the funding Formula. </w:t>
      </w:r>
    </w:p>
    <w:p w14:paraId="108E9261" w14:textId="77777777" w:rsidR="007F04B8" w:rsidRPr="00751E11" w:rsidRDefault="007F04B8" w:rsidP="007F04B8">
      <w:pPr>
        <w:pStyle w:val="DfESOutNumbered"/>
        <w:widowControl/>
        <w:numPr>
          <w:ilvl w:val="0"/>
          <w:numId w:val="0"/>
        </w:numPr>
        <w:overflowPunct/>
        <w:autoSpaceDE/>
        <w:autoSpaceDN/>
        <w:adjustRightInd/>
        <w:spacing w:after="0"/>
        <w:ind w:left="709"/>
        <w:textAlignment w:val="auto"/>
        <w:rPr>
          <w:rFonts w:cs="Arial"/>
          <w:b/>
          <w:sz w:val="20"/>
        </w:rPr>
      </w:pPr>
    </w:p>
    <w:p w14:paraId="62355D46" w14:textId="77777777" w:rsidR="00521C10" w:rsidRPr="00FC4A3D" w:rsidRDefault="00521C10" w:rsidP="006F6019">
      <w:pPr>
        <w:pStyle w:val="DfESOutNumbered"/>
        <w:widowControl/>
        <w:numPr>
          <w:ilvl w:val="0"/>
          <w:numId w:val="0"/>
        </w:numPr>
        <w:overflowPunct/>
        <w:spacing w:after="0"/>
        <w:ind w:left="567" w:hanging="567"/>
        <w:textAlignment w:val="auto"/>
        <w:rPr>
          <w:rFonts w:cs="Arial"/>
          <w:szCs w:val="24"/>
        </w:rPr>
      </w:pPr>
    </w:p>
    <w:p w14:paraId="344838D9" w14:textId="313E8941" w:rsidR="00E719C0" w:rsidRPr="006F6019" w:rsidRDefault="00E719C0" w:rsidP="00CB6AAD">
      <w:pPr>
        <w:pStyle w:val="DfESOutNumbered"/>
        <w:numPr>
          <w:ilvl w:val="0"/>
          <w:numId w:val="4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 w:rsidRPr="00C57F37">
        <w:rPr>
          <w:rFonts w:asciiTheme="minorHAnsi" w:hAnsiTheme="minorHAnsi" w:cs="Arial"/>
          <w:b/>
          <w:szCs w:val="24"/>
        </w:rPr>
        <w:t>Background</w:t>
      </w:r>
      <w:r w:rsidRPr="00C57F37">
        <w:rPr>
          <w:rFonts w:asciiTheme="minorHAnsi" w:hAnsiTheme="minorHAnsi"/>
          <w:szCs w:val="24"/>
        </w:rPr>
        <w:t xml:space="preserve"> </w:t>
      </w:r>
      <w:r w:rsidR="00327446" w:rsidRPr="00C57F37">
        <w:rPr>
          <w:rFonts w:asciiTheme="minorHAnsi" w:hAnsiTheme="minorHAnsi"/>
          <w:b/>
          <w:szCs w:val="24"/>
        </w:rPr>
        <w:t>Information</w:t>
      </w:r>
    </w:p>
    <w:p w14:paraId="47245AE1" w14:textId="77777777" w:rsidR="006F6019" w:rsidRPr="00C57F37" w:rsidRDefault="006F6019" w:rsidP="006F6019">
      <w:pPr>
        <w:pStyle w:val="DfESOutNumbered"/>
        <w:numPr>
          <w:ilvl w:val="0"/>
          <w:numId w:val="0"/>
        </w:numPr>
        <w:spacing w:after="0"/>
        <w:ind w:left="567"/>
        <w:rPr>
          <w:rFonts w:asciiTheme="minorHAnsi" w:hAnsiTheme="minorHAnsi" w:cs="Arial"/>
          <w:b/>
          <w:szCs w:val="24"/>
        </w:rPr>
      </w:pPr>
    </w:p>
    <w:p w14:paraId="59A7E2DA" w14:textId="30549B92" w:rsidR="00671B16" w:rsidRDefault="000E7826" w:rsidP="00CB6AAD">
      <w:pPr>
        <w:pStyle w:val="ListParagraph"/>
        <w:keepNext/>
        <w:numPr>
          <w:ilvl w:val="1"/>
          <w:numId w:val="4"/>
        </w:numPr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0E7826">
        <w:rPr>
          <w:rFonts w:asciiTheme="minorHAnsi" w:hAnsiTheme="minorHAnsi" w:cs="Arial"/>
          <w:sz w:val="24"/>
          <w:szCs w:val="24"/>
        </w:rPr>
        <w:t>Notional S</w:t>
      </w:r>
      <w:r>
        <w:rPr>
          <w:rFonts w:asciiTheme="minorHAnsi" w:hAnsiTheme="minorHAnsi" w:cs="Arial"/>
          <w:sz w:val="24"/>
          <w:szCs w:val="24"/>
        </w:rPr>
        <w:t xml:space="preserve">pecial </w:t>
      </w:r>
      <w:r w:rsidRPr="000E7826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ducation </w:t>
      </w:r>
      <w:r w:rsidRPr="000E7826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eeds</w:t>
      </w:r>
      <w:r w:rsidR="009910FC">
        <w:rPr>
          <w:rFonts w:asciiTheme="minorHAnsi" w:hAnsiTheme="minorHAnsi" w:cs="Arial"/>
          <w:sz w:val="24"/>
          <w:szCs w:val="24"/>
        </w:rPr>
        <w:t xml:space="preserve"> (SEN)</w:t>
      </w:r>
      <w:r w:rsidRPr="000E7826">
        <w:rPr>
          <w:rFonts w:asciiTheme="minorHAnsi" w:hAnsiTheme="minorHAnsi" w:cs="Arial"/>
          <w:sz w:val="24"/>
          <w:szCs w:val="24"/>
        </w:rPr>
        <w:t xml:space="preserve"> funding forms part of a mainstream </w:t>
      </w:r>
      <w:proofErr w:type="gramStart"/>
      <w:r w:rsidRPr="000E7826">
        <w:rPr>
          <w:rFonts w:asciiTheme="minorHAnsi" w:hAnsiTheme="minorHAnsi" w:cs="Arial"/>
          <w:sz w:val="24"/>
          <w:szCs w:val="24"/>
        </w:rPr>
        <w:t>schools</w:t>
      </w:r>
      <w:proofErr w:type="gramEnd"/>
      <w:r w:rsidRPr="000E7826">
        <w:rPr>
          <w:rFonts w:asciiTheme="minorHAnsi" w:hAnsiTheme="minorHAnsi" w:cs="Arial"/>
          <w:sz w:val="24"/>
          <w:szCs w:val="24"/>
        </w:rPr>
        <w:t xml:space="preserve"> budget from the</w:t>
      </w:r>
      <w:r w:rsidR="009910FC">
        <w:rPr>
          <w:rFonts w:asciiTheme="minorHAnsi" w:hAnsiTheme="minorHAnsi" w:cs="Arial"/>
          <w:sz w:val="24"/>
          <w:szCs w:val="24"/>
        </w:rPr>
        <w:t xml:space="preserve"> </w:t>
      </w:r>
      <w:r w:rsidRPr="000E7826">
        <w:rPr>
          <w:rFonts w:asciiTheme="minorHAnsi" w:hAnsiTheme="minorHAnsi" w:cs="Arial"/>
          <w:sz w:val="24"/>
          <w:szCs w:val="24"/>
        </w:rPr>
        <w:t>dedicated schools grant</w:t>
      </w:r>
      <w:r w:rsidR="009910FC">
        <w:rPr>
          <w:rFonts w:asciiTheme="minorHAnsi" w:hAnsiTheme="minorHAnsi" w:cs="Arial"/>
          <w:sz w:val="24"/>
          <w:szCs w:val="24"/>
        </w:rPr>
        <w:t xml:space="preserve"> (DSG)</w:t>
      </w:r>
      <w:r w:rsidR="00671B16">
        <w:rPr>
          <w:rFonts w:asciiTheme="minorHAnsi" w:hAnsiTheme="minorHAnsi" w:cs="Arial"/>
          <w:sz w:val="24"/>
          <w:szCs w:val="24"/>
        </w:rPr>
        <w:t xml:space="preserve"> and </w:t>
      </w:r>
      <w:r w:rsidRPr="00671B16">
        <w:rPr>
          <w:rFonts w:asciiTheme="minorHAnsi" w:hAnsiTheme="minorHAnsi" w:cs="Arial"/>
          <w:sz w:val="24"/>
          <w:szCs w:val="24"/>
        </w:rPr>
        <w:t>is not calculated</w:t>
      </w:r>
      <w:r w:rsidR="00671B16">
        <w:rPr>
          <w:rFonts w:asciiTheme="minorHAnsi" w:hAnsiTheme="minorHAnsi" w:cs="Arial"/>
          <w:sz w:val="24"/>
          <w:szCs w:val="24"/>
        </w:rPr>
        <w:t xml:space="preserve"> based on </w:t>
      </w:r>
      <w:r w:rsidRPr="00671B16">
        <w:rPr>
          <w:rFonts w:asciiTheme="minorHAnsi" w:hAnsiTheme="minorHAnsi" w:cs="Arial"/>
          <w:sz w:val="24"/>
          <w:szCs w:val="24"/>
        </w:rPr>
        <w:t>pupil</w:t>
      </w:r>
      <w:r w:rsidR="00671B16">
        <w:rPr>
          <w:rFonts w:asciiTheme="minorHAnsi" w:hAnsiTheme="minorHAnsi" w:cs="Arial"/>
          <w:sz w:val="24"/>
          <w:szCs w:val="24"/>
        </w:rPr>
        <w:t xml:space="preserve"> needs</w:t>
      </w:r>
      <w:r w:rsidRPr="00671B16">
        <w:rPr>
          <w:rFonts w:asciiTheme="minorHAnsi" w:hAnsiTheme="minorHAnsi" w:cs="Arial"/>
          <w:sz w:val="24"/>
          <w:szCs w:val="24"/>
        </w:rPr>
        <w:t xml:space="preserve"> but </w:t>
      </w:r>
      <w:r w:rsidR="00671B16">
        <w:rPr>
          <w:rFonts w:asciiTheme="minorHAnsi" w:hAnsiTheme="minorHAnsi" w:cs="Arial"/>
          <w:sz w:val="24"/>
          <w:szCs w:val="24"/>
        </w:rPr>
        <w:t xml:space="preserve">as a percentage of the </w:t>
      </w:r>
      <w:r w:rsidR="00671B16" w:rsidRPr="00671B16">
        <w:rPr>
          <w:rFonts w:asciiTheme="minorHAnsi" w:hAnsiTheme="minorHAnsi" w:cs="Arial"/>
          <w:sz w:val="24"/>
          <w:szCs w:val="24"/>
        </w:rPr>
        <w:t>schools</w:t>
      </w:r>
      <w:r w:rsidR="00671B16">
        <w:rPr>
          <w:rFonts w:asciiTheme="minorHAnsi" w:hAnsiTheme="minorHAnsi" w:cs="Arial"/>
          <w:sz w:val="24"/>
          <w:szCs w:val="24"/>
        </w:rPr>
        <w:t xml:space="preserve"> </w:t>
      </w:r>
      <w:r w:rsidRPr="00671B16">
        <w:rPr>
          <w:rFonts w:asciiTheme="minorHAnsi" w:hAnsiTheme="minorHAnsi" w:cs="Arial"/>
          <w:sz w:val="24"/>
          <w:szCs w:val="24"/>
        </w:rPr>
        <w:t>overall</w:t>
      </w:r>
      <w:r w:rsidR="00671B16">
        <w:rPr>
          <w:rFonts w:asciiTheme="minorHAnsi" w:hAnsiTheme="minorHAnsi" w:cs="Arial"/>
          <w:sz w:val="24"/>
          <w:szCs w:val="24"/>
        </w:rPr>
        <w:t xml:space="preserve"> budget. </w:t>
      </w:r>
      <w:r w:rsidRPr="00671B16">
        <w:rPr>
          <w:rFonts w:asciiTheme="minorHAnsi" w:hAnsiTheme="minorHAnsi" w:cs="Arial"/>
          <w:sz w:val="24"/>
          <w:szCs w:val="24"/>
        </w:rPr>
        <w:t xml:space="preserve"> </w:t>
      </w:r>
    </w:p>
    <w:p w14:paraId="3369F223" w14:textId="77777777" w:rsidR="00671B16" w:rsidRDefault="00671B16" w:rsidP="00671B16">
      <w:pPr>
        <w:pStyle w:val="ListParagraph"/>
        <w:keepNext/>
        <w:contextualSpacing/>
        <w:outlineLvl w:val="2"/>
        <w:rPr>
          <w:rFonts w:asciiTheme="minorHAnsi" w:hAnsiTheme="minorHAnsi" w:cs="Arial"/>
          <w:sz w:val="24"/>
          <w:szCs w:val="24"/>
        </w:rPr>
      </w:pPr>
    </w:p>
    <w:p w14:paraId="6C488035" w14:textId="03A036A4" w:rsidR="000E7826" w:rsidRPr="00671B16" w:rsidRDefault="00671B16" w:rsidP="00CB6AAD">
      <w:pPr>
        <w:pStyle w:val="ListParagraph"/>
        <w:keepNext/>
        <w:numPr>
          <w:ilvl w:val="1"/>
          <w:numId w:val="4"/>
        </w:numPr>
        <w:contextualSpacing/>
        <w:outlineLvl w:val="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Each local authority can determine how their notional SEN funding is calculated</w:t>
      </w:r>
      <w:r w:rsidR="002B7900">
        <w:rPr>
          <w:rFonts w:asciiTheme="minorHAnsi" w:hAnsiTheme="minorHAnsi" w:cs="Arial"/>
          <w:sz w:val="24"/>
          <w:szCs w:val="24"/>
        </w:rPr>
        <w:t>. Essentially</w:t>
      </w:r>
      <w:r>
        <w:rPr>
          <w:rFonts w:asciiTheme="minorHAnsi" w:hAnsiTheme="minorHAnsi" w:cs="Arial"/>
          <w:sz w:val="24"/>
          <w:szCs w:val="24"/>
        </w:rPr>
        <w:t xml:space="preserve"> by </w:t>
      </w:r>
      <w:r w:rsidR="002B7900">
        <w:rPr>
          <w:rFonts w:asciiTheme="minorHAnsi" w:hAnsiTheme="minorHAnsi" w:cs="Arial"/>
          <w:sz w:val="24"/>
          <w:szCs w:val="24"/>
        </w:rPr>
        <w:t>identifying</w:t>
      </w:r>
      <w:r>
        <w:rPr>
          <w:rFonts w:asciiTheme="minorHAnsi" w:hAnsiTheme="minorHAnsi" w:cs="Arial"/>
          <w:sz w:val="24"/>
          <w:szCs w:val="24"/>
        </w:rPr>
        <w:t xml:space="preserve"> how much of the unit cost</w:t>
      </w:r>
      <w:r w:rsidR="002B7900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under the 11 funding factors used as part of the funding formula count</w:t>
      </w:r>
      <w:r w:rsidR="00F03F55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towards the</w:t>
      </w:r>
      <w:r w:rsidR="002B7900">
        <w:rPr>
          <w:rFonts w:asciiTheme="minorHAnsi" w:hAnsiTheme="minorHAnsi" w:cs="Arial"/>
          <w:sz w:val="24"/>
          <w:szCs w:val="24"/>
        </w:rPr>
        <w:t>ir</w:t>
      </w:r>
      <w:r>
        <w:rPr>
          <w:rFonts w:asciiTheme="minorHAnsi" w:hAnsiTheme="minorHAnsi" w:cs="Arial"/>
          <w:sz w:val="24"/>
          <w:szCs w:val="24"/>
        </w:rPr>
        <w:t xml:space="preserve"> notional SEN budget. For </w:t>
      </w:r>
      <w:proofErr w:type="gramStart"/>
      <w:r>
        <w:rPr>
          <w:rFonts w:asciiTheme="minorHAnsi" w:hAnsiTheme="minorHAnsi" w:cs="Arial"/>
          <w:sz w:val="24"/>
          <w:szCs w:val="24"/>
        </w:rPr>
        <w:t>Medway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7952D1">
        <w:rPr>
          <w:rFonts w:asciiTheme="minorHAnsi" w:hAnsiTheme="minorHAnsi" w:cs="Arial"/>
          <w:sz w:val="24"/>
          <w:szCs w:val="24"/>
        </w:rPr>
        <w:t xml:space="preserve">its </w:t>
      </w:r>
      <w:r>
        <w:rPr>
          <w:rFonts w:asciiTheme="minorHAnsi" w:hAnsiTheme="minorHAnsi" w:cs="Arial"/>
          <w:sz w:val="24"/>
          <w:szCs w:val="24"/>
        </w:rPr>
        <w:t xml:space="preserve">100% </w:t>
      </w:r>
      <w:r w:rsidR="002B7900">
        <w:rPr>
          <w:rFonts w:asciiTheme="minorHAnsi" w:hAnsiTheme="minorHAnsi" w:cs="Arial"/>
          <w:sz w:val="24"/>
          <w:szCs w:val="24"/>
        </w:rPr>
        <w:t>of the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952D1">
        <w:rPr>
          <w:rFonts w:asciiTheme="minorHAnsi" w:hAnsiTheme="minorHAnsi" w:cs="Arial"/>
          <w:sz w:val="24"/>
          <w:szCs w:val="24"/>
        </w:rPr>
        <w:t xml:space="preserve">low </w:t>
      </w:r>
      <w:r>
        <w:rPr>
          <w:rFonts w:asciiTheme="minorHAnsi" w:hAnsiTheme="minorHAnsi" w:cs="Arial"/>
          <w:sz w:val="24"/>
          <w:szCs w:val="24"/>
        </w:rPr>
        <w:t xml:space="preserve">prior attainment plus 50% of the </w:t>
      </w:r>
      <w:r w:rsidR="000E7826" w:rsidRPr="00671B16">
        <w:rPr>
          <w:rFonts w:asciiTheme="minorHAnsi" w:hAnsiTheme="minorHAnsi" w:cs="Arial"/>
          <w:sz w:val="24"/>
          <w:szCs w:val="24"/>
        </w:rPr>
        <w:t>deprivation</w:t>
      </w:r>
      <w:r>
        <w:rPr>
          <w:rFonts w:asciiTheme="minorHAnsi" w:hAnsiTheme="minorHAnsi" w:cs="Arial"/>
          <w:sz w:val="24"/>
          <w:szCs w:val="24"/>
        </w:rPr>
        <w:t xml:space="preserve"> funding factors.</w:t>
      </w:r>
    </w:p>
    <w:p w14:paraId="2C394EEE" w14:textId="77777777" w:rsidR="00671B16" w:rsidRDefault="00671B16" w:rsidP="00671B16">
      <w:pPr>
        <w:pStyle w:val="ListParagraph"/>
        <w:keepNext/>
        <w:contextualSpacing/>
        <w:outlineLvl w:val="2"/>
        <w:rPr>
          <w:rFonts w:asciiTheme="minorHAnsi" w:hAnsiTheme="minorHAnsi" w:cs="Arial"/>
          <w:sz w:val="24"/>
          <w:szCs w:val="24"/>
        </w:rPr>
      </w:pPr>
    </w:p>
    <w:p w14:paraId="1DA4C054" w14:textId="0E1AD995" w:rsidR="002B7900" w:rsidRDefault="000E7826" w:rsidP="00CB6AAD">
      <w:pPr>
        <w:pStyle w:val="ListParagraph"/>
        <w:keepNext/>
        <w:numPr>
          <w:ilvl w:val="1"/>
          <w:numId w:val="4"/>
        </w:numPr>
        <w:contextualSpacing/>
        <w:outlineLvl w:val="2"/>
        <w:rPr>
          <w:rFonts w:asciiTheme="minorHAnsi" w:hAnsiTheme="minorHAnsi" w:cs="Arial"/>
          <w:sz w:val="24"/>
          <w:szCs w:val="24"/>
        </w:rPr>
      </w:pPr>
      <w:r w:rsidRPr="000E7826">
        <w:rPr>
          <w:rFonts w:asciiTheme="minorHAnsi" w:hAnsiTheme="minorHAnsi" w:cs="Arial"/>
          <w:sz w:val="24"/>
          <w:szCs w:val="24"/>
        </w:rPr>
        <w:t xml:space="preserve">Mainstream schools are expected to use their notional SEN funding to meet the first £6,000 of additional support for every additional </w:t>
      </w:r>
      <w:proofErr w:type="gramStart"/>
      <w:r w:rsidRPr="000E7826">
        <w:rPr>
          <w:rFonts w:asciiTheme="minorHAnsi" w:hAnsiTheme="minorHAnsi" w:cs="Arial"/>
          <w:sz w:val="24"/>
          <w:szCs w:val="24"/>
        </w:rPr>
        <w:t>needs</w:t>
      </w:r>
      <w:proofErr w:type="gramEnd"/>
      <w:r w:rsidRPr="000E7826">
        <w:rPr>
          <w:rFonts w:asciiTheme="minorHAnsi" w:hAnsiTheme="minorHAnsi" w:cs="Arial"/>
          <w:sz w:val="24"/>
          <w:szCs w:val="24"/>
        </w:rPr>
        <w:t xml:space="preserve"> pupil</w:t>
      </w:r>
      <w:r w:rsidR="002B7900">
        <w:rPr>
          <w:rFonts w:asciiTheme="minorHAnsi" w:hAnsiTheme="minorHAnsi" w:cs="Arial"/>
          <w:sz w:val="24"/>
          <w:szCs w:val="24"/>
        </w:rPr>
        <w:t xml:space="preserve"> as well as funding SEN school support. The cost of a school SENCO should not form part of the notional SEN budget.</w:t>
      </w:r>
    </w:p>
    <w:p w14:paraId="54731DEC" w14:textId="77777777" w:rsidR="002B7900" w:rsidRPr="002B7900" w:rsidRDefault="002B7900" w:rsidP="002B7900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028B2EA6" w14:textId="356BCA71" w:rsidR="00E719C0" w:rsidRDefault="0068047D" w:rsidP="00CB6AAD">
      <w:pPr>
        <w:pStyle w:val="DfESOutNumbered"/>
        <w:numPr>
          <w:ilvl w:val="0"/>
          <w:numId w:val="5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Notional SEN </w:t>
      </w:r>
      <w:r w:rsidR="00E719C0" w:rsidRPr="00C57F37">
        <w:rPr>
          <w:rFonts w:asciiTheme="minorHAnsi" w:hAnsiTheme="minorHAnsi" w:cs="Arial"/>
          <w:b/>
          <w:szCs w:val="24"/>
        </w:rPr>
        <w:t>Allocation</w:t>
      </w:r>
    </w:p>
    <w:p w14:paraId="42903498" w14:textId="77777777" w:rsidR="006F6019" w:rsidRPr="00C57F37" w:rsidRDefault="006F6019" w:rsidP="006F6019">
      <w:pPr>
        <w:pStyle w:val="DfESOutNumbered"/>
        <w:numPr>
          <w:ilvl w:val="0"/>
          <w:numId w:val="0"/>
        </w:numPr>
        <w:spacing w:after="0"/>
        <w:ind w:left="567"/>
        <w:rPr>
          <w:rFonts w:asciiTheme="minorHAnsi" w:hAnsiTheme="minorHAnsi" w:cs="Arial"/>
          <w:b/>
          <w:szCs w:val="24"/>
        </w:rPr>
      </w:pPr>
    </w:p>
    <w:p w14:paraId="1EA6A669" w14:textId="1AF7A0CD" w:rsidR="00E719C0" w:rsidRDefault="00E719C0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  <w:r w:rsidRPr="00C57F37">
        <w:rPr>
          <w:rFonts w:asciiTheme="minorHAnsi" w:hAnsiTheme="minorHAnsi" w:cs="Arial"/>
          <w:sz w:val="24"/>
          <w:szCs w:val="24"/>
        </w:rPr>
        <w:t>2.1</w:t>
      </w:r>
      <w:r w:rsidRPr="00C57F37">
        <w:rPr>
          <w:rFonts w:asciiTheme="minorHAnsi" w:hAnsiTheme="minorHAnsi" w:cs="Arial"/>
          <w:sz w:val="24"/>
          <w:szCs w:val="24"/>
        </w:rPr>
        <w:tab/>
      </w:r>
      <w:r w:rsidR="00173E8B">
        <w:rPr>
          <w:rFonts w:asciiTheme="minorHAnsi" w:hAnsiTheme="minorHAnsi" w:cs="Arial"/>
          <w:sz w:val="24"/>
          <w:szCs w:val="24"/>
        </w:rPr>
        <w:t xml:space="preserve">Medway’s notional SEN budget is calculated as 100% of a </w:t>
      </w:r>
      <w:proofErr w:type="gramStart"/>
      <w:r w:rsidR="00173E8B">
        <w:rPr>
          <w:rFonts w:asciiTheme="minorHAnsi" w:hAnsiTheme="minorHAnsi" w:cs="Arial"/>
          <w:sz w:val="24"/>
          <w:szCs w:val="24"/>
        </w:rPr>
        <w:t>schools</w:t>
      </w:r>
      <w:proofErr w:type="gramEnd"/>
      <w:r w:rsidR="00173E8B">
        <w:rPr>
          <w:rFonts w:asciiTheme="minorHAnsi" w:hAnsiTheme="minorHAnsi" w:cs="Arial"/>
          <w:sz w:val="24"/>
          <w:szCs w:val="24"/>
        </w:rPr>
        <w:t xml:space="preserve"> </w:t>
      </w:r>
      <w:r w:rsidR="00F03F55">
        <w:rPr>
          <w:rFonts w:asciiTheme="minorHAnsi" w:hAnsiTheme="minorHAnsi" w:cs="Arial"/>
          <w:sz w:val="24"/>
          <w:szCs w:val="24"/>
        </w:rPr>
        <w:t xml:space="preserve">low </w:t>
      </w:r>
      <w:r w:rsidR="00173E8B">
        <w:rPr>
          <w:rFonts w:asciiTheme="minorHAnsi" w:hAnsiTheme="minorHAnsi" w:cs="Arial"/>
          <w:sz w:val="24"/>
          <w:szCs w:val="24"/>
        </w:rPr>
        <w:t>prior attainment funding plus 50% of deprivation funding</w:t>
      </w:r>
      <w:r w:rsidR="00443F72">
        <w:rPr>
          <w:rFonts w:asciiTheme="minorHAnsi" w:hAnsiTheme="minorHAnsi" w:cs="Arial"/>
          <w:sz w:val="24"/>
          <w:szCs w:val="24"/>
        </w:rPr>
        <w:t>. T</w:t>
      </w:r>
      <w:r w:rsidR="00173E8B">
        <w:rPr>
          <w:rFonts w:asciiTheme="minorHAnsi" w:hAnsiTheme="minorHAnsi" w:cs="Arial"/>
          <w:sz w:val="24"/>
          <w:szCs w:val="24"/>
        </w:rPr>
        <w:t xml:space="preserve">his </w:t>
      </w:r>
      <w:r w:rsidR="00443F72">
        <w:rPr>
          <w:rFonts w:asciiTheme="minorHAnsi" w:hAnsiTheme="minorHAnsi" w:cs="Arial"/>
          <w:sz w:val="24"/>
          <w:szCs w:val="24"/>
        </w:rPr>
        <w:t>methodology</w:t>
      </w:r>
      <w:r w:rsidR="00173E8B">
        <w:rPr>
          <w:rFonts w:asciiTheme="minorHAnsi" w:hAnsiTheme="minorHAnsi" w:cs="Arial"/>
          <w:sz w:val="24"/>
          <w:szCs w:val="24"/>
        </w:rPr>
        <w:t xml:space="preserve"> was last reviewed in 2015 when the schools opted to keep the same</w:t>
      </w:r>
      <w:r w:rsidR="00443F72">
        <w:rPr>
          <w:rFonts w:asciiTheme="minorHAnsi" w:hAnsiTheme="minorHAnsi" w:cs="Arial"/>
          <w:sz w:val="24"/>
          <w:szCs w:val="24"/>
        </w:rPr>
        <w:t xml:space="preserve"> calculation</w:t>
      </w:r>
      <w:r w:rsidR="007952D1">
        <w:rPr>
          <w:rFonts w:asciiTheme="minorHAnsi" w:hAnsiTheme="minorHAnsi" w:cs="Arial"/>
          <w:sz w:val="24"/>
          <w:szCs w:val="24"/>
        </w:rPr>
        <w:t xml:space="preserve"> </w:t>
      </w:r>
      <w:r w:rsidR="00443F72">
        <w:rPr>
          <w:rFonts w:asciiTheme="minorHAnsi" w:hAnsiTheme="minorHAnsi" w:cs="Arial"/>
          <w:sz w:val="24"/>
          <w:szCs w:val="24"/>
        </w:rPr>
        <w:t>when the national funding formula was introduced.</w:t>
      </w:r>
    </w:p>
    <w:p w14:paraId="7E233FBE" w14:textId="29514A2B" w:rsidR="00443F72" w:rsidRDefault="00443F72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2E972E10" w14:textId="3473EF11" w:rsidR="00443F72" w:rsidRDefault="00443F72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2.2</w:t>
      </w:r>
      <w:r>
        <w:rPr>
          <w:rFonts w:asciiTheme="minorHAnsi" w:hAnsiTheme="minorHAnsi" w:cs="Arial"/>
          <w:sz w:val="24"/>
          <w:szCs w:val="24"/>
        </w:rPr>
        <w:tab/>
        <w:t>Medway’s notional SEN budget in 2016-2017 was £</w:t>
      </w:r>
      <w:r w:rsidRPr="00443F72">
        <w:rPr>
          <w:rFonts w:asciiTheme="minorHAnsi" w:hAnsiTheme="minorHAnsi" w:cs="Arial"/>
          <w:sz w:val="24"/>
          <w:szCs w:val="24"/>
        </w:rPr>
        <w:t>15,679,631</w:t>
      </w:r>
      <w:r w:rsidR="00306A20">
        <w:rPr>
          <w:rFonts w:asciiTheme="minorHAnsi" w:hAnsiTheme="minorHAnsi" w:cs="Arial"/>
          <w:sz w:val="24"/>
          <w:szCs w:val="24"/>
        </w:rPr>
        <w:t xml:space="preserve"> or </w:t>
      </w:r>
      <w:r>
        <w:rPr>
          <w:rFonts w:asciiTheme="minorHAnsi" w:hAnsiTheme="minorHAnsi" w:cs="Arial"/>
          <w:sz w:val="24"/>
          <w:szCs w:val="24"/>
        </w:rPr>
        <w:t xml:space="preserve">9.7% of the </w:t>
      </w:r>
      <w:r w:rsidR="00F03F55">
        <w:rPr>
          <w:rFonts w:asciiTheme="minorHAnsi" w:hAnsiTheme="minorHAnsi" w:cs="Arial"/>
          <w:sz w:val="24"/>
          <w:szCs w:val="24"/>
        </w:rPr>
        <w:t xml:space="preserve">total </w:t>
      </w:r>
      <w:proofErr w:type="gramStart"/>
      <w:r>
        <w:rPr>
          <w:rFonts w:asciiTheme="minorHAnsi" w:hAnsiTheme="minorHAnsi" w:cs="Arial"/>
          <w:sz w:val="24"/>
          <w:szCs w:val="24"/>
        </w:rPr>
        <w:t>schools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block budget</w:t>
      </w:r>
      <w:r w:rsidR="00F03F55">
        <w:rPr>
          <w:rFonts w:asciiTheme="minorHAnsi" w:hAnsiTheme="minorHAnsi" w:cs="Arial"/>
          <w:sz w:val="24"/>
          <w:szCs w:val="24"/>
        </w:rPr>
        <w:t xml:space="preserve">, whereas </w:t>
      </w:r>
      <w:r>
        <w:rPr>
          <w:rFonts w:asciiTheme="minorHAnsi" w:hAnsiTheme="minorHAnsi" w:cs="Arial"/>
          <w:sz w:val="24"/>
          <w:szCs w:val="24"/>
        </w:rPr>
        <w:t xml:space="preserve">todays </w:t>
      </w:r>
      <w:r w:rsidRPr="00443F72">
        <w:rPr>
          <w:rFonts w:asciiTheme="minorHAnsi" w:hAnsiTheme="minorHAnsi" w:cs="Arial"/>
          <w:sz w:val="24"/>
          <w:szCs w:val="24"/>
        </w:rPr>
        <w:t>notional SEN budget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03F55">
        <w:rPr>
          <w:rFonts w:asciiTheme="minorHAnsi" w:hAnsiTheme="minorHAnsi" w:cs="Arial"/>
          <w:sz w:val="24"/>
          <w:szCs w:val="24"/>
        </w:rPr>
        <w:t>is</w:t>
      </w:r>
      <w:r w:rsidRPr="00443F7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£</w:t>
      </w:r>
      <w:r w:rsidRPr="00443F72">
        <w:rPr>
          <w:rFonts w:asciiTheme="minorHAnsi" w:hAnsiTheme="minorHAnsi" w:cs="Arial"/>
          <w:sz w:val="24"/>
          <w:szCs w:val="24"/>
        </w:rPr>
        <w:t>24,153,125</w:t>
      </w:r>
      <w:r>
        <w:rPr>
          <w:rFonts w:asciiTheme="minorHAnsi" w:hAnsiTheme="minorHAnsi" w:cs="Arial"/>
          <w:sz w:val="24"/>
          <w:szCs w:val="24"/>
        </w:rPr>
        <w:t xml:space="preserve"> or 11.1% of the schools block budget. This is a</w:t>
      </w:r>
      <w:r w:rsidR="00F03F55">
        <w:rPr>
          <w:rFonts w:asciiTheme="minorHAnsi" w:hAnsiTheme="minorHAnsi" w:cs="Arial"/>
          <w:sz w:val="24"/>
          <w:szCs w:val="24"/>
        </w:rPr>
        <w:t xml:space="preserve"> funding</w:t>
      </w:r>
      <w:r>
        <w:rPr>
          <w:rFonts w:asciiTheme="minorHAnsi" w:hAnsiTheme="minorHAnsi" w:cs="Arial"/>
          <w:sz w:val="24"/>
          <w:szCs w:val="24"/>
        </w:rPr>
        <w:t xml:space="preserve"> increase of 54% over</w:t>
      </w:r>
      <w:r w:rsidR="005348E7">
        <w:rPr>
          <w:rFonts w:asciiTheme="minorHAnsi" w:hAnsiTheme="minorHAnsi" w:cs="Arial"/>
          <w:sz w:val="24"/>
          <w:szCs w:val="24"/>
        </w:rPr>
        <w:t xml:space="preserve"> 6 years.</w:t>
      </w:r>
    </w:p>
    <w:p w14:paraId="1DD058F0" w14:textId="7F2BA0FA" w:rsidR="00DC66D6" w:rsidRDefault="00DC66D6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47CB8317" w14:textId="5CE728A4" w:rsidR="0068047D" w:rsidRDefault="0068047D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036407" w:rsidRPr="00036407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5E270613" wp14:editId="3FF7443A">
            <wp:extent cx="4584700" cy="2755900"/>
            <wp:effectExtent l="0" t="0" r="635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6B363" w14:textId="77777777" w:rsidR="0068047D" w:rsidRDefault="0068047D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5C376D88" w14:textId="6A002E2C" w:rsidR="00B52B23" w:rsidRDefault="00DC66D6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2.3</w:t>
      </w:r>
      <w:r>
        <w:rPr>
          <w:rFonts w:asciiTheme="minorHAnsi" w:hAnsiTheme="minorHAnsi" w:cs="Arial"/>
          <w:sz w:val="24"/>
          <w:szCs w:val="24"/>
        </w:rPr>
        <w:tab/>
      </w:r>
      <w:r w:rsidR="00F03F55">
        <w:rPr>
          <w:rFonts w:asciiTheme="minorHAnsi" w:hAnsiTheme="minorHAnsi" w:cs="Arial"/>
          <w:sz w:val="24"/>
          <w:szCs w:val="24"/>
        </w:rPr>
        <w:t xml:space="preserve">While there is an argument </w:t>
      </w:r>
      <w:r w:rsidR="00B52B23">
        <w:rPr>
          <w:rFonts w:asciiTheme="minorHAnsi" w:hAnsiTheme="minorHAnsi" w:cs="Arial"/>
          <w:sz w:val="24"/>
          <w:szCs w:val="24"/>
        </w:rPr>
        <w:t xml:space="preserve">for </w:t>
      </w:r>
      <w:r w:rsidR="00F03F55">
        <w:rPr>
          <w:rFonts w:asciiTheme="minorHAnsi" w:hAnsiTheme="minorHAnsi" w:cs="Arial"/>
          <w:sz w:val="24"/>
          <w:szCs w:val="24"/>
        </w:rPr>
        <w:t xml:space="preserve">the increase in funding </w:t>
      </w:r>
      <w:r w:rsidR="00B52B23">
        <w:rPr>
          <w:rFonts w:asciiTheme="minorHAnsi" w:hAnsiTheme="minorHAnsi" w:cs="Arial"/>
          <w:sz w:val="24"/>
          <w:szCs w:val="24"/>
        </w:rPr>
        <w:t>b</w:t>
      </w:r>
      <w:r w:rsidR="003402B3">
        <w:rPr>
          <w:rFonts w:asciiTheme="minorHAnsi" w:hAnsiTheme="minorHAnsi" w:cs="Arial"/>
          <w:sz w:val="24"/>
          <w:szCs w:val="24"/>
        </w:rPr>
        <w:t>e</w:t>
      </w:r>
      <w:r w:rsidR="00B52B23">
        <w:rPr>
          <w:rFonts w:asciiTheme="minorHAnsi" w:hAnsiTheme="minorHAnsi" w:cs="Arial"/>
          <w:sz w:val="24"/>
          <w:szCs w:val="24"/>
        </w:rPr>
        <w:t xml:space="preserve">ing related to </w:t>
      </w:r>
      <w:r w:rsidR="00F03F55">
        <w:rPr>
          <w:rFonts w:asciiTheme="minorHAnsi" w:hAnsiTheme="minorHAnsi" w:cs="Arial"/>
          <w:sz w:val="24"/>
          <w:szCs w:val="24"/>
        </w:rPr>
        <w:t>the increased pupil numbers, a</w:t>
      </w:r>
      <w:r w:rsidR="0068047D">
        <w:rPr>
          <w:rFonts w:asciiTheme="minorHAnsi" w:hAnsiTheme="minorHAnsi" w:cs="Arial"/>
          <w:sz w:val="24"/>
          <w:szCs w:val="24"/>
        </w:rPr>
        <w:t xml:space="preserve"> more in-depth analysis </w:t>
      </w:r>
      <w:r w:rsidR="00F03F55">
        <w:rPr>
          <w:rFonts w:asciiTheme="minorHAnsi" w:hAnsiTheme="minorHAnsi" w:cs="Arial"/>
          <w:sz w:val="24"/>
          <w:szCs w:val="24"/>
        </w:rPr>
        <w:t xml:space="preserve">of the funding </w:t>
      </w:r>
      <w:r w:rsidR="008F7CF0">
        <w:rPr>
          <w:rFonts w:asciiTheme="minorHAnsi" w:hAnsiTheme="minorHAnsi" w:cs="Arial"/>
          <w:sz w:val="24"/>
          <w:szCs w:val="24"/>
        </w:rPr>
        <w:t xml:space="preserve">shows </w:t>
      </w:r>
      <w:r w:rsidR="0049627F">
        <w:rPr>
          <w:rFonts w:asciiTheme="minorHAnsi" w:hAnsiTheme="minorHAnsi" w:cs="Arial"/>
          <w:sz w:val="24"/>
          <w:szCs w:val="24"/>
        </w:rPr>
        <w:t xml:space="preserve">the increase in funding </w:t>
      </w:r>
      <w:r w:rsidR="00B52B23">
        <w:rPr>
          <w:rFonts w:asciiTheme="minorHAnsi" w:hAnsiTheme="minorHAnsi" w:cs="Arial"/>
          <w:sz w:val="24"/>
          <w:szCs w:val="24"/>
        </w:rPr>
        <w:t>is being driven t</w:t>
      </w:r>
      <w:r w:rsidR="0049627F">
        <w:rPr>
          <w:rFonts w:asciiTheme="minorHAnsi" w:hAnsiTheme="minorHAnsi" w:cs="Arial"/>
          <w:sz w:val="24"/>
          <w:szCs w:val="24"/>
        </w:rPr>
        <w:t>hrough the deprivation funding factor</w:t>
      </w:r>
      <w:r w:rsidR="00B52B23">
        <w:rPr>
          <w:rFonts w:asciiTheme="minorHAnsi" w:hAnsiTheme="minorHAnsi" w:cs="Arial"/>
          <w:sz w:val="24"/>
          <w:szCs w:val="24"/>
        </w:rPr>
        <w:t>.</w:t>
      </w:r>
      <w:r w:rsidR="0049627F">
        <w:rPr>
          <w:rFonts w:asciiTheme="minorHAnsi" w:hAnsiTheme="minorHAnsi" w:cs="Arial"/>
          <w:sz w:val="24"/>
          <w:szCs w:val="24"/>
        </w:rPr>
        <w:t xml:space="preserve"> </w:t>
      </w:r>
    </w:p>
    <w:p w14:paraId="0F99D081" w14:textId="77777777" w:rsidR="00B52B23" w:rsidRDefault="00B52B23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1B3A9047" w14:textId="4DA2C527" w:rsidR="00DC66D6" w:rsidRDefault="00B52B23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2.4</w:t>
      </w:r>
      <w:r>
        <w:rPr>
          <w:rFonts w:asciiTheme="minorHAnsi" w:hAnsiTheme="minorHAnsi" w:cs="Arial"/>
          <w:sz w:val="24"/>
          <w:szCs w:val="24"/>
        </w:rPr>
        <w:tab/>
      </w:r>
      <w:r w:rsidR="0049627F">
        <w:rPr>
          <w:rFonts w:asciiTheme="minorHAnsi" w:hAnsiTheme="minorHAnsi" w:cs="Arial"/>
          <w:sz w:val="24"/>
          <w:szCs w:val="24"/>
        </w:rPr>
        <w:t>Th</w:t>
      </w:r>
      <w:r>
        <w:rPr>
          <w:rFonts w:asciiTheme="minorHAnsi" w:hAnsiTheme="minorHAnsi" w:cs="Arial"/>
          <w:sz w:val="24"/>
          <w:szCs w:val="24"/>
        </w:rPr>
        <w:t>e deprivation</w:t>
      </w:r>
      <w:r w:rsidR="0049627F">
        <w:rPr>
          <w:rFonts w:asciiTheme="minorHAnsi" w:hAnsiTheme="minorHAnsi" w:cs="Arial"/>
          <w:sz w:val="24"/>
          <w:szCs w:val="24"/>
        </w:rPr>
        <w:t xml:space="preserve"> factor has seen a 24% increase in funding over the last three years compared to the 2% increase on the low prior attainment factor</w:t>
      </w:r>
      <w:r>
        <w:rPr>
          <w:rFonts w:asciiTheme="minorHAnsi" w:hAnsiTheme="minorHAnsi" w:cs="Arial"/>
          <w:sz w:val="24"/>
          <w:szCs w:val="24"/>
        </w:rPr>
        <w:t>, with</w:t>
      </w:r>
      <w:r w:rsidR="0049627F">
        <w:rPr>
          <w:rFonts w:asciiTheme="minorHAnsi" w:hAnsiTheme="minorHAnsi" w:cs="Arial"/>
          <w:sz w:val="24"/>
          <w:szCs w:val="24"/>
        </w:rPr>
        <w:t xml:space="preserve"> 50% of </w:t>
      </w:r>
      <w:r>
        <w:rPr>
          <w:rFonts w:asciiTheme="minorHAnsi" w:hAnsiTheme="minorHAnsi" w:cs="Arial"/>
          <w:sz w:val="24"/>
          <w:szCs w:val="24"/>
        </w:rPr>
        <w:t xml:space="preserve">said funding </w:t>
      </w:r>
      <w:r w:rsidR="0049627F">
        <w:rPr>
          <w:rFonts w:asciiTheme="minorHAnsi" w:hAnsiTheme="minorHAnsi" w:cs="Arial"/>
          <w:sz w:val="24"/>
          <w:szCs w:val="24"/>
        </w:rPr>
        <w:t xml:space="preserve">being taken into the notional SEN allocation. </w:t>
      </w:r>
    </w:p>
    <w:p w14:paraId="4F48CD1C" w14:textId="7BB8F8B1" w:rsidR="0068047D" w:rsidRDefault="0068047D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02299823" w14:textId="79D69D09" w:rsidR="00E806C6" w:rsidRDefault="00162341" w:rsidP="00F71FEB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3C48B8A5" wp14:editId="6B192001">
            <wp:extent cx="4584700" cy="2755900"/>
            <wp:effectExtent l="0" t="0" r="6350" b="6350"/>
            <wp:docPr id="2" name="Picture 2" descr="graph showing the funding factors increases in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 showing the funding factors increases in fun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EC31" w14:textId="6C2C4680" w:rsidR="00E806C6" w:rsidRDefault="00E806C6" w:rsidP="003F4C4B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7DE3AA6C" w14:textId="787246AD" w:rsidR="006172F5" w:rsidRPr="006172F5" w:rsidRDefault="006172F5" w:rsidP="006172F5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2.5</w:t>
      </w:r>
      <w:r>
        <w:rPr>
          <w:rFonts w:asciiTheme="minorHAnsi" w:hAnsiTheme="minorHAnsi" w:cs="Arial"/>
          <w:sz w:val="24"/>
          <w:szCs w:val="24"/>
        </w:rPr>
        <w:tab/>
        <w:t>Medway’s funding above notional SEN policy (see appendix 1)</w:t>
      </w:r>
      <w:r w:rsidRPr="006172F5">
        <w:t xml:space="preserve"> </w:t>
      </w:r>
      <w:r>
        <w:rPr>
          <w:rFonts w:asciiTheme="minorHAnsi" w:hAnsiTheme="minorHAnsi" w:cs="Arial"/>
          <w:sz w:val="24"/>
          <w:szCs w:val="24"/>
        </w:rPr>
        <w:t>outlines the criteria schools must me</w:t>
      </w:r>
      <w:r w:rsidR="008F33AC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t to qualify for additional funding support. They </w:t>
      </w:r>
      <w:proofErr w:type="gramStart"/>
      <w:r>
        <w:rPr>
          <w:rFonts w:asciiTheme="minorHAnsi" w:hAnsiTheme="minorHAnsi" w:cs="Arial"/>
          <w:sz w:val="24"/>
          <w:szCs w:val="24"/>
        </w:rPr>
        <w:t>are;</w:t>
      </w:r>
      <w:proofErr w:type="gramEnd"/>
    </w:p>
    <w:p w14:paraId="220DE48D" w14:textId="29BE240F" w:rsidR="006172F5" w:rsidRPr="006172F5" w:rsidRDefault="006172F5" w:rsidP="006172F5">
      <w:pPr>
        <w:ind w:left="1134" w:hanging="283"/>
        <w:rPr>
          <w:rFonts w:asciiTheme="minorHAnsi" w:hAnsiTheme="minorHAnsi" w:cs="Arial"/>
          <w:sz w:val="24"/>
          <w:szCs w:val="24"/>
        </w:rPr>
      </w:pPr>
      <w:r w:rsidRPr="006172F5">
        <w:rPr>
          <w:rFonts w:asciiTheme="minorHAnsi" w:hAnsiTheme="minorHAnsi" w:cs="Arial"/>
          <w:sz w:val="24"/>
          <w:szCs w:val="24"/>
        </w:rPr>
        <w:t>•</w:t>
      </w:r>
      <w:r w:rsidRPr="006172F5">
        <w:rPr>
          <w:rFonts w:asciiTheme="minorHAnsi" w:hAnsiTheme="minorHAnsi" w:cs="Arial"/>
          <w:sz w:val="24"/>
          <w:szCs w:val="24"/>
        </w:rPr>
        <w:tab/>
        <w:t xml:space="preserve">A school’s </w:t>
      </w:r>
      <w:r w:rsidR="00672C4F">
        <w:rPr>
          <w:rFonts w:asciiTheme="minorHAnsi" w:hAnsiTheme="minorHAnsi" w:cs="Arial"/>
          <w:sz w:val="24"/>
          <w:szCs w:val="24"/>
        </w:rPr>
        <w:t>n</w:t>
      </w:r>
      <w:r w:rsidRPr="006172F5">
        <w:rPr>
          <w:rFonts w:asciiTheme="minorHAnsi" w:hAnsiTheme="minorHAnsi" w:cs="Arial"/>
          <w:sz w:val="24"/>
          <w:szCs w:val="24"/>
        </w:rPr>
        <w:t xml:space="preserve">otional SEN </w:t>
      </w:r>
      <w:r w:rsidR="00672C4F">
        <w:rPr>
          <w:rFonts w:asciiTheme="minorHAnsi" w:hAnsiTheme="minorHAnsi" w:cs="Arial"/>
          <w:sz w:val="24"/>
          <w:szCs w:val="24"/>
        </w:rPr>
        <w:t>b</w:t>
      </w:r>
      <w:r w:rsidRPr="006172F5">
        <w:rPr>
          <w:rFonts w:asciiTheme="minorHAnsi" w:hAnsiTheme="minorHAnsi" w:cs="Arial"/>
          <w:sz w:val="24"/>
          <w:szCs w:val="24"/>
        </w:rPr>
        <w:t xml:space="preserve">udget must be sufficient to meet the first £6,000 of the cost of additional support for each high </w:t>
      </w:r>
      <w:proofErr w:type="gramStart"/>
      <w:r w:rsidRPr="006172F5">
        <w:rPr>
          <w:rFonts w:asciiTheme="minorHAnsi" w:hAnsiTheme="minorHAnsi" w:cs="Arial"/>
          <w:sz w:val="24"/>
          <w:szCs w:val="24"/>
        </w:rPr>
        <w:t>needs</w:t>
      </w:r>
      <w:proofErr w:type="gramEnd"/>
      <w:r w:rsidRPr="006172F5">
        <w:rPr>
          <w:rFonts w:asciiTheme="minorHAnsi" w:hAnsiTheme="minorHAnsi" w:cs="Arial"/>
          <w:sz w:val="24"/>
          <w:szCs w:val="24"/>
        </w:rPr>
        <w:t xml:space="preserve"> pupil on roll</w:t>
      </w:r>
      <w:r w:rsidR="00966385">
        <w:rPr>
          <w:rFonts w:asciiTheme="minorHAnsi" w:hAnsiTheme="minorHAnsi" w:cs="Arial"/>
          <w:sz w:val="24"/>
          <w:szCs w:val="24"/>
        </w:rPr>
        <w:t>.</w:t>
      </w:r>
    </w:p>
    <w:p w14:paraId="79999FD9" w14:textId="09BC7F3A" w:rsidR="006172F5" w:rsidRDefault="006172F5" w:rsidP="006172F5">
      <w:pPr>
        <w:ind w:left="1134" w:hanging="283"/>
        <w:rPr>
          <w:rFonts w:asciiTheme="minorHAnsi" w:hAnsiTheme="minorHAnsi" w:cs="Arial"/>
          <w:sz w:val="24"/>
          <w:szCs w:val="24"/>
        </w:rPr>
      </w:pPr>
      <w:r w:rsidRPr="006172F5">
        <w:rPr>
          <w:rFonts w:asciiTheme="minorHAnsi" w:hAnsiTheme="minorHAnsi" w:cs="Arial"/>
          <w:sz w:val="24"/>
          <w:szCs w:val="24"/>
        </w:rPr>
        <w:t>•</w:t>
      </w:r>
      <w:r w:rsidRPr="006172F5">
        <w:rPr>
          <w:rFonts w:asciiTheme="minorHAnsi" w:hAnsiTheme="minorHAnsi" w:cs="Arial"/>
          <w:sz w:val="24"/>
          <w:szCs w:val="24"/>
        </w:rPr>
        <w:tab/>
        <w:t xml:space="preserve">For schools up to and including 150 pupils, the </w:t>
      </w:r>
      <w:r w:rsidR="00672C4F">
        <w:rPr>
          <w:rFonts w:asciiTheme="minorHAnsi" w:hAnsiTheme="minorHAnsi" w:cs="Arial"/>
          <w:sz w:val="24"/>
          <w:szCs w:val="24"/>
        </w:rPr>
        <w:t>n</w:t>
      </w:r>
      <w:r w:rsidRPr="006172F5">
        <w:rPr>
          <w:rFonts w:asciiTheme="minorHAnsi" w:hAnsiTheme="minorHAnsi" w:cs="Arial"/>
          <w:sz w:val="24"/>
          <w:szCs w:val="24"/>
        </w:rPr>
        <w:t xml:space="preserve">otional SEN </w:t>
      </w:r>
      <w:r w:rsidR="00672C4F">
        <w:rPr>
          <w:rFonts w:asciiTheme="minorHAnsi" w:hAnsiTheme="minorHAnsi" w:cs="Arial"/>
          <w:sz w:val="24"/>
          <w:szCs w:val="24"/>
        </w:rPr>
        <w:t>b</w:t>
      </w:r>
      <w:r w:rsidRPr="006172F5">
        <w:rPr>
          <w:rFonts w:asciiTheme="minorHAnsi" w:hAnsiTheme="minorHAnsi" w:cs="Arial"/>
          <w:sz w:val="24"/>
          <w:szCs w:val="24"/>
        </w:rPr>
        <w:t>udget must also be sufficient to cover £6,000 for every 1:50 pupils.</w:t>
      </w:r>
    </w:p>
    <w:p w14:paraId="262EE303" w14:textId="0F4442AC" w:rsidR="00966385" w:rsidRDefault="00966385" w:rsidP="00966385">
      <w:pPr>
        <w:ind w:left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With such high levels of funding now being included within the notional SEN funding, </w:t>
      </w:r>
      <w:proofErr w:type="gramStart"/>
      <w:r>
        <w:rPr>
          <w:rFonts w:asciiTheme="minorHAnsi" w:hAnsiTheme="minorHAnsi" w:cs="Arial"/>
          <w:sz w:val="24"/>
          <w:szCs w:val="24"/>
        </w:rPr>
        <w:t>it’s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306A20">
        <w:rPr>
          <w:rFonts w:asciiTheme="minorHAnsi" w:hAnsiTheme="minorHAnsi" w:cs="Arial"/>
          <w:sz w:val="24"/>
          <w:szCs w:val="24"/>
        </w:rPr>
        <w:t>unlikely that</w:t>
      </w:r>
      <w:r>
        <w:rPr>
          <w:rFonts w:asciiTheme="minorHAnsi" w:hAnsiTheme="minorHAnsi" w:cs="Arial"/>
          <w:sz w:val="24"/>
          <w:szCs w:val="24"/>
        </w:rPr>
        <w:t xml:space="preserve"> schools meet the above criteria to qualify for additional funding.</w:t>
      </w:r>
    </w:p>
    <w:p w14:paraId="2777EAAD" w14:textId="3E72B7FA" w:rsidR="00966385" w:rsidRDefault="00966385" w:rsidP="00966385">
      <w:pPr>
        <w:rPr>
          <w:rFonts w:asciiTheme="minorHAnsi" w:hAnsiTheme="minorHAnsi" w:cs="Arial"/>
          <w:sz w:val="24"/>
          <w:szCs w:val="24"/>
        </w:rPr>
      </w:pPr>
    </w:p>
    <w:p w14:paraId="5208D673" w14:textId="48ADF9AD" w:rsidR="00966385" w:rsidRDefault="00966385" w:rsidP="00966385">
      <w:p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2.6</w:t>
      </w:r>
      <w:r>
        <w:rPr>
          <w:rFonts w:asciiTheme="minorHAnsi" w:hAnsiTheme="minorHAnsi" w:cs="Arial"/>
          <w:sz w:val="24"/>
          <w:szCs w:val="24"/>
        </w:rPr>
        <w:tab/>
      </w:r>
      <w:r w:rsidR="00F71FEB">
        <w:rPr>
          <w:rFonts w:asciiTheme="minorHAnsi" w:hAnsiTheme="minorHAnsi" w:cs="Arial"/>
          <w:sz w:val="24"/>
          <w:szCs w:val="24"/>
        </w:rPr>
        <w:t xml:space="preserve">Medway have looked at other local </w:t>
      </w:r>
      <w:r w:rsidR="007344ED">
        <w:rPr>
          <w:rFonts w:asciiTheme="minorHAnsi" w:hAnsiTheme="minorHAnsi" w:cs="Arial"/>
          <w:sz w:val="24"/>
          <w:szCs w:val="24"/>
        </w:rPr>
        <w:t>authorities</w:t>
      </w:r>
      <w:r w:rsidR="00F71FEB">
        <w:rPr>
          <w:rFonts w:asciiTheme="minorHAnsi" w:hAnsiTheme="minorHAnsi" w:cs="Arial"/>
          <w:sz w:val="24"/>
          <w:szCs w:val="24"/>
        </w:rPr>
        <w:t xml:space="preserve"> notional</w:t>
      </w:r>
      <w:r w:rsidR="007344ED">
        <w:rPr>
          <w:rFonts w:asciiTheme="minorHAnsi" w:hAnsiTheme="minorHAnsi" w:cs="Arial"/>
          <w:sz w:val="24"/>
          <w:szCs w:val="24"/>
        </w:rPr>
        <w:t xml:space="preserve"> SEN</w:t>
      </w:r>
      <w:r w:rsidR="00F71FEB">
        <w:rPr>
          <w:rFonts w:asciiTheme="minorHAnsi" w:hAnsiTheme="minorHAnsi" w:cs="Arial"/>
          <w:sz w:val="24"/>
          <w:szCs w:val="24"/>
        </w:rPr>
        <w:t xml:space="preserve"> funding calculations and while Medway’s formula is </w:t>
      </w:r>
      <w:r w:rsidR="008F33AC">
        <w:rPr>
          <w:rFonts w:asciiTheme="minorHAnsi" w:hAnsiTheme="minorHAnsi" w:cs="Arial"/>
          <w:sz w:val="24"/>
          <w:szCs w:val="24"/>
        </w:rPr>
        <w:t>broadly</w:t>
      </w:r>
      <w:r w:rsidR="00F71FEB">
        <w:rPr>
          <w:rFonts w:asciiTheme="minorHAnsi" w:hAnsiTheme="minorHAnsi" w:cs="Arial"/>
          <w:sz w:val="24"/>
          <w:szCs w:val="24"/>
        </w:rPr>
        <w:t xml:space="preserve"> </w:t>
      </w:r>
      <w:r w:rsidR="007344ED">
        <w:rPr>
          <w:rFonts w:asciiTheme="minorHAnsi" w:hAnsiTheme="minorHAnsi" w:cs="Arial"/>
          <w:sz w:val="24"/>
          <w:szCs w:val="24"/>
        </w:rPr>
        <w:t>in line</w:t>
      </w:r>
      <w:r w:rsidR="00F71FEB">
        <w:rPr>
          <w:rFonts w:asciiTheme="minorHAnsi" w:hAnsiTheme="minorHAnsi" w:cs="Arial"/>
          <w:sz w:val="24"/>
          <w:szCs w:val="24"/>
        </w:rPr>
        <w:t xml:space="preserve"> with</w:t>
      </w:r>
      <w:r w:rsidR="007344ED">
        <w:rPr>
          <w:rFonts w:asciiTheme="minorHAnsi" w:hAnsiTheme="minorHAnsi" w:cs="Arial"/>
          <w:sz w:val="24"/>
          <w:szCs w:val="24"/>
        </w:rPr>
        <w:t xml:space="preserve"> them, what does appear to be missing is a control mechanism or any allowance for non EHCP SEN support. </w:t>
      </w:r>
    </w:p>
    <w:p w14:paraId="7935C699" w14:textId="25B1FCAB" w:rsidR="00E02019" w:rsidRDefault="00E02019" w:rsidP="0029261F">
      <w:pPr>
        <w:ind w:left="567" w:hanging="56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9F6B25E" w14:textId="77777777" w:rsidR="007952D1" w:rsidRDefault="007952D1" w:rsidP="00CB6AAD">
      <w:pPr>
        <w:numPr>
          <w:ilvl w:val="0"/>
          <w:numId w:val="6"/>
        </w:numPr>
        <w:tabs>
          <w:tab w:val="clear" w:pos="360"/>
        </w:tabs>
        <w:ind w:left="567" w:hanging="56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Next Steps</w:t>
      </w:r>
    </w:p>
    <w:p w14:paraId="052135A1" w14:textId="6A346748" w:rsidR="007952D1" w:rsidRDefault="007952D1" w:rsidP="007952D1">
      <w:pPr>
        <w:ind w:left="567"/>
        <w:rPr>
          <w:rFonts w:asciiTheme="minorHAnsi" w:hAnsiTheme="minorHAnsi" w:cs="Arial"/>
          <w:b/>
          <w:sz w:val="24"/>
          <w:szCs w:val="24"/>
        </w:rPr>
      </w:pPr>
    </w:p>
    <w:p w14:paraId="776B2A7E" w14:textId="4F95FF30" w:rsidR="007952D1" w:rsidRPr="007952D1" w:rsidRDefault="007952D1" w:rsidP="00741250">
      <w:pPr>
        <w:ind w:left="567" w:hanging="567"/>
        <w:rPr>
          <w:rFonts w:asciiTheme="minorHAnsi" w:hAnsiTheme="minorHAnsi" w:cs="Arial"/>
          <w:bCs/>
          <w:sz w:val="24"/>
          <w:szCs w:val="24"/>
        </w:rPr>
      </w:pPr>
      <w:r w:rsidRPr="00741250">
        <w:rPr>
          <w:rFonts w:asciiTheme="minorHAnsi" w:hAnsiTheme="minorHAnsi" w:cs="Arial"/>
          <w:bCs/>
          <w:sz w:val="24"/>
          <w:szCs w:val="24"/>
        </w:rPr>
        <w:t>3.1</w:t>
      </w:r>
      <w:r w:rsidRPr="00741250">
        <w:rPr>
          <w:rFonts w:asciiTheme="minorHAnsi" w:hAnsiTheme="minorHAnsi" w:cs="Arial"/>
          <w:bCs/>
          <w:sz w:val="24"/>
          <w:szCs w:val="24"/>
        </w:rPr>
        <w:tab/>
      </w:r>
      <w:r w:rsidR="00741250" w:rsidRPr="00741250">
        <w:rPr>
          <w:rFonts w:asciiTheme="minorHAnsi" w:hAnsiTheme="minorHAnsi" w:cs="Arial"/>
          <w:sz w:val="24"/>
          <w:szCs w:val="24"/>
        </w:rPr>
        <w:t xml:space="preserve">Before any changes can be made to the funding formula including the notional SEN calculation, all schools must be consulted and </w:t>
      </w:r>
      <w:r w:rsidR="00306A20">
        <w:rPr>
          <w:rFonts w:asciiTheme="minorHAnsi" w:hAnsiTheme="minorHAnsi" w:cs="Arial"/>
          <w:sz w:val="24"/>
          <w:szCs w:val="24"/>
        </w:rPr>
        <w:t xml:space="preserve">then any changes </w:t>
      </w:r>
      <w:r w:rsidR="00741250" w:rsidRPr="00741250">
        <w:rPr>
          <w:rFonts w:asciiTheme="minorHAnsi" w:hAnsiTheme="minorHAnsi" w:cs="Arial"/>
          <w:sz w:val="24"/>
          <w:szCs w:val="24"/>
        </w:rPr>
        <w:t xml:space="preserve">approved by the </w:t>
      </w:r>
      <w:proofErr w:type="gramStart"/>
      <w:r w:rsidR="00741250" w:rsidRPr="00741250">
        <w:rPr>
          <w:rFonts w:asciiTheme="minorHAnsi" w:hAnsiTheme="minorHAnsi" w:cs="Arial"/>
          <w:sz w:val="24"/>
          <w:szCs w:val="24"/>
        </w:rPr>
        <w:t>Schools</w:t>
      </w:r>
      <w:proofErr w:type="gramEnd"/>
      <w:r w:rsidR="00741250" w:rsidRPr="00741250">
        <w:rPr>
          <w:rFonts w:asciiTheme="minorHAnsi" w:hAnsiTheme="minorHAnsi" w:cs="Arial"/>
          <w:sz w:val="24"/>
          <w:szCs w:val="24"/>
        </w:rPr>
        <w:t xml:space="preserve"> Forum. </w:t>
      </w:r>
      <w:r w:rsidR="00306A20">
        <w:rPr>
          <w:rFonts w:asciiTheme="minorHAnsi" w:hAnsiTheme="minorHAnsi" w:cs="Arial"/>
          <w:sz w:val="24"/>
          <w:szCs w:val="24"/>
        </w:rPr>
        <w:t xml:space="preserve">As such, </w:t>
      </w:r>
      <w:r w:rsidR="00741250" w:rsidRPr="00741250">
        <w:rPr>
          <w:rFonts w:asciiTheme="minorHAnsi" w:hAnsiTheme="minorHAnsi" w:cs="Arial"/>
          <w:sz w:val="24"/>
          <w:szCs w:val="24"/>
        </w:rPr>
        <w:t>Medway would like to consult with schools in September/October about potentially changing the notional SEN formula and/or the funding above notional SEN policy.</w:t>
      </w:r>
    </w:p>
    <w:p w14:paraId="0B31CD4F" w14:textId="77777777" w:rsidR="007952D1" w:rsidRDefault="007952D1" w:rsidP="007952D1">
      <w:pPr>
        <w:rPr>
          <w:rFonts w:asciiTheme="minorHAnsi" w:hAnsiTheme="minorHAnsi" w:cs="Arial"/>
          <w:b/>
          <w:sz w:val="24"/>
          <w:szCs w:val="24"/>
        </w:rPr>
      </w:pPr>
    </w:p>
    <w:p w14:paraId="1F10D51F" w14:textId="68259710" w:rsidR="00BF1176" w:rsidRPr="00C57F37" w:rsidRDefault="00B740DF" w:rsidP="00CB6AAD">
      <w:pPr>
        <w:numPr>
          <w:ilvl w:val="0"/>
          <w:numId w:val="6"/>
        </w:numPr>
        <w:tabs>
          <w:tab w:val="clear" w:pos="360"/>
        </w:tabs>
        <w:ind w:left="567" w:hanging="567"/>
        <w:rPr>
          <w:rFonts w:asciiTheme="minorHAnsi" w:hAnsiTheme="minorHAnsi" w:cs="Arial"/>
          <w:b/>
          <w:sz w:val="24"/>
          <w:szCs w:val="24"/>
        </w:rPr>
      </w:pPr>
      <w:r w:rsidRPr="00E02019">
        <w:rPr>
          <w:rFonts w:asciiTheme="minorHAnsi" w:hAnsiTheme="minorHAnsi" w:cs="Arial"/>
          <w:b/>
          <w:sz w:val="24"/>
          <w:szCs w:val="24"/>
        </w:rPr>
        <w:t>Schools Forum</w:t>
      </w:r>
      <w:r w:rsidR="00305AC7" w:rsidRPr="00E02019">
        <w:rPr>
          <w:rFonts w:asciiTheme="minorHAnsi" w:hAnsiTheme="minorHAnsi" w:cs="Arial"/>
          <w:b/>
          <w:sz w:val="24"/>
          <w:szCs w:val="24"/>
        </w:rPr>
        <w:t xml:space="preserve"> Action</w:t>
      </w:r>
      <w:r w:rsidR="0039499C" w:rsidRPr="00E02019">
        <w:rPr>
          <w:rFonts w:asciiTheme="minorHAnsi" w:hAnsiTheme="minorHAnsi" w:cs="Arial"/>
          <w:b/>
          <w:sz w:val="24"/>
          <w:szCs w:val="24"/>
        </w:rPr>
        <w:t xml:space="preserve">s and </w:t>
      </w:r>
      <w:r w:rsidR="00E25F4C" w:rsidRPr="00E02019">
        <w:rPr>
          <w:rFonts w:asciiTheme="minorHAnsi" w:hAnsiTheme="minorHAnsi" w:cs="Arial"/>
          <w:b/>
          <w:sz w:val="24"/>
          <w:szCs w:val="24"/>
        </w:rPr>
        <w:t>Recommendations</w:t>
      </w:r>
    </w:p>
    <w:p w14:paraId="63CCB6BD" w14:textId="77777777" w:rsidR="00D735BD" w:rsidRPr="00C57F37" w:rsidRDefault="00D735BD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3F8B5E81" w14:textId="5DD3DFB4" w:rsidR="00D735BD" w:rsidRPr="00C57F37" w:rsidRDefault="00173E8B" w:rsidP="00CB6AAD">
      <w:pPr>
        <w:numPr>
          <w:ilvl w:val="1"/>
          <w:numId w:val="6"/>
        </w:numPr>
        <w:ind w:left="567" w:hanging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proofErr w:type="gramStart"/>
      <w:r>
        <w:rPr>
          <w:rFonts w:asciiTheme="minorHAnsi" w:hAnsiTheme="minorHAnsi" w:cs="Arial"/>
          <w:sz w:val="24"/>
          <w:szCs w:val="24"/>
        </w:rPr>
        <w:t>schools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forum are asked to </w:t>
      </w:r>
      <w:r w:rsidR="007952D1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>iscuss, Note and comment on this report.</w:t>
      </w:r>
    </w:p>
    <w:p w14:paraId="60B55FA4" w14:textId="77777777" w:rsidR="00FC4A3D" w:rsidRPr="00C57F37" w:rsidRDefault="00FC4A3D" w:rsidP="006F6019">
      <w:pPr>
        <w:ind w:left="567" w:hanging="567"/>
        <w:rPr>
          <w:rFonts w:asciiTheme="minorHAnsi" w:hAnsiTheme="minorHAnsi" w:cs="Arial"/>
          <w:sz w:val="24"/>
          <w:szCs w:val="24"/>
          <w:highlight w:val="yellow"/>
        </w:rPr>
      </w:pPr>
    </w:p>
    <w:p w14:paraId="2922FC2F" w14:textId="77777777" w:rsidR="00D94687" w:rsidRPr="00C57F37" w:rsidRDefault="00D94687" w:rsidP="006F6019">
      <w:pPr>
        <w:ind w:left="567" w:hanging="567"/>
        <w:rPr>
          <w:rFonts w:asciiTheme="minorHAnsi" w:hAnsiTheme="minorHAnsi" w:cs="Arial"/>
          <w:sz w:val="24"/>
          <w:szCs w:val="24"/>
        </w:rPr>
      </w:pPr>
    </w:p>
    <w:p w14:paraId="3E31563D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b/>
          <w:szCs w:val="24"/>
        </w:rPr>
      </w:pPr>
      <w:r w:rsidRPr="00C57F37">
        <w:rPr>
          <w:rFonts w:asciiTheme="minorHAnsi" w:hAnsiTheme="minorHAnsi" w:cs="Arial"/>
          <w:b/>
          <w:szCs w:val="24"/>
        </w:rPr>
        <w:t>Report Author:</w:t>
      </w:r>
    </w:p>
    <w:p w14:paraId="05C640B9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r w:rsidRPr="00C57F37">
        <w:rPr>
          <w:rFonts w:asciiTheme="minorHAnsi" w:hAnsiTheme="minorHAnsi" w:cs="Arial"/>
          <w:szCs w:val="24"/>
        </w:rPr>
        <w:lastRenderedPageBreak/>
        <w:t>Maria Beaney</w:t>
      </w:r>
    </w:p>
    <w:p w14:paraId="21ADB587" w14:textId="77777777" w:rsidR="00FC4A3D" w:rsidRPr="00C57F37" w:rsidRDefault="00FC4A3D" w:rsidP="006F6019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r w:rsidRPr="00C57F37">
        <w:rPr>
          <w:rFonts w:asciiTheme="minorHAnsi" w:hAnsiTheme="minorHAnsi" w:cs="Arial"/>
          <w:szCs w:val="24"/>
        </w:rPr>
        <w:t xml:space="preserve">Finance Business Partner </w:t>
      </w:r>
      <w:r w:rsidR="008908AA" w:rsidRPr="00C57F37">
        <w:rPr>
          <w:rFonts w:asciiTheme="minorHAnsi" w:hAnsiTheme="minorHAnsi" w:cs="Arial"/>
          <w:szCs w:val="24"/>
        </w:rPr>
        <w:t xml:space="preserve">– </w:t>
      </w:r>
      <w:r w:rsidRPr="00C57F37">
        <w:rPr>
          <w:rFonts w:asciiTheme="minorHAnsi" w:hAnsiTheme="minorHAnsi" w:cs="Arial"/>
          <w:szCs w:val="24"/>
        </w:rPr>
        <w:t>Education</w:t>
      </w:r>
      <w:r w:rsidR="00C57F37" w:rsidRPr="00C57F37">
        <w:rPr>
          <w:rFonts w:asciiTheme="minorHAnsi" w:hAnsiTheme="minorHAnsi" w:cs="Arial"/>
          <w:szCs w:val="24"/>
        </w:rPr>
        <w:t xml:space="preserve">, </w:t>
      </w:r>
      <w:proofErr w:type="gramStart"/>
      <w:r w:rsidR="008908AA" w:rsidRPr="00C57F37">
        <w:rPr>
          <w:rFonts w:asciiTheme="minorHAnsi" w:hAnsiTheme="minorHAnsi" w:cs="Arial"/>
          <w:szCs w:val="24"/>
        </w:rPr>
        <w:t>Schools</w:t>
      </w:r>
      <w:proofErr w:type="gramEnd"/>
      <w:r w:rsidR="00C57F37" w:rsidRPr="00C57F37">
        <w:rPr>
          <w:rFonts w:asciiTheme="minorHAnsi" w:hAnsiTheme="minorHAnsi" w:cs="Arial"/>
          <w:szCs w:val="24"/>
        </w:rPr>
        <w:t xml:space="preserve"> and children’s Services</w:t>
      </w:r>
    </w:p>
    <w:p w14:paraId="15B42461" w14:textId="6B15A0BC" w:rsidR="00FC4A3D" w:rsidRDefault="0078495F" w:rsidP="0029261F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hyperlink r:id="rId12" w:history="1">
        <w:r w:rsidR="00FC4A3D" w:rsidRPr="00C57F37">
          <w:rPr>
            <w:rStyle w:val="Hyperlink"/>
            <w:rFonts w:asciiTheme="minorHAnsi" w:hAnsiTheme="minorHAnsi" w:cs="Arial"/>
            <w:szCs w:val="24"/>
          </w:rPr>
          <w:t>maria.beaney@medway.gov.uk</w:t>
        </w:r>
      </w:hyperlink>
      <w:r w:rsidR="00FC4A3D" w:rsidRPr="00C57F37">
        <w:rPr>
          <w:rFonts w:asciiTheme="minorHAnsi" w:hAnsiTheme="minorHAnsi" w:cs="Arial"/>
          <w:szCs w:val="24"/>
        </w:rPr>
        <w:t xml:space="preserve"> </w:t>
      </w:r>
    </w:p>
    <w:p w14:paraId="37C43E0A" w14:textId="7E8CD547" w:rsidR="0068047D" w:rsidRDefault="006804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14:paraId="79D64B3C" w14:textId="7EB7E581" w:rsidR="00CB6AAD" w:rsidRPr="00CB6AAD" w:rsidRDefault="00CB6AAD" w:rsidP="00CB6AAD">
      <w:pPr>
        <w:tabs>
          <w:tab w:val="center" w:pos="4513"/>
          <w:tab w:val="right" w:pos="9026"/>
        </w:tabs>
        <w:jc w:val="right"/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lastRenderedPageBreak/>
        <w:t>Appendix 1</w:t>
      </w:r>
    </w:p>
    <w:p w14:paraId="2D112CE4" w14:textId="4F2D5E84" w:rsidR="00CB6AAD" w:rsidRPr="00CB6AAD" w:rsidRDefault="00CB6AAD" w:rsidP="00CB6A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6F3F67B" w14:textId="77777777" w:rsidR="00CB6AAD" w:rsidRPr="00CB6AAD" w:rsidRDefault="00CB6AAD" w:rsidP="00CB6A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B6AAD">
        <w:rPr>
          <w:rFonts w:asciiTheme="minorHAnsi" w:eastAsiaTheme="minorHAnsi" w:hAnsiTheme="minorHAnsi" w:cstheme="minorBidi"/>
          <w:b/>
          <w:sz w:val="28"/>
          <w:szCs w:val="28"/>
        </w:rPr>
        <w:t>High Needs Funding above the Notional SEN Budget</w:t>
      </w:r>
    </w:p>
    <w:p w14:paraId="58438361" w14:textId="77777777" w:rsidR="00CB6AAD" w:rsidRPr="00CB6AAD" w:rsidRDefault="00CB6AAD" w:rsidP="00CB6A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B6AAD">
        <w:rPr>
          <w:rFonts w:asciiTheme="minorHAnsi" w:eastAsiaTheme="minorHAnsi" w:hAnsiTheme="minorHAnsi" w:cstheme="minorBidi"/>
          <w:b/>
          <w:sz w:val="28"/>
          <w:szCs w:val="28"/>
        </w:rPr>
        <w:t>for Mainstream Schools &amp; Academies 2015-16</w:t>
      </w:r>
    </w:p>
    <w:p w14:paraId="31141102" w14:textId="77777777" w:rsidR="00CB6AAD" w:rsidRPr="00CB6AAD" w:rsidRDefault="00CB6AAD" w:rsidP="00CB6A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CB6AAD">
        <w:rPr>
          <w:rFonts w:asciiTheme="minorHAnsi" w:eastAsiaTheme="minorHAnsi" w:hAnsiTheme="minorHAnsi" w:cstheme="minorBidi"/>
          <w:b/>
          <w:sz w:val="28"/>
          <w:szCs w:val="28"/>
        </w:rPr>
        <w:t>June 2015</w:t>
      </w:r>
    </w:p>
    <w:p w14:paraId="69DD3B5D" w14:textId="0044077A" w:rsidR="00CB6AAD" w:rsidRPr="00CB6AAD" w:rsidRDefault="00CB6AAD" w:rsidP="00CB6A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CB6AAD">
        <w:rPr>
          <w:rFonts w:asciiTheme="minorHAnsi" w:eastAsiaTheme="minorHAnsi" w:hAnsiTheme="minorHAnsi" w:cstheme="minorBidi"/>
          <w:sz w:val="28"/>
          <w:szCs w:val="28"/>
        </w:rPr>
        <w:t>----------------------------------------------------------------------------------------------------------------</w:t>
      </w:r>
    </w:p>
    <w:p w14:paraId="673B3D1E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The ‘SEN Notional Budget’ (Years R – 11)</w:t>
      </w:r>
    </w:p>
    <w:p w14:paraId="66A49C09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Every mainstream school and academy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has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a ‘Notional SEN Budget’. This forms part of the DFE’s (Department for Education’s) national Funding Formula for mainstream pupils from Year R to Year 11. </w:t>
      </w:r>
    </w:p>
    <w:p w14:paraId="5402F3F0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For schools this is shown in section E.1.  </w:t>
      </w:r>
      <w:r w:rsidRPr="00CB6AAD">
        <w:rPr>
          <w:rFonts w:asciiTheme="minorHAnsi" w:eastAsiaTheme="minorHAnsi" w:hAnsiTheme="minorHAnsi" w:cstheme="minorBidi"/>
          <w:i/>
          <w:sz w:val="24"/>
          <w:szCs w:val="24"/>
        </w:rPr>
        <w:t xml:space="preserve">Notional SEN Budget </w:t>
      </w:r>
      <w:r w:rsidRPr="00CB6AAD">
        <w:rPr>
          <w:rFonts w:asciiTheme="minorHAnsi" w:eastAsiaTheme="minorHAnsi" w:hAnsiTheme="minorHAnsi" w:cstheme="minorBidi"/>
          <w:sz w:val="24"/>
          <w:szCs w:val="24"/>
        </w:rPr>
        <w:t>of the Funding Formula Allocation spreadsheet, which each school bursar/business manager would hold.</w:t>
      </w:r>
    </w:p>
    <w:p w14:paraId="105522E5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This notional budget is used by mainstream schools/academies to fund any SEN needs of mainstream pupils in their school/academy.</w:t>
      </w:r>
    </w:p>
    <w:p w14:paraId="2D286377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It is made up of 50% of the deprivation allocation + 100% of the low attainment allocation for each individual school/academy.</w:t>
      </w:r>
    </w:p>
    <w:p w14:paraId="017C8F85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The DFE expects mainstream schools/academies to use funding allocated within the Funding Formula to meet pupil needs. </w:t>
      </w:r>
    </w:p>
    <w:p w14:paraId="229A9924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For SEN pupils this includes the first £6,000 per pupil using the Notional SEN Budget. Additional SEN needs, approved by Medway Council, costing more than £6,000 per pupil will be funded by a top-up from the Council.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In order to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access this funding, the school/academy SENCo should complete a Provision Mapping Form. This is attached.</w:t>
      </w:r>
    </w:p>
    <w:p w14:paraId="1FF1B9EC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Year N Pupils</w:t>
      </w:r>
    </w:p>
    <w:p w14:paraId="1776486C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For pupils in Year N, the DFE uses a different national funding arrangement called the ‘Early Years Single Funding Formula’. Within this formula is a factor linked to deprivation and additional educational need.</w:t>
      </w:r>
    </w:p>
    <w:p w14:paraId="2FC5237A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The funding of Year N pupils is in terms of hours up to, currently, 15 hours a week. Each individual Year N setting has a different hourly rate, depending upon the individual deprivation levels per setting. </w:t>
      </w:r>
    </w:p>
    <w:p w14:paraId="38EEBF0C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For schools this total and hourly rate is shown in section A.3. </w:t>
      </w:r>
      <w:r w:rsidRPr="00CB6AAD">
        <w:rPr>
          <w:rFonts w:asciiTheme="minorHAnsi" w:eastAsiaTheme="minorHAnsi" w:hAnsiTheme="minorHAnsi" w:cstheme="minorBidi"/>
          <w:i/>
          <w:sz w:val="24"/>
          <w:szCs w:val="24"/>
        </w:rPr>
        <w:t xml:space="preserve">Disadvantage / Additional Educational Needs </w:t>
      </w:r>
      <w:r w:rsidRPr="00CB6AAD">
        <w:rPr>
          <w:rFonts w:asciiTheme="minorHAnsi" w:eastAsiaTheme="minorHAnsi" w:hAnsiTheme="minorHAnsi" w:cstheme="minorBidi"/>
          <w:sz w:val="24"/>
          <w:szCs w:val="24"/>
        </w:rPr>
        <w:t>of the Funding Formula Allocation spreadsheet, which each school bursar/business manager would hold. (The hourly rate is shown under the ‘Volume’ column)</w:t>
      </w:r>
    </w:p>
    <w:p w14:paraId="3A2408A3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To  calculate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the per pupil yearly funding amount for your setting, multiply your hourly rate by 570 hours (ie.15 hours per week x 38 weeks).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So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for example, the Medway average hourly rate is £0.36.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So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£0.36 x 570 hours = £205.20.</w:t>
      </w:r>
    </w:p>
    <w:p w14:paraId="136C2C22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The Council would expect that this yearly amount be used for the needs of the Year N SEN pupil. Additional SEN needs, approved by Medway Council, costing more than this yearly amount will be </w:t>
      </w:r>
      <w:r w:rsidRPr="00CB6AAD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funded by a top-up from the Council.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In order to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access this funding, the school/academy SENCo should complete a Provision Mapping Form as mentioned above.</w:t>
      </w:r>
    </w:p>
    <w:p w14:paraId="37E5E2CD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Additional Support Above the Notional SEN Budget</w:t>
      </w:r>
    </w:p>
    <w:p w14:paraId="093AB322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In addition to the above, Medway Council will provide additional funding, on a financial year basis, outside of the main funding formula for mainstream schools/academies on a consistent and clear basis where it would be unreasonable, due to high pupil numbers, to expect the school/academy to pay the first £6,000 for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all of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their mainstream high needs pupils in Year R – 11. </w:t>
      </w:r>
    </w:p>
    <w:p w14:paraId="2BF6DEF8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The DFE have published the ‘Cheshire Formula’ which meets the above criteria and Medway has adopted this formula in calculating whether additional support should be offered.</w:t>
      </w:r>
    </w:p>
    <w:p w14:paraId="38D48BBD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Medway Council will distribute additional funding above a school/academy’s Notional SEN Budget under the following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criteria;</w:t>
      </w:r>
      <w:proofErr w:type="gramEnd"/>
    </w:p>
    <w:p w14:paraId="4D019B9D" w14:textId="77777777" w:rsidR="00CB6AAD" w:rsidRPr="00CB6AAD" w:rsidRDefault="00CB6AAD" w:rsidP="00CB6AAD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A school/academy’s Notional SEN Budget must be sufficient to meet the first £6,000 of the cost of additional support for each high needs pupil (</w:t>
      </w:r>
      <w:proofErr w:type="spellStart"/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ie.a</w:t>
      </w:r>
      <w:proofErr w:type="spellEnd"/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pupil with a statement or EHC plan, or a pupil who receives top-up funding) on roll, recognising any part-year effect for starters and leavers.</w:t>
      </w:r>
    </w:p>
    <w:p w14:paraId="51BBBA97" w14:textId="77777777" w:rsidR="00CB6AAD" w:rsidRPr="00CB6AAD" w:rsidRDefault="00CB6AAD" w:rsidP="00CB6AAD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For schools/academies up to and including 150 pupils, the Notional SEN Budget must also be sufficient to cover £6,000 for every 1:50 pupils. </w:t>
      </w:r>
    </w:p>
    <w:p w14:paraId="29F2038E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Therefore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additional funding will be made available if the Notional SEN Budget is less than;</w:t>
      </w:r>
    </w:p>
    <w:p w14:paraId="447F2A1D" w14:textId="77777777" w:rsidR="00CB6AAD" w:rsidRPr="00CB6AAD" w:rsidRDefault="00CB6AAD" w:rsidP="00CB6AAD">
      <w:pPr>
        <w:spacing w:after="200" w:line="276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No.of</w:t>
      </w:r>
      <w:proofErr w:type="spellEnd"/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High Needs pupils x £6,000 (A), add</w:t>
      </w:r>
    </w:p>
    <w:p w14:paraId="5D7F77F8" w14:textId="77777777" w:rsidR="00CB6AAD" w:rsidRPr="00CB6AAD" w:rsidRDefault="00CB6AAD" w:rsidP="00CB6AAD">
      <w:pPr>
        <w:spacing w:after="200" w:line="276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£6,000 for every 1:50 pupils on roll (using the October census) for schools/academies with 150 or less pupils (B)</w:t>
      </w:r>
    </w:p>
    <w:p w14:paraId="7E2A5256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sz w:val="24"/>
          <w:szCs w:val="24"/>
          <w:u w:val="single"/>
        </w:rPr>
        <w:t>Examples</w:t>
      </w:r>
    </w:p>
    <w:p w14:paraId="38A5A700" w14:textId="77777777" w:rsidR="00CB6AAD" w:rsidRPr="00CB6AAD" w:rsidRDefault="00CB6AAD" w:rsidP="00CB6AAD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School A has 8 Mainstream High Needs Pupils. It’s mainstream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pupils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number on roll total 734. Their Notional SEN Budget is £708,000. </w:t>
      </w:r>
    </w:p>
    <w:p w14:paraId="46048B48" w14:textId="77777777" w:rsidR="00CB6AAD" w:rsidRPr="00CB6AAD" w:rsidRDefault="00CB6AAD" w:rsidP="00CB6AAD">
      <w:pPr>
        <w:spacing w:after="200" w:line="276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The calculation would be:</w:t>
      </w:r>
    </w:p>
    <w:p w14:paraId="376032A8" w14:textId="77777777" w:rsidR="00CB6AAD" w:rsidRPr="00CB6AAD" w:rsidRDefault="00CB6AAD" w:rsidP="00CB6AAD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8 x £6,000pa = £48,000</w:t>
      </w:r>
    </w:p>
    <w:p w14:paraId="00842749" w14:textId="77777777" w:rsidR="00CB6AAD" w:rsidRPr="00CB6AAD" w:rsidRDefault="00CB6AAD" w:rsidP="00CB6AAD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Nil [as school’s roll is over 150 pupils]</w:t>
      </w:r>
    </w:p>
    <w:p w14:paraId="68E3BD3C" w14:textId="77777777" w:rsidR="00CB6AAD" w:rsidRPr="00CB6AAD" w:rsidRDefault="00CB6AAD" w:rsidP="00CB6AAD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Notional SEN Budget of £708,000 is already higher than £48,000, so Nil additional funding.</w:t>
      </w:r>
    </w:p>
    <w:p w14:paraId="03DF9CF7" w14:textId="77777777" w:rsidR="00CB6AAD" w:rsidRPr="00CB6AAD" w:rsidRDefault="00CB6AAD" w:rsidP="00CB6AA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34955977" w14:textId="77777777" w:rsidR="00CB6AAD" w:rsidRPr="00CB6AAD" w:rsidRDefault="00CB6AAD" w:rsidP="00CB6AAD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School B has 8 Mainstream High Needs Pupils. Its mainstream pupil numbers on roll </w:t>
      </w:r>
      <w:proofErr w:type="gramStart"/>
      <w:r w:rsidRPr="00CB6AAD">
        <w:rPr>
          <w:rFonts w:asciiTheme="minorHAnsi" w:eastAsiaTheme="minorHAnsi" w:hAnsiTheme="minorHAnsi" w:cstheme="minorBidi"/>
          <w:sz w:val="24"/>
          <w:szCs w:val="24"/>
        </w:rPr>
        <w:t>is</w:t>
      </w:r>
      <w:proofErr w:type="gramEnd"/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210. Their Notional SEN Budget is £25,000.</w:t>
      </w:r>
    </w:p>
    <w:p w14:paraId="60960ABD" w14:textId="77777777" w:rsidR="00CB6AAD" w:rsidRPr="00CB6AAD" w:rsidRDefault="00CB6AAD" w:rsidP="00CB6AAD">
      <w:pPr>
        <w:spacing w:after="200" w:line="276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The calculation would be:</w:t>
      </w:r>
    </w:p>
    <w:p w14:paraId="7726CCB3" w14:textId="77777777" w:rsidR="00CB6AAD" w:rsidRPr="00CB6AAD" w:rsidRDefault="00CB6AAD" w:rsidP="00CB6AAD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8 x £6,000pa = £48,000</w:t>
      </w:r>
    </w:p>
    <w:p w14:paraId="2687D947" w14:textId="77777777" w:rsidR="00CB6AAD" w:rsidRPr="00CB6AAD" w:rsidRDefault="00CB6AAD" w:rsidP="00CB6AAD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Nil [as school’s roll is over 150 pupils]</w:t>
      </w:r>
    </w:p>
    <w:p w14:paraId="44A74226" w14:textId="77777777" w:rsidR="00CB6AAD" w:rsidRPr="00CB6AAD" w:rsidRDefault="00CB6AAD" w:rsidP="00CB6AAD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Notional SEN Budget of £25,000 is lower than £48,000, so additional funding due of £23,000 [£48,000 – £25,000].</w:t>
      </w:r>
    </w:p>
    <w:p w14:paraId="378AC30A" w14:textId="77777777" w:rsidR="00741250" w:rsidRDefault="00741250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14:paraId="43F17C28" w14:textId="4CDF8F56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>Attached: Provision Mapping Form</w:t>
      </w:r>
    </w:p>
    <w:p w14:paraId="2234DDC7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Please contact your SEN Officer at Medway Council if you have any questions regarding the Provision Mapping Form.</w:t>
      </w:r>
    </w:p>
    <w:p w14:paraId="612CED90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B6AA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Contact Details for Notional SEN Queries</w:t>
      </w:r>
    </w:p>
    <w:p w14:paraId="13A29817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Paul Murphy</w:t>
      </w:r>
    </w:p>
    <w:p w14:paraId="5FB1579C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SEN Team, Medway Council</w:t>
      </w:r>
    </w:p>
    <w:p w14:paraId="317AF0C9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E-mail: </w:t>
      </w:r>
      <w:hyperlink r:id="rId13" w:history="1">
        <w:r w:rsidRPr="00CB6AAD">
          <w:rPr>
            <w:rFonts w:asciiTheme="minorHAnsi" w:eastAsiaTheme="minorHAnsi" w:hAnsiTheme="minorHAnsi" w:cstheme="minorBidi"/>
            <w:color w:val="0000FF" w:themeColor="hyperlink"/>
            <w:sz w:val="24"/>
            <w:szCs w:val="24"/>
            <w:u w:val="single"/>
          </w:rPr>
          <w:t>paul.murphy@medway,gov.uk</w:t>
        </w:r>
      </w:hyperlink>
    </w:p>
    <w:p w14:paraId="54742530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>Phone: 337176</w:t>
      </w:r>
    </w:p>
    <w:p w14:paraId="06C377EF" w14:textId="77777777" w:rsidR="00CB6AAD" w:rsidRPr="00CB6AAD" w:rsidRDefault="00CB6AAD" w:rsidP="00CB6AAD">
      <w:pPr>
        <w:spacing w:after="200" w:line="276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</w:p>
    <w:p w14:paraId="13DCC8F8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8168DF7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3450F53A" w14:textId="77777777" w:rsidR="00CB6AAD" w:rsidRPr="00CB6AAD" w:rsidRDefault="00CB6AAD" w:rsidP="00CB6A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B6AAD"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</w:p>
    <w:p w14:paraId="7BDF0837" w14:textId="77777777" w:rsidR="0068047D" w:rsidRPr="0029261F" w:rsidRDefault="0068047D" w:rsidP="0029261F">
      <w:pPr>
        <w:pStyle w:val="BodyTextIndent"/>
        <w:ind w:left="567" w:hanging="567"/>
        <w:rPr>
          <w:rFonts w:asciiTheme="minorHAnsi" w:hAnsiTheme="minorHAnsi" w:cs="Arial"/>
          <w:szCs w:val="24"/>
        </w:rPr>
      </w:pPr>
    </w:p>
    <w:sectPr w:rsidR="0068047D" w:rsidRPr="0029261F" w:rsidSect="00936B02">
      <w:footerReference w:type="default" r:id="rId14"/>
      <w:pgSz w:w="11906" w:h="16838" w:code="9"/>
      <w:pgMar w:top="851" w:right="1138" w:bottom="1008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CFF9" w14:textId="77777777" w:rsidR="00C71027" w:rsidRDefault="00C71027">
      <w:r>
        <w:separator/>
      </w:r>
    </w:p>
  </w:endnote>
  <w:endnote w:type="continuationSeparator" w:id="0">
    <w:p w14:paraId="6FED3D8F" w14:textId="77777777" w:rsidR="00C71027" w:rsidRDefault="00C7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DB3C" w14:textId="77777777" w:rsidR="0044108E" w:rsidRDefault="0044108E">
    <w:pPr>
      <w:pStyle w:val="Footer"/>
      <w:pBdr>
        <w:top w:val="single" w:sz="4" w:space="1" w:color="auto"/>
      </w:pBdr>
      <w:jc w:val="center"/>
      <w:rPr>
        <w:rFonts w:ascii="Arial" w:hAnsi="Arial"/>
      </w:rPr>
    </w:pPr>
  </w:p>
  <w:p w14:paraId="402F6DAE" w14:textId="77777777" w:rsidR="0044108E" w:rsidRDefault="0044108E">
    <w:pPr>
      <w:pStyle w:val="Footer"/>
      <w:pBdr>
        <w:top w:val="single" w:sz="4" w:space="1" w:color="auto"/>
      </w:pBdr>
      <w:jc w:val="center"/>
      <w:rPr>
        <w:rFonts w:ascii="Arial" w:hAnsi="Arial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0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BADB" w14:textId="77777777" w:rsidR="00C71027" w:rsidRDefault="00C71027">
      <w:r>
        <w:separator/>
      </w:r>
    </w:p>
  </w:footnote>
  <w:footnote w:type="continuationSeparator" w:id="0">
    <w:p w14:paraId="159D3742" w14:textId="77777777" w:rsidR="00C71027" w:rsidRDefault="00C7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F79"/>
    <w:multiLevelType w:val="hybridMultilevel"/>
    <w:tmpl w:val="095A1156"/>
    <w:lvl w:ilvl="0" w:tplc="403CC0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4FDD"/>
    <w:multiLevelType w:val="hybridMultilevel"/>
    <w:tmpl w:val="42E60722"/>
    <w:lvl w:ilvl="0" w:tplc="F6BE7F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43C06765"/>
    <w:multiLevelType w:val="hybridMultilevel"/>
    <w:tmpl w:val="F1C812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1AB5351"/>
    <w:multiLevelType w:val="hybridMultilevel"/>
    <w:tmpl w:val="095A1156"/>
    <w:lvl w:ilvl="0" w:tplc="403CC0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564D"/>
    <w:multiLevelType w:val="multilevel"/>
    <w:tmpl w:val="E0D2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7620ED"/>
    <w:multiLevelType w:val="hybridMultilevel"/>
    <w:tmpl w:val="9300FB22"/>
    <w:lvl w:ilvl="0" w:tplc="31F03C8A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98EF54" w:tentative="1">
      <w:start w:val="1"/>
      <w:numFmt w:val="bullet"/>
      <w:pStyle w:val="Level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E146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18A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56F2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0C8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66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3ACE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7E42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42097"/>
    <w:multiLevelType w:val="hybridMultilevel"/>
    <w:tmpl w:val="CD724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26737"/>
    <w:multiLevelType w:val="multilevel"/>
    <w:tmpl w:val="F2BA5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6863089">
    <w:abstractNumId w:val="7"/>
  </w:num>
  <w:num w:numId="2" w16cid:durableId="1105542997">
    <w:abstractNumId w:val="2"/>
  </w:num>
  <w:num w:numId="3" w16cid:durableId="1230455466">
    <w:abstractNumId w:val="4"/>
  </w:num>
  <w:num w:numId="4" w16cid:durableId="359015086">
    <w:abstractNumId w:val="6"/>
  </w:num>
  <w:num w:numId="5" w16cid:durableId="1086612444">
    <w:abstractNumId w:val="1"/>
  </w:num>
  <w:num w:numId="6" w16cid:durableId="1330910160">
    <w:abstractNumId w:val="9"/>
  </w:num>
  <w:num w:numId="7" w16cid:durableId="1414743176">
    <w:abstractNumId w:val="8"/>
  </w:num>
  <w:num w:numId="8" w16cid:durableId="1454865981">
    <w:abstractNumId w:val="5"/>
  </w:num>
  <w:num w:numId="9" w16cid:durableId="1157843220">
    <w:abstractNumId w:val="3"/>
  </w:num>
  <w:num w:numId="10" w16cid:durableId="103685600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B8"/>
    <w:rsid w:val="00006401"/>
    <w:rsid w:val="00015E42"/>
    <w:rsid w:val="00016DB0"/>
    <w:rsid w:val="000240BF"/>
    <w:rsid w:val="00030DD3"/>
    <w:rsid w:val="00036407"/>
    <w:rsid w:val="00040927"/>
    <w:rsid w:val="00040ED8"/>
    <w:rsid w:val="000440E8"/>
    <w:rsid w:val="00044E49"/>
    <w:rsid w:val="00055006"/>
    <w:rsid w:val="00064CE0"/>
    <w:rsid w:val="000653E6"/>
    <w:rsid w:val="000724BA"/>
    <w:rsid w:val="000818D9"/>
    <w:rsid w:val="000845BD"/>
    <w:rsid w:val="000901F4"/>
    <w:rsid w:val="00097A2C"/>
    <w:rsid w:val="000A49D3"/>
    <w:rsid w:val="000A4C9C"/>
    <w:rsid w:val="000B0F2D"/>
    <w:rsid w:val="000B1582"/>
    <w:rsid w:val="000B54D9"/>
    <w:rsid w:val="000C0C10"/>
    <w:rsid w:val="000C2BBE"/>
    <w:rsid w:val="000C6E96"/>
    <w:rsid w:val="000D3042"/>
    <w:rsid w:val="000D5A0B"/>
    <w:rsid w:val="000E7826"/>
    <w:rsid w:val="000F398A"/>
    <w:rsid w:val="000F3D0F"/>
    <w:rsid w:val="000F528B"/>
    <w:rsid w:val="001003D8"/>
    <w:rsid w:val="001051C1"/>
    <w:rsid w:val="00111AC0"/>
    <w:rsid w:val="001123C7"/>
    <w:rsid w:val="00120C87"/>
    <w:rsid w:val="00123890"/>
    <w:rsid w:val="00141540"/>
    <w:rsid w:val="0015384C"/>
    <w:rsid w:val="00156443"/>
    <w:rsid w:val="00156DA3"/>
    <w:rsid w:val="00160D38"/>
    <w:rsid w:val="00162341"/>
    <w:rsid w:val="00162D94"/>
    <w:rsid w:val="00164040"/>
    <w:rsid w:val="001670E3"/>
    <w:rsid w:val="00173E8B"/>
    <w:rsid w:val="0017581C"/>
    <w:rsid w:val="00176492"/>
    <w:rsid w:val="0017748F"/>
    <w:rsid w:val="00180D08"/>
    <w:rsid w:val="001815E1"/>
    <w:rsid w:val="00184201"/>
    <w:rsid w:val="001948C5"/>
    <w:rsid w:val="001955BF"/>
    <w:rsid w:val="001958E6"/>
    <w:rsid w:val="001A2B1A"/>
    <w:rsid w:val="001A52E5"/>
    <w:rsid w:val="001B6047"/>
    <w:rsid w:val="001B742E"/>
    <w:rsid w:val="001C3EBE"/>
    <w:rsid w:val="001D1389"/>
    <w:rsid w:val="001E1B0E"/>
    <w:rsid w:val="001E3991"/>
    <w:rsid w:val="001E5E17"/>
    <w:rsid w:val="001E681B"/>
    <w:rsid w:val="001F0467"/>
    <w:rsid w:val="00200171"/>
    <w:rsid w:val="002027C1"/>
    <w:rsid w:val="00212934"/>
    <w:rsid w:val="00213BF8"/>
    <w:rsid w:val="00216F36"/>
    <w:rsid w:val="00231FE8"/>
    <w:rsid w:val="00241E84"/>
    <w:rsid w:val="002443B8"/>
    <w:rsid w:val="00245182"/>
    <w:rsid w:val="00260B00"/>
    <w:rsid w:val="00261BA3"/>
    <w:rsid w:val="002657D1"/>
    <w:rsid w:val="00267304"/>
    <w:rsid w:val="0027389C"/>
    <w:rsid w:val="00275594"/>
    <w:rsid w:val="00275FDB"/>
    <w:rsid w:val="00277D7E"/>
    <w:rsid w:val="002829EE"/>
    <w:rsid w:val="002917F2"/>
    <w:rsid w:val="0029261F"/>
    <w:rsid w:val="00296647"/>
    <w:rsid w:val="002A6859"/>
    <w:rsid w:val="002B0F8E"/>
    <w:rsid w:val="002B7900"/>
    <w:rsid w:val="002D2C07"/>
    <w:rsid w:val="002D60B7"/>
    <w:rsid w:val="002E12C8"/>
    <w:rsid w:val="002E3A47"/>
    <w:rsid w:val="002E6C2E"/>
    <w:rsid w:val="002F77D5"/>
    <w:rsid w:val="00305AC7"/>
    <w:rsid w:val="00306A20"/>
    <w:rsid w:val="00310184"/>
    <w:rsid w:val="00313627"/>
    <w:rsid w:val="00321CD5"/>
    <w:rsid w:val="00327446"/>
    <w:rsid w:val="00333C66"/>
    <w:rsid w:val="003401A7"/>
    <w:rsid w:val="003402B3"/>
    <w:rsid w:val="003418B8"/>
    <w:rsid w:val="00342F2F"/>
    <w:rsid w:val="00354680"/>
    <w:rsid w:val="00356CC8"/>
    <w:rsid w:val="00373087"/>
    <w:rsid w:val="00375C75"/>
    <w:rsid w:val="0037793A"/>
    <w:rsid w:val="00382E9D"/>
    <w:rsid w:val="0038684A"/>
    <w:rsid w:val="003916BC"/>
    <w:rsid w:val="0039499C"/>
    <w:rsid w:val="003A685E"/>
    <w:rsid w:val="003B1833"/>
    <w:rsid w:val="003B6D7B"/>
    <w:rsid w:val="003B70C6"/>
    <w:rsid w:val="003D5B07"/>
    <w:rsid w:val="003D7321"/>
    <w:rsid w:val="003E2D61"/>
    <w:rsid w:val="003F15EA"/>
    <w:rsid w:val="003F4C4B"/>
    <w:rsid w:val="00400D8E"/>
    <w:rsid w:val="004024CB"/>
    <w:rsid w:val="00404425"/>
    <w:rsid w:val="004078FC"/>
    <w:rsid w:val="00407C0E"/>
    <w:rsid w:val="00412F35"/>
    <w:rsid w:val="004205C5"/>
    <w:rsid w:val="00427841"/>
    <w:rsid w:val="00433B4E"/>
    <w:rsid w:val="00436EFC"/>
    <w:rsid w:val="00437255"/>
    <w:rsid w:val="0044108E"/>
    <w:rsid w:val="00443F72"/>
    <w:rsid w:val="00463371"/>
    <w:rsid w:val="00463B56"/>
    <w:rsid w:val="00465BA5"/>
    <w:rsid w:val="004676A3"/>
    <w:rsid w:val="004739A1"/>
    <w:rsid w:val="004749DD"/>
    <w:rsid w:val="00476B27"/>
    <w:rsid w:val="00482B48"/>
    <w:rsid w:val="0049611A"/>
    <w:rsid w:val="0049627F"/>
    <w:rsid w:val="004A499C"/>
    <w:rsid w:val="004B62FB"/>
    <w:rsid w:val="004C481E"/>
    <w:rsid w:val="004C4CE6"/>
    <w:rsid w:val="004C5B98"/>
    <w:rsid w:val="004D36B1"/>
    <w:rsid w:val="004E225A"/>
    <w:rsid w:val="004F6BBD"/>
    <w:rsid w:val="0050149F"/>
    <w:rsid w:val="00511EF4"/>
    <w:rsid w:val="0051654A"/>
    <w:rsid w:val="00520611"/>
    <w:rsid w:val="00521C10"/>
    <w:rsid w:val="0052291F"/>
    <w:rsid w:val="005240F9"/>
    <w:rsid w:val="00525BCA"/>
    <w:rsid w:val="00526E3E"/>
    <w:rsid w:val="005348E7"/>
    <w:rsid w:val="00540A16"/>
    <w:rsid w:val="00543E4E"/>
    <w:rsid w:val="00551EBF"/>
    <w:rsid w:val="0055506E"/>
    <w:rsid w:val="00556986"/>
    <w:rsid w:val="00562575"/>
    <w:rsid w:val="00580DFF"/>
    <w:rsid w:val="005B1BDA"/>
    <w:rsid w:val="005B30E2"/>
    <w:rsid w:val="005B37A4"/>
    <w:rsid w:val="005D2D91"/>
    <w:rsid w:val="005D5047"/>
    <w:rsid w:val="005E0C9F"/>
    <w:rsid w:val="005E1F09"/>
    <w:rsid w:val="005F3049"/>
    <w:rsid w:val="00601863"/>
    <w:rsid w:val="00607B05"/>
    <w:rsid w:val="00614FE7"/>
    <w:rsid w:val="00615313"/>
    <w:rsid w:val="006172F5"/>
    <w:rsid w:val="00625D47"/>
    <w:rsid w:val="00630112"/>
    <w:rsid w:val="00653B88"/>
    <w:rsid w:val="006566E6"/>
    <w:rsid w:val="00671B16"/>
    <w:rsid w:val="00672C4F"/>
    <w:rsid w:val="0068047D"/>
    <w:rsid w:val="00680569"/>
    <w:rsid w:val="006813B8"/>
    <w:rsid w:val="00681776"/>
    <w:rsid w:val="00684D30"/>
    <w:rsid w:val="00690EF7"/>
    <w:rsid w:val="0069457C"/>
    <w:rsid w:val="006A1564"/>
    <w:rsid w:val="006B5F8D"/>
    <w:rsid w:val="006C033E"/>
    <w:rsid w:val="006C6A0D"/>
    <w:rsid w:val="006C7F61"/>
    <w:rsid w:val="006D5631"/>
    <w:rsid w:val="006D72A0"/>
    <w:rsid w:val="006E29B9"/>
    <w:rsid w:val="006E3BB3"/>
    <w:rsid w:val="006F531E"/>
    <w:rsid w:val="006F6019"/>
    <w:rsid w:val="00700A3D"/>
    <w:rsid w:val="00706D3A"/>
    <w:rsid w:val="0071273F"/>
    <w:rsid w:val="00713562"/>
    <w:rsid w:val="00720384"/>
    <w:rsid w:val="0072074E"/>
    <w:rsid w:val="007231EC"/>
    <w:rsid w:val="00724C87"/>
    <w:rsid w:val="007344ED"/>
    <w:rsid w:val="00734C2E"/>
    <w:rsid w:val="007405E3"/>
    <w:rsid w:val="00741250"/>
    <w:rsid w:val="0074229D"/>
    <w:rsid w:val="00752443"/>
    <w:rsid w:val="0077129F"/>
    <w:rsid w:val="00771737"/>
    <w:rsid w:val="00773D75"/>
    <w:rsid w:val="00774C22"/>
    <w:rsid w:val="00784505"/>
    <w:rsid w:val="0078495F"/>
    <w:rsid w:val="007867B3"/>
    <w:rsid w:val="00792BA0"/>
    <w:rsid w:val="007952D1"/>
    <w:rsid w:val="00796A53"/>
    <w:rsid w:val="007A320C"/>
    <w:rsid w:val="007B369E"/>
    <w:rsid w:val="007B5733"/>
    <w:rsid w:val="007B673F"/>
    <w:rsid w:val="007B790B"/>
    <w:rsid w:val="007C0A4C"/>
    <w:rsid w:val="007D6A72"/>
    <w:rsid w:val="007D7A6A"/>
    <w:rsid w:val="007E72A5"/>
    <w:rsid w:val="007F04B8"/>
    <w:rsid w:val="007F24E8"/>
    <w:rsid w:val="00804A2E"/>
    <w:rsid w:val="00805A7E"/>
    <w:rsid w:val="00833CBA"/>
    <w:rsid w:val="00833D0C"/>
    <w:rsid w:val="00837AB4"/>
    <w:rsid w:val="00841732"/>
    <w:rsid w:val="00870AB5"/>
    <w:rsid w:val="00874EF5"/>
    <w:rsid w:val="008853F2"/>
    <w:rsid w:val="00886774"/>
    <w:rsid w:val="008908AA"/>
    <w:rsid w:val="0089294C"/>
    <w:rsid w:val="00894BA5"/>
    <w:rsid w:val="00894E73"/>
    <w:rsid w:val="0089603F"/>
    <w:rsid w:val="008A114D"/>
    <w:rsid w:val="008B21E4"/>
    <w:rsid w:val="008B78F4"/>
    <w:rsid w:val="008C3865"/>
    <w:rsid w:val="008C40F7"/>
    <w:rsid w:val="008D198B"/>
    <w:rsid w:val="008D1E72"/>
    <w:rsid w:val="008D201A"/>
    <w:rsid w:val="008E5675"/>
    <w:rsid w:val="008F2470"/>
    <w:rsid w:val="008F33AC"/>
    <w:rsid w:val="008F60C3"/>
    <w:rsid w:val="008F7CF0"/>
    <w:rsid w:val="00920C0C"/>
    <w:rsid w:val="0092330F"/>
    <w:rsid w:val="00932814"/>
    <w:rsid w:val="00935B34"/>
    <w:rsid w:val="00936B02"/>
    <w:rsid w:val="00937EAC"/>
    <w:rsid w:val="00945337"/>
    <w:rsid w:val="00952DC4"/>
    <w:rsid w:val="009567D4"/>
    <w:rsid w:val="00957BB8"/>
    <w:rsid w:val="00966385"/>
    <w:rsid w:val="00967B1C"/>
    <w:rsid w:val="00974ED1"/>
    <w:rsid w:val="00975ABF"/>
    <w:rsid w:val="0098005F"/>
    <w:rsid w:val="009833B3"/>
    <w:rsid w:val="009856C6"/>
    <w:rsid w:val="00990016"/>
    <w:rsid w:val="009910FC"/>
    <w:rsid w:val="009A12DF"/>
    <w:rsid w:val="009A53BA"/>
    <w:rsid w:val="009B730F"/>
    <w:rsid w:val="009B755B"/>
    <w:rsid w:val="009B78B0"/>
    <w:rsid w:val="009C594F"/>
    <w:rsid w:val="009D1989"/>
    <w:rsid w:val="009D232C"/>
    <w:rsid w:val="009E338B"/>
    <w:rsid w:val="00A05E27"/>
    <w:rsid w:val="00A063CC"/>
    <w:rsid w:val="00A226F6"/>
    <w:rsid w:val="00A36F21"/>
    <w:rsid w:val="00A43564"/>
    <w:rsid w:val="00A45D46"/>
    <w:rsid w:val="00A562EC"/>
    <w:rsid w:val="00A655F8"/>
    <w:rsid w:val="00A77159"/>
    <w:rsid w:val="00A81C99"/>
    <w:rsid w:val="00A971DB"/>
    <w:rsid w:val="00AA4C7F"/>
    <w:rsid w:val="00AC7C58"/>
    <w:rsid w:val="00AD2177"/>
    <w:rsid w:val="00AD6020"/>
    <w:rsid w:val="00AD6B82"/>
    <w:rsid w:val="00AE237C"/>
    <w:rsid w:val="00AE23D2"/>
    <w:rsid w:val="00B010AD"/>
    <w:rsid w:val="00B13778"/>
    <w:rsid w:val="00B13D45"/>
    <w:rsid w:val="00B17443"/>
    <w:rsid w:val="00B2179B"/>
    <w:rsid w:val="00B32902"/>
    <w:rsid w:val="00B367A7"/>
    <w:rsid w:val="00B44FF6"/>
    <w:rsid w:val="00B51AE2"/>
    <w:rsid w:val="00B52B23"/>
    <w:rsid w:val="00B6267A"/>
    <w:rsid w:val="00B72379"/>
    <w:rsid w:val="00B740DF"/>
    <w:rsid w:val="00B96659"/>
    <w:rsid w:val="00B97FF7"/>
    <w:rsid w:val="00BA16F4"/>
    <w:rsid w:val="00BA56A7"/>
    <w:rsid w:val="00BA6EF8"/>
    <w:rsid w:val="00BA7794"/>
    <w:rsid w:val="00BC248D"/>
    <w:rsid w:val="00BE7E48"/>
    <w:rsid w:val="00BF1176"/>
    <w:rsid w:val="00C01232"/>
    <w:rsid w:val="00C04FAB"/>
    <w:rsid w:val="00C1033A"/>
    <w:rsid w:val="00C111B6"/>
    <w:rsid w:val="00C151F5"/>
    <w:rsid w:val="00C24B3F"/>
    <w:rsid w:val="00C26A19"/>
    <w:rsid w:val="00C34E04"/>
    <w:rsid w:val="00C35484"/>
    <w:rsid w:val="00C35938"/>
    <w:rsid w:val="00C47903"/>
    <w:rsid w:val="00C479A4"/>
    <w:rsid w:val="00C55434"/>
    <w:rsid w:val="00C57F37"/>
    <w:rsid w:val="00C63FA8"/>
    <w:rsid w:val="00C6743D"/>
    <w:rsid w:val="00C7090D"/>
    <w:rsid w:val="00C71027"/>
    <w:rsid w:val="00C71C91"/>
    <w:rsid w:val="00C75038"/>
    <w:rsid w:val="00C86B12"/>
    <w:rsid w:val="00C91759"/>
    <w:rsid w:val="00C917AB"/>
    <w:rsid w:val="00CA559B"/>
    <w:rsid w:val="00CB658C"/>
    <w:rsid w:val="00CB6AAD"/>
    <w:rsid w:val="00CC01CA"/>
    <w:rsid w:val="00CC215D"/>
    <w:rsid w:val="00CC2DAF"/>
    <w:rsid w:val="00CC3164"/>
    <w:rsid w:val="00CC723E"/>
    <w:rsid w:val="00CD1531"/>
    <w:rsid w:val="00CD3796"/>
    <w:rsid w:val="00CD6D09"/>
    <w:rsid w:val="00CE3A5B"/>
    <w:rsid w:val="00CE637D"/>
    <w:rsid w:val="00CF451B"/>
    <w:rsid w:val="00D048C0"/>
    <w:rsid w:val="00D05DDD"/>
    <w:rsid w:val="00D10740"/>
    <w:rsid w:val="00D113DA"/>
    <w:rsid w:val="00D3587B"/>
    <w:rsid w:val="00D448EE"/>
    <w:rsid w:val="00D537FD"/>
    <w:rsid w:val="00D53FCA"/>
    <w:rsid w:val="00D626AA"/>
    <w:rsid w:val="00D62ECD"/>
    <w:rsid w:val="00D735BD"/>
    <w:rsid w:val="00D75CAF"/>
    <w:rsid w:val="00D81BCE"/>
    <w:rsid w:val="00D82EEB"/>
    <w:rsid w:val="00D9042B"/>
    <w:rsid w:val="00D93E22"/>
    <w:rsid w:val="00D94687"/>
    <w:rsid w:val="00DA2B59"/>
    <w:rsid w:val="00DC0BAE"/>
    <w:rsid w:val="00DC1317"/>
    <w:rsid w:val="00DC4931"/>
    <w:rsid w:val="00DC66D6"/>
    <w:rsid w:val="00DD214D"/>
    <w:rsid w:val="00DD77BC"/>
    <w:rsid w:val="00DE0658"/>
    <w:rsid w:val="00DE2E18"/>
    <w:rsid w:val="00DF5799"/>
    <w:rsid w:val="00E02019"/>
    <w:rsid w:val="00E109D0"/>
    <w:rsid w:val="00E13D30"/>
    <w:rsid w:val="00E13FA8"/>
    <w:rsid w:val="00E16FBB"/>
    <w:rsid w:val="00E25F4C"/>
    <w:rsid w:val="00E45EEF"/>
    <w:rsid w:val="00E51884"/>
    <w:rsid w:val="00E52B3A"/>
    <w:rsid w:val="00E54A7D"/>
    <w:rsid w:val="00E64F8D"/>
    <w:rsid w:val="00E65864"/>
    <w:rsid w:val="00E719C0"/>
    <w:rsid w:val="00E8026E"/>
    <w:rsid w:val="00E806C6"/>
    <w:rsid w:val="00E90613"/>
    <w:rsid w:val="00E94615"/>
    <w:rsid w:val="00E956DE"/>
    <w:rsid w:val="00EA1D76"/>
    <w:rsid w:val="00EA3312"/>
    <w:rsid w:val="00EA4093"/>
    <w:rsid w:val="00EA6078"/>
    <w:rsid w:val="00EB4BA9"/>
    <w:rsid w:val="00EB6B5A"/>
    <w:rsid w:val="00EC2AAA"/>
    <w:rsid w:val="00EC4A70"/>
    <w:rsid w:val="00EC7E53"/>
    <w:rsid w:val="00ED2FAF"/>
    <w:rsid w:val="00ED3602"/>
    <w:rsid w:val="00EE19A1"/>
    <w:rsid w:val="00EE58D1"/>
    <w:rsid w:val="00EF4135"/>
    <w:rsid w:val="00EF7A57"/>
    <w:rsid w:val="00F03F55"/>
    <w:rsid w:val="00F0527D"/>
    <w:rsid w:val="00F06E59"/>
    <w:rsid w:val="00F1035B"/>
    <w:rsid w:val="00F12D35"/>
    <w:rsid w:val="00F14224"/>
    <w:rsid w:val="00F168EC"/>
    <w:rsid w:val="00F23298"/>
    <w:rsid w:val="00F25D67"/>
    <w:rsid w:val="00F263AF"/>
    <w:rsid w:val="00F27AB4"/>
    <w:rsid w:val="00F3485B"/>
    <w:rsid w:val="00F40D0F"/>
    <w:rsid w:val="00F4134C"/>
    <w:rsid w:val="00F52670"/>
    <w:rsid w:val="00F67217"/>
    <w:rsid w:val="00F71FEB"/>
    <w:rsid w:val="00F72D4D"/>
    <w:rsid w:val="00F72EAA"/>
    <w:rsid w:val="00F75EF1"/>
    <w:rsid w:val="00F7694C"/>
    <w:rsid w:val="00F81748"/>
    <w:rsid w:val="00F85E55"/>
    <w:rsid w:val="00F96138"/>
    <w:rsid w:val="00F97D2B"/>
    <w:rsid w:val="00F97DE2"/>
    <w:rsid w:val="00FA3A41"/>
    <w:rsid w:val="00FB0464"/>
    <w:rsid w:val="00FC014C"/>
    <w:rsid w:val="00FC2AEA"/>
    <w:rsid w:val="00FC4A3D"/>
    <w:rsid w:val="00FD22E0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4A366"/>
  <w15:docId w15:val="{91D1A4AF-EC5D-49D4-BF97-1DDC7183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980"/>
      </w:tabs>
      <w:ind w:left="720" w:hanging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170"/>
        <w:tab w:val="left" w:pos="1980"/>
      </w:tabs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ind w:firstLine="709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1980"/>
        <w:tab w:val="left" w:pos="4140"/>
        <w:tab w:val="left" w:pos="4230"/>
        <w:tab w:val="left" w:pos="6120"/>
        <w:tab w:val="left" w:pos="6480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  <w:tab w:val="left" w:pos="1170"/>
        <w:tab w:val="left" w:pos="1980"/>
      </w:tabs>
      <w:ind w:left="720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DfESBullets">
    <w:name w:val="DfESBullets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eastAsia="Arial" w:hAnsi="Arial" w:cs="Arial"/>
      <w:color w:val="000000"/>
      <w:sz w:val="24"/>
      <w:lang w:val="en-US"/>
    </w:rPr>
  </w:style>
  <w:style w:type="paragraph" w:customStyle="1" w:styleId="xl30">
    <w:name w:val="xl30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napToGrid w:val="0"/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1"/>
      </w:numPr>
      <w:tabs>
        <w:tab w:val="num" w:pos="851"/>
      </w:tabs>
      <w:spacing w:after="120"/>
      <w:ind w:left="851" w:hanging="851"/>
      <w:jc w:val="both"/>
      <w:outlineLvl w:val="1"/>
    </w:pPr>
    <w:rPr>
      <w:rFonts w:ascii="Arial" w:hAnsi="Arial"/>
      <w:b/>
      <w:snapToGrid w:val="0"/>
      <w:sz w:val="24"/>
    </w:rPr>
  </w:style>
  <w:style w:type="paragraph" w:customStyle="1" w:styleId="Level1">
    <w:name w:val="Level 1"/>
    <w:basedOn w:val="Normal"/>
    <w:pPr>
      <w:keepNext/>
      <w:numPr>
        <w:numId w:val="1"/>
      </w:numPr>
      <w:tabs>
        <w:tab w:val="num" w:pos="851"/>
      </w:tabs>
      <w:spacing w:before="60" w:after="60"/>
      <w:ind w:left="851" w:hanging="851"/>
      <w:outlineLvl w:val="0"/>
    </w:pPr>
    <w:rPr>
      <w:rFonts w:ascii="Arial" w:hAnsi="Arial"/>
      <w:caps/>
      <w:snapToGrid w:val="0"/>
      <w:sz w:val="24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paragraph" w:customStyle="1" w:styleId="DeptOutNumbered">
    <w:name w:val="Dept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0B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Normal"/>
    <w:next w:val="Normal"/>
    <w:autoRedefine/>
    <w:rsid w:val="001E1B0E"/>
    <w:pPr>
      <w:ind w:left="709" w:hanging="709"/>
    </w:pPr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9A1"/>
    <w:pPr>
      <w:ind w:left="720"/>
    </w:pPr>
  </w:style>
  <w:style w:type="character" w:customStyle="1" w:styleId="BodyTextIndentChar">
    <w:name w:val="Body Text Indent Char"/>
    <w:link w:val="BodyTextIndent"/>
    <w:rsid w:val="00FC4A3D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719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.murphy@medway,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beaney@medw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rolls\Minutes-no-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773421542805C9F1705B326B9" ma:contentTypeVersion="4" ma:contentTypeDescription="Create a new document." ma:contentTypeScope="" ma:versionID="97be838b462dfcdf8b08e211aa3d687d">
  <xsd:schema xmlns:xsd="http://www.w3.org/2001/XMLSchema" xmlns:xs="http://www.w3.org/2001/XMLSchema" xmlns:p="http://schemas.microsoft.com/office/2006/metadata/properties" xmlns:ns2="b708c9ab-97fd-49c9-84c5-a46746eac044" targetNamespace="http://schemas.microsoft.com/office/2006/metadata/properties" ma:root="true" ma:fieldsID="4214c3d161537fccf931ed8e87159c5b" ns2:_="">
    <xsd:import namespace="b708c9ab-97fd-49c9-84c5-a46746eac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c9ab-97fd-49c9-84c5-a46746eac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E351C-0EA3-4E7D-94C2-7B70ED04D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8c9ab-97fd-49c9-84c5-a46746ea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34FE3-8AA9-4A90-8CCA-01C6F1097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E8150-9B1D-4447-A807-32E4227D0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Minutes-no-lines.dot</Template>
  <TotalTime>1</TotalTime>
  <Pages>6</Pages>
  <Words>1341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Medway Council</Company>
  <LinksUpToDate>false</LinksUpToDate>
  <CharactersWithSpaces>8455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mailto:maria.beaney@medway.gov.uk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Authorised User</dc:creator>
  <cp:lastModifiedBy>beaney, maria</cp:lastModifiedBy>
  <cp:revision>2</cp:revision>
  <cp:lastPrinted>2014-12-04T11:11:00Z</cp:lastPrinted>
  <dcterms:created xsi:type="dcterms:W3CDTF">2022-06-29T07:56:00Z</dcterms:created>
  <dcterms:modified xsi:type="dcterms:W3CDTF">2022-06-29T07:56:00Z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0x01010070C1785773421542805C9F1705B326B9</vt:lpwstr>
  </property>
</Properties>
</file>