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76796" w14:textId="77777777" w:rsidR="00C058F8" w:rsidRDefault="00C058F8" w:rsidP="007E3592">
      <w:pPr>
        <w:pStyle w:val="BodyText2"/>
      </w:pPr>
      <w:r w:rsidRPr="00322D98">
        <w:rPr>
          <w:noProof/>
          <w:lang w:eastAsia="en-GB"/>
        </w:rPr>
        <w:drawing>
          <wp:inline distT="0" distB="0" distL="0" distR="0" wp14:anchorId="4047480B" wp14:editId="09A3B04E">
            <wp:extent cx="1041400" cy="715645"/>
            <wp:effectExtent l="0" t="0" r="6350" b="8255"/>
            <wp:docPr id="1" name="Picture 1" descr="This is an image of Medway Council's logo, it states 'Medway Council, Serving You' " title="Medwa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DB751" w14:textId="77777777" w:rsidR="00C058F8" w:rsidRDefault="00C058F8" w:rsidP="007E3592">
      <w:pPr>
        <w:pStyle w:val="BodyText2"/>
      </w:pPr>
    </w:p>
    <w:p w14:paraId="3098B69B" w14:textId="77777777" w:rsidR="001E0444" w:rsidRDefault="001E0444" w:rsidP="00027F33">
      <w:pPr>
        <w:pStyle w:val="Heading1"/>
        <w:rPr>
          <w:rFonts w:ascii="Arial Bold" w:hAnsi="Arial Bold"/>
          <w:caps/>
          <w:sz w:val="32"/>
        </w:rPr>
      </w:pPr>
      <w:r>
        <w:rPr>
          <w:rFonts w:ascii="Arial Bold" w:hAnsi="Arial Bold"/>
          <w:caps/>
          <w:sz w:val="32"/>
        </w:rPr>
        <w:t xml:space="preserve">Cost of care exercise report </w:t>
      </w:r>
    </w:p>
    <w:p w14:paraId="08F795E5" w14:textId="023A8E9C" w:rsidR="001E0444" w:rsidRDefault="00690AA3" w:rsidP="00B57EF1">
      <w:pPr>
        <w:pStyle w:val="Heading1"/>
        <w:rPr>
          <w:rFonts w:ascii="Arial Bold" w:hAnsi="Arial Bold"/>
          <w:caps/>
          <w:sz w:val="32"/>
        </w:rPr>
      </w:pPr>
      <w:r>
        <w:rPr>
          <w:rFonts w:ascii="Arial Bold" w:hAnsi="Arial Bold"/>
          <w:caps/>
          <w:sz w:val="32"/>
        </w:rPr>
        <w:t>18</w:t>
      </w:r>
      <w:r w:rsidR="001E0444">
        <w:rPr>
          <w:rFonts w:ascii="Arial Bold" w:hAnsi="Arial Bold"/>
          <w:caps/>
          <w:sz w:val="32"/>
        </w:rPr>
        <w:t xml:space="preserve">+ </w:t>
      </w:r>
      <w:r>
        <w:rPr>
          <w:rFonts w:ascii="Arial Bold" w:hAnsi="Arial Bold"/>
          <w:caps/>
          <w:sz w:val="32"/>
        </w:rPr>
        <w:t>Domiciliary care</w:t>
      </w:r>
    </w:p>
    <w:p w14:paraId="1B7DAD26" w14:textId="77777777" w:rsidR="00B57EF1" w:rsidRPr="00B57EF1" w:rsidRDefault="00B57EF1" w:rsidP="00B57EF1"/>
    <w:p w14:paraId="4345DA90" w14:textId="5714DD57" w:rsidR="00C058F8" w:rsidRPr="001D1D3D" w:rsidRDefault="002B2A7C" w:rsidP="00C058F8">
      <w:pPr>
        <w:pStyle w:val="Heading1"/>
        <w:rPr>
          <w:rFonts w:ascii="Arial Bold" w:hAnsi="Arial Bold"/>
          <w:caps/>
          <w:sz w:val="32"/>
        </w:rPr>
      </w:pPr>
      <w:r>
        <w:rPr>
          <w:rFonts w:ascii="Arial Bold" w:hAnsi="Arial Bold"/>
          <w:caps/>
          <w:sz w:val="32"/>
        </w:rPr>
        <w:t xml:space="preserve">14 </w:t>
      </w:r>
      <w:r w:rsidR="001E0444">
        <w:rPr>
          <w:rFonts w:ascii="Arial Bold" w:hAnsi="Arial Bold"/>
          <w:caps/>
          <w:sz w:val="32"/>
        </w:rPr>
        <w:t xml:space="preserve">october </w:t>
      </w:r>
      <w:r>
        <w:rPr>
          <w:rFonts w:ascii="Arial Bold" w:hAnsi="Arial Bold"/>
          <w:caps/>
          <w:sz w:val="32"/>
        </w:rPr>
        <w:t>2022</w:t>
      </w:r>
    </w:p>
    <w:p w14:paraId="69DEB19C" w14:textId="77777777" w:rsidR="00C058F8" w:rsidRPr="001D1D3D" w:rsidRDefault="00C058F8" w:rsidP="00C058F8"/>
    <w:p w14:paraId="5AC75B8C" w14:textId="77777777" w:rsidR="009A16F9" w:rsidRPr="00BE572B" w:rsidRDefault="009A16F9" w:rsidP="00BE572B">
      <w:pPr>
        <w:rPr>
          <w:lang w:val="en-US"/>
        </w:rPr>
      </w:pPr>
    </w:p>
    <w:p w14:paraId="63B00CE4" w14:textId="77777777" w:rsidR="00554254" w:rsidRPr="00BE572B" w:rsidRDefault="00554254" w:rsidP="00CC5E15">
      <w:pPr>
        <w:pStyle w:val="Heading2"/>
        <w:rPr>
          <w:bCs w:val="0"/>
          <w:sz w:val="28"/>
        </w:rPr>
      </w:pPr>
      <w:r w:rsidRPr="00BE572B">
        <w:rPr>
          <w:bCs w:val="0"/>
          <w:sz w:val="28"/>
        </w:rPr>
        <w:t xml:space="preserve">Summary </w:t>
      </w:r>
    </w:p>
    <w:p w14:paraId="3E375338" w14:textId="301F6A8C" w:rsidR="001E0444" w:rsidRPr="004E2061" w:rsidRDefault="00256A54" w:rsidP="001E0444">
      <w:pPr>
        <w:shd w:val="clear" w:color="auto" w:fill="FFFFFF"/>
        <w:spacing w:before="300" w:after="300"/>
        <w:rPr>
          <w:rFonts w:cs="Arial"/>
          <w:color w:val="0B0C0C"/>
          <w:sz w:val="26"/>
          <w:szCs w:val="26"/>
          <w:lang w:eastAsia="en-GB"/>
        </w:rPr>
      </w:pPr>
      <w:r w:rsidRPr="004E2061">
        <w:rPr>
          <w:rFonts w:cs="Arial"/>
          <w:color w:val="0B0C0C"/>
          <w:sz w:val="26"/>
          <w:szCs w:val="26"/>
          <w:lang w:eastAsia="en-GB"/>
        </w:rPr>
        <w:t xml:space="preserve">This document </w:t>
      </w:r>
      <w:r w:rsidR="00F010F0" w:rsidRPr="004E2061">
        <w:rPr>
          <w:rFonts w:cs="Arial"/>
          <w:color w:val="0B0C0C"/>
          <w:sz w:val="26"/>
          <w:szCs w:val="26"/>
          <w:lang w:eastAsia="en-GB"/>
        </w:rPr>
        <w:t>aims to summarise</w:t>
      </w:r>
      <w:r w:rsidR="0090103B" w:rsidRPr="004E2061">
        <w:rPr>
          <w:rFonts w:cs="Arial"/>
          <w:color w:val="0B0C0C"/>
          <w:sz w:val="26"/>
          <w:szCs w:val="26"/>
          <w:lang w:eastAsia="en-GB"/>
        </w:rPr>
        <w:t xml:space="preserve"> how </w:t>
      </w:r>
      <w:r w:rsidR="007F1A28" w:rsidRPr="004E2061">
        <w:rPr>
          <w:rFonts w:cs="Arial"/>
          <w:color w:val="0B0C0C"/>
          <w:sz w:val="26"/>
          <w:szCs w:val="26"/>
          <w:lang w:eastAsia="en-GB"/>
        </w:rPr>
        <w:t xml:space="preserve">the cost of care estimates presented in Annex </w:t>
      </w:r>
      <w:r w:rsidR="00284451" w:rsidRPr="004E2061">
        <w:rPr>
          <w:rFonts w:cs="Arial"/>
          <w:color w:val="0B0C0C"/>
          <w:sz w:val="26"/>
          <w:szCs w:val="26"/>
          <w:lang w:eastAsia="en-GB"/>
        </w:rPr>
        <w:t>A;</w:t>
      </w:r>
      <w:r w:rsidR="007F1A28" w:rsidRPr="004E2061">
        <w:rPr>
          <w:rFonts w:cs="Arial"/>
          <w:color w:val="0B0C0C"/>
          <w:sz w:val="26"/>
          <w:szCs w:val="26"/>
          <w:lang w:eastAsia="en-GB"/>
        </w:rPr>
        <w:t xml:space="preserve"> </w:t>
      </w:r>
      <w:r w:rsidR="001A79B1" w:rsidRPr="004E2061">
        <w:rPr>
          <w:rFonts w:cs="Arial"/>
          <w:color w:val="0B0C0C"/>
          <w:sz w:val="26"/>
          <w:szCs w:val="26"/>
          <w:lang w:eastAsia="en-GB"/>
        </w:rPr>
        <w:t>section</w:t>
      </w:r>
      <w:r w:rsidR="001E0444" w:rsidRPr="004E2061">
        <w:rPr>
          <w:rFonts w:cs="Arial"/>
          <w:color w:val="0B0C0C"/>
          <w:sz w:val="26"/>
          <w:szCs w:val="26"/>
          <w:lang w:eastAsia="en-GB"/>
        </w:rPr>
        <w:t xml:space="preserve"> 3 was arrived at:</w:t>
      </w:r>
    </w:p>
    <w:p w14:paraId="1E5F5DD6" w14:textId="5CEC737B" w:rsidR="002037EE" w:rsidRPr="00BE572B" w:rsidRDefault="001E0444" w:rsidP="00910327">
      <w:pPr>
        <w:pStyle w:val="Heading2"/>
        <w:numPr>
          <w:ilvl w:val="0"/>
          <w:numId w:val="2"/>
        </w:numPr>
        <w:ind w:hanging="720"/>
        <w:rPr>
          <w:bCs w:val="0"/>
          <w:sz w:val="28"/>
        </w:rPr>
      </w:pPr>
      <w:r>
        <w:rPr>
          <w:bCs w:val="0"/>
          <w:sz w:val="28"/>
        </w:rPr>
        <w:t xml:space="preserve">Response Rate of The Exercise </w:t>
      </w:r>
    </w:p>
    <w:p w14:paraId="66E72584" w14:textId="77777777" w:rsidR="00BF6140" w:rsidRDefault="00BF6140" w:rsidP="4D9AE888">
      <w:pPr>
        <w:shd w:val="clear" w:color="auto" w:fill="FFFFFF" w:themeFill="background1"/>
        <w:spacing w:after="75"/>
        <w:rPr>
          <w:lang w:val="en-US"/>
        </w:rPr>
      </w:pPr>
    </w:p>
    <w:p w14:paraId="46214AA0" w14:textId="77777777" w:rsidR="002212EB" w:rsidRDefault="002212EB" w:rsidP="3B2F722A">
      <w:pPr>
        <w:ind w:left="720"/>
        <w:jc w:val="both"/>
        <w:rPr>
          <w:b/>
          <w:bCs/>
        </w:rPr>
      </w:pPr>
      <w:r w:rsidRPr="2C803594">
        <w:rPr>
          <w:b/>
          <w:bCs/>
        </w:rPr>
        <w:t xml:space="preserve">Market Engagement </w:t>
      </w:r>
    </w:p>
    <w:p w14:paraId="4B448F67" w14:textId="77777777" w:rsidR="002212EB" w:rsidRDefault="002212EB" w:rsidP="3B2F722A">
      <w:pPr>
        <w:ind w:left="720"/>
        <w:jc w:val="both"/>
        <w:rPr>
          <w:b/>
          <w:bCs/>
        </w:rPr>
      </w:pPr>
    </w:p>
    <w:p w14:paraId="2B66010A" w14:textId="0638C75B" w:rsidR="2111F980" w:rsidRDefault="2111F980" w:rsidP="3B2F722A">
      <w:pPr>
        <w:ind w:left="720"/>
        <w:jc w:val="both"/>
        <w:rPr>
          <w:rFonts w:eastAsia="Arial" w:cs="Arial"/>
          <w:lang w:val="en-US"/>
        </w:rPr>
      </w:pPr>
      <w:r w:rsidRPr="745FC6BE">
        <w:rPr>
          <w:rFonts w:eastAsia="Arial" w:cs="Arial"/>
          <w:lang w:val="en-US"/>
        </w:rPr>
        <w:t xml:space="preserve">Medway Council </w:t>
      </w:r>
      <w:r w:rsidR="1B40E8A4" w:rsidRPr="745FC6BE">
        <w:rPr>
          <w:rFonts w:eastAsia="Arial" w:cs="Arial"/>
          <w:lang w:val="en-US"/>
        </w:rPr>
        <w:t xml:space="preserve">made care providers aware of the upcoming Fair Cost of Care exercise </w:t>
      </w:r>
      <w:r w:rsidR="604C6439" w:rsidRPr="745FC6BE">
        <w:rPr>
          <w:rFonts w:eastAsia="Arial" w:cs="Arial"/>
          <w:lang w:val="en-US"/>
        </w:rPr>
        <w:t>in March 2022</w:t>
      </w:r>
      <w:r w:rsidR="38F5FD15" w:rsidRPr="745FC6BE">
        <w:rPr>
          <w:rFonts w:eastAsia="Arial" w:cs="Arial"/>
          <w:lang w:val="en-US"/>
        </w:rPr>
        <w:t>, w</w:t>
      </w:r>
      <w:r w:rsidR="604C6439" w:rsidRPr="745FC6BE">
        <w:rPr>
          <w:rFonts w:eastAsia="Arial" w:cs="Arial"/>
          <w:lang w:val="en-US"/>
        </w:rPr>
        <w:t xml:space="preserve">ith providers being asked to engage in this process </w:t>
      </w:r>
      <w:r w:rsidR="4E8FCDFB" w:rsidRPr="745FC6BE">
        <w:rPr>
          <w:rFonts w:eastAsia="Arial" w:cs="Arial"/>
          <w:lang w:val="en-US"/>
        </w:rPr>
        <w:t xml:space="preserve">within our fee uplift </w:t>
      </w:r>
      <w:r w:rsidR="5D962E9C" w:rsidRPr="745FC6BE">
        <w:rPr>
          <w:rFonts w:eastAsia="Arial" w:cs="Arial"/>
          <w:lang w:val="en-US"/>
        </w:rPr>
        <w:t>communications</w:t>
      </w:r>
      <w:r w:rsidR="0A8CB6AA" w:rsidRPr="745FC6BE">
        <w:rPr>
          <w:rFonts w:eastAsia="Arial" w:cs="Arial"/>
          <w:lang w:val="en-US"/>
        </w:rPr>
        <w:t>.</w:t>
      </w:r>
      <w:r w:rsidR="2773317B" w:rsidRPr="745FC6BE">
        <w:rPr>
          <w:rFonts w:eastAsia="Arial" w:cs="Arial"/>
          <w:lang w:val="en-US"/>
        </w:rPr>
        <w:t xml:space="preserve"> </w:t>
      </w:r>
      <w:r w:rsidR="0A8CB6AA" w:rsidRPr="745FC6BE">
        <w:rPr>
          <w:rFonts w:eastAsia="Arial" w:cs="Arial"/>
          <w:lang w:val="en-US"/>
        </w:rPr>
        <w:t xml:space="preserve">Continued </w:t>
      </w:r>
      <w:r w:rsidRPr="745FC6BE">
        <w:rPr>
          <w:rFonts w:eastAsia="Arial" w:cs="Arial"/>
          <w:lang w:val="en-US"/>
        </w:rPr>
        <w:t>enga</w:t>
      </w:r>
      <w:r w:rsidR="1FF32AB8" w:rsidRPr="745FC6BE">
        <w:rPr>
          <w:rFonts w:eastAsia="Arial" w:cs="Arial"/>
          <w:lang w:val="en-US"/>
        </w:rPr>
        <w:t>ge</w:t>
      </w:r>
      <w:r w:rsidR="3305E171" w:rsidRPr="745FC6BE">
        <w:rPr>
          <w:rFonts w:eastAsia="Arial" w:cs="Arial"/>
          <w:lang w:val="en-US"/>
        </w:rPr>
        <w:t>ment</w:t>
      </w:r>
      <w:r w:rsidRPr="745FC6BE">
        <w:rPr>
          <w:rFonts w:eastAsia="Arial" w:cs="Arial"/>
          <w:lang w:val="en-US"/>
        </w:rPr>
        <w:t xml:space="preserve"> </w:t>
      </w:r>
      <w:r w:rsidR="4BBC49BE" w:rsidRPr="745FC6BE">
        <w:rPr>
          <w:rFonts w:eastAsia="Arial" w:cs="Arial"/>
          <w:lang w:val="en-US"/>
        </w:rPr>
        <w:t>took place</w:t>
      </w:r>
      <w:r w:rsidRPr="745FC6BE">
        <w:rPr>
          <w:rFonts w:eastAsia="Arial" w:cs="Arial"/>
          <w:lang w:val="en-US"/>
        </w:rPr>
        <w:t xml:space="preserve"> during May</w:t>
      </w:r>
      <w:r w:rsidR="33B35170" w:rsidRPr="745FC6BE">
        <w:rPr>
          <w:rFonts w:eastAsia="Arial" w:cs="Arial"/>
          <w:lang w:val="en-US"/>
        </w:rPr>
        <w:t xml:space="preserve"> 2022</w:t>
      </w:r>
      <w:r w:rsidRPr="745FC6BE">
        <w:rPr>
          <w:rFonts w:eastAsia="Arial" w:cs="Arial"/>
          <w:lang w:val="en-US"/>
        </w:rPr>
        <w:t xml:space="preserve">, making providers aware this exercise was due to take place and that they would need to dedicate time to </w:t>
      </w:r>
      <w:r w:rsidR="221D7810" w:rsidRPr="745FC6BE">
        <w:rPr>
          <w:rFonts w:eastAsia="Arial" w:cs="Arial"/>
          <w:lang w:val="en-US"/>
        </w:rPr>
        <w:t>it</w:t>
      </w:r>
      <w:r w:rsidR="162F85B3" w:rsidRPr="745FC6BE">
        <w:rPr>
          <w:rFonts w:eastAsia="Arial" w:cs="Arial"/>
          <w:lang w:val="en-US"/>
        </w:rPr>
        <w:t xml:space="preserve"> in</w:t>
      </w:r>
      <w:r w:rsidRPr="745FC6BE">
        <w:rPr>
          <w:rFonts w:eastAsia="Arial" w:cs="Arial"/>
          <w:lang w:val="en-US"/>
        </w:rPr>
        <w:t xml:space="preserve"> June</w:t>
      </w:r>
      <w:r w:rsidR="4AEA04EA" w:rsidRPr="745FC6BE">
        <w:rPr>
          <w:rFonts w:eastAsia="Arial" w:cs="Arial"/>
          <w:lang w:val="en-US"/>
        </w:rPr>
        <w:t xml:space="preserve"> 2022</w:t>
      </w:r>
      <w:r w:rsidRPr="745FC6BE">
        <w:rPr>
          <w:rFonts w:eastAsia="Arial" w:cs="Arial"/>
          <w:lang w:val="en-US"/>
        </w:rPr>
        <w:t>. This engagement took place through</w:t>
      </w:r>
      <w:r w:rsidR="308722CB" w:rsidRPr="745FC6BE">
        <w:rPr>
          <w:rFonts w:eastAsia="Arial" w:cs="Arial"/>
          <w:lang w:val="en-US"/>
        </w:rPr>
        <w:t xml:space="preserve"> p</w:t>
      </w:r>
      <w:r w:rsidRPr="745FC6BE">
        <w:rPr>
          <w:rFonts w:eastAsia="Arial" w:cs="Arial"/>
          <w:lang w:val="en-US"/>
        </w:rPr>
        <w:t xml:space="preserve">rovider </w:t>
      </w:r>
      <w:r w:rsidR="618A4714" w:rsidRPr="745FC6BE">
        <w:rPr>
          <w:rFonts w:eastAsia="Arial" w:cs="Arial"/>
          <w:lang w:val="en-US"/>
        </w:rPr>
        <w:t>f</w:t>
      </w:r>
      <w:r w:rsidRPr="745FC6BE">
        <w:rPr>
          <w:rFonts w:eastAsia="Arial" w:cs="Arial"/>
          <w:lang w:val="en-US"/>
        </w:rPr>
        <w:t xml:space="preserve">orums, </w:t>
      </w:r>
      <w:r w:rsidR="336D7C16" w:rsidRPr="745FC6BE">
        <w:rPr>
          <w:rFonts w:eastAsia="Arial" w:cs="Arial"/>
          <w:lang w:val="en-US"/>
        </w:rPr>
        <w:t>postings on</w:t>
      </w:r>
      <w:r w:rsidR="4DFA4873" w:rsidRPr="745FC6BE">
        <w:rPr>
          <w:rFonts w:eastAsia="Arial" w:cs="Arial"/>
          <w:lang w:val="en-US"/>
        </w:rPr>
        <w:t>line on</w:t>
      </w:r>
      <w:r w:rsidR="336D7C16" w:rsidRPr="745FC6BE">
        <w:rPr>
          <w:rFonts w:eastAsia="Arial" w:cs="Arial"/>
          <w:lang w:val="en-US"/>
        </w:rPr>
        <w:t xml:space="preserve"> </w:t>
      </w:r>
      <w:r w:rsidRPr="745FC6BE">
        <w:rPr>
          <w:rFonts w:eastAsia="Arial" w:cs="Arial"/>
          <w:lang w:val="en-US"/>
        </w:rPr>
        <w:t>The Medway Care Porta</w:t>
      </w:r>
      <w:r w:rsidR="4F92A761" w:rsidRPr="745FC6BE">
        <w:rPr>
          <w:rFonts w:eastAsia="Arial" w:cs="Arial"/>
          <w:lang w:val="en-US"/>
        </w:rPr>
        <w:t>l</w:t>
      </w:r>
      <w:r w:rsidR="28B0C7B9" w:rsidRPr="745FC6BE">
        <w:rPr>
          <w:rFonts w:eastAsia="Arial" w:cs="Arial"/>
          <w:lang w:val="en-US"/>
        </w:rPr>
        <w:t xml:space="preserve"> </w:t>
      </w:r>
      <w:r w:rsidRPr="745FC6BE">
        <w:rPr>
          <w:rFonts w:eastAsia="Arial" w:cs="Arial"/>
          <w:lang w:val="en-US"/>
        </w:rPr>
        <w:t xml:space="preserve">and through engagement with </w:t>
      </w:r>
      <w:r w:rsidR="486FA1EA" w:rsidRPr="745FC6BE">
        <w:rPr>
          <w:rFonts w:eastAsia="Arial" w:cs="Arial"/>
          <w:lang w:val="en-US"/>
        </w:rPr>
        <w:t xml:space="preserve">representatives from </w:t>
      </w:r>
      <w:r w:rsidRPr="745FC6BE">
        <w:rPr>
          <w:rFonts w:eastAsia="Arial" w:cs="Arial"/>
          <w:lang w:val="en-US"/>
        </w:rPr>
        <w:t>Medway’s Registered Mangers Network meeting.</w:t>
      </w:r>
    </w:p>
    <w:p w14:paraId="5E7F23FE" w14:textId="7F560CE6" w:rsidR="4D9AE888" w:rsidRDefault="4D9AE888" w:rsidP="3B2F722A">
      <w:pPr>
        <w:ind w:left="720"/>
        <w:jc w:val="both"/>
        <w:rPr>
          <w:rFonts w:eastAsia="Arial" w:cs="Arial"/>
          <w:i/>
          <w:iCs/>
          <w:highlight w:val="yellow"/>
          <w:lang w:val="en-US"/>
        </w:rPr>
      </w:pPr>
    </w:p>
    <w:p w14:paraId="414C8F0A" w14:textId="62BFC1DD" w:rsidR="6F40F76E" w:rsidRDefault="6F40F76E" w:rsidP="3B2F722A">
      <w:pPr>
        <w:ind w:left="720"/>
        <w:jc w:val="both"/>
        <w:rPr>
          <w:rFonts w:eastAsia="Arial" w:cs="Arial"/>
          <w:lang w:val="en-US"/>
        </w:rPr>
      </w:pPr>
      <w:r w:rsidRPr="3B2F722A">
        <w:rPr>
          <w:rFonts w:eastAsia="Arial" w:cs="Arial"/>
          <w:lang w:val="en-US"/>
        </w:rPr>
        <w:t xml:space="preserve">The Fair Cost of Care exercise was formally launched on 26 May 2022. </w:t>
      </w:r>
      <w:r w:rsidR="74B7FFB6" w:rsidRPr="3B2F722A">
        <w:rPr>
          <w:rFonts w:eastAsia="Arial" w:cs="Arial"/>
          <w:lang w:val="en-US"/>
        </w:rPr>
        <w:t>The deadline</w:t>
      </w:r>
      <w:r w:rsidRPr="3B2F722A">
        <w:rPr>
          <w:rFonts w:eastAsia="Arial" w:cs="Arial"/>
          <w:lang w:val="en-US"/>
        </w:rPr>
        <w:t xml:space="preserve"> given was 17 June 2022, however this was </w:t>
      </w:r>
      <w:r w:rsidR="4D5AB2F6" w:rsidRPr="3B2F722A">
        <w:rPr>
          <w:rFonts w:eastAsia="Arial" w:cs="Arial"/>
          <w:lang w:val="en-US"/>
        </w:rPr>
        <w:t xml:space="preserve">subsequently </w:t>
      </w:r>
      <w:r w:rsidRPr="3B2F722A">
        <w:rPr>
          <w:rFonts w:eastAsia="Arial" w:cs="Arial"/>
          <w:lang w:val="en-US"/>
        </w:rPr>
        <w:t>extended</w:t>
      </w:r>
      <w:r w:rsidR="15658D1E" w:rsidRPr="3B2F722A">
        <w:rPr>
          <w:rFonts w:eastAsia="Arial" w:cs="Arial"/>
          <w:lang w:val="en-US"/>
        </w:rPr>
        <w:t xml:space="preserve">. Responses </w:t>
      </w:r>
      <w:r w:rsidR="2CF64E84" w:rsidRPr="3B2F722A">
        <w:rPr>
          <w:rFonts w:eastAsia="Arial" w:cs="Arial"/>
          <w:lang w:val="en-US"/>
        </w:rPr>
        <w:t xml:space="preserve">from providers </w:t>
      </w:r>
      <w:r w:rsidR="15658D1E" w:rsidRPr="3B2F722A">
        <w:rPr>
          <w:rFonts w:eastAsia="Arial" w:cs="Arial"/>
          <w:lang w:val="en-US"/>
        </w:rPr>
        <w:t xml:space="preserve">continued to be accepted up to 6 July 2022. </w:t>
      </w:r>
    </w:p>
    <w:p w14:paraId="463333BB" w14:textId="587ED788" w:rsidR="4D9AE888" w:rsidRDefault="4D9AE888" w:rsidP="3B2F722A">
      <w:pPr>
        <w:ind w:left="720"/>
        <w:jc w:val="both"/>
        <w:rPr>
          <w:rFonts w:eastAsia="Arial" w:cs="Arial"/>
          <w:lang w:val="en-US"/>
        </w:rPr>
      </w:pPr>
    </w:p>
    <w:p w14:paraId="073F9D86" w14:textId="23BF4143" w:rsidR="276497E3" w:rsidRDefault="276497E3" w:rsidP="3B2F722A">
      <w:pPr>
        <w:ind w:left="720"/>
        <w:jc w:val="both"/>
        <w:rPr>
          <w:rFonts w:eastAsia="Arial" w:cs="Arial"/>
          <w:lang w:val="en-US"/>
        </w:rPr>
      </w:pPr>
      <w:r w:rsidRPr="7A9534D2">
        <w:rPr>
          <w:rFonts w:eastAsia="Arial" w:cs="Arial"/>
          <w:lang w:val="en-US"/>
        </w:rPr>
        <w:t>Whilst the Fair Cost of Care exercise was live</w:t>
      </w:r>
      <w:r w:rsidR="704487CF" w:rsidRPr="7A9534D2">
        <w:rPr>
          <w:rFonts w:eastAsia="Arial" w:cs="Arial"/>
          <w:lang w:val="en-US"/>
        </w:rPr>
        <w:t>,</w:t>
      </w:r>
      <w:r w:rsidRPr="7A9534D2">
        <w:rPr>
          <w:rFonts w:eastAsia="Arial" w:cs="Arial"/>
          <w:lang w:val="en-US"/>
        </w:rPr>
        <w:t xml:space="preserve"> </w:t>
      </w:r>
      <w:r w:rsidR="5A5BC6DD" w:rsidRPr="7A9534D2">
        <w:rPr>
          <w:rFonts w:eastAsia="Arial" w:cs="Arial"/>
          <w:lang w:val="en-US"/>
        </w:rPr>
        <w:t xml:space="preserve">care </w:t>
      </w:r>
      <w:r w:rsidRPr="7A9534D2">
        <w:rPr>
          <w:rFonts w:eastAsia="Arial" w:cs="Arial"/>
          <w:lang w:val="en-US"/>
        </w:rPr>
        <w:t xml:space="preserve">providers were engaged with through a range of methods, these included: </w:t>
      </w:r>
    </w:p>
    <w:p w14:paraId="02870FD6" w14:textId="2B71521F" w:rsidR="276497E3" w:rsidRDefault="276497E3" w:rsidP="3B2F722A">
      <w:pPr>
        <w:pStyle w:val="ListParagraph"/>
        <w:numPr>
          <w:ilvl w:val="0"/>
          <w:numId w:val="1"/>
        </w:numPr>
        <w:jc w:val="both"/>
        <w:rPr>
          <w:rFonts w:eastAsia="Arial" w:cs="Arial"/>
          <w:lang w:val="en-US"/>
        </w:rPr>
      </w:pPr>
      <w:r w:rsidRPr="3B2F722A">
        <w:rPr>
          <w:rFonts w:eastAsia="Arial" w:cs="Arial"/>
          <w:lang w:val="en-US"/>
        </w:rPr>
        <w:t>Weekly reminder emails</w:t>
      </w:r>
    </w:p>
    <w:p w14:paraId="04F8CAE0" w14:textId="5564D706" w:rsidR="276497E3" w:rsidRDefault="276497E3" w:rsidP="3B2F722A">
      <w:pPr>
        <w:pStyle w:val="ListParagraph"/>
        <w:numPr>
          <w:ilvl w:val="0"/>
          <w:numId w:val="1"/>
        </w:numPr>
        <w:jc w:val="both"/>
        <w:rPr>
          <w:rFonts w:eastAsia="Arial" w:cs="Arial"/>
          <w:lang w:val="en-US"/>
        </w:rPr>
      </w:pPr>
      <w:r w:rsidRPr="3B2F722A">
        <w:rPr>
          <w:rFonts w:eastAsia="Arial" w:cs="Arial"/>
          <w:lang w:val="en-US"/>
        </w:rPr>
        <w:t xml:space="preserve">Weekly articles in our provider newsletter produced and circulated by Adults Partnership Commissioning </w:t>
      </w:r>
    </w:p>
    <w:p w14:paraId="413A5496" w14:textId="725248B8" w:rsidR="276497E3" w:rsidRDefault="276497E3" w:rsidP="3B2F722A">
      <w:pPr>
        <w:pStyle w:val="ListParagraph"/>
        <w:numPr>
          <w:ilvl w:val="0"/>
          <w:numId w:val="1"/>
        </w:numPr>
        <w:jc w:val="both"/>
        <w:rPr>
          <w:rFonts w:eastAsia="Arial" w:cs="Arial"/>
          <w:lang w:val="en-US"/>
        </w:rPr>
      </w:pPr>
      <w:r w:rsidRPr="3B2F722A">
        <w:rPr>
          <w:rFonts w:eastAsia="Arial" w:cs="Arial"/>
          <w:lang w:val="en-US"/>
        </w:rPr>
        <w:t>A dedicated page on the Medway Care Portal website, this included various articles and the publication of supporting do</w:t>
      </w:r>
      <w:r w:rsidR="032BF51C" w:rsidRPr="3B2F722A">
        <w:rPr>
          <w:rFonts w:eastAsia="Arial" w:cs="Arial"/>
          <w:lang w:val="en-US"/>
        </w:rPr>
        <w:t xml:space="preserve">cuments </w:t>
      </w:r>
    </w:p>
    <w:p w14:paraId="57F1001A" w14:textId="5AA9B472" w:rsidR="5C15919E" w:rsidRDefault="032BF51C" w:rsidP="79A42DA5">
      <w:pPr>
        <w:pStyle w:val="ListParagraph"/>
        <w:numPr>
          <w:ilvl w:val="0"/>
          <w:numId w:val="1"/>
        </w:numPr>
        <w:spacing w:line="259" w:lineRule="auto"/>
        <w:jc w:val="both"/>
        <w:rPr>
          <w:rFonts w:eastAsia="Arial" w:cs="Arial"/>
          <w:lang w:val="en-US"/>
        </w:rPr>
      </w:pPr>
      <w:r w:rsidRPr="756A51A0">
        <w:rPr>
          <w:rFonts w:eastAsia="Arial" w:cs="Arial"/>
          <w:lang w:val="en-US"/>
        </w:rPr>
        <w:t xml:space="preserve">Discussions with providers a provider forums, </w:t>
      </w:r>
      <w:r w:rsidR="000E22FC" w:rsidRPr="756A51A0">
        <w:rPr>
          <w:rFonts w:eastAsia="Arial" w:cs="Arial"/>
          <w:lang w:val="en-US"/>
        </w:rPr>
        <w:t>events,</w:t>
      </w:r>
      <w:r w:rsidRPr="756A51A0">
        <w:rPr>
          <w:rFonts w:eastAsia="Arial" w:cs="Arial"/>
          <w:lang w:val="en-US"/>
        </w:rPr>
        <w:t xml:space="preserve"> and other meetings </w:t>
      </w:r>
    </w:p>
    <w:p w14:paraId="17CF75DC" w14:textId="341A3A42" w:rsidR="5C15919E" w:rsidRDefault="5C15919E" w:rsidP="79A42DA5">
      <w:pPr>
        <w:pStyle w:val="ListParagraph"/>
        <w:numPr>
          <w:ilvl w:val="0"/>
          <w:numId w:val="1"/>
        </w:numPr>
        <w:spacing w:line="259" w:lineRule="auto"/>
        <w:jc w:val="both"/>
        <w:rPr>
          <w:rFonts w:eastAsia="Arial" w:cs="Arial"/>
          <w:lang w:val="en-US"/>
        </w:rPr>
      </w:pPr>
      <w:r w:rsidRPr="715960E3">
        <w:rPr>
          <w:rFonts w:eastAsia="Arial" w:cs="Arial"/>
          <w:lang w:val="en-US"/>
        </w:rPr>
        <w:t xml:space="preserve">Ongoing support provided (via email, telephone calls and virtual meeting) on request to support providers complete the </w:t>
      </w:r>
      <w:r w:rsidR="00475D18" w:rsidRPr="715960E3">
        <w:rPr>
          <w:rFonts w:eastAsia="Arial" w:cs="Arial"/>
          <w:lang w:val="en-US"/>
        </w:rPr>
        <w:t xml:space="preserve">toolkit </w:t>
      </w:r>
    </w:p>
    <w:p w14:paraId="53573D00" w14:textId="4B828D0A" w:rsidR="00D438B7" w:rsidRPr="00D438B7" w:rsidRDefault="00D438B7" w:rsidP="715960E3">
      <w:pPr>
        <w:spacing w:line="259" w:lineRule="auto"/>
        <w:ind w:left="360"/>
        <w:jc w:val="both"/>
        <w:rPr>
          <w:rFonts w:eastAsia="Arial" w:cs="Arial"/>
          <w:lang w:val="en-US"/>
        </w:rPr>
      </w:pPr>
    </w:p>
    <w:p w14:paraId="6DE39D45" w14:textId="010E87CC" w:rsidR="00D438B7" w:rsidRPr="00D438B7" w:rsidRDefault="250A231C" w:rsidP="715960E3">
      <w:pPr>
        <w:spacing w:line="259" w:lineRule="auto"/>
        <w:ind w:left="720"/>
        <w:jc w:val="both"/>
        <w:rPr>
          <w:rFonts w:eastAsia="Arial" w:cs="Arial"/>
          <w:lang w:val="en-US"/>
        </w:rPr>
      </w:pPr>
      <w:r w:rsidRPr="51EE4DE1">
        <w:rPr>
          <w:rFonts w:eastAsia="Arial" w:cs="Arial"/>
          <w:lang w:val="en-US"/>
        </w:rPr>
        <w:t>Following the submission of returns M</w:t>
      </w:r>
      <w:r w:rsidR="562EB9E2" w:rsidRPr="51EE4DE1">
        <w:rPr>
          <w:rFonts w:eastAsia="Arial" w:cs="Arial"/>
          <w:lang w:val="en-US"/>
        </w:rPr>
        <w:t xml:space="preserve">edway Council undertook an exercise to </w:t>
      </w:r>
      <w:r w:rsidR="7BC670C6" w:rsidRPr="51EE4DE1">
        <w:rPr>
          <w:rFonts w:eastAsia="Arial" w:cs="Arial"/>
          <w:lang w:val="en-US"/>
        </w:rPr>
        <w:t>sense check</w:t>
      </w:r>
      <w:r w:rsidR="562EB9E2" w:rsidRPr="51EE4DE1">
        <w:rPr>
          <w:rFonts w:eastAsia="Arial" w:cs="Arial"/>
          <w:lang w:val="en-US"/>
        </w:rPr>
        <w:t xml:space="preserve"> the returns received.</w:t>
      </w:r>
      <w:r w:rsidR="6C9E0EB4" w:rsidRPr="51EE4DE1">
        <w:rPr>
          <w:rFonts w:eastAsia="Arial" w:cs="Arial"/>
          <w:lang w:val="en-US"/>
        </w:rPr>
        <w:t xml:space="preserve"> This included contact with providers to review </w:t>
      </w:r>
      <w:r w:rsidR="133C611A" w:rsidRPr="51EE4DE1">
        <w:rPr>
          <w:rFonts w:eastAsia="Arial" w:cs="Arial"/>
          <w:lang w:val="en-US"/>
        </w:rPr>
        <w:t>elements of their returns</w:t>
      </w:r>
      <w:r w:rsidR="6C9E0EB4" w:rsidRPr="51EE4DE1">
        <w:rPr>
          <w:rFonts w:eastAsia="Arial" w:cs="Arial"/>
          <w:lang w:val="en-US"/>
        </w:rPr>
        <w:t xml:space="preserve">, where a </w:t>
      </w:r>
      <w:r w:rsidR="61947FFC" w:rsidRPr="51EE4DE1">
        <w:rPr>
          <w:rFonts w:eastAsia="Arial" w:cs="Arial"/>
          <w:lang w:val="en-US"/>
        </w:rPr>
        <w:t>particular</w:t>
      </w:r>
      <w:r w:rsidR="6C9E0EB4" w:rsidRPr="51EE4DE1">
        <w:rPr>
          <w:rFonts w:eastAsia="Arial" w:cs="Arial"/>
          <w:lang w:val="en-US"/>
        </w:rPr>
        <w:t xml:space="preserve"> element was significantly above </w:t>
      </w:r>
      <w:r w:rsidR="6C9E0EB4" w:rsidRPr="51EE4DE1">
        <w:rPr>
          <w:rFonts w:eastAsia="Arial" w:cs="Arial"/>
          <w:lang w:val="en-US"/>
        </w:rPr>
        <w:lastRenderedPageBreak/>
        <w:t xml:space="preserve">the </w:t>
      </w:r>
      <w:r w:rsidR="730C2B8D" w:rsidRPr="51EE4DE1">
        <w:rPr>
          <w:rFonts w:eastAsia="Arial" w:cs="Arial"/>
          <w:lang w:val="en-US"/>
        </w:rPr>
        <w:t>median.</w:t>
      </w:r>
      <w:r w:rsidR="4EF72A23" w:rsidRPr="51EE4DE1">
        <w:rPr>
          <w:rFonts w:eastAsia="Arial" w:cs="Arial"/>
          <w:lang w:val="en-US"/>
        </w:rPr>
        <w:t xml:space="preserve"> In addition, providers were asked to review their returns where obvious omissions</w:t>
      </w:r>
      <w:r w:rsidR="2F2A5C57" w:rsidRPr="51EE4DE1">
        <w:rPr>
          <w:rFonts w:eastAsia="Arial" w:cs="Arial"/>
          <w:lang w:val="en-US"/>
        </w:rPr>
        <w:t xml:space="preserve"> or </w:t>
      </w:r>
      <w:r w:rsidR="4FE07FA0" w:rsidRPr="51EE4DE1">
        <w:rPr>
          <w:rFonts w:eastAsia="Arial" w:cs="Arial"/>
          <w:lang w:val="en-US"/>
        </w:rPr>
        <w:t>errors</w:t>
      </w:r>
      <w:r w:rsidR="4EF72A23" w:rsidRPr="51EE4DE1">
        <w:rPr>
          <w:rFonts w:eastAsia="Arial" w:cs="Arial"/>
          <w:lang w:val="en-US"/>
        </w:rPr>
        <w:t xml:space="preserve"> in </w:t>
      </w:r>
      <w:r w:rsidR="076CE3DA" w:rsidRPr="51EE4DE1">
        <w:rPr>
          <w:rFonts w:eastAsia="Arial" w:cs="Arial"/>
          <w:lang w:val="en-US"/>
        </w:rPr>
        <w:t xml:space="preserve">the </w:t>
      </w:r>
      <w:r w:rsidR="4EF72A23" w:rsidRPr="51EE4DE1">
        <w:rPr>
          <w:rFonts w:eastAsia="Arial" w:cs="Arial"/>
          <w:lang w:val="en-US"/>
        </w:rPr>
        <w:t xml:space="preserve">data </w:t>
      </w:r>
      <w:r w:rsidR="533F5DC1" w:rsidRPr="51EE4DE1">
        <w:rPr>
          <w:rFonts w:eastAsia="Arial" w:cs="Arial"/>
          <w:lang w:val="en-US"/>
        </w:rPr>
        <w:t xml:space="preserve">returned </w:t>
      </w:r>
      <w:r w:rsidR="4EF72A23" w:rsidRPr="51EE4DE1">
        <w:rPr>
          <w:rFonts w:eastAsia="Arial" w:cs="Arial"/>
          <w:lang w:val="en-US"/>
        </w:rPr>
        <w:t>had occurred. For example</w:t>
      </w:r>
      <w:r w:rsidR="2F8072C8" w:rsidRPr="51EE4DE1">
        <w:rPr>
          <w:rFonts w:eastAsia="Arial" w:cs="Arial"/>
          <w:lang w:val="en-US"/>
        </w:rPr>
        <w:t>,</w:t>
      </w:r>
      <w:r w:rsidR="4EF72A23" w:rsidRPr="51EE4DE1">
        <w:rPr>
          <w:rFonts w:eastAsia="Arial" w:cs="Arial"/>
          <w:lang w:val="en-US"/>
        </w:rPr>
        <w:t xml:space="preserve"> </w:t>
      </w:r>
      <w:r w:rsidR="1169B620" w:rsidRPr="51EE4DE1">
        <w:rPr>
          <w:rFonts w:eastAsia="Arial" w:cs="Arial"/>
          <w:lang w:val="en-US"/>
        </w:rPr>
        <w:t>providers were asked to review and resubmit the</w:t>
      </w:r>
      <w:r w:rsidR="69AC3DA2" w:rsidRPr="51EE4DE1">
        <w:rPr>
          <w:rFonts w:eastAsia="Arial" w:cs="Arial"/>
          <w:lang w:val="en-US"/>
        </w:rPr>
        <w:t>ir</w:t>
      </w:r>
      <w:r w:rsidR="1169B620" w:rsidRPr="51EE4DE1">
        <w:rPr>
          <w:rFonts w:eastAsia="Arial" w:cs="Arial"/>
          <w:lang w:val="en-US"/>
        </w:rPr>
        <w:t xml:space="preserve"> return </w:t>
      </w:r>
      <w:r w:rsidR="4EF72A23" w:rsidRPr="51EE4DE1">
        <w:rPr>
          <w:rFonts w:eastAsia="Arial" w:cs="Arial"/>
          <w:lang w:val="en-US"/>
        </w:rPr>
        <w:t xml:space="preserve">where </w:t>
      </w:r>
      <w:r w:rsidR="02917130" w:rsidRPr="51EE4DE1">
        <w:rPr>
          <w:rFonts w:eastAsia="Arial" w:cs="Arial"/>
          <w:lang w:val="en-US"/>
        </w:rPr>
        <w:t>a</w:t>
      </w:r>
      <w:r w:rsidR="4EF72A23" w:rsidRPr="51EE4DE1">
        <w:rPr>
          <w:rFonts w:eastAsia="Arial" w:cs="Arial"/>
          <w:lang w:val="en-US"/>
        </w:rPr>
        <w:t xml:space="preserve"> 0% profit margin</w:t>
      </w:r>
      <w:r w:rsidR="4A655D93" w:rsidRPr="51EE4DE1">
        <w:rPr>
          <w:rFonts w:eastAsia="Arial" w:cs="Arial"/>
          <w:lang w:val="en-US"/>
        </w:rPr>
        <w:t xml:space="preserve"> was reported</w:t>
      </w:r>
      <w:r w:rsidR="689F8130" w:rsidRPr="51EE4DE1">
        <w:rPr>
          <w:rFonts w:eastAsia="Arial" w:cs="Arial"/>
          <w:lang w:val="en-US"/>
        </w:rPr>
        <w:t xml:space="preserve"> or </w:t>
      </w:r>
      <w:r w:rsidR="4EF72A23" w:rsidRPr="51EE4DE1">
        <w:rPr>
          <w:rFonts w:eastAsia="Arial" w:cs="Arial"/>
          <w:lang w:val="en-US"/>
        </w:rPr>
        <w:t xml:space="preserve">where spend on </w:t>
      </w:r>
      <w:bookmarkStart w:id="0" w:name="_Int_3XL1zeCu"/>
      <w:r w:rsidR="4EF72A23" w:rsidRPr="51EE4DE1">
        <w:rPr>
          <w:rFonts w:eastAsia="Arial" w:cs="Arial"/>
          <w:lang w:val="en-US"/>
        </w:rPr>
        <w:t>PPE</w:t>
      </w:r>
      <w:bookmarkEnd w:id="0"/>
      <w:r w:rsidR="68029CD5" w:rsidRPr="51EE4DE1">
        <w:rPr>
          <w:rFonts w:eastAsia="Arial" w:cs="Arial"/>
          <w:lang w:val="en-US"/>
        </w:rPr>
        <w:t xml:space="preserve"> was not reflective of future conditions</w:t>
      </w:r>
      <w:r w:rsidR="5727D59F" w:rsidRPr="51EE4DE1">
        <w:rPr>
          <w:rFonts w:eastAsia="Arial" w:cs="Arial"/>
          <w:lang w:val="en-US"/>
        </w:rPr>
        <w:t>. During this process three provider</w:t>
      </w:r>
      <w:r w:rsidR="45973C38" w:rsidRPr="51EE4DE1">
        <w:rPr>
          <w:rFonts w:eastAsia="Arial" w:cs="Arial"/>
          <w:lang w:val="en-US"/>
        </w:rPr>
        <w:t>s</w:t>
      </w:r>
      <w:r w:rsidR="5727D59F" w:rsidRPr="51EE4DE1">
        <w:rPr>
          <w:rFonts w:eastAsia="Arial" w:cs="Arial"/>
          <w:lang w:val="en-US"/>
        </w:rPr>
        <w:t xml:space="preserve"> </w:t>
      </w:r>
      <w:r w:rsidR="5B33B472" w:rsidRPr="51EE4DE1">
        <w:rPr>
          <w:rFonts w:eastAsia="Arial" w:cs="Arial"/>
          <w:lang w:val="en-US"/>
        </w:rPr>
        <w:t>a</w:t>
      </w:r>
      <w:r w:rsidR="5727D59F" w:rsidRPr="51EE4DE1">
        <w:rPr>
          <w:rFonts w:eastAsia="Arial" w:cs="Arial"/>
          <w:lang w:val="en-US"/>
        </w:rPr>
        <w:t>mended and resubmitted</w:t>
      </w:r>
      <w:r w:rsidR="54DF593F" w:rsidRPr="51EE4DE1">
        <w:rPr>
          <w:rFonts w:eastAsia="Arial" w:cs="Arial"/>
          <w:lang w:val="en-US"/>
        </w:rPr>
        <w:t xml:space="preserve"> their returns. </w:t>
      </w:r>
    </w:p>
    <w:p w14:paraId="3FFC1A76" w14:textId="03F8CBCF" w:rsidR="4D9AE888" w:rsidRDefault="4D9AE888" w:rsidP="3B2F722A">
      <w:pPr>
        <w:shd w:val="clear" w:color="auto" w:fill="FFFFFF" w:themeFill="background1"/>
        <w:spacing w:after="75"/>
        <w:ind w:left="720"/>
        <w:jc w:val="both"/>
        <w:rPr>
          <w:lang w:val="en-US"/>
        </w:rPr>
      </w:pPr>
    </w:p>
    <w:p w14:paraId="7FF5DEDA" w14:textId="0E36AE85" w:rsidR="29A7B4C0" w:rsidRDefault="00FB6075" w:rsidP="1474911D">
      <w:pPr>
        <w:pStyle w:val="Heading2"/>
        <w:numPr>
          <w:ilvl w:val="0"/>
          <w:numId w:val="31"/>
        </w:numPr>
        <w:spacing w:line="259" w:lineRule="auto"/>
      </w:pPr>
      <w:r>
        <w:rPr>
          <w:sz w:val="28"/>
          <w:szCs w:val="28"/>
        </w:rPr>
        <w:t xml:space="preserve">    </w:t>
      </w:r>
      <w:r w:rsidR="29A7B4C0" w:rsidRPr="1474911D">
        <w:rPr>
          <w:sz w:val="28"/>
          <w:szCs w:val="28"/>
        </w:rPr>
        <w:t>Response</w:t>
      </w:r>
      <w:r w:rsidR="29A7B4C0" w:rsidRPr="5965C4EA">
        <w:t xml:space="preserve"> Rate </w:t>
      </w:r>
    </w:p>
    <w:p w14:paraId="30533632" w14:textId="77777777" w:rsidR="00577265" w:rsidRPr="00577265" w:rsidRDefault="00577265" w:rsidP="00577265">
      <w:pPr>
        <w:rPr>
          <w:lang w:val="en-US"/>
        </w:rPr>
      </w:pPr>
    </w:p>
    <w:p w14:paraId="77761766" w14:textId="3D540BD4" w:rsidR="4D9AE888" w:rsidRDefault="37F937BF" w:rsidP="3B2F722A">
      <w:pPr>
        <w:spacing w:after="75" w:line="259" w:lineRule="auto"/>
        <w:ind w:left="720"/>
        <w:jc w:val="both"/>
        <w:rPr>
          <w:lang w:val="en-US"/>
        </w:rPr>
      </w:pPr>
      <w:r w:rsidRPr="3B2F722A">
        <w:rPr>
          <w:lang w:val="en-US"/>
        </w:rPr>
        <w:t xml:space="preserve">Of the care providers registered </w:t>
      </w:r>
      <w:r w:rsidR="05204B70" w:rsidRPr="3B2F722A">
        <w:rPr>
          <w:lang w:val="en-US"/>
        </w:rPr>
        <w:t xml:space="preserve">in Medway </w:t>
      </w:r>
      <w:r w:rsidRPr="3B2F722A">
        <w:rPr>
          <w:lang w:val="en-US"/>
        </w:rPr>
        <w:t>by the Care Quality Commis</w:t>
      </w:r>
      <w:r w:rsidR="174BAA58" w:rsidRPr="3B2F722A">
        <w:rPr>
          <w:lang w:val="en-US"/>
        </w:rPr>
        <w:t>sion (CQC)</w:t>
      </w:r>
      <w:r w:rsidRPr="3B2F722A">
        <w:rPr>
          <w:lang w:val="en-US"/>
        </w:rPr>
        <w:t xml:space="preserve"> to deliver </w:t>
      </w:r>
      <w:r w:rsidR="4F0CF761" w:rsidRPr="3B2F722A">
        <w:rPr>
          <w:lang w:val="en-US"/>
        </w:rPr>
        <w:t>community-based</w:t>
      </w:r>
      <w:r w:rsidRPr="3B2F722A">
        <w:rPr>
          <w:lang w:val="en-US"/>
        </w:rPr>
        <w:t xml:space="preserve"> services, </w:t>
      </w:r>
      <w:r w:rsidR="471CE92D" w:rsidRPr="3B2F722A">
        <w:rPr>
          <w:lang w:val="en-US"/>
        </w:rPr>
        <w:t>a</w:t>
      </w:r>
      <w:r w:rsidRPr="3B2F722A">
        <w:rPr>
          <w:lang w:val="en-US"/>
        </w:rPr>
        <w:t xml:space="preserve"> total of 28 care providers were deemed </w:t>
      </w:r>
      <w:r w:rsidR="2A2C1A8C" w:rsidRPr="3B2F722A">
        <w:rPr>
          <w:lang w:val="en-US"/>
        </w:rPr>
        <w:t xml:space="preserve">in scope to </w:t>
      </w:r>
      <w:r w:rsidR="6D8150EF" w:rsidRPr="3B2F722A">
        <w:rPr>
          <w:lang w:val="en-US"/>
        </w:rPr>
        <w:t>input into the exercise</w:t>
      </w:r>
      <w:r w:rsidR="2A2C1A8C" w:rsidRPr="3B2F722A">
        <w:rPr>
          <w:lang w:val="en-US"/>
        </w:rPr>
        <w:t xml:space="preserve">. </w:t>
      </w:r>
    </w:p>
    <w:p w14:paraId="59E75BC3" w14:textId="780F1475" w:rsidR="3A919727" w:rsidRDefault="3A919727" w:rsidP="3A919727">
      <w:pPr>
        <w:spacing w:after="75" w:line="259" w:lineRule="auto"/>
        <w:ind w:left="720"/>
        <w:jc w:val="both"/>
        <w:rPr>
          <w:lang w:val="en-US"/>
        </w:rPr>
      </w:pPr>
    </w:p>
    <w:p w14:paraId="58D56F53" w14:textId="339ED25D" w:rsidR="4D9AE888" w:rsidRDefault="1E567D8C" w:rsidP="3B2F722A">
      <w:pPr>
        <w:spacing w:after="75" w:line="259" w:lineRule="auto"/>
        <w:ind w:left="720"/>
        <w:jc w:val="both"/>
        <w:rPr>
          <w:lang w:val="en-US"/>
        </w:rPr>
      </w:pPr>
      <w:r w:rsidRPr="715960E3">
        <w:rPr>
          <w:lang w:val="en-US"/>
        </w:rPr>
        <w:t xml:space="preserve">Only one </w:t>
      </w:r>
      <w:r w:rsidR="24C49A65" w:rsidRPr="715960E3">
        <w:rPr>
          <w:lang w:val="en-US"/>
        </w:rPr>
        <w:t xml:space="preserve">care </w:t>
      </w:r>
      <w:r w:rsidRPr="715960E3">
        <w:rPr>
          <w:lang w:val="en-US"/>
        </w:rPr>
        <w:t xml:space="preserve">provider </w:t>
      </w:r>
      <w:r w:rsidR="4ED7E091" w:rsidRPr="715960E3">
        <w:rPr>
          <w:lang w:val="en-US"/>
        </w:rPr>
        <w:t>respon</w:t>
      </w:r>
      <w:r w:rsidR="63957C6D" w:rsidRPr="715960E3">
        <w:rPr>
          <w:lang w:val="en-US"/>
        </w:rPr>
        <w:t>d</w:t>
      </w:r>
      <w:r w:rsidR="4ED7E091" w:rsidRPr="715960E3">
        <w:rPr>
          <w:lang w:val="en-US"/>
        </w:rPr>
        <w:t>e</w:t>
      </w:r>
      <w:r w:rsidR="462AECA7" w:rsidRPr="715960E3">
        <w:rPr>
          <w:lang w:val="en-US"/>
        </w:rPr>
        <w:t>d</w:t>
      </w:r>
      <w:r w:rsidRPr="715960E3">
        <w:rPr>
          <w:lang w:val="en-US"/>
        </w:rPr>
        <w:t xml:space="preserve"> to say they would not be providing a response. </w:t>
      </w:r>
      <w:r w:rsidR="4883855E" w:rsidRPr="715960E3">
        <w:rPr>
          <w:lang w:val="en-US"/>
        </w:rPr>
        <w:t>Where a response was received from a provider about their ability to complete the exercise, or to make their intentions known</w:t>
      </w:r>
      <w:r w:rsidR="3CB4081E" w:rsidRPr="715960E3">
        <w:rPr>
          <w:lang w:val="en-US"/>
        </w:rPr>
        <w:t>, all others responded positively to say they intended to</w:t>
      </w:r>
      <w:r w:rsidR="44F83847" w:rsidRPr="715960E3">
        <w:rPr>
          <w:lang w:val="en-US"/>
        </w:rPr>
        <w:t xml:space="preserve"> make a return </w:t>
      </w:r>
      <w:r w:rsidR="3CB4081E" w:rsidRPr="715960E3">
        <w:rPr>
          <w:lang w:val="en-US"/>
        </w:rPr>
        <w:t xml:space="preserve">within the timeframe. </w:t>
      </w:r>
    </w:p>
    <w:p w14:paraId="6EC1FF02" w14:textId="48D2EDAE" w:rsidR="471B7C00" w:rsidRDefault="471B7C00" w:rsidP="471B7C00">
      <w:pPr>
        <w:spacing w:after="75" w:line="259" w:lineRule="auto"/>
        <w:ind w:left="720"/>
        <w:jc w:val="both"/>
        <w:rPr>
          <w:lang w:val="en-US"/>
        </w:rPr>
      </w:pPr>
    </w:p>
    <w:p w14:paraId="0454CC6F" w14:textId="47D7EEAA" w:rsidR="4D9AE888" w:rsidRDefault="48A29CBA" w:rsidP="3B2F722A">
      <w:pPr>
        <w:spacing w:after="75" w:line="259" w:lineRule="auto"/>
        <w:ind w:left="720"/>
        <w:jc w:val="both"/>
        <w:rPr>
          <w:lang w:val="en-US"/>
        </w:rPr>
      </w:pPr>
      <w:r w:rsidRPr="495D4734">
        <w:rPr>
          <w:lang w:val="en-US"/>
        </w:rPr>
        <w:t>Medway Council received 16 responses</w:t>
      </w:r>
      <w:r w:rsidR="4977C2FD" w:rsidRPr="495D4734">
        <w:rPr>
          <w:lang w:val="en-US"/>
        </w:rPr>
        <w:t xml:space="preserve"> in total</w:t>
      </w:r>
      <w:r w:rsidRPr="495D4734">
        <w:rPr>
          <w:lang w:val="en-US"/>
        </w:rPr>
        <w:t xml:space="preserve">. One </w:t>
      </w:r>
      <w:r w:rsidR="246D681A" w:rsidRPr="495D4734">
        <w:rPr>
          <w:lang w:val="en-US"/>
        </w:rPr>
        <w:t>response was</w:t>
      </w:r>
      <w:r w:rsidRPr="495D4734">
        <w:rPr>
          <w:lang w:val="en-US"/>
        </w:rPr>
        <w:t xml:space="preserve"> incomplete, and one </w:t>
      </w:r>
      <w:r w:rsidR="32CDFBAE" w:rsidRPr="495D4734">
        <w:rPr>
          <w:lang w:val="en-US"/>
        </w:rPr>
        <w:t>response has been excluded on the basis the headline figure has been miscalculated.</w:t>
      </w:r>
      <w:r w:rsidR="4A8FACF3" w:rsidRPr="4060EA99">
        <w:rPr>
          <w:lang w:val="en-US"/>
        </w:rPr>
        <w:t xml:space="preserve"> </w:t>
      </w:r>
      <w:r w:rsidR="21ACF931" w:rsidRPr="495D4734">
        <w:rPr>
          <w:lang w:val="en-US"/>
        </w:rPr>
        <w:t>The number of valid responses taken into consideration as part of this exercise is 14. This represents a</w:t>
      </w:r>
      <w:r w:rsidR="526B84D1" w:rsidRPr="495D4734">
        <w:rPr>
          <w:lang w:val="en-US"/>
        </w:rPr>
        <w:t xml:space="preserve">n overall return rate </w:t>
      </w:r>
      <w:r w:rsidR="3FB05562" w:rsidRPr="495D4734">
        <w:rPr>
          <w:lang w:val="en-US"/>
        </w:rPr>
        <w:t xml:space="preserve">from Medway providers </w:t>
      </w:r>
      <w:r w:rsidR="526B84D1" w:rsidRPr="495D4734">
        <w:rPr>
          <w:lang w:val="en-US"/>
        </w:rPr>
        <w:t>of</w:t>
      </w:r>
      <w:r w:rsidR="21ACF931" w:rsidRPr="495D4734">
        <w:rPr>
          <w:lang w:val="en-US"/>
        </w:rPr>
        <w:t xml:space="preserve"> 50%</w:t>
      </w:r>
      <w:r w:rsidR="556AA732" w:rsidRPr="495D4734">
        <w:rPr>
          <w:lang w:val="en-US"/>
        </w:rPr>
        <w:t xml:space="preserve">. </w:t>
      </w:r>
    </w:p>
    <w:p w14:paraId="60740117" w14:textId="4F8B4AC7" w:rsidR="495D4734" w:rsidRDefault="495D4734" w:rsidP="495D4734">
      <w:pPr>
        <w:spacing w:after="75" w:line="259" w:lineRule="auto"/>
        <w:ind w:left="720"/>
        <w:jc w:val="both"/>
        <w:rPr>
          <w:lang w:val="en-US"/>
        </w:rPr>
      </w:pPr>
    </w:p>
    <w:p w14:paraId="1626E6A9" w14:textId="5FB18AE5" w:rsidR="00382654" w:rsidRDefault="00186612" w:rsidP="3EA86C81">
      <w:pPr>
        <w:shd w:val="clear" w:color="auto" w:fill="FFFFFF" w:themeFill="background1"/>
        <w:spacing w:after="75" w:line="259" w:lineRule="auto"/>
        <w:ind w:left="720"/>
        <w:rPr>
          <w:lang w:val="en-US"/>
        </w:rPr>
      </w:pPr>
      <w:r w:rsidRPr="51EE4DE1">
        <w:rPr>
          <w:lang w:val="en-US"/>
        </w:rPr>
        <w:t xml:space="preserve">Despite an overall return rate of 50%, the </w:t>
      </w:r>
      <w:bookmarkStart w:id="1" w:name="_Int_VBrvWr7K"/>
      <w:r w:rsidR="45D9E069" w:rsidRPr="51EE4DE1">
        <w:rPr>
          <w:lang w:val="en-US"/>
        </w:rPr>
        <w:t>relative</w:t>
      </w:r>
      <w:bookmarkEnd w:id="1"/>
      <w:r w:rsidR="45D9E069" w:rsidRPr="51EE4DE1">
        <w:rPr>
          <w:lang w:val="en-US"/>
        </w:rPr>
        <w:t xml:space="preserve"> </w:t>
      </w:r>
      <w:r w:rsidRPr="51EE4DE1">
        <w:rPr>
          <w:lang w:val="en-US"/>
        </w:rPr>
        <w:t xml:space="preserve">high market share </w:t>
      </w:r>
      <w:r w:rsidR="061A05AC" w:rsidRPr="51EE4DE1">
        <w:rPr>
          <w:lang w:val="en-US"/>
        </w:rPr>
        <w:t xml:space="preserve">(70 / 78% when considered as </w:t>
      </w:r>
      <w:r w:rsidR="045A4F39" w:rsidRPr="51EE4DE1">
        <w:rPr>
          <w:lang w:val="en-US"/>
        </w:rPr>
        <w:t>packages</w:t>
      </w:r>
      <w:r w:rsidR="061A05AC" w:rsidRPr="51EE4DE1">
        <w:rPr>
          <w:lang w:val="en-US"/>
        </w:rPr>
        <w:t xml:space="preserve"> of care or </w:t>
      </w:r>
      <w:r w:rsidR="6131F934" w:rsidRPr="51EE4DE1">
        <w:rPr>
          <w:lang w:val="en-US"/>
        </w:rPr>
        <w:t xml:space="preserve">total care </w:t>
      </w:r>
      <w:r w:rsidR="061A05AC" w:rsidRPr="51EE4DE1">
        <w:rPr>
          <w:lang w:val="en-US"/>
        </w:rPr>
        <w:t xml:space="preserve">hours commissioned) </w:t>
      </w:r>
      <w:r w:rsidRPr="51EE4DE1">
        <w:rPr>
          <w:lang w:val="en-US"/>
        </w:rPr>
        <w:t xml:space="preserve">covered by valid returns provides </w:t>
      </w:r>
      <w:r w:rsidR="79B7E264" w:rsidRPr="51EE4DE1">
        <w:rPr>
          <w:lang w:val="en-US"/>
        </w:rPr>
        <w:t xml:space="preserve">a </w:t>
      </w:r>
      <w:r w:rsidRPr="51EE4DE1">
        <w:rPr>
          <w:lang w:val="en-US"/>
        </w:rPr>
        <w:t xml:space="preserve">strong data set to draw conclusions from. </w:t>
      </w:r>
    </w:p>
    <w:p w14:paraId="77E90639" w14:textId="745C4394" w:rsidR="3EA86C81" w:rsidRDefault="3EA86C81" w:rsidP="3EA86C81">
      <w:pPr>
        <w:shd w:val="clear" w:color="auto" w:fill="FFFFFF" w:themeFill="background1"/>
        <w:spacing w:after="75"/>
        <w:ind w:left="720"/>
        <w:rPr>
          <w:lang w:val="en-US"/>
        </w:rPr>
      </w:pPr>
    </w:p>
    <w:p w14:paraId="192928F4" w14:textId="10D2DFC5" w:rsidR="000DEBFA" w:rsidRDefault="00FB6075" w:rsidP="1474911D">
      <w:pPr>
        <w:pStyle w:val="Heading2"/>
        <w:numPr>
          <w:ilvl w:val="0"/>
          <w:numId w:val="28"/>
        </w:numPr>
        <w:spacing w:line="259" w:lineRule="auto"/>
      </w:pPr>
      <w:r>
        <w:rPr>
          <w:sz w:val="28"/>
          <w:szCs w:val="28"/>
        </w:rPr>
        <w:t xml:space="preserve">    </w:t>
      </w:r>
      <w:r w:rsidR="000DEBFA" w:rsidRPr="1474911D">
        <w:rPr>
          <w:sz w:val="28"/>
          <w:szCs w:val="28"/>
        </w:rPr>
        <w:t>Response</w:t>
      </w:r>
      <w:r w:rsidR="000DEBFA" w:rsidRPr="5965C4EA">
        <w:t xml:space="preserve"> Analysis – Market Share </w:t>
      </w:r>
    </w:p>
    <w:p w14:paraId="3CEACEA8" w14:textId="77777777" w:rsidR="00577265" w:rsidRPr="00577265" w:rsidRDefault="00577265" w:rsidP="00577265">
      <w:pPr>
        <w:rPr>
          <w:lang w:val="en-US"/>
        </w:rPr>
      </w:pPr>
    </w:p>
    <w:p w14:paraId="1732C668" w14:textId="3C80403D" w:rsidR="2E3061E6" w:rsidRDefault="2E3061E6" w:rsidP="5965C4EA">
      <w:pPr>
        <w:shd w:val="clear" w:color="auto" w:fill="FFFFFF" w:themeFill="background1"/>
        <w:spacing w:after="75"/>
        <w:ind w:left="720"/>
        <w:rPr>
          <w:i/>
          <w:iCs/>
          <w:lang w:val="en-US"/>
        </w:rPr>
      </w:pPr>
      <w:r w:rsidRPr="5965C4EA">
        <w:rPr>
          <w:lang w:val="en-US"/>
        </w:rPr>
        <w:t xml:space="preserve">As of 6 July 2022, Medway Council </w:t>
      </w:r>
      <w:r w:rsidR="13089E34" w:rsidRPr="5965C4EA">
        <w:rPr>
          <w:lang w:val="en-US"/>
        </w:rPr>
        <w:t xml:space="preserve">were commissioning </w:t>
      </w:r>
      <w:r w:rsidRPr="5965C4EA">
        <w:rPr>
          <w:lang w:val="en-US"/>
        </w:rPr>
        <w:t>homecare packages</w:t>
      </w:r>
      <w:r w:rsidR="12C3A745" w:rsidRPr="5965C4EA">
        <w:rPr>
          <w:lang w:val="en-US"/>
        </w:rPr>
        <w:t xml:space="preserve"> for 745 </w:t>
      </w:r>
      <w:r w:rsidR="55051D19" w:rsidRPr="5965C4EA">
        <w:rPr>
          <w:lang w:val="en-US"/>
        </w:rPr>
        <w:t>individuals</w:t>
      </w:r>
      <w:r w:rsidR="12C3A745" w:rsidRPr="5965C4EA">
        <w:rPr>
          <w:lang w:val="en-US"/>
        </w:rPr>
        <w:t xml:space="preserve">, </w:t>
      </w:r>
      <w:r w:rsidR="20FC03AF" w:rsidRPr="5965C4EA">
        <w:rPr>
          <w:lang w:val="en-US"/>
        </w:rPr>
        <w:t xml:space="preserve">with </w:t>
      </w:r>
      <w:r w:rsidR="3909936D" w:rsidRPr="5965C4EA">
        <w:rPr>
          <w:lang w:val="en-US"/>
        </w:rPr>
        <w:t xml:space="preserve">a total of </w:t>
      </w:r>
      <w:r w:rsidR="19CAB77F" w:rsidRPr="5965C4EA">
        <w:rPr>
          <w:lang w:val="en-US"/>
        </w:rPr>
        <w:t>7321</w:t>
      </w:r>
      <w:r w:rsidR="20FC03AF" w:rsidRPr="5965C4EA">
        <w:rPr>
          <w:lang w:val="en-US"/>
        </w:rPr>
        <w:t xml:space="preserve"> hours of care and support delivered on a weekly basis</w:t>
      </w:r>
      <w:r w:rsidR="5227DC02" w:rsidRPr="5965C4EA">
        <w:rPr>
          <w:lang w:val="en-US"/>
        </w:rPr>
        <w:t>.</w:t>
      </w:r>
    </w:p>
    <w:p w14:paraId="3F7A629A" w14:textId="4667AE57" w:rsidR="5965C4EA" w:rsidRDefault="5965C4EA" w:rsidP="5965C4EA">
      <w:pPr>
        <w:shd w:val="clear" w:color="auto" w:fill="FFFFFF" w:themeFill="background1"/>
        <w:spacing w:after="75"/>
        <w:ind w:left="720"/>
        <w:rPr>
          <w:i/>
          <w:iCs/>
          <w:lang w:val="en-US"/>
        </w:rPr>
      </w:pPr>
    </w:p>
    <w:p w14:paraId="52FE3C0D" w14:textId="209341F4" w:rsidR="634CB0E5" w:rsidRDefault="634CB0E5" w:rsidP="5965C4EA">
      <w:pPr>
        <w:shd w:val="clear" w:color="auto" w:fill="FFFFFF" w:themeFill="background1"/>
        <w:spacing w:after="75"/>
        <w:ind w:left="720"/>
        <w:rPr>
          <w:lang w:val="en-US"/>
        </w:rPr>
      </w:pPr>
      <w:r w:rsidRPr="5965C4EA">
        <w:rPr>
          <w:lang w:val="en-US"/>
        </w:rPr>
        <w:t>The 14 responses considered are from care pr</w:t>
      </w:r>
      <w:r w:rsidR="23B5E055" w:rsidRPr="5965C4EA">
        <w:rPr>
          <w:lang w:val="en-US"/>
        </w:rPr>
        <w:t xml:space="preserve">oviders </w:t>
      </w:r>
      <w:r w:rsidR="5B985AFF" w:rsidRPr="5965C4EA">
        <w:rPr>
          <w:lang w:val="en-US"/>
        </w:rPr>
        <w:t xml:space="preserve">who support </w:t>
      </w:r>
      <w:r w:rsidR="61435458" w:rsidRPr="5965C4EA">
        <w:rPr>
          <w:lang w:val="en-US"/>
        </w:rPr>
        <w:t>579</w:t>
      </w:r>
      <w:r w:rsidR="203D408E" w:rsidRPr="5965C4EA">
        <w:rPr>
          <w:lang w:val="en-US"/>
        </w:rPr>
        <w:t xml:space="preserve"> individuals</w:t>
      </w:r>
      <w:r w:rsidR="106F35CA" w:rsidRPr="5965C4EA">
        <w:rPr>
          <w:lang w:val="en-US"/>
        </w:rPr>
        <w:t xml:space="preserve">, this represents </w:t>
      </w:r>
      <w:r w:rsidR="0FDBF6BE" w:rsidRPr="5965C4EA">
        <w:rPr>
          <w:lang w:val="en-US"/>
        </w:rPr>
        <w:t>78% of</w:t>
      </w:r>
      <w:r w:rsidR="72AE8F92" w:rsidRPr="5965C4EA">
        <w:rPr>
          <w:lang w:val="en-US"/>
        </w:rPr>
        <w:t xml:space="preserve"> all commissioned homecare packages.</w:t>
      </w:r>
    </w:p>
    <w:p w14:paraId="4854E3BA" w14:textId="545C055A" w:rsidR="5965C4EA" w:rsidRDefault="5965C4EA" w:rsidP="5965C4EA">
      <w:pPr>
        <w:shd w:val="clear" w:color="auto" w:fill="FFFFFF" w:themeFill="background1"/>
        <w:spacing w:after="75"/>
        <w:ind w:left="720"/>
        <w:rPr>
          <w:lang w:val="en-US"/>
        </w:rPr>
      </w:pPr>
    </w:p>
    <w:p w14:paraId="4D78CA61" w14:textId="6402783E" w:rsidR="5E5B2895" w:rsidRDefault="5E5B2895" w:rsidP="5965C4EA">
      <w:pPr>
        <w:shd w:val="clear" w:color="auto" w:fill="FFFFFF" w:themeFill="background1"/>
        <w:spacing w:after="75"/>
        <w:ind w:left="720"/>
        <w:rPr>
          <w:lang w:val="en-US"/>
        </w:rPr>
      </w:pPr>
      <w:r w:rsidRPr="5965C4EA">
        <w:rPr>
          <w:lang w:val="en-US"/>
        </w:rPr>
        <w:t>The total weekly hours of support provided by provider</w:t>
      </w:r>
      <w:r w:rsidR="097B2B34" w:rsidRPr="5965C4EA">
        <w:rPr>
          <w:lang w:val="en-US"/>
        </w:rPr>
        <w:t>s</w:t>
      </w:r>
      <w:r w:rsidRPr="5965C4EA">
        <w:rPr>
          <w:lang w:val="en-US"/>
        </w:rPr>
        <w:t xml:space="preserve"> who made a valid retu</w:t>
      </w:r>
      <w:r w:rsidR="1A5F97B9" w:rsidRPr="5965C4EA">
        <w:rPr>
          <w:lang w:val="en-US"/>
        </w:rPr>
        <w:t>rn</w:t>
      </w:r>
      <w:r w:rsidRPr="5965C4EA">
        <w:rPr>
          <w:lang w:val="en-US"/>
        </w:rPr>
        <w:t xml:space="preserve"> equals 5126 hours per week, this represents 70% of all commissioned homecare hours. </w:t>
      </w:r>
    </w:p>
    <w:p w14:paraId="4541D482" w14:textId="77777777" w:rsidR="00CF638E" w:rsidRDefault="00CF638E" w:rsidP="5965C4EA">
      <w:pPr>
        <w:shd w:val="clear" w:color="auto" w:fill="FFFFFF" w:themeFill="background1"/>
        <w:spacing w:after="75"/>
        <w:ind w:left="720"/>
        <w:rPr>
          <w:lang w:val="en-US"/>
        </w:rPr>
      </w:pPr>
    </w:p>
    <w:p w14:paraId="30F519DB" w14:textId="588F9848" w:rsidR="002037EE" w:rsidRPr="009A16F9" w:rsidRDefault="00FB6075" w:rsidP="1474911D">
      <w:pPr>
        <w:pStyle w:val="Heading2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E0444" w:rsidRPr="1474911D">
        <w:rPr>
          <w:sz w:val="28"/>
          <w:szCs w:val="28"/>
        </w:rPr>
        <w:t>Justi</w:t>
      </w:r>
      <w:r w:rsidR="00726828" w:rsidRPr="1474911D">
        <w:rPr>
          <w:sz w:val="28"/>
          <w:szCs w:val="28"/>
        </w:rPr>
        <w:t xml:space="preserve">fication Approach </w:t>
      </w:r>
    </w:p>
    <w:p w14:paraId="45EDA4AD" w14:textId="77777777" w:rsidR="002037EE" w:rsidRPr="00694340" w:rsidRDefault="002037EE"/>
    <w:p w14:paraId="582F88D7" w14:textId="5C481E95" w:rsidR="00726828" w:rsidRDefault="54A02D5B" w:rsidP="1474911D">
      <w:pPr>
        <w:pStyle w:val="ListParagraph"/>
        <w:spacing w:after="75" w:line="259" w:lineRule="auto"/>
        <w:rPr>
          <w:rFonts w:cs="Arial"/>
          <w:color w:val="0B0C0C"/>
          <w:lang w:eastAsia="en-GB"/>
        </w:rPr>
      </w:pPr>
      <w:r>
        <w:lastRenderedPageBreak/>
        <w:t xml:space="preserve">The </w:t>
      </w:r>
      <w:r w:rsidR="00726828" w:rsidRPr="1474911D">
        <w:rPr>
          <w:rFonts w:cs="Arial"/>
          <w:color w:val="0B0C0C"/>
          <w:lang w:eastAsia="en-GB"/>
        </w:rPr>
        <w:t>return on operations</w:t>
      </w:r>
      <w:r w:rsidR="27FE63EE" w:rsidRPr="1474911D">
        <w:rPr>
          <w:rFonts w:cs="Arial"/>
          <w:color w:val="0B0C0C"/>
          <w:lang w:eastAsia="en-GB"/>
        </w:rPr>
        <w:t xml:space="preserve"> figure has been based on the median value of all eligible returns</w:t>
      </w:r>
      <w:r w:rsidR="0263C171" w:rsidRPr="1474911D">
        <w:rPr>
          <w:rFonts w:cs="Arial"/>
          <w:color w:val="0B0C0C"/>
          <w:lang w:eastAsia="en-GB"/>
        </w:rPr>
        <w:t>.</w:t>
      </w:r>
    </w:p>
    <w:p w14:paraId="5F9D1FE5" w14:textId="77777777" w:rsidR="003E3800" w:rsidRDefault="003E3800" w:rsidP="1474911D">
      <w:pPr>
        <w:pStyle w:val="ListParagraph"/>
        <w:spacing w:after="75" w:line="259" w:lineRule="auto"/>
        <w:rPr>
          <w:rFonts w:cs="Arial"/>
          <w:color w:val="0B0C0C"/>
          <w:lang w:eastAsia="en-GB"/>
        </w:rPr>
      </w:pPr>
    </w:p>
    <w:p w14:paraId="753A7BE7" w14:textId="03AC5D1C" w:rsidR="00FB4931" w:rsidRDefault="00FB4931" w:rsidP="00A72AFF">
      <w:pPr>
        <w:ind w:left="709" w:hanging="709"/>
        <w:jc w:val="both"/>
        <w:rPr>
          <w:rFonts w:cs="Arial"/>
        </w:rPr>
      </w:pPr>
    </w:p>
    <w:p w14:paraId="4D676950" w14:textId="29A4924F" w:rsidR="00A81462" w:rsidRDefault="00FB6075" w:rsidP="1474911D">
      <w:pPr>
        <w:pStyle w:val="ListParagraph"/>
        <w:numPr>
          <w:ilvl w:val="0"/>
          <w:numId w:val="26"/>
        </w:numPr>
        <w:rPr>
          <w:rFonts w:cs="Arial"/>
          <w:b/>
          <w:sz w:val="28"/>
          <w:szCs w:val="28"/>
          <w:lang w:val="en-US"/>
        </w:rPr>
      </w:pPr>
      <w:r>
        <w:rPr>
          <w:rFonts w:cs="Arial"/>
          <w:b/>
          <w:sz w:val="28"/>
          <w:szCs w:val="28"/>
          <w:lang w:val="en-US"/>
        </w:rPr>
        <w:t xml:space="preserve">    </w:t>
      </w:r>
      <w:r w:rsidR="00315014" w:rsidRPr="1474911D">
        <w:rPr>
          <w:rFonts w:cs="Arial"/>
          <w:b/>
          <w:sz w:val="28"/>
          <w:szCs w:val="28"/>
          <w:lang w:val="en-US"/>
        </w:rPr>
        <w:t xml:space="preserve">Findings </w:t>
      </w:r>
    </w:p>
    <w:p w14:paraId="7E19B69B" w14:textId="77777777" w:rsidR="004537DA" w:rsidRPr="002C03E7" w:rsidRDefault="004537DA" w:rsidP="3A8158B2">
      <w:pPr>
        <w:shd w:val="clear" w:color="auto" w:fill="FFFFFF" w:themeFill="background1"/>
        <w:spacing w:after="75"/>
        <w:rPr>
          <w:rFonts w:cs="Arial"/>
          <w:color w:val="0B0C0C"/>
          <w:sz w:val="29"/>
          <w:szCs w:val="29"/>
          <w:lang w:eastAsia="en-GB"/>
        </w:rPr>
      </w:pPr>
    </w:p>
    <w:p w14:paraId="214F2230" w14:textId="5DAE47EB" w:rsidR="5F7E199D" w:rsidRDefault="5F7E199D" w:rsidP="3A8158B2">
      <w:pPr>
        <w:pStyle w:val="ListParagraph"/>
        <w:spacing w:after="75" w:line="259" w:lineRule="auto"/>
        <w:rPr>
          <w:rFonts w:cs="Arial"/>
          <w:color w:val="0B0C0C"/>
          <w:lang w:eastAsia="en-GB"/>
        </w:rPr>
      </w:pPr>
      <w:r w:rsidRPr="51EE4DE1">
        <w:rPr>
          <w:rFonts w:cs="Arial"/>
          <w:color w:val="0B0C0C"/>
          <w:lang w:eastAsia="en-GB"/>
        </w:rPr>
        <w:t xml:space="preserve">We received </w:t>
      </w:r>
      <w:r w:rsidR="0B736DC5" w:rsidRPr="51EE4DE1">
        <w:rPr>
          <w:rFonts w:cs="Arial"/>
          <w:color w:val="0B0C0C"/>
          <w:lang w:eastAsia="en-GB"/>
        </w:rPr>
        <w:t>responses</w:t>
      </w:r>
      <w:r w:rsidRPr="51EE4DE1">
        <w:rPr>
          <w:rFonts w:cs="Arial"/>
          <w:color w:val="0B0C0C"/>
          <w:lang w:eastAsia="en-GB"/>
        </w:rPr>
        <w:t xml:space="preserve"> from providers using the homecare cost of toolkit referred to in section 7. On receiving th</w:t>
      </w:r>
      <w:r w:rsidR="2AE8C7B5" w:rsidRPr="51EE4DE1">
        <w:rPr>
          <w:rFonts w:cs="Arial"/>
          <w:color w:val="0B0C0C"/>
          <w:lang w:eastAsia="en-GB"/>
        </w:rPr>
        <w:t>e</w:t>
      </w:r>
      <w:r w:rsidRPr="51EE4DE1">
        <w:rPr>
          <w:rFonts w:cs="Arial"/>
          <w:color w:val="0B0C0C"/>
          <w:lang w:eastAsia="en-GB"/>
        </w:rPr>
        <w:t xml:space="preserve"> </w:t>
      </w:r>
      <w:r w:rsidR="4678CE9D" w:rsidRPr="51EE4DE1">
        <w:rPr>
          <w:rFonts w:cs="Arial"/>
          <w:color w:val="0B0C0C"/>
          <w:lang w:eastAsia="en-GB"/>
        </w:rPr>
        <w:t>responses</w:t>
      </w:r>
      <w:r w:rsidR="21B562A5" w:rsidRPr="51EE4DE1">
        <w:rPr>
          <w:rFonts w:cs="Arial"/>
          <w:color w:val="0B0C0C"/>
          <w:lang w:eastAsia="en-GB"/>
        </w:rPr>
        <w:t>,</w:t>
      </w:r>
      <w:r w:rsidR="4678CE9D" w:rsidRPr="51EE4DE1">
        <w:rPr>
          <w:rFonts w:cs="Arial"/>
          <w:color w:val="0B0C0C"/>
          <w:lang w:eastAsia="en-GB"/>
        </w:rPr>
        <w:t xml:space="preserve"> we</w:t>
      </w:r>
      <w:r w:rsidR="5C43B1DE" w:rsidRPr="51EE4DE1">
        <w:rPr>
          <w:rFonts w:cs="Arial"/>
          <w:color w:val="0B0C0C"/>
          <w:lang w:eastAsia="en-GB"/>
        </w:rPr>
        <w:t xml:space="preserve"> sense checked and queried values we believed to be outliers, where </w:t>
      </w:r>
      <w:r w:rsidR="00082A85" w:rsidRPr="51EE4DE1">
        <w:rPr>
          <w:rFonts w:cs="Arial"/>
          <w:color w:val="0B0C0C"/>
          <w:lang w:eastAsia="en-GB"/>
        </w:rPr>
        <w:t>providers provided</w:t>
      </w:r>
      <w:r w:rsidR="214F2D74" w:rsidRPr="51EE4DE1">
        <w:rPr>
          <w:rFonts w:cs="Arial"/>
          <w:color w:val="0B0C0C"/>
          <w:lang w:eastAsia="en-GB"/>
        </w:rPr>
        <w:t xml:space="preserve"> updated </w:t>
      </w:r>
      <w:r w:rsidR="5CEB0D7A" w:rsidRPr="51EE4DE1">
        <w:rPr>
          <w:rFonts w:cs="Arial"/>
          <w:color w:val="0B0C0C"/>
          <w:lang w:eastAsia="en-GB"/>
        </w:rPr>
        <w:t>values,</w:t>
      </w:r>
      <w:r w:rsidR="214F2D74" w:rsidRPr="51EE4DE1">
        <w:rPr>
          <w:rFonts w:cs="Arial"/>
          <w:color w:val="0B0C0C"/>
          <w:lang w:eastAsia="en-GB"/>
        </w:rPr>
        <w:t xml:space="preserve"> we included those in the analysis</w:t>
      </w:r>
      <w:r w:rsidR="6E764124" w:rsidRPr="51EE4DE1">
        <w:rPr>
          <w:rFonts w:cs="Arial"/>
          <w:color w:val="0B0C0C"/>
          <w:lang w:eastAsia="en-GB"/>
        </w:rPr>
        <w:t xml:space="preserve">. </w:t>
      </w:r>
    </w:p>
    <w:p w14:paraId="36A8AC21" w14:textId="6DCEB649" w:rsidR="3A8158B2" w:rsidRDefault="3A8158B2" w:rsidP="3A8158B2">
      <w:pPr>
        <w:pStyle w:val="ListParagraph"/>
        <w:spacing w:after="75" w:line="259" w:lineRule="auto"/>
        <w:rPr>
          <w:rFonts w:cs="Arial"/>
          <w:color w:val="0B0C0C"/>
          <w:lang w:eastAsia="en-GB"/>
        </w:rPr>
      </w:pPr>
    </w:p>
    <w:p w14:paraId="7FC6E137" w14:textId="25AAB285" w:rsidR="6E764124" w:rsidRDefault="6E764124" w:rsidP="3A8158B2">
      <w:pPr>
        <w:pStyle w:val="ListParagraph"/>
        <w:spacing w:after="75" w:line="259" w:lineRule="auto"/>
        <w:rPr>
          <w:rFonts w:cs="Arial"/>
          <w:color w:val="0B0C0C"/>
          <w:lang w:eastAsia="en-GB"/>
        </w:rPr>
      </w:pPr>
      <w:r w:rsidRPr="51EE4DE1">
        <w:rPr>
          <w:rFonts w:cs="Arial"/>
          <w:color w:val="0B0C0C"/>
          <w:lang w:eastAsia="en-GB"/>
        </w:rPr>
        <w:t xml:space="preserve">We removed one value from one provider </w:t>
      </w:r>
      <w:r w:rsidR="2D1B2656" w:rsidRPr="51EE4DE1">
        <w:rPr>
          <w:rFonts w:cs="Arial"/>
          <w:color w:val="0B0C0C"/>
          <w:lang w:eastAsia="en-GB"/>
        </w:rPr>
        <w:t xml:space="preserve">where the NI figure provided was a negative value. We kept the rest of that </w:t>
      </w:r>
      <w:r w:rsidR="65EBB764" w:rsidRPr="51EE4DE1">
        <w:rPr>
          <w:rFonts w:cs="Arial"/>
          <w:color w:val="0B0C0C"/>
          <w:lang w:eastAsia="en-GB"/>
        </w:rPr>
        <w:t>return</w:t>
      </w:r>
      <w:r w:rsidR="2D1B2656" w:rsidRPr="51EE4DE1">
        <w:rPr>
          <w:rFonts w:cs="Arial"/>
          <w:color w:val="0B0C0C"/>
          <w:lang w:eastAsia="en-GB"/>
        </w:rPr>
        <w:t xml:space="preserve"> from that provider to increase the amount of data </w:t>
      </w:r>
      <w:r w:rsidR="18B69395" w:rsidRPr="51EE4DE1">
        <w:rPr>
          <w:rFonts w:cs="Arial"/>
          <w:color w:val="0B0C0C"/>
          <w:lang w:eastAsia="en-GB"/>
        </w:rPr>
        <w:t>for all other expenditure lines.</w:t>
      </w:r>
    </w:p>
    <w:p w14:paraId="3939AE9D" w14:textId="08BD9D4A" w:rsidR="3A8158B2" w:rsidRDefault="3A8158B2" w:rsidP="3A8158B2">
      <w:pPr>
        <w:pStyle w:val="ListParagraph"/>
        <w:spacing w:after="75" w:line="259" w:lineRule="auto"/>
        <w:rPr>
          <w:rFonts w:cs="Arial"/>
          <w:color w:val="0B0C0C"/>
          <w:lang w:eastAsia="en-GB"/>
        </w:rPr>
      </w:pPr>
    </w:p>
    <w:p w14:paraId="0B2ACAF4" w14:textId="3C2BFCFC" w:rsidR="2CE09A4E" w:rsidRDefault="2CE09A4E" w:rsidP="3A8158B2">
      <w:pPr>
        <w:pStyle w:val="ListParagraph"/>
        <w:spacing w:after="75" w:line="259" w:lineRule="auto"/>
        <w:rPr>
          <w:rFonts w:cs="Arial"/>
          <w:color w:val="0B0C0C"/>
          <w:lang w:eastAsia="en-GB"/>
        </w:rPr>
      </w:pPr>
      <w:r w:rsidRPr="3A8158B2">
        <w:rPr>
          <w:rFonts w:cs="Arial"/>
          <w:color w:val="0B0C0C"/>
          <w:lang w:eastAsia="en-GB"/>
        </w:rPr>
        <w:t>The results from the exercise are shown in the table below</w:t>
      </w:r>
    </w:p>
    <w:p w14:paraId="78CA0C2A" w14:textId="6DF321F2" w:rsidR="61F2BA76" w:rsidRDefault="61F2BA76" w:rsidP="3A8158B2">
      <w:pPr>
        <w:shd w:val="clear" w:color="auto" w:fill="FFFFFF" w:themeFill="background1"/>
        <w:spacing w:after="75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335"/>
        <w:gridCol w:w="1230"/>
        <w:gridCol w:w="1065"/>
        <w:gridCol w:w="1305"/>
      </w:tblGrid>
      <w:tr w:rsidR="3A8158B2" w14:paraId="1AE65F20" w14:textId="77777777" w:rsidTr="51EE4DE1">
        <w:trPr>
          <w:trHeight w:val="600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0832BEB1" w14:textId="746DB983" w:rsidR="3A8158B2" w:rsidRDefault="3A8158B2" w:rsidP="3A8158B2">
            <w:pPr>
              <w:jc w:val="center"/>
            </w:pPr>
            <w:r w:rsidRPr="3A8158B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£ Resident Per Week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436153EE" w14:textId="4D41D78B" w:rsidR="3A8158B2" w:rsidRDefault="3A8158B2" w:rsidP="3A8158B2">
            <w:pPr>
              <w:jc w:val="center"/>
            </w:pPr>
            <w:r w:rsidRPr="3A8158B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Lower Quartile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2F25207F" w14:textId="5FC8EC49" w:rsidR="3A8158B2" w:rsidRDefault="3A8158B2" w:rsidP="3A8158B2">
            <w:pPr>
              <w:jc w:val="center"/>
            </w:pPr>
            <w:r w:rsidRPr="3A8158B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Median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472DEE28" w14:textId="60D7AFE6" w:rsidR="3A8158B2" w:rsidRDefault="3A8158B2" w:rsidP="3A8158B2">
            <w:pPr>
              <w:jc w:val="center"/>
            </w:pPr>
            <w:r w:rsidRPr="3A8158B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Upper Quartile</w:t>
            </w:r>
          </w:p>
        </w:tc>
      </w:tr>
      <w:tr w:rsidR="3A8158B2" w14:paraId="5AF7A45C" w14:textId="77777777" w:rsidTr="51EE4DE1">
        <w:trPr>
          <w:trHeight w:val="300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CFFCC1" w14:textId="28D17120" w:rsidR="3A8158B2" w:rsidRDefault="3A8158B2" w:rsidP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Direct Care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5CBCA7" w14:textId="5AB61D37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£ 10.01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362F54" w14:textId="781F00F9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£ 10.14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5327E7" w14:textId="2AB6149A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£ 10.50 </w:t>
            </w:r>
          </w:p>
        </w:tc>
      </w:tr>
      <w:tr w:rsidR="3A8158B2" w14:paraId="509D2021" w14:textId="77777777" w:rsidTr="51EE4DE1">
        <w:trPr>
          <w:trHeight w:val="300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59F7E5" w14:textId="7DFA7B1B" w:rsidR="3A8158B2" w:rsidRDefault="3A8158B2" w:rsidP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Travel Time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707818" w14:textId="5D801AB0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1.17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497A55" w14:textId="7F970921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1.51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E3C983" w14:textId="34EE2D9D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2.13 </w:t>
            </w:r>
          </w:p>
        </w:tc>
      </w:tr>
      <w:tr w:rsidR="3A8158B2" w14:paraId="727E29F0" w14:textId="77777777" w:rsidTr="51EE4DE1">
        <w:trPr>
          <w:trHeight w:val="300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BAFE2F" w14:textId="5C2B9F9B" w:rsidR="3A8158B2" w:rsidRDefault="3A8158B2" w:rsidP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Mileage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59AAA6" w14:textId="76559711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0.33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5AA96F" w14:textId="1006831B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0.65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FFCE90" w14:textId="103AFA1F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0.93 </w:t>
            </w:r>
          </w:p>
        </w:tc>
      </w:tr>
      <w:tr w:rsidR="3A8158B2" w14:paraId="0FCE415B" w14:textId="77777777" w:rsidTr="51EE4DE1">
        <w:trPr>
          <w:trHeight w:val="300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94E07F" w14:textId="54E2F491" w:rsidR="3A8158B2" w:rsidRDefault="3A8158B2" w:rsidP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PPE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2B78CF" w14:textId="632B8435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0.41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B73E4B" w14:textId="413D3211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0.67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8629D2" w14:textId="188445D7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1.18 </w:t>
            </w:r>
          </w:p>
        </w:tc>
      </w:tr>
      <w:tr w:rsidR="3A8158B2" w14:paraId="435CB37E" w14:textId="77777777" w:rsidTr="51EE4DE1">
        <w:trPr>
          <w:trHeight w:val="300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DAD81D" w14:textId="4F95F9CC" w:rsidR="3A8158B2" w:rsidRDefault="3A8158B2" w:rsidP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Training (staff time)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ABF84C" w14:textId="63101A79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0.03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F0025F" w14:textId="3AA63916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0.18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C5CE1D" w14:textId="7F6632E2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0.40 </w:t>
            </w:r>
          </w:p>
        </w:tc>
      </w:tr>
      <w:tr w:rsidR="3A8158B2" w14:paraId="76988174" w14:textId="77777777" w:rsidTr="51EE4DE1">
        <w:trPr>
          <w:trHeight w:val="300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653FAD" w14:textId="2800BD7E" w:rsidR="3A8158B2" w:rsidRDefault="3A8158B2" w:rsidP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Holiday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EF8E62" w14:textId="4EB1E6A7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1.42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E47E0C" w14:textId="04245E7D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1.50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5CA203" w14:textId="6E37FCFB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1.63 </w:t>
            </w:r>
          </w:p>
        </w:tc>
      </w:tr>
      <w:tr w:rsidR="3A8158B2" w14:paraId="1571B542" w14:textId="77777777" w:rsidTr="51EE4DE1">
        <w:trPr>
          <w:trHeight w:val="300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E65AD3" w14:textId="23AF1215" w:rsidR="3A8158B2" w:rsidRDefault="3A8158B2" w:rsidP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Additional Non-Contact Pay Costs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DFA879" w14:textId="7513FF90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0.00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DE87E4" w14:textId="0E134882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0.00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DB503F" w14:textId="72DF7AF3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0.27 </w:t>
            </w:r>
          </w:p>
        </w:tc>
      </w:tr>
      <w:tr w:rsidR="3A8158B2" w14:paraId="1F138AFA" w14:textId="77777777" w:rsidTr="51EE4DE1">
        <w:trPr>
          <w:trHeight w:val="300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CC41E1" w14:textId="2B13FB78" w:rsidR="3A8158B2" w:rsidRDefault="3A8158B2" w:rsidP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Sickness/Maternity &amp; Paternity Pay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31EC82" w14:textId="7885B4E6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0.14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A0D811" w14:textId="56202AEF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0.27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463309" w14:textId="4F06941E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0.43 </w:t>
            </w:r>
          </w:p>
        </w:tc>
      </w:tr>
      <w:tr w:rsidR="3A8158B2" w14:paraId="6F0EBACA" w14:textId="77777777" w:rsidTr="51EE4DE1">
        <w:trPr>
          <w:trHeight w:val="300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9E0C5F" w14:textId="5F80A52A" w:rsidR="3A8158B2" w:rsidRDefault="3A8158B2" w:rsidP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Notice/Suspension Pay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714FCF" w14:textId="2C9D14E0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0.00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B21519" w14:textId="6877ED96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0.04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DC8E64" w14:textId="12660941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0.11 </w:t>
            </w:r>
          </w:p>
        </w:tc>
      </w:tr>
      <w:tr w:rsidR="3A8158B2" w14:paraId="3E14799C" w14:textId="77777777" w:rsidTr="51EE4DE1">
        <w:trPr>
          <w:trHeight w:val="300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993EFD" w14:textId="2C8DBBEF" w:rsidR="3A8158B2" w:rsidRDefault="3A8158B2" w:rsidP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NI (direct care hours)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DF030C" w14:textId="4C0691E4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0.51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138E36" w14:textId="5EAE700F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0.98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56C26D" w14:textId="64ED129A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1.17 </w:t>
            </w:r>
          </w:p>
        </w:tc>
      </w:tr>
      <w:tr w:rsidR="3A8158B2" w14:paraId="5AD74017" w14:textId="77777777" w:rsidTr="51EE4DE1">
        <w:trPr>
          <w:trHeight w:val="300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282283" w14:textId="0A5F4CEC" w:rsidR="3A8158B2" w:rsidRDefault="3A8158B2" w:rsidP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Pension (direct care hours)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C77A59" w14:textId="2A368B19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0.34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45A0AB" w14:textId="0F3149C2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0.39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8F6E21" w14:textId="06E3A5A3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0.44 </w:t>
            </w:r>
          </w:p>
        </w:tc>
      </w:tr>
      <w:tr w:rsidR="3A8158B2" w14:paraId="3039A6AA" w14:textId="77777777" w:rsidTr="51EE4DE1">
        <w:trPr>
          <w:trHeight w:val="300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26FCD4" w14:textId="0946BB6B" w:rsidR="3A8158B2" w:rsidRDefault="3A8158B2" w:rsidP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Back Office Staff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41C3F6" w14:textId="3713F975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3.03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7FB61A" w14:textId="2B6C7AD6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4.08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B38C6F" w14:textId="7DEB8A4C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5.27 </w:t>
            </w:r>
          </w:p>
        </w:tc>
      </w:tr>
      <w:tr w:rsidR="3A8158B2" w14:paraId="08B3D0C5" w14:textId="77777777" w:rsidTr="51EE4DE1">
        <w:trPr>
          <w:trHeight w:val="300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4DEBF5" w14:textId="4E088D0A" w:rsidR="3A8158B2" w:rsidRDefault="3A8158B2" w:rsidP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Travel Costs (parking/vehicle lease etc.)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CA81BC" w14:textId="4C97D606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0.00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3C9EBC" w14:textId="3BC82734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0.01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C20195" w14:textId="0456FD49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0.13 </w:t>
            </w:r>
          </w:p>
        </w:tc>
      </w:tr>
      <w:tr w:rsidR="3A8158B2" w14:paraId="414294F4" w14:textId="77777777" w:rsidTr="51EE4DE1">
        <w:trPr>
          <w:trHeight w:val="300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1212D3" w14:textId="4660814C" w:rsidR="3A8158B2" w:rsidRDefault="3A8158B2" w:rsidP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Rent / Rates / Utilities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3DE2FD" w14:textId="74C89F71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0.45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3818FA" w14:textId="17D6B211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0.55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3F0705" w14:textId="584C72E4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0.58 </w:t>
            </w:r>
          </w:p>
        </w:tc>
      </w:tr>
      <w:tr w:rsidR="3A8158B2" w14:paraId="7C71B86B" w14:textId="77777777" w:rsidTr="51EE4DE1">
        <w:trPr>
          <w:trHeight w:val="300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E354AE" w14:textId="53749A76" w:rsidR="3A8158B2" w:rsidRDefault="4E8F88B7" w:rsidP="51EE4DE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1EE4DE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Recruitment / </w:t>
            </w:r>
            <w:bookmarkStart w:id="2" w:name="_Int_uSnX0Qzd"/>
            <w:r w:rsidRPr="51EE4DE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DBS</w:t>
            </w:r>
            <w:bookmarkEnd w:id="2"/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D08320" w14:textId="41B11CF5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0.18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D00D34" w14:textId="7EC67E41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0.36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895217" w14:textId="5BE7155D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0.58 </w:t>
            </w:r>
          </w:p>
        </w:tc>
      </w:tr>
      <w:tr w:rsidR="3A8158B2" w14:paraId="40AAE4FB" w14:textId="77777777" w:rsidTr="51EE4DE1">
        <w:trPr>
          <w:trHeight w:val="300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A42DB1" w14:textId="0C41061B" w:rsidR="3A8158B2" w:rsidRDefault="3A8158B2" w:rsidP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Training (3rd party)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6C250E" w14:textId="6BB928AA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0.05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50CCA7" w14:textId="7655A0CB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0.08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EBEC2F" w14:textId="04FD5C56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0.18 </w:t>
            </w:r>
          </w:p>
        </w:tc>
      </w:tr>
      <w:tr w:rsidR="3A8158B2" w14:paraId="1A78EB4E" w14:textId="77777777" w:rsidTr="51EE4DE1">
        <w:trPr>
          <w:trHeight w:val="300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3ED8E7" w14:textId="43CF7374" w:rsidR="3A8158B2" w:rsidRDefault="3A8158B2" w:rsidP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IT (Hardware, Software CRM, ECM)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1C1F66" w14:textId="77A83363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0.27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FB514C" w14:textId="77D5E34B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0.32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4B37B4" w14:textId="2ACDD3F2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0.54 </w:t>
            </w:r>
          </w:p>
        </w:tc>
      </w:tr>
      <w:tr w:rsidR="3A8158B2" w14:paraId="1F62968C" w14:textId="77777777" w:rsidTr="51EE4DE1">
        <w:trPr>
          <w:trHeight w:val="300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C32E08" w14:textId="3B59F22C" w:rsidR="3A8158B2" w:rsidRDefault="3A8158B2" w:rsidP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Telephony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5BD887" w14:textId="7F42E3F0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0.09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5F401E" w14:textId="7E5117C0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0.14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56375A" w14:textId="7AEC91BA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0.22 </w:t>
            </w:r>
          </w:p>
        </w:tc>
      </w:tr>
      <w:tr w:rsidR="3A8158B2" w14:paraId="2AD9C360" w14:textId="77777777" w:rsidTr="51EE4DE1">
        <w:trPr>
          <w:trHeight w:val="300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69B615" w14:textId="468E42AE" w:rsidR="3A8158B2" w:rsidRDefault="3A8158B2" w:rsidP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Stationery / Postage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B26E40" w14:textId="0C7D4F64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0.02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0C1EE0" w14:textId="6547341B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0.06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998F8D" w14:textId="1D3C5181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0.14 </w:t>
            </w:r>
          </w:p>
        </w:tc>
      </w:tr>
      <w:tr w:rsidR="3A8158B2" w14:paraId="5FAABFD4" w14:textId="77777777" w:rsidTr="51EE4DE1">
        <w:trPr>
          <w:trHeight w:val="300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5D8BF" w14:textId="00D5CB35" w:rsidR="3A8158B2" w:rsidRDefault="3A8158B2" w:rsidP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Insurance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F7A847" w14:textId="4F01D6B9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0.10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260DDE" w14:textId="47FA715A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0.14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FDFE1C" w14:textId="7EEFB319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0.21 </w:t>
            </w:r>
          </w:p>
        </w:tc>
      </w:tr>
      <w:tr w:rsidR="3A8158B2" w14:paraId="452A5461" w14:textId="77777777" w:rsidTr="51EE4DE1">
        <w:trPr>
          <w:trHeight w:val="300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5604F0" w14:textId="5F19B978" w:rsidR="3A8158B2" w:rsidRDefault="3A8158B2" w:rsidP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Legal / Finance / Professional Fees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3CFB1A" w14:textId="4266AA32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0.06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BB1683" w14:textId="4BCCDE0A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0.11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960209" w14:textId="5273DA70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0.29 </w:t>
            </w:r>
          </w:p>
        </w:tc>
      </w:tr>
      <w:tr w:rsidR="3A8158B2" w14:paraId="521E1791" w14:textId="77777777" w:rsidTr="51EE4DE1">
        <w:trPr>
          <w:trHeight w:val="300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7A287F" w14:textId="7F2BBF6E" w:rsidR="3A8158B2" w:rsidRDefault="3A8158B2" w:rsidP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Marketing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6A668B" w14:textId="251AEC43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0.01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464D64" w14:textId="0EAC6EB0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0.06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57AF0E" w14:textId="704EA62E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0.14 </w:t>
            </w:r>
          </w:p>
        </w:tc>
      </w:tr>
      <w:tr w:rsidR="3A8158B2" w14:paraId="2CDB5678" w14:textId="77777777" w:rsidTr="51EE4DE1">
        <w:trPr>
          <w:trHeight w:val="300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650313" w14:textId="596DB74F" w:rsidR="3A8158B2" w:rsidRDefault="3A8158B2" w:rsidP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Audit &amp; Compliance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3A266F" w14:textId="4C50426B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0.01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4B4C6F" w14:textId="27BE28CA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0.06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5F4141" w14:textId="24663089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0.14 </w:t>
            </w:r>
          </w:p>
        </w:tc>
      </w:tr>
      <w:tr w:rsidR="3A8158B2" w14:paraId="0D77F8E8" w14:textId="77777777" w:rsidTr="51EE4DE1">
        <w:trPr>
          <w:trHeight w:val="300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986018" w14:textId="7D1BDBE2" w:rsidR="3A8158B2" w:rsidRDefault="3A8158B2" w:rsidP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Uniforms &amp; Other Consumables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B97B42" w14:textId="64C648AB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0.03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E995F3" w14:textId="34FE8104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0.05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4650F4" w14:textId="7CF8E6B1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0.11 </w:t>
            </w:r>
          </w:p>
        </w:tc>
      </w:tr>
      <w:tr w:rsidR="3A8158B2" w14:paraId="0A450858" w14:textId="77777777" w:rsidTr="51EE4DE1">
        <w:trPr>
          <w:trHeight w:val="300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ED9BA9" w14:textId="60B746DB" w:rsidR="3A8158B2" w:rsidRDefault="3A8158B2" w:rsidP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lastRenderedPageBreak/>
              <w:t>Assistive Technology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3D7AF8" w14:textId="3E480160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0.00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37A021" w14:textId="618B98CF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0.00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8B0C88" w14:textId="07F8B32D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0.03 </w:t>
            </w:r>
          </w:p>
        </w:tc>
      </w:tr>
      <w:tr w:rsidR="3A8158B2" w14:paraId="4104888C" w14:textId="77777777" w:rsidTr="51EE4DE1">
        <w:trPr>
          <w:trHeight w:val="300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48BC29" w14:textId="1F6BD2FB" w:rsidR="3A8158B2" w:rsidRDefault="3A8158B2" w:rsidP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Central / Head Office Recharges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958D74" w14:textId="4336CCFF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0.00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17F1DF" w14:textId="125FCA97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0.25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4B2FA2" w14:textId="53EC85B6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1.26 </w:t>
            </w:r>
          </w:p>
        </w:tc>
      </w:tr>
      <w:tr w:rsidR="3A8158B2" w14:paraId="493C8305" w14:textId="77777777" w:rsidTr="51EE4DE1">
        <w:trPr>
          <w:trHeight w:val="300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CBB8F2" w14:textId="38D1393D" w:rsidR="3A8158B2" w:rsidRDefault="3A8158B2" w:rsidP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Vehicle Costs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B23DA2" w14:textId="2D1F179F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0.00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44D163" w14:textId="1F023A3C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0.00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048BC1" w14:textId="488D9663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0.01 </w:t>
            </w:r>
          </w:p>
        </w:tc>
      </w:tr>
      <w:tr w:rsidR="3A8158B2" w14:paraId="44A18399" w14:textId="77777777" w:rsidTr="51EE4DE1">
        <w:trPr>
          <w:trHeight w:val="300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47D9B3" w14:textId="6225F394" w:rsidR="3A8158B2" w:rsidRDefault="3A8158B2" w:rsidP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Overhead #1 Example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95C11C" w14:textId="5708405D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0.01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665AA0" w14:textId="3F226A27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0.05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3B2416" w14:textId="367F31F7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0.20 </w:t>
            </w:r>
          </w:p>
        </w:tc>
      </w:tr>
      <w:tr w:rsidR="3A8158B2" w14:paraId="61600CDA" w14:textId="77777777" w:rsidTr="51EE4DE1">
        <w:trPr>
          <w:trHeight w:val="300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49462F" w14:textId="7AA1F784" w:rsidR="3A8158B2" w:rsidRDefault="3A8158B2" w:rsidP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CQC Registration Fees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1B4B53" w14:textId="561FB7FD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0.10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E736E4" w14:textId="6FD13BB5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0.12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614130" w14:textId="7171AB8B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0.17 </w:t>
            </w:r>
          </w:p>
        </w:tc>
      </w:tr>
      <w:tr w:rsidR="3A8158B2" w14:paraId="7DB134B0" w14:textId="77777777" w:rsidTr="51EE4DE1">
        <w:trPr>
          <w:trHeight w:val="300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vAlign w:val="center"/>
          </w:tcPr>
          <w:p w14:paraId="0AD95931" w14:textId="53A3912C" w:rsidR="3A8158B2" w:rsidRDefault="3A8158B2" w:rsidP="3A8158B2">
            <w:r w:rsidRPr="3A8158B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Surplus / Profit Contribution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D31F39" w14:textId="26F4034B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0.34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DFB36A" w14:textId="465EF82B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1.12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89060F" w14:textId="04B1081C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  1.57 </w:t>
            </w:r>
          </w:p>
        </w:tc>
      </w:tr>
      <w:tr w:rsidR="3A8158B2" w14:paraId="4CBAD4A1" w14:textId="77777777" w:rsidTr="51EE4DE1">
        <w:trPr>
          <w:trHeight w:val="300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8"/>
            <w:vAlign w:val="center"/>
          </w:tcPr>
          <w:p w14:paraId="47D4539F" w14:textId="3B682C44" w:rsidR="3A8158B2" w:rsidRDefault="3A8158B2" w:rsidP="3A8158B2">
            <w:r w:rsidRPr="3A8158B2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  <w:t>Total Cost Per Hour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882BF6" w14:textId="462D3968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£ 19.11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25E4E4" w14:textId="42C2CEB1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£ 23.89 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DE032E" w14:textId="4F00AECA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£ 30.96</w:t>
            </w:r>
          </w:p>
        </w:tc>
      </w:tr>
    </w:tbl>
    <w:p w14:paraId="647B2BE4" w14:textId="49C42485" w:rsidR="3A8158B2" w:rsidRDefault="3A8158B2" w:rsidP="3A8158B2">
      <w:pPr>
        <w:shd w:val="clear" w:color="auto" w:fill="FFFFFF" w:themeFill="background1"/>
        <w:spacing w:after="75"/>
        <w:rPr>
          <w:rFonts w:cs="Arial"/>
          <w:color w:val="0B0C0C"/>
          <w:sz w:val="29"/>
          <w:szCs w:val="29"/>
          <w:lang w:eastAsia="en-GB"/>
        </w:rPr>
      </w:pPr>
    </w:p>
    <w:p w14:paraId="43238978" w14:textId="55FC2F15" w:rsidR="7FEA1240" w:rsidRDefault="7FEA1240" w:rsidP="3A8158B2">
      <w:pPr>
        <w:shd w:val="clear" w:color="auto" w:fill="FFFFFF" w:themeFill="background1"/>
        <w:spacing w:after="75"/>
        <w:rPr>
          <w:rFonts w:cs="Arial"/>
          <w:color w:val="0B0C0C"/>
          <w:lang w:eastAsia="en-GB"/>
        </w:rPr>
      </w:pPr>
      <w:r w:rsidRPr="3A8158B2">
        <w:rPr>
          <w:rFonts w:cs="Arial"/>
          <w:color w:val="0B0C0C"/>
          <w:lang w:eastAsia="en-GB"/>
        </w:rPr>
        <w:t>The table included in Annex A is shown below.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933"/>
        <w:gridCol w:w="3082"/>
      </w:tblGrid>
      <w:tr w:rsidR="3A8158B2" w14:paraId="7EA2A330" w14:textId="77777777" w:rsidTr="51EE4DE1">
        <w:trPr>
          <w:trHeight w:val="61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  <w:vAlign w:val="bottom"/>
          </w:tcPr>
          <w:p w14:paraId="57531287" w14:textId="7FDB6FB9" w:rsidR="3A8158B2" w:rsidRDefault="3A8158B2">
            <w:r w:rsidRPr="3A8158B2">
              <w:rPr>
                <w:rFonts w:ascii="Calibri" w:eastAsia="Calibri" w:hAnsi="Calibri" w:cs="Calibri"/>
                <w:b/>
                <w:bCs/>
              </w:rPr>
              <w:t>Cost of care exercise results - all cells should be £ per contact hour, MEDIANS.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45EE2F75" w14:textId="512DC63F" w:rsidR="3A8158B2" w:rsidRDefault="3A8158B2">
            <w:r w:rsidRPr="3A8158B2">
              <w:rPr>
                <w:rFonts w:ascii="Calibri" w:eastAsia="Calibri" w:hAnsi="Calibri" w:cs="Calibri"/>
                <w:b/>
                <w:bCs/>
              </w:rPr>
              <w:t>18+ domiciliary care</w:t>
            </w:r>
          </w:p>
        </w:tc>
      </w:tr>
      <w:tr w:rsidR="3A8158B2" w14:paraId="114AC110" w14:textId="77777777" w:rsidTr="51EE4DE1">
        <w:trPr>
          <w:trHeight w:val="315"/>
        </w:trPr>
        <w:tc>
          <w:tcPr>
            <w:tcW w:w="59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2FB8D2" w14:textId="291D69C2" w:rsidR="3A8158B2" w:rsidRDefault="4E8F88B7" w:rsidP="3A8158B2">
            <w:r w:rsidRPr="51EE4DE1">
              <w:rPr>
                <w:rFonts w:eastAsia="Arial" w:cs="Arial"/>
                <w:b/>
                <w:bCs/>
                <w:color w:val="000000" w:themeColor="text1"/>
              </w:rPr>
              <w:t xml:space="preserve">Total </w:t>
            </w:r>
            <w:r w:rsidR="01409A94" w:rsidRPr="51EE4DE1">
              <w:rPr>
                <w:rFonts w:eastAsia="Arial" w:cs="Arial"/>
                <w:b/>
                <w:bCs/>
                <w:color w:val="000000" w:themeColor="text1"/>
              </w:rPr>
              <w:t>Care worker</w:t>
            </w:r>
            <w:r w:rsidRPr="51EE4DE1">
              <w:rPr>
                <w:rFonts w:eastAsia="Arial" w:cs="Arial"/>
                <w:b/>
                <w:bCs/>
                <w:color w:val="000000" w:themeColor="text1"/>
              </w:rPr>
              <w:t xml:space="preserve"> Costs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7D31" w:themeFill="accent2"/>
            <w:vAlign w:val="bottom"/>
          </w:tcPr>
          <w:p w14:paraId="38005944" w14:textId="651F324C" w:rsidR="3A8158B2" w:rsidRDefault="3A8158B2">
            <w:r w:rsidRPr="3A8158B2">
              <w:rPr>
                <w:rFonts w:ascii="Calibri" w:eastAsia="Calibri" w:hAnsi="Calibri" w:cs="Calibri"/>
                <w:b/>
                <w:bCs/>
                <w:color w:val="000000" w:themeColor="text1"/>
              </w:rPr>
              <w:t>£16.33</w:t>
            </w:r>
          </w:p>
        </w:tc>
      </w:tr>
      <w:tr w:rsidR="3A8158B2" w14:paraId="3139AEBE" w14:textId="77777777" w:rsidTr="51EE4DE1">
        <w:trPr>
          <w:trHeight w:val="315"/>
        </w:trPr>
        <w:tc>
          <w:tcPr>
            <w:tcW w:w="59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5D7370" w14:textId="5D684141" w:rsidR="3A8158B2" w:rsidRDefault="3A8158B2" w:rsidP="3A8158B2">
            <w:r w:rsidRPr="3A8158B2">
              <w:rPr>
                <w:rFonts w:eastAsia="Arial" w:cs="Arial"/>
                <w:color w:val="000000" w:themeColor="text1"/>
              </w:rPr>
              <w:t>Direct care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 w:themeFill="accent4"/>
            <w:vAlign w:val="bottom"/>
          </w:tcPr>
          <w:p w14:paraId="52641C1E" w14:textId="3EAFADDA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</w:rPr>
              <w:t>£10.14</w:t>
            </w:r>
          </w:p>
        </w:tc>
      </w:tr>
      <w:tr w:rsidR="3A8158B2" w14:paraId="397B5F32" w14:textId="77777777" w:rsidTr="51EE4DE1">
        <w:trPr>
          <w:trHeight w:val="315"/>
        </w:trPr>
        <w:tc>
          <w:tcPr>
            <w:tcW w:w="59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F58EE3" w14:textId="2EAB02CE" w:rsidR="3A8158B2" w:rsidRDefault="3A8158B2" w:rsidP="3A8158B2">
            <w:r w:rsidRPr="3A8158B2">
              <w:rPr>
                <w:rFonts w:eastAsia="Arial" w:cs="Arial"/>
                <w:color w:val="000000" w:themeColor="text1"/>
              </w:rPr>
              <w:t>Travel time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 w:themeFill="accent4"/>
            <w:vAlign w:val="bottom"/>
          </w:tcPr>
          <w:p w14:paraId="60D52837" w14:textId="682215B1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</w:rPr>
              <w:t>£1.51</w:t>
            </w:r>
          </w:p>
        </w:tc>
      </w:tr>
      <w:tr w:rsidR="3A8158B2" w14:paraId="5A00CDA4" w14:textId="77777777" w:rsidTr="51EE4DE1">
        <w:trPr>
          <w:trHeight w:val="315"/>
        </w:trPr>
        <w:tc>
          <w:tcPr>
            <w:tcW w:w="59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9A81C2" w14:textId="7DD55ABA" w:rsidR="3A8158B2" w:rsidRDefault="3A8158B2" w:rsidP="3A8158B2">
            <w:r w:rsidRPr="3A8158B2">
              <w:rPr>
                <w:rFonts w:eastAsia="Arial" w:cs="Arial"/>
                <w:color w:val="000000" w:themeColor="text1"/>
              </w:rPr>
              <w:t>Mileage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 w:themeFill="accent4"/>
            <w:vAlign w:val="bottom"/>
          </w:tcPr>
          <w:p w14:paraId="0B5327CE" w14:textId="071B147F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</w:rPr>
              <w:t>£0.65</w:t>
            </w:r>
          </w:p>
        </w:tc>
      </w:tr>
      <w:tr w:rsidR="3A8158B2" w14:paraId="47B3AD4A" w14:textId="77777777" w:rsidTr="51EE4DE1">
        <w:trPr>
          <w:trHeight w:val="315"/>
        </w:trPr>
        <w:tc>
          <w:tcPr>
            <w:tcW w:w="59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C42EC7" w14:textId="23401587" w:rsidR="3A8158B2" w:rsidRDefault="3A8158B2" w:rsidP="3A8158B2">
            <w:r w:rsidRPr="3A8158B2">
              <w:rPr>
                <w:rFonts w:eastAsia="Arial" w:cs="Arial"/>
                <w:color w:val="000000" w:themeColor="text1"/>
              </w:rPr>
              <w:t>PPE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 w:themeFill="accent4"/>
            <w:vAlign w:val="bottom"/>
          </w:tcPr>
          <w:p w14:paraId="2EA62376" w14:textId="60A07AB2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</w:rPr>
              <w:t>£0.67</w:t>
            </w:r>
          </w:p>
        </w:tc>
      </w:tr>
      <w:tr w:rsidR="3A8158B2" w14:paraId="4A5C24B0" w14:textId="77777777" w:rsidTr="51EE4DE1">
        <w:trPr>
          <w:trHeight w:val="315"/>
        </w:trPr>
        <w:tc>
          <w:tcPr>
            <w:tcW w:w="59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FF5360" w14:textId="13084277" w:rsidR="3A8158B2" w:rsidRDefault="3A8158B2" w:rsidP="3A8158B2">
            <w:r w:rsidRPr="3A8158B2">
              <w:rPr>
                <w:rFonts w:eastAsia="Arial" w:cs="Arial"/>
                <w:color w:val="000000" w:themeColor="text1"/>
              </w:rPr>
              <w:t>Training (staff time)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 w:themeFill="accent4"/>
            <w:vAlign w:val="bottom"/>
          </w:tcPr>
          <w:p w14:paraId="7F4A5619" w14:textId="01D8535E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</w:rPr>
              <w:t>£0.18</w:t>
            </w:r>
          </w:p>
        </w:tc>
      </w:tr>
      <w:tr w:rsidR="3A8158B2" w14:paraId="5A3F0FAF" w14:textId="77777777" w:rsidTr="51EE4DE1">
        <w:trPr>
          <w:trHeight w:val="315"/>
        </w:trPr>
        <w:tc>
          <w:tcPr>
            <w:tcW w:w="59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E96B46" w14:textId="4E7459E3" w:rsidR="3A8158B2" w:rsidRDefault="3A8158B2" w:rsidP="3A8158B2">
            <w:r w:rsidRPr="3A8158B2">
              <w:rPr>
                <w:rFonts w:eastAsia="Arial" w:cs="Arial"/>
                <w:color w:val="000000" w:themeColor="text1"/>
              </w:rPr>
              <w:t>Holiday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 w:themeFill="accent4"/>
            <w:vAlign w:val="bottom"/>
          </w:tcPr>
          <w:p w14:paraId="52E8C583" w14:textId="31FC3778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</w:rPr>
              <w:t>£1.50</w:t>
            </w:r>
          </w:p>
        </w:tc>
      </w:tr>
      <w:tr w:rsidR="3A8158B2" w14:paraId="78DD1D83" w14:textId="77777777" w:rsidTr="51EE4DE1">
        <w:trPr>
          <w:trHeight w:val="315"/>
        </w:trPr>
        <w:tc>
          <w:tcPr>
            <w:tcW w:w="59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516005" w14:textId="46002812" w:rsidR="3A8158B2" w:rsidRDefault="4E8F88B7" w:rsidP="3A8158B2">
            <w:r w:rsidRPr="51EE4DE1">
              <w:rPr>
                <w:rFonts w:eastAsia="Arial" w:cs="Arial"/>
                <w:color w:val="000000" w:themeColor="text1"/>
              </w:rPr>
              <w:t>Additional non</w:t>
            </w:r>
            <w:r w:rsidR="04FBE5E1" w:rsidRPr="51EE4DE1">
              <w:rPr>
                <w:rFonts w:eastAsia="Arial" w:cs="Arial"/>
                <w:color w:val="000000" w:themeColor="text1"/>
              </w:rPr>
              <w:t>-</w:t>
            </w:r>
            <w:r w:rsidRPr="51EE4DE1">
              <w:rPr>
                <w:rFonts w:eastAsia="Arial" w:cs="Arial"/>
                <w:color w:val="000000" w:themeColor="text1"/>
              </w:rPr>
              <w:t xml:space="preserve">contact </w:t>
            </w:r>
            <w:proofErr w:type="gramStart"/>
            <w:r w:rsidRPr="51EE4DE1">
              <w:rPr>
                <w:rFonts w:eastAsia="Arial" w:cs="Arial"/>
                <w:color w:val="000000" w:themeColor="text1"/>
              </w:rPr>
              <w:t>pay</w:t>
            </w:r>
            <w:proofErr w:type="gramEnd"/>
            <w:r w:rsidRPr="51EE4DE1">
              <w:rPr>
                <w:rFonts w:eastAsia="Arial" w:cs="Arial"/>
                <w:color w:val="000000" w:themeColor="text1"/>
              </w:rPr>
              <w:t xml:space="preserve"> costs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 w:themeFill="accent4"/>
            <w:vAlign w:val="bottom"/>
          </w:tcPr>
          <w:p w14:paraId="313620D8" w14:textId="77770262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</w:rPr>
              <w:t>£0.00</w:t>
            </w:r>
          </w:p>
        </w:tc>
      </w:tr>
      <w:tr w:rsidR="3A8158B2" w14:paraId="493503EB" w14:textId="77777777" w:rsidTr="51EE4DE1">
        <w:trPr>
          <w:trHeight w:val="315"/>
        </w:trPr>
        <w:tc>
          <w:tcPr>
            <w:tcW w:w="59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9864E0" w14:textId="05CD03E7" w:rsidR="3A8158B2" w:rsidRDefault="3A8158B2" w:rsidP="3A8158B2">
            <w:r w:rsidRPr="3A8158B2">
              <w:rPr>
                <w:rFonts w:eastAsia="Arial" w:cs="Arial"/>
                <w:color w:val="000000" w:themeColor="text1"/>
              </w:rPr>
              <w:t>Sickness/maternity and paternity pay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 w:themeFill="accent4"/>
            <w:vAlign w:val="bottom"/>
          </w:tcPr>
          <w:p w14:paraId="4B78D9A7" w14:textId="176F5ACE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</w:rPr>
              <w:t>£0.27</w:t>
            </w:r>
          </w:p>
        </w:tc>
      </w:tr>
      <w:tr w:rsidR="3A8158B2" w14:paraId="6B77D7B5" w14:textId="77777777" w:rsidTr="51EE4DE1">
        <w:trPr>
          <w:trHeight w:val="315"/>
        </w:trPr>
        <w:tc>
          <w:tcPr>
            <w:tcW w:w="59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30B010" w14:textId="4C245F16" w:rsidR="3A8158B2" w:rsidRDefault="3A8158B2" w:rsidP="3A8158B2">
            <w:r w:rsidRPr="3A8158B2">
              <w:rPr>
                <w:rFonts w:eastAsia="Arial" w:cs="Arial"/>
                <w:color w:val="000000" w:themeColor="text1"/>
              </w:rPr>
              <w:t>Notice/suspension pay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 w:themeFill="accent4"/>
            <w:vAlign w:val="bottom"/>
          </w:tcPr>
          <w:p w14:paraId="51D380F7" w14:textId="3989F078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</w:rPr>
              <w:t>£0.04</w:t>
            </w:r>
          </w:p>
        </w:tc>
      </w:tr>
      <w:tr w:rsidR="3A8158B2" w14:paraId="3725B42B" w14:textId="77777777" w:rsidTr="51EE4DE1">
        <w:trPr>
          <w:trHeight w:val="315"/>
        </w:trPr>
        <w:tc>
          <w:tcPr>
            <w:tcW w:w="59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60F525" w14:textId="0653EA81" w:rsidR="3A8158B2" w:rsidRDefault="3A8158B2" w:rsidP="3A8158B2">
            <w:r w:rsidRPr="3A8158B2">
              <w:rPr>
                <w:rFonts w:eastAsia="Arial" w:cs="Arial"/>
                <w:color w:val="000000" w:themeColor="text1"/>
              </w:rPr>
              <w:t>NI (direct care hours)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 w:themeFill="accent4"/>
            <w:vAlign w:val="bottom"/>
          </w:tcPr>
          <w:p w14:paraId="2A40C89A" w14:textId="3616042A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</w:rPr>
              <w:t>£0.98</w:t>
            </w:r>
          </w:p>
        </w:tc>
      </w:tr>
      <w:tr w:rsidR="3A8158B2" w14:paraId="1A88D58E" w14:textId="77777777" w:rsidTr="51EE4DE1">
        <w:trPr>
          <w:trHeight w:val="315"/>
        </w:trPr>
        <w:tc>
          <w:tcPr>
            <w:tcW w:w="59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61086F" w14:textId="40AA6690" w:rsidR="3A8158B2" w:rsidRDefault="3A8158B2" w:rsidP="3A8158B2">
            <w:r w:rsidRPr="3A8158B2">
              <w:rPr>
                <w:rFonts w:eastAsia="Arial" w:cs="Arial"/>
                <w:color w:val="000000" w:themeColor="text1"/>
              </w:rPr>
              <w:t>Pension (direct care hours)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 w:themeFill="accent4"/>
            <w:vAlign w:val="bottom"/>
          </w:tcPr>
          <w:p w14:paraId="704409EF" w14:textId="31845261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</w:rPr>
              <w:t>£0.39</w:t>
            </w:r>
          </w:p>
        </w:tc>
      </w:tr>
      <w:tr w:rsidR="3A8158B2" w14:paraId="1E3FB967" w14:textId="77777777" w:rsidTr="51EE4DE1">
        <w:trPr>
          <w:trHeight w:val="315"/>
        </w:trPr>
        <w:tc>
          <w:tcPr>
            <w:tcW w:w="59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067155" w14:textId="59D6A05E" w:rsidR="3A8158B2" w:rsidRDefault="3A8158B2" w:rsidP="3A8158B2">
            <w:r w:rsidRPr="3A8158B2">
              <w:rPr>
                <w:rFonts w:eastAsia="Arial" w:cs="Arial"/>
                <w:b/>
                <w:bCs/>
                <w:color w:val="000000" w:themeColor="text1"/>
              </w:rPr>
              <w:t>Total Business Costs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7D31" w:themeFill="accent2"/>
            <w:vAlign w:val="bottom"/>
          </w:tcPr>
          <w:p w14:paraId="0A017A90" w14:textId="0B7F64C3" w:rsidR="3A8158B2" w:rsidRDefault="3A8158B2">
            <w:r w:rsidRPr="3A8158B2">
              <w:rPr>
                <w:rFonts w:ascii="Calibri" w:eastAsia="Calibri" w:hAnsi="Calibri" w:cs="Calibri"/>
                <w:b/>
                <w:bCs/>
                <w:color w:val="000000" w:themeColor="text1"/>
              </w:rPr>
              <w:t>£6.44</w:t>
            </w:r>
          </w:p>
        </w:tc>
      </w:tr>
      <w:tr w:rsidR="3A8158B2" w14:paraId="0FE40217" w14:textId="77777777" w:rsidTr="51EE4DE1">
        <w:trPr>
          <w:trHeight w:val="315"/>
        </w:trPr>
        <w:tc>
          <w:tcPr>
            <w:tcW w:w="59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156666" w14:textId="0EC0F553" w:rsidR="3A8158B2" w:rsidRDefault="48B4AAEA" w:rsidP="3A8158B2">
            <w:r w:rsidRPr="51EE4DE1">
              <w:rPr>
                <w:rFonts w:eastAsia="Arial" w:cs="Arial"/>
                <w:color w:val="000000" w:themeColor="text1"/>
              </w:rPr>
              <w:t>Back-office</w:t>
            </w:r>
            <w:r w:rsidR="4E8F88B7" w:rsidRPr="51EE4DE1">
              <w:rPr>
                <w:rFonts w:eastAsia="Arial" w:cs="Arial"/>
                <w:color w:val="000000" w:themeColor="text1"/>
              </w:rPr>
              <w:t xml:space="preserve"> staff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 w:themeFill="accent4"/>
            <w:vAlign w:val="bottom"/>
          </w:tcPr>
          <w:p w14:paraId="6CDAE13F" w14:textId="06BD6354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</w:rPr>
              <w:t>£4.08</w:t>
            </w:r>
          </w:p>
        </w:tc>
      </w:tr>
      <w:tr w:rsidR="3A8158B2" w14:paraId="5335D686" w14:textId="77777777" w:rsidTr="51EE4DE1">
        <w:trPr>
          <w:trHeight w:val="315"/>
        </w:trPr>
        <w:tc>
          <w:tcPr>
            <w:tcW w:w="59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CD93FB" w14:textId="4A7FD404" w:rsidR="3A8158B2" w:rsidRDefault="3A8158B2" w:rsidP="3A8158B2">
            <w:r w:rsidRPr="3A8158B2">
              <w:rPr>
                <w:rFonts w:eastAsia="Arial" w:cs="Arial"/>
                <w:color w:val="000000" w:themeColor="text1"/>
              </w:rPr>
              <w:t>Travel costs (parking/vehicle lease et cetera)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 w:themeFill="accent4"/>
            <w:vAlign w:val="bottom"/>
          </w:tcPr>
          <w:p w14:paraId="5FC53580" w14:textId="31B83281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</w:rPr>
              <w:t>£0.01</w:t>
            </w:r>
          </w:p>
        </w:tc>
      </w:tr>
      <w:tr w:rsidR="3A8158B2" w14:paraId="7753D257" w14:textId="77777777" w:rsidTr="51EE4DE1">
        <w:trPr>
          <w:trHeight w:val="315"/>
        </w:trPr>
        <w:tc>
          <w:tcPr>
            <w:tcW w:w="59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FA73AA" w14:textId="03686622" w:rsidR="3A8158B2" w:rsidRDefault="3A8158B2" w:rsidP="3A8158B2">
            <w:r w:rsidRPr="3A8158B2">
              <w:rPr>
                <w:rFonts w:eastAsia="Arial" w:cs="Arial"/>
                <w:color w:val="000000" w:themeColor="text1"/>
              </w:rPr>
              <w:t>Rent/rates/utilities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 w:themeFill="accent4"/>
            <w:vAlign w:val="bottom"/>
          </w:tcPr>
          <w:p w14:paraId="74F7E8D9" w14:textId="77844E6A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</w:rPr>
              <w:t>£0.55</w:t>
            </w:r>
          </w:p>
        </w:tc>
      </w:tr>
      <w:tr w:rsidR="3A8158B2" w14:paraId="2EEF7E15" w14:textId="77777777" w:rsidTr="51EE4DE1">
        <w:trPr>
          <w:trHeight w:val="315"/>
        </w:trPr>
        <w:tc>
          <w:tcPr>
            <w:tcW w:w="59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A64787" w14:textId="298223A2" w:rsidR="3A8158B2" w:rsidRDefault="3A8158B2" w:rsidP="3A8158B2">
            <w:r w:rsidRPr="3A8158B2">
              <w:rPr>
                <w:rFonts w:eastAsia="Arial" w:cs="Arial"/>
                <w:color w:val="000000" w:themeColor="text1"/>
              </w:rPr>
              <w:t>Recruitment/DBS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 w:themeFill="accent4"/>
            <w:vAlign w:val="bottom"/>
          </w:tcPr>
          <w:p w14:paraId="5E2FE3A6" w14:textId="2912C4BC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</w:rPr>
              <w:t>£0.36</w:t>
            </w:r>
          </w:p>
        </w:tc>
      </w:tr>
      <w:tr w:rsidR="3A8158B2" w14:paraId="26146B00" w14:textId="77777777" w:rsidTr="51EE4DE1">
        <w:trPr>
          <w:trHeight w:val="315"/>
        </w:trPr>
        <w:tc>
          <w:tcPr>
            <w:tcW w:w="59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E40C5D" w14:textId="3F7E6222" w:rsidR="3A8158B2" w:rsidRDefault="3A8158B2" w:rsidP="3A8158B2">
            <w:r w:rsidRPr="3A8158B2">
              <w:rPr>
                <w:rFonts w:eastAsia="Arial" w:cs="Arial"/>
                <w:color w:val="000000" w:themeColor="text1"/>
              </w:rPr>
              <w:t>Training (third party)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 w:themeFill="accent4"/>
            <w:vAlign w:val="bottom"/>
          </w:tcPr>
          <w:p w14:paraId="543313BA" w14:textId="29531AF5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</w:rPr>
              <w:t>£0.08</w:t>
            </w:r>
          </w:p>
        </w:tc>
      </w:tr>
      <w:tr w:rsidR="3A8158B2" w14:paraId="6137B8D3" w14:textId="77777777" w:rsidTr="51EE4DE1">
        <w:trPr>
          <w:trHeight w:val="315"/>
        </w:trPr>
        <w:tc>
          <w:tcPr>
            <w:tcW w:w="59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A55D50" w14:textId="06D61D32" w:rsidR="3A8158B2" w:rsidRDefault="3A8158B2" w:rsidP="3A8158B2">
            <w:r w:rsidRPr="3A8158B2">
              <w:rPr>
                <w:rFonts w:eastAsia="Arial" w:cs="Arial"/>
                <w:color w:val="000000" w:themeColor="text1"/>
              </w:rPr>
              <w:t>IT (hardware, software CRM, ECM)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 w:themeFill="accent4"/>
            <w:vAlign w:val="bottom"/>
          </w:tcPr>
          <w:p w14:paraId="7FEF13C5" w14:textId="1D2D458C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</w:rPr>
              <w:t>£0.32</w:t>
            </w:r>
          </w:p>
        </w:tc>
      </w:tr>
      <w:tr w:rsidR="3A8158B2" w14:paraId="25A64DC5" w14:textId="77777777" w:rsidTr="51EE4DE1">
        <w:trPr>
          <w:trHeight w:val="315"/>
        </w:trPr>
        <w:tc>
          <w:tcPr>
            <w:tcW w:w="59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DC7DC1" w14:textId="715E07AD" w:rsidR="3A8158B2" w:rsidRDefault="3A8158B2" w:rsidP="3A8158B2">
            <w:r w:rsidRPr="3A8158B2">
              <w:rPr>
                <w:rFonts w:eastAsia="Arial" w:cs="Arial"/>
                <w:color w:val="000000" w:themeColor="text1"/>
              </w:rPr>
              <w:t>Telephony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 w:themeFill="accent4"/>
            <w:vAlign w:val="bottom"/>
          </w:tcPr>
          <w:p w14:paraId="18B366A7" w14:textId="690553DF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</w:rPr>
              <w:t>£0.14</w:t>
            </w:r>
          </w:p>
        </w:tc>
      </w:tr>
      <w:tr w:rsidR="3A8158B2" w14:paraId="479B9F06" w14:textId="77777777" w:rsidTr="51EE4DE1">
        <w:trPr>
          <w:trHeight w:val="315"/>
        </w:trPr>
        <w:tc>
          <w:tcPr>
            <w:tcW w:w="59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FD3F64" w14:textId="3125FD5D" w:rsidR="3A8158B2" w:rsidRDefault="3A8158B2" w:rsidP="3A8158B2">
            <w:r w:rsidRPr="3A8158B2">
              <w:rPr>
                <w:rFonts w:eastAsia="Arial" w:cs="Arial"/>
                <w:color w:val="000000" w:themeColor="text1"/>
              </w:rPr>
              <w:t>Stationery/postage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 w:themeFill="accent4"/>
            <w:vAlign w:val="bottom"/>
          </w:tcPr>
          <w:p w14:paraId="7F879ED6" w14:textId="48B1A8EE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</w:rPr>
              <w:t>£0.06</w:t>
            </w:r>
          </w:p>
        </w:tc>
      </w:tr>
      <w:tr w:rsidR="3A8158B2" w14:paraId="6DFCD71F" w14:textId="77777777" w:rsidTr="51EE4DE1">
        <w:trPr>
          <w:trHeight w:val="315"/>
        </w:trPr>
        <w:tc>
          <w:tcPr>
            <w:tcW w:w="59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EFE6F3" w14:textId="68D49566" w:rsidR="3A8158B2" w:rsidRDefault="3A8158B2" w:rsidP="3A8158B2">
            <w:r w:rsidRPr="3A8158B2">
              <w:rPr>
                <w:rFonts w:eastAsia="Arial" w:cs="Arial"/>
                <w:color w:val="000000" w:themeColor="text1"/>
              </w:rPr>
              <w:t>Insurance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 w:themeFill="accent4"/>
            <w:vAlign w:val="bottom"/>
          </w:tcPr>
          <w:p w14:paraId="494181AB" w14:textId="495887BC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</w:rPr>
              <w:t>£0.14</w:t>
            </w:r>
          </w:p>
        </w:tc>
      </w:tr>
      <w:tr w:rsidR="3A8158B2" w14:paraId="2A915702" w14:textId="77777777" w:rsidTr="51EE4DE1">
        <w:trPr>
          <w:trHeight w:val="315"/>
        </w:trPr>
        <w:tc>
          <w:tcPr>
            <w:tcW w:w="59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E7CC16" w14:textId="2AE236E5" w:rsidR="3A8158B2" w:rsidRDefault="3A8158B2" w:rsidP="3A8158B2">
            <w:r w:rsidRPr="3A8158B2">
              <w:rPr>
                <w:rFonts w:eastAsia="Arial" w:cs="Arial"/>
                <w:color w:val="000000" w:themeColor="text1"/>
              </w:rPr>
              <w:t>Legal/finance/professional fees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 w:themeFill="accent4"/>
            <w:vAlign w:val="bottom"/>
          </w:tcPr>
          <w:p w14:paraId="678EFC9D" w14:textId="7AEB0942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</w:rPr>
              <w:t>£0.11</w:t>
            </w:r>
          </w:p>
        </w:tc>
      </w:tr>
      <w:tr w:rsidR="3A8158B2" w14:paraId="54915F28" w14:textId="77777777" w:rsidTr="51EE4DE1">
        <w:trPr>
          <w:trHeight w:val="315"/>
        </w:trPr>
        <w:tc>
          <w:tcPr>
            <w:tcW w:w="59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89D77B" w14:textId="1672CC2D" w:rsidR="3A8158B2" w:rsidRDefault="3A8158B2" w:rsidP="3A8158B2">
            <w:r w:rsidRPr="3A8158B2">
              <w:rPr>
                <w:rFonts w:eastAsia="Arial" w:cs="Arial"/>
                <w:color w:val="000000" w:themeColor="text1"/>
              </w:rPr>
              <w:t>Marketing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 w:themeFill="accent4"/>
            <w:vAlign w:val="bottom"/>
          </w:tcPr>
          <w:p w14:paraId="67D48162" w14:textId="078BD67D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</w:rPr>
              <w:t>£0.06</w:t>
            </w:r>
          </w:p>
        </w:tc>
      </w:tr>
      <w:tr w:rsidR="3A8158B2" w14:paraId="2A0A66A8" w14:textId="77777777" w:rsidTr="51EE4DE1">
        <w:trPr>
          <w:trHeight w:val="315"/>
        </w:trPr>
        <w:tc>
          <w:tcPr>
            <w:tcW w:w="59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FFDD31" w14:textId="38CADB06" w:rsidR="3A8158B2" w:rsidRDefault="3A8158B2" w:rsidP="3A8158B2">
            <w:r w:rsidRPr="3A8158B2">
              <w:rPr>
                <w:rFonts w:eastAsia="Arial" w:cs="Arial"/>
                <w:color w:val="000000" w:themeColor="text1"/>
              </w:rPr>
              <w:t>Audit and compliance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 w:themeFill="accent4"/>
            <w:vAlign w:val="bottom"/>
          </w:tcPr>
          <w:p w14:paraId="0E7A5BEC" w14:textId="61C05BF3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</w:rPr>
              <w:t>£0.06</w:t>
            </w:r>
          </w:p>
        </w:tc>
      </w:tr>
      <w:tr w:rsidR="3A8158B2" w14:paraId="6296B538" w14:textId="77777777" w:rsidTr="51EE4DE1">
        <w:trPr>
          <w:trHeight w:val="315"/>
        </w:trPr>
        <w:tc>
          <w:tcPr>
            <w:tcW w:w="59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C04230" w14:textId="45A3F69E" w:rsidR="3A8158B2" w:rsidRDefault="3A8158B2" w:rsidP="3A8158B2">
            <w:r w:rsidRPr="3A8158B2">
              <w:rPr>
                <w:rFonts w:eastAsia="Arial" w:cs="Arial"/>
                <w:color w:val="000000" w:themeColor="text1"/>
              </w:rPr>
              <w:t>Uniforms and other consumables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 w:themeFill="accent4"/>
            <w:vAlign w:val="bottom"/>
          </w:tcPr>
          <w:p w14:paraId="1CE25066" w14:textId="3140A029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</w:rPr>
              <w:t>£0.05</w:t>
            </w:r>
          </w:p>
        </w:tc>
      </w:tr>
      <w:tr w:rsidR="3A8158B2" w14:paraId="17A072BF" w14:textId="77777777" w:rsidTr="51EE4DE1">
        <w:trPr>
          <w:trHeight w:val="315"/>
        </w:trPr>
        <w:tc>
          <w:tcPr>
            <w:tcW w:w="59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0A92D7" w14:textId="33922D9B" w:rsidR="3A8158B2" w:rsidRDefault="3A8158B2" w:rsidP="3A8158B2">
            <w:r w:rsidRPr="3A8158B2">
              <w:rPr>
                <w:rFonts w:eastAsia="Arial" w:cs="Arial"/>
                <w:color w:val="000000" w:themeColor="text1"/>
              </w:rPr>
              <w:t>Assistive technology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 w:themeFill="accent4"/>
            <w:vAlign w:val="bottom"/>
          </w:tcPr>
          <w:p w14:paraId="29C88ABE" w14:textId="4DC6ED60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</w:rPr>
              <w:t>£0.00</w:t>
            </w:r>
          </w:p>
        </w:tc>
      </w:tr>
      <w:tr w:rsidR="3A8158B2" w14:paraId="081B03FB" w14:textId="77777777" w:rsidTr="51EE4DE1">
        <w:trPr>
          <w:trHeight w:val="315"/>
        </w:trPr>
        <w:tc>
          <w:tcPr>
            <w:tcW w:w="59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C6B64A" w14:textId="58344717" w:rsidR="3A8158B2" w:rsidRDefault="3A8158B2" w:rsidP="3A8158B2">
            <w:r w:rsidRPr="3A8158B2">
              <w:rPr>
                <w:rFonts w:eastAsia="Arial" w:cs="Arial"/>
                <w:color w:val="000000" w:themeColor="text1"/>
              </w:rPr>
              <w:t>Central/head office recharges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 w:themeFill="accent4"/>
            <w:vAlign w:val="bottom"/>
          </w:tcPr>
          <w:p w14:paraId="25CAD020" w14:textId="2A5AB2A9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</w:rPr>
              <w:t>£0.25</w:t>
            </w:r>
          </w:p>
        </w:tc>
      </w:tr>
      <w:tr w:rsidR="3A8158B2" w14:paraId="53BFE398" w14:textId="77777777" w:rsidTr="51EE4DE1">
        <w:trPr>
          <w:trHeight w:val="315"/>
        </w:trPr>
        <w:tc>
          <w:tcPr>
            <w:tcW w:w="59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CE7FE1" w14:textId="08FDE204" w:rsidR="3A8158B2" w:rsidRDefault="3A8158B2" w:rsidP="3A8158B2">
            <w:r w:rsidRPr="3A8158B2">
              <w:rPr>
                <w:rFonts w:eastAsia="Arial" w:cs="Arial"/>
                <w:color w:val="000000" w:themeColor="text1"/>
              </w:rPr>
              <w:t>Other overheads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 w:themeFill="accent4"/>
            <w:vAlign w:val="bottom"/>
          </w:tcPr>
          <w:p w14:paraId="3A7628C8" w14:textId="1106CC17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</w:rPr>
              <w:t>£0.05</w:t>
            </w:r>
          </w:p>
        </w:tc>
      </w:tr>
      <w:tr w:rsidR="3A8158B2" w14:paraId="5BAABB00" w14:textId="77777777" w:rsidTr="51EE4DE1">
        <w:trPr>
          <w:trHeight w:val="315"/>
        </w:trPr>
        <w:tc>
          <w:tcPr>
            <w:tcW w:w="59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E2771E" w14:textId="7A103ABC" w:rsidR="3A8158B2" w:rsidRDefault="3A8158B2" w:rsidP="3A8158B2">
            <w:r w:rsidRPr="3A8158B2">
              <w:rPr>
                <w:rFonts w:eastAsia="Arial" w:cs="Arial"/>
                <w:color w:val="000000" w:themeColor="text1"/>
              </w:rPr>
              <w:t>CQC fees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 w:themeFill="accent4"/>
            <w:vAlign w:val="bottom"/>
          </w:tcPr>
          <w:p w14:paraId="08C432C9" w14:textId="09239B63" w:rsidR="3A8158B2" w:rsidRDefault="3A8158B2">
            <w:r w:rsidRPr="3A8158B2">
              <w:rPr>
                <w:rFonts w:ascii="Calibri" w:eastAsia="Calibri" w:hAnsi="Calibri" w:cs="Calibri"/>
                <w:color w:val="000000" w:themeColor="text1"/>
              </w:rPr>
              <w:t>£0.12</w:t>
            </w:r>
          </w:p>
        </w:tc>
      </w:tr>
      <w:tr w:rsidR="3A8158B2" w14:paraId="23B1C158" w14:textId="77777777" w:rsidTr="51EE4DE1">
        <w:trPr>
          <w:trHeight w:val="315"/>
        </w:trPr>
        <w:tc>
          <w:tcPr>
            <w:tcW w:w="59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FA5F321" w14:textId="129FAB99" w:rsidR="3A8158B2" w:rsidRDefault="3A8158B2" w:rsidP="3A8158B2">
            <w:r w:rsidRPr="3A8158B2">
              <w:rPr>
                <w:rFonts w:eastAsia="Arial" w:cs="Arial"/>
                <w:b/>
                <w:bCs/>
                <w:color w:val="000000" w:themeColor="text1"/>
              </w:rPr>
              <w:t>Total Return on Operations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7D31" w:themeFill="accent2"/>
            <w:vAlign w:val="bottom"/>
          </w:tcPr>
          <w:p w14:paraId="540906B5" w14:textId="6A132835" w:rsidR="3A8158B2" w:rsidRDefault="3A8158B2">
            <w:r w:rsidRPr="3A8158B2">
              <w:rPr>
                <w:rFonts w:ascii="Calibri" w:eastAsia="Calibri" w:hAnsi="Calibri" w:cs="Calibri"/>
                <w:b/>
                <w:bCs/>
                <w:color w:val="000000" w:themeColor="text1"/>
              </w:rPr>
              <w:t>£1.12</w:t>
            </w:r>
          </w:p>
        </w:tc>
      </w:tr>
      <w:tr w:rsidR="3A8158B2" w14:paraId="3CDCE18A" w14:textId="77777777" w:rsidTr="51EE4DE1">
        <w:trPr>
          <w:trHeight w:val="315"/>
        </w:trPr>
        <w:tc>
          <w:tcPr>
            <w:tcW w:w="5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FFB9367" w14:textId="48D4C68C" w:rsidR="3A8158B2" w:rsidRDefault="3A8158B2" w:rsidP="3A8158B2">
            <w:r w:rsidRPr="3A8158B2">
              <w:rPr>
                <w:rFonts w:eastAsia="Arial" w:cs="Arial"/>
                <w:b/>
                <w:bCs/>
                <w:color w:val="000000" w:themeColor="text1"/>
              </w:rPr>
              <w:t>TOTAL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5911"/>
            <w:vAlign w:val="bottom"/>
          </w:tcPr>
          <w:p w14:paraId="425487BF" w14:textId="1F6C3611" w:rsidR="3A8158B2" w:rsidRDefault="3A8158B2">
            <w:r w:rsidRPr="3A8158B2">
              <w:rPr>
                <w:rFonts w:ascii="Calibri" w:eastAsia="Calibri" w:hAnsi="Calibri" w:cs="Calibri"/>
                <w:b/>
                <w:bCs/>
                <w:color w:val="000000" w:themeColor="text1"/>
              </w:rPr>
              <w:t>£23.89</w:t>
            </w:r>
          </w:p>
        </w:tc>
      </w:tr>
    </w:tbl>
    <w:p w14:paraId="5D1C8724" w14:textId="26706262" w:rsidR="3A8158B2" w:rsidRDefault="3A8158B2" w:rsidP="3A8158B2">
      <w:pPr>
        <w:shd w:val="clear" w:color="auto" w:fill="FFFFFF" w:themeFill="background1"/>
        <w:spacing w:after="75"/>
        <w:rPr>
          <w:rFonts w:cs="Arial"/>
          <w:color w:val="0B0C0C"/>
          <w:sz w:val="29"/>
          <w:szCs w:val="29"/>
          <w:lang w:eastAsia="en-GB"/>
        </w:rPr>
      </w:pPr>
    </w:p>
    <w:p w14:paraId="2D9D8EF3" w14:textId="0B31714C" w:rsidR="3C55C399" w:rsidRDefault="3C55C399" w:rsidP="3A8158B2">
      <w:pPr>
        <w:pStyle w:val="ListParagraph"/>
        <w:spacing w:after="75" w:line="259" w:lineRule="auto"/>
        <w:rPr>
          <w:rFonts w:cs="Arial"/>
          <w:color w:val="0B0C0C"/>
          <w:lang w:eastAsia="en-GB"/>
        </w:rPr>
      </w:pPr>
      <w:r w:rsidRPr="3A8158B2">
        <w:rPr>
          <w:rFonts w:cs="Arial"/>
          <w:color w:val="0B0C0C"/>
          <w:sz w:val="29"/>
          <w:szCs w:val="29"/>
          <w:lang w:eastAsia="en-GB"/>
        </w:rPr>
        <w:t>A</w:t>
      </w:r>
      <w:r w:rsidRPr="3A8158B2">
        <w:rPr>
          <w:rFonts w:cs="Arial"/>
          <w:color w:val="0B0C0C"/>
          <w:lang w:eastAsia="en-GB"/>
        </w:rPr>
        <w:t xml:space="preserve">ll rates are per hour, we do not commission 15 min calls and </w:t>
      </w:r>
      <w:r w:rsidR="6268B37E" w:rsidRPr="3A8158B2">
        <w:rPr>
          <w:rFonts w:cs="Arial"/>
          <w:color w:val="0B0C0C"/>
          <w:lang w:eastAsia="en-GB"/>
        </w:rPr>
        <w:t xml:space="preserve">we have not included an analysis of 30/45/60 min rates as our commissioning model </w:t>
      </w:r>
      <w:proofErr w:type="gramStart"/>
      <w:r w:rsidR="6268B37E" w:rsidRPr="3A8158B2">
        <w:rPr>
          <w:rFonts w:cs="Arial"/>
          <w:color w:val="0B0C0C"/>
          <w:lang w:eastAsia="en-GB"/>
        </w:rPr>
        <w:t>is</w:t>
      </w:r>
      <w:proofErr w:type="gramEnd"/>
      <w:r w:rsidR="6268B37E" w:rsidRPr="3A8158B2">
        <w:rPr>
          <w:rFonts w:cs="Arial"/>
          <w:color w:val="0B0C0C"/>
          <w:lang w:eastAsia="en-GB"/>
        </w:rPr>
        <w:t xml:space="preserve"> based o</w:t>
      </w:r>
      <w:r w:rsidRPr="3A8158B2">
        <w:rPr>
          <w:rFonts w:cs="Arial"/>
          <w:color w:val="0B0C0C"/>
          <w:lang w:eastAsia="en-GB"/>
        </w:rPr>
        <w:t>n a basket of hours</w:t>
      </w:r>
      <w:r w:rsidR="7840BC86" w:rsidRPr="3A8158B2">
        <w:rPr>
          <w:rFonts w:cs="Arial"/>
          <w:color w:val="0B0C0C"/>
          <w:lang w:eastAsia="en-GB"/>
        </w:rPr>
        <w:t xml:space="preserve"> approach.</w:t>
      </w:r>
    </w:p>
    <w:p w14:paraId="0992123E" w14:textId="6D6CDFF3" w:rsidR="3A8158B2" w:rsidRDefault="3A8158B2" w:rsidP="3A8158B2">
      <w:pPr>
        <w:shd w:val="clear" w:color="auto" w:fill="FFFFFF" w:themeFill="background1"/>
        <w:spacing w:after="75"/>
        <w:rPr>
          <w:rFonts w:cs="Arial"/>
          <w:color w:val="0B0C0C"/>
          <w:sz w:val="29"/>
          <w:szCs w:val="29"/>
          <w:lang w:eastAsia="en-GB"/>
        </w:rPr>
      </w:pPr>
    </w:p>
    <w:p w14:paraId="0D2B3A8D" w14:textId="3641E955" w:rsidR="002037EE" w:rsidRDefault="00FB6075" w:rsidP="1474911D">
      <w:pPr>
        <w:pStyle w:val="Heading2"/>
        <w:numPr>
          <w:ilvl w:val="0"/>
          <w:numId w:val="26"/>
        </w:numPr>
        <w:rPr>
          <w:bCs w:val="0"/>
          <w:sz w:val="28"/>
        </w:rPr>
      </w:pPr>
      <w:r>
        <w:rPr>
          <w:sz w:val="28"/>
          <w:szCs w:val="28"/>
        </w:rPr>
        <w:t xml:space="preserve">     </w:t>
      </w:r>
      <w:r w:rsidR="00B57EA3" w:rsidRPr="1474911D">
        <w:rPr>
          <w:sz w:val="28"/>
          <w:szCs w:val="28"/>
        </w:rPr>
        <w:t xml:space="preserve">Result Collection </w:t>
      </w:r>
    </w:p>
    <w:p w14:paraId="75FCCA36" w14:textId="77777777" w:rsidR="00B57EA3" w:rsidRPr="00B57EA3" w:rsidRDefault="00B57EA3" w:rsidP="00597400">
      <w:pPr>
        <w:ind w:left="360"/>
        <w:rPr>
          <w:lang w:val="en-US"/>
        </w:rPr>
      </w:pPr>
    </w:p>
    <w:p w14:paraId="2BE3AB67" w14:textId="6F861D6D" w:rsidR="005342F5" w:rsidRDefault="5EC0E56C" w:rsidP="1474911D">
      <w:pPr>
        <w:pStyle w:val="ListParagraph"/>
        <w:spacing w:after="75" w:line="259" w:lineRule="auto"/>
        <w:rPr>
          <w:rFonts w:cs="Arial"/>
          <w:color w:val="0B0C0C"/>
          <w:lang w:eastAsia="en-GB"/>
        </w:rPr>
      </w:pPr>
      <w:r w:rsidRPr="51EE4DE1">
        <w:rPr>
          <w:rFonts w:cs="Arial"/>
          <w:color w:val="0B0C0C"/>
          <w:lang w:eastAsia="en-GB"/>
        </w:rPr>
        <w:t xml:space="preserve">The results were collected with 2022/23 as the base price year. We will aim </w:t>
      </w:r>
      <w:r w:rsidR="00362D6E" w:rsidRPr="51EE4DE1">
        <w:rPr>
          <w:rFonts w:cs="Arial"/>
          <w:color w:val="0B0C0C"/>
          <w:lang w:eastAsia="en-GB"/>
        </w:rPr>
        <w:t>to uplift</w:t>
      </w:r>
      <w:r w:rsidR="1766766F" w:rsidRPr="51EE4DE1">
        <w:rPr>
          <w:rFonts w:cs="Arial"/>
          <w:color w:val="0B0C0C"/>
          <w:lang w:eastAsia="en-GB"/>
        </w:rPr>
        <w:t xml:space="preserve"> during future years </w:t>
      </w:r>
      <w:r w:rsidR="44E8B713" w:rsidRPr="51EE4DE1">
        <w:rPr>
          <w:rFonts w:cs="Arial"/>
          <w:color w:val="0B0C0C"/>
          <w:lang w:eastAsia="en-GB"/>
        </w:rPr>
        <w:t xml:space="preserve">by </w:t>
      </w:r>
      <w:bookmarkStart w:id="3" w:name="_Int_4s5rUp8J"/>
      <w:r w:rsidR="4EB2EFAC" w:rsidRPr="51EE4DE1">
        <w:rPr>
          <w:rFonts w:cs="Arial"/>
          <w:color w:val="0B0C0C"/>
          <w:lang w:eastAsia="en-GB"/>
        </w:rPr>
        <w:t>considering</w:t>
      </w:r>
      <w:bookmarkEnd w:id="3"/>
      <w:r w:rsidR="1766766F" w:rsidRPr="51EE4DE1">
        <w:rPr>
          <w:rFonts w:cs="Arial"/>
          <w:color w:val="0B0C0C"/>
          <w:lang w:eastAsia="en-GB"/>
        </w:rPr>
        <w:t xml:space="preserve"> the impact of the Nati</w:t>
      </w:r>
      <w:r w:rsidR="30122D61" w:rsidRPr="51EE4DE1">
        <w:rPr>
          <w:rFonts w:cs="Arial"/>
          <w:color w:val="0B0C0C"/>
          <w:lang w:eastAsia="en-GB"/>
        </w:rPr>
        <w:t>o</w:t>
      </w:r>
      <w:r w:rsidR="1766766F" w:rsidRPr="51EE4DE1">
        <w:rPr>
          <w:rFonts w:cs="Arial"/>
          <w:color w:val="0B0C0C"/>
          <w:lang w:eastAsia="en-GB"/>
        </w:rPr>
        <w:t>nal Living Wage</w:t>
      </w:r>
      <w:r w:rsidR="148ABB03" w:rsidRPr="51EE4DE1">
        <w:rPr>
          <w:rFonts w:cs="Arial"/>
          <w:color w:val="0B0C0C"/>
          <w:lang w:eastAsia="en-GB"/>
        </w:rPr>
        <w:t xml:space="preserve"> and </w:t>
      </w:r>
      <w:bookmarkStart w:id="4" w:name="_Int_t9Ra0578"/>
      <w:r w:rsidR="7FBDD69F" w:rsidRPr="51EE4DE1">
        <w:rPr>
          <w:rFonts w:cs="Arial"/>
          <w:color w:val="0B0C0C"/>
          <w:lang w:eastAsia="en-GB"/>
        </w:rPr>
        <w:t>CPI</w:t>
      </w:r>
      <w:bookmarkEnd w:id="4"/>
      <w:r w:rsidR="0CE00A6C" w:rsidRPr="51EE4DE1">
        <w:rPr>
          <w:rFonts w:cs="Arial"/>
          <w:color w:val="0B0C0C"/>
          <w:lang w:eastAsia="en-GB"/>
        </w:rPr>
        <w:t xml:space="preserve">. We will also need to consider the level of funding available </w:t>
      </w:r>
      <w:r w:rsidR="4F35A67B" w:rsidRPr="51EE4DE1">
        <w:rPr>
          <w:rFonts w:cs="Arial"/>
          <w:color w:val="0B0C0C"/>
          <w:lang w:eastAsia="en-GB"/>
        </w:rPr>
        <w:t>to enable us to meet these aims as far as we able to.</w:t>
      </w:r>
      <w:r w:rsidR="0CE00A6C" w:rsidRPr="51EE4DE1">
        <w:rPr>
          <w:rFonts w:cs="Arial"/>
          <w:color w:val="0B0C0C"/>
          <w:lang w:eastAsia="en-GB"/>
        </w:rPr>
        <w:t xml:space="preserve"> </w:t>
      </w:r>
    </w:p>
    <w:p w14:paraId="0534D8F1" w14:textId="77777777" w:rsidR="00C32A82" w:rsidRPr="004B02F0" w:rsidRDefault="00C32A82" w:rsidP="1474911D">
      <w:pPr>
        <w:pStyle w:val="ListParagraph"/>
        <w:spacing w:after="75" w:line="259" w:lineRule="auto"/>
        <w:rPr>
          <w:rFonts w:cs="Arial"/>
          <w:color w:val="0B0C0C"/>
          <w:lang w:eastAsia="en-GB"/>
        </w:rPr>
      </w:pPr>
    </w:p>
    <w:p w14:paraId="3A95AFB0" w14:textId="14823601" w:rsidR="00FA4705" w:rsidRPr="00FA4705" w:rsidRDefault="00FB6075" w:rsidP="3B2F722A">
      <w:pPr>
        <w:rPr>
          <w:rFonts w:cs="Arial"/>
          <w:vanish/>
        </w:rPr>
      </w:pPr>
      <w:r>
        <w:rPr>
          <w:rFonts w:cs="Arial"/>
          <w:vanish/>
        </w:rPr>
        <w:t xml:space="preserve"> </w:t>
      </w:r>
    </w:p>
    <w:p w14:paraId="28D1020C" w14:textId="498C9426" w:rsidR="002037EE" w:rsidRPr="00B57EA3" w:rsidRDefault="00FB6075" w:rsidP="1474911D">
      <w:pPr>
        <w:pStyle w:val="Heading2"/>
        <w:numPr>
          <w:ilvl w:val="0"/>
          <w:numId w:val="26"/>
        </w:numPr>
      </w:pPr>
      <w:r>
        <w:rPr>
          <w:sz w:val="28"/>
          <w:szCs w:val="28"/>
        </w:rPr>
        <w:t xml:space="preserve">    </w:t>
      </w:r>
      <w:r w:rsidR="00B57EA3" w:rsidRPr="1474911D">
        <w:rPr>
          <w:sz w:val="28"/>
          <w:szCs w:val="28"/>
        </w:rPr>
        <w:t xml:space="preserve">Template </w:t>
      </w:r>
    </w:p>
    <w:p w14:paraId="18F949ED" w14:textId="77777777" w:rsidR="00597400" w:rsidRDefault="00597400" w:rsidP="778123D2">
      <w:pPr>
        <w:pStyle w:val="ListParagraph"/>
        <w:shd w:val="clear" w:color="auto" w:fill="FFFFFF" w:themeFill="background1"/>
        <w:spacing w:after="75"/>
        <w:rPr>
          <w:rFonts w:cs="Arial"/>
          <w:color w:val="0B0C0C"/>
          <w:highlight w:val="yellow"/>
          <w:lang w:eastAsia="en-GB"/>
        </w:rPr>
      </w:pPr>
    </w:p>
    <w:p w14:paraId="71436494" w14:textId="379BD2F7" w:rsidR="12A1D994" w:rsidRDefault="12A1D994" w:rsidP="515CE168">
      <w:pPr>
        <w:pStyle w:val="ListParagraph"/>
        <w:shd w:val="clear" w:color="auto" w:fill="FFFFFF" w:themeFill="background1"/>
        <w:spacing w:after="75"/>
        <w:rPr>
          <w:rFonts w:cs="Arial"/>
          <w:color w:val="0B0C0C"/>
          <w:lang w:eastAsia="en-GB"/>
        </w:rPr>
      </w:pPr>
      <w:r w:rsidRPr="51EE4DE1">
        <w:rPr>
          <w:rFonts w:cs="Arial"/>
          <w:color w:val="0B0C0C"/>
          <w:lang w:eastAsia="en-GB"/>
        </w:rPr>
        <w:t xml:space="preserve">Medway Council </w:t>
      </w:r>
      <w:r w:rsidR="4C2CB2BA" w:rsidRPr="51EE4DE1">
        <w:rPr>
          <w:rFonts w:cs="Arial"/>
          <w:color w:val="0B0C0C"/>
          <w:lang w:eastAsia="en-GB"/>
        </w:rPr>
        <w:t>used the fa</w:t>
      </w:r>
      <w:r w:rsidR="3564818C" w:rsidRPr="51EE4DE1">
        <w:rPr>
          <w:rFonts w:cs="Arial"/>
          <w:color w:val="0B0C0C"/>
          <w:lang w:eastAsia="en-GB"/>
        </w:rPr>
        <w:t>ir cost of care</w:t>
      </w:r>
      <w:r w:rsidR="4C2CB2BA" w:rsidRPr="51EE4DE1">
        <w:rPr>
          <w:rFonts w:cs="Arial"/>
          <w:color w:val="0B0C0C"/>
          <w:lang w:eastAsia="en-GB"/>
        </w:rPr>
        <w:t xml:space="preserve"> template/toolkit </w:t>
      </w:r>
      <w:r w:rsidR="042B2175" w:rsidRPr="51EE4DE1">
        <w:rPr>
          <w:rFonts w:cs="Arial"/>
          <w:color w:val="0B0C0C"/>
          <w:lang w:eastAsia="en-GB"/>
        </w:rPr>
        <w:t>co-developed</w:t>
      </w:r>
      <w:r w:rsidR="4C2CB2BA" w:rsidRPr="51EE4DE1">
        <w:rPr>
          <w:rFonts w:cs="Arial"/>
          <w:color w:val="0B0C0C"/>
          <w:lang w:eastAsia="en-GB"/>
        </w:rPr>
        <w:t xml:space="preserve"> by The Care and Health Improvement Programme (CHIP) </w:t>
      </w:r>
      <w:r w:rsidR="6E21638A" w:rsidRPr="51EE4DE1">
        <w:rPr>
          <w:rFonts w:cs="Arial"/>
          <w:color w:val="0B0C0C"/>
          <w:lang w:eastAsia="en-GB"/>
        </w:rPr>
        <w:t>and</w:t>
      </w:r>
      <w:r w:rsidR="46036444" w:rsidRPr="51EE4DE1">
        <w:rPr>
          <w:rFonts w:cs="Arial"/>
          <w:color w:val="0B0C0C"/>
          <w:lang w:eastAsia="en-GB"/>
        </w:rPr>
        <w:t xml:space="preserve"> ARCC-HR Ltd </w:t>
      </w:r>
      <w:r w:rsidR="4C2CB2BA" w:rsidRPr="51EE4DE1">
        <w:rPr>
          <w:rFonts w:cs="Arial"/>
          <w:color w:val="0B0C0C"/>
          <w:lang w:eastAsia="en-GB"/>
        </w:rPr>
        <w:t>titled ‘Homecare Cost of Care Toolkit</w:t>
      </w:r>
      <w:bookmarkStart w:id="5" w:name="_Int_ky1PGG4B"/>
      <w:r w:rsidR="66EECE87" w:rsidRPr="51EE4DE1">
        <w:rPr>
          <w:rFonts w:cs="Arial"/>
          <w:color w:val="0B0C0C"/>
          <w:lang w:eastAsia="en-GB"/>
        </w:rPr>
        <w:t>.’</w:t>
      </w:r>
      <w:bookmarkEnd w:id="5"/>
      <w:r w:rsidR="4C2CB2BA" w:rsidRPr="51EE4DE1">
        <w:rPr>
          <w:rFonts w:cs="Arial"/>
          <w:color w:val="0B0C0C"/>
          <w:lang w:eastAsia="en-GB"/>
        </w:rPr>
        <w:t xml:space="preserve"> </w:t>
      </w:r>
    </w:p>
    <w:p w14:paraId="455CDB26" w14:textId="1DCD2259" w:rsidR="12A1D994" w:rsidRDefault="12A1D994" w:rsidP="515CE168">
      <w:pPr>
        <w:pStyle w:val="ListParagraph"/>
        <w:shd w:val="clear" w:color="auto" w:fill="FFFFFF" w:themeFill="background1"/>
        <w:spacing w:after="75"/>
        <w:rPr>
          <w:rFonts w:cs="Arial"/>
          <w:color w:val="0B0C0C"/>
          <w:lang w:eastAsia="en-GB"/>
        </w:rPr>
      </w:pPr>
    </w:p>
    <w:p w14:paraId="136DE183" w14:textId="138FD984" w:rsidR="12A1D994" w:rsidRDefault="62B2E251" w:rsidP="515CE168">
      <w:pPr>
        <w:pStyle w:val="ListParagraph"/>
        <w:shd w:val="clear" w:color="auto" w:fill="FFFFFF" w:themeFill="background1"/>
        <w:spacing w:after="75"/>
        <w:rPr>
          <w:rFonts w:cs="Arial"/>
          <w:color w:val="0B0C0C"/>
          <w:lang w:eastAsia="en-GB"/>
        </w:rPr>
      </w:pPr>
      <w:r w:rsidRPr="2734EECD">
        <w:rPr>
          <w:rFonts w:cs="Arial"/>
          <w:color w:val="0B0C0C"/>
          <w:lang w:eastAsia="en-GB"/>
        </w:rPr>
        <w:t xml:space="preserve">This toolkit was published by the Local Government </w:t>
      </w:r>
      <w:r w:rsidR="00A002C4" w:rsidRPr="2734EECD">
        <w:rPr>
          <w:rFonts w:cs="Arial"/>
          <w:color w:val="0B0C0C"/>
          <w:lang w:eastAsia="en-GB"/>
        </w:rPr>
        <w:t>Association</w:t>
      </w:r>
      <w:r w:rsidRPr="2734EECD">
        <w:rPr>
          <w:rFonts w:cs="Arial"/>
          <w:color w:val="0B0C0C"/>
          <w:lang w:eastAsia="en-GB"/>
        </w:rPr>
        <w:t xml:space="preserve"> and shared with Council</w:t>
      </w:r>
      <w:r w:rsidR="6B28D746" w:rsidRPr="2734EECD">
        <w:rPr>
          <w:rFonts w:cs="Arial"/>
          <w:color w:val="0B0C0C"/>
          <w:lang w:eastAsia="en-GB"/>
        </w:rPr>
        <w:t>s</w:t>
      </w:r>
      <w:r w:rsidRPr="2734EECD">
        <w:rPr>
          <w:rFonts w:cs="Arial"/>
          <w:color w:val="0B0C0C"/>
          <w:lang w:eastAsia="en-GB"/>
        </w:rPr>
        <w:t xml:space="preserve"> for use as part of this Fair Cost of Care exercise. </w:t>
      </w:r>
    </w:p>
    <w:p w14:paraId="6FF7D834" w14:textId="029670D7" w:rsidR="515CE168" w:rsidRDefault="515CE168" w:rsidP="515CE168">
      <w:pPr>
        <w:pStyle w:val="ListParagraph"/>
        <w:shd w:val="clear" w:color="auto" w:fill="FFFFFF" w:themeFill="background1"/>
        <w:spacing w:after="75"/>
        <w:rPr>
          <w:rFonts w:cs="Arial"/>
          <w:color w:val="0B0C0C"/>
          <w:lang w:eastAsia="en-GB"/>
        </w:rPr>
      </w:pPr>
    </w:p>
    <w:p w14:paraId="79A5C884" w14:textId="6043BA74" w:rsidR="0630E42E" w:rsidRDefault="0630E42E" w:rsidP="515CE168">
      <w:pPr>
        <w:pStyle w:val="ListParagraph"/>
        <w:shd w:val="clear" w:color="auto" w:fill="FFFFFF" w:themeFill="background1"/>
        <w:spacing w:after="75"/>
        <w:rPr>
          <w:rFonts w:cs="Arial"/>
          <w:color w:val="0B0C0C"/>
          <w:lang w:eastAsia="en-GB"/>
        </w:rPr>
      </w:pPr>
      <w:r w:rsidRPr="515CE168">
        <w:rPr>
          <w:rFonts w:cs="Arial"/>
          <w:color w:val="0B0C0C"/>
          <w:lang w:eastAsia="en-GB"/>
        </w:rPr>
        <w:t xml:space="preserve">This toolkit considered various variable costs and fixed costs to </w:t>
      </w:r>
      <w:r w:rsidR="305DEC00" w:rsidRPr="515CE168">
        <w:rPr>
          <w:rFonts w:cs="Arial"/>
          <w:color w:val="0B0C0C"/>
          <w:lang w:eastAsia="en-GB"/>
        </w:rPr>
        <w:t>arrive</w:t>
      </w:r>
      <w:r w:rsidRPr="515CE168">
        <w:rPr>
          <w:rFonts w:cs="Arial"/>
          <w:color w:val="0B0C0C"/>
          <w:lang w:eastAsia="en-GB"/>
        </w:rPr>
        <w:t xml:space="preserve"> at an eff</w:t>
      </w:r>
      <w:r w:rsidR="12F35C3A" w:rsidRPr="515CE168">
        <w:rPr>
          <w:rFonts w:cs="Arial"/>
          <w:color w:val="0B0C0C"/>
          <w:lang w:eastAsia="en-GB"/>
        </w:rPr>
        <w:t xml:space="preserve">ective hourly rate. </w:t>
      </w:r>
      <w:r w:rsidR="5D66AF3E" w:rsidRPr="515CE168">
        <w:rPr>
          <w:rFonts w:cs="Arial"/>
          <w:color w:val="0B0C0C"/>
          <w:lang w:eastAsia="en-GB"/>
        </w:rPr>
        <w:t xml:space="preserve">The toolkit / spread sheet allowed providers </w:t>
      </w:r>
      <w:r w:rsidR="2F44BF37" w:rsidRPr="515CE168">
        <w:rPr>
          <w:rFonts w:cs="Arial"/>
          <w:color w:val="0B0C0C"/>
          <w:lang w:eastAsia="en-GB"/>
        </w:rPr>
        <w:t>to</w:t>
      </w:r>
      <w:r w:rsidR="5D66AF3E" w:rsidRPr="515CE168">
        <w:rPr>
          <w:rFonts w:cs="Arial"/>
          <w:color w:val="0B0C0C"/>
          <w:lang w:eastAsia="en-GB"/>
        </w:rPr>
        <w:t xml:space="preserve"> input various cost data and automatically perform calculations to arrive at this effective hourly rate. </w:t>
      </w:r>
    </w:p>
    <w:p w14:paraId="3328AD89" w14:textId="2CF0852C" w:rsidR="515CE168" w:rsidRDefault="515CE168" w:rsidP="515CE168">
      <w:pPr>
        <w:pStyle w:val="ListParagraph"/>
        <w:shd w:val="clear" w:color="auto" w:fill="FFFFFF" w:themeFill="background1"/>
        <w:spacing w:after="75"/>
        <w:rPr>
          <w:rFonts w:cs="Arial"/>
          <w:color w:val="0B0C0C"/>
          <w:lang w:eastAsia="en-GB"/>
        </w:rPr>
      </w:pPr>
    </w:p>
    <w:p w14:paraId="0C3C8A02" w14:textId="117C1DF2" w:rsidR="00E226C9" w:rsidRPr="009A7CF0" w:rsidRDefault="5D66AF3E" w:rsidP="009A7CF0">
      <w:pPr>
        <w:pStyle w:val="ListParagraph"/>
        <w:shd w:val="clear" w:color="auto" w:fill="FFFFFF" w:themeFill="background1"/>
        <w:spacing w:after="75"/>
        <w:rPr>
          <w:rFonts w:cs="Arial"/>
          <w:color w:val="0B0C0C"/>
          <w:lang w:eastAsia="en-GB"/>
        </w:rPr>
      </w:pPr>
      <w:r w:rsidRPr="515CE168">
        <w:rPr>
          <w:rFonts w:cs="Arial"/>
          <w:color w:val="0B0C0C"/>
          <w:lang w:eastAsia="en-GB"/>
        </w:rPr>
        <w:t xml:space="preserve">The toolkit </w:t>
      </w:r>
      <w:r w:rsidR="47342CF0" w:rsidRPr="515CE168">
        <w:rPr>
          <w:rFonts w:cs="Arial"/>
          <w:color w:val="0B0C0C"/>
          <w:lang w:eastAsia="en-GB"/>
        </w:rPr>
        <w:t xml:space="preserve">sent to providers was unaltered. </w:t>
      </w:r>
      <w:r w:rsidR="002979D6">
        <w:rPr>
          <w:rFonts w:cs="Arial"/>
          <w:color w:val="0B0C0C"/>
          <w:lang w:eastAsia="en-GB"/>
        </w:rPr>
        <w:t>View the</w:t>
      </w:r>
      <w:r w:rsidR="47342CF0" w:rsidRPr="515CE168">
        <w:rPr>
          <w:rFonts w:cs="Arial"/>
          <w:color w:val="0B0C0C"/>
          <w:lang w:eastAsia="en-GB"/>
        </w:rPr>
        <w:t xml:space="preserve"> </w:t>
      </w:r>
      <w:hyperlink r:id="rId12" w:history="1">
        <w:r w:rsidR="009A7CF0" w:rsidRPr="009A7CF0">
          <w:rPr>
            <w:rStyle w:val="Hyperlink"/>
            <w:rFonts w:cs="Arial"/>
            <w:lang w:eastAsia="en-GB"/>
          </w:rPr>
          <w:t>Homecare Cost of Care Toolkit</w:t>
        </w:r>
      </w:hyperlink>
      <w:r w:rsidR="009A7CF0">
        <w:rPr>
          <w:rFonts w:cs="Arial"/>
          <w:color w:val="0B0C0C"/>
          <w:lang w:eastAsia="en-GB"/>
        </w:rPr>
        <w:t>.</w:t>
      </w:r>
    </w:p>
    <w:sectPr w:rsidR="00E226C9" w:rsidRPr="009A7CF0" w:rsidSect="009834D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8F4F3" w14:textId="77777777" w:rsidR="003E14E8" w:rsidRDefault="003E14E8">
      <w:r>
        <w:separator/>
      </w:r>
    </w:p>
  </w:endnote>
  <w:endnote w:type="continuationSeparator" w:id="0">
    <w:p w14:paraId="0181F2E3" w14:textId="77777777" w:rsidR="003E14E8" w:rsidRDefault="003E14E8">
      <w:r>
        <w:continuationSeparator/>
      </w:r>
    </w:p>
  </w:endnote>
  <w:endnote w:type="continuationNotice" w:id="1">
    <w:p w14:paraId="15E2194A" w14:textId="77777777" w:rsidR="003E14E8" w:rsidRDefault="003E14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48132" w14:textId="77777777" w:rsidR="00744967" w:rsidRDefault="007449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7AB3E" w14:textId="77777777" w:rsidR="00744967" w:rsidRDefault="007449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FDFB" w14:textId="77777777" w:rsidR="00744967" w:rsidRDefault="007449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394BD" w14:textId="77777777" w:rsidR="003E14E8" w:rsidRDefault="003E14E8">
      <w:r>
        <w:separator/>
      </w:r>
    </w:p>
  </w:footnote>
  <w:footnote w:type="continuationSeparator" w:id="0">
    <w:p w14:paraId="535FA964" w14:textId="77777777" w:rsidR="003E14E8" w:rsidRDefault="003E14E8">
      <w:r>
        <w:continuationSeparator/>
      </w:r>
    </w:p>
  </w:footnote>
  <w:footnote w:type="continuationNotice" w:id="1">
    <w:p w14:paraId="4278B66E" w14:textId="77777777" w:rsidR="003E14E8" w:rsidRDefault="003E14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A0EAC" w14:textId="77777777" w:rsidR="00744967" w:rsidRDefault="007449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FA11E" w14:textId="77777777" w:rsidR="00744967" w:rsidRDefault="007449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216C8" w14:textId="77777777" w:rsidR="00744967" w:rsidRDefault="0074496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2BmbgVSYumaV9" int2:id="TP6Vt1aO">
      <int2:state int2:value="Rejected" int2:type="LegacyProofing"/>
    </int2:textHash>
    <int2:bookmark int2:bookmarkName="_Int_ky1PGG4B" int2:invalidationBookmarkName="" int2:hashCode="xgDzA50uAYUN6A" int2:id="DAKf6yuJ"/>
    <int2:bookmark int2:bookmarkName="_Int_uSnX0Qzd" int2:invalidationBookmarkName="" int2:hashCode="qS/IbBXmg+29L1" int2:id="DyiJV4Ob">
      <int2:state int2:value="Rejected" int2:type="AugLoop_Acronyms_AcronymsCritique"/>
    </int2:bookmark>
    <int2:bookmark int2:bookmarkName="_Int_VBrvWr7K" int2:invalidationBookmarkName="" int2:hashCode="2Jly/hfWYdc5zT" int2:id="hFJyz59h">
      <int2:state int2:value="Rejected" int2:type="LegacyProofing"/>
    </int2:bookmark>
    <int2:bookmark int2:bookmarkName="_Int_4s5rUp8J" int2:invalidationBookmarkName="" int2:hashCode="mRxRKMviIKMYf0" int2:id="kFwFXm21"/>
    <int2:bookmark int2:bookmarkName="_Int_t9Ra0578" int2:invalidationBookmarkName="" int2:hashCode="IraY32dZHFXlRa" int2:id="kvEsPtF1">
      <int2:state int2:value="Rejected" int2:type="AugLoop_Acronyms_AcronymsCritique"/>
    </int2:bookmark>
    <int2:bookmark int2:bookmarkName="_Int_3XL1zeCu" int2:invalidationBookmarkName="" int2:hashCode="U5u1M6J7OI5FNp" int2:id="tjQtSwPG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A34"/>
    <w:multiLevelType w:val="multilevel"/>
    <w:tmpl w:val="ED96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692AC7"/>
    <w:multiLevelType w:val="multilevel"/>
    <w:tmpl w:val="8E18A9B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1380" w:hanging="720"/>
      </w:pPr>
      <w:rPr>
        <w:rFonts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cs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4080" w:hanging="1440"/>
      </w:pPr>
      <w:rPr>
        <w:rFonts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5760" w:hanging="1800"/>
      </w:pPr>
      <w:rPr>
        <w:rFonts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6780" w:hanging="2160"/>
      </w:pPr>
      <w:rPr>
        <w:rFonts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cs="Times New Roman" w:hint="default"/>
        <w:color w:val="auto"/>
        <w:sz w:val="24"/>
      </w:rPr>
    </w:lvl>
  </w:abstractNum>
  <w:abstractNum w:abstractNumId="2" w15:restartNumberingAfterBreak="0">
    <w:nsid w:val="10E01D9F"/>
    <w:multiLevelType w:val="hybridMultilevel"/>
    <w:tmpl w:val="7AE8A8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4621F"/>
    <w:multiLevelType w:val="hybridMultilevel"/>
    <w:tmpl w:val="08786638"/>
    <w:lvl w:ilvl="0" w:tplc="0809000B">
      <w:start w:val="1"/>
      <w:numFmt w:val="bullet"/>
      <w:lvlText w:val=""/>
      <w:lvlJc w:val="left"/>
      <w:pPr>
        <w:ind w:left="19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" w15:restartNumberingAfterBreak="0">
    <w:nsid w:val="17C6E15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A337A"/>
    <w:multiLevelType w:val="multilevel"/>
    <w:tmpl w:val="3156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2B1F01"/>
    <w:multiLevelType w:val="multilevel"/>
    <w:tmpl w:val="3E4696B6"/>
    <w:lvl w:ilvl="0">
      <w:start w:val="1"/>
      <w:numFmt w:val="bullet"/>
      <w:lvlText w:val=""/>
      <w:lvlJc w:val="left"/>
      <w:pPr>
        <w:tabs>
          <w:tab w:val="num" w:pos="60"/>
        </w:tabs>
        <w:ind w:left="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23611E"/>
    <w:multiLevelType w:val="hybridMultilevel"/>
    <w:tmpl w:val="0F48B908"/>
    <w:lvl w:ilvl="0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759BF5"/>
    <w:multiLevelType w:val="hybridMultilevel"/>
    <w:tmpl w:val="FFFFFFFF"/>
    <w:lvl w:ilvl="0" w:tplc="DCD439B4">
      <w:start w:val="4"/>
      <w:numFmt w:val="decimal"/>
      <w:lvlText w:val="%1."/>
      <w:lvlJc w:val="left"/>
      <w:pPr>
        <w:ind w:left="360" w:hanging="360"/>
      </w:pPr>
    </w:lvl>
    <w:lvl w:ilvl="1" w:tplc="40985D80">
      <w:start w:val="1"/>
      <w:numFmt w:val="lowerLetter"/>
      <w:lvlText w:val="%2."/>
      <w:lvlJc w:val="left"/>
      <w:pPr>
        <w:ind w:left="1080" w:hanging="360"/>
      </w:pPr>
    </w:lvl>
    <w:lvl w:ilvl="2" w:tplc="5DF05828">
      <w:start w:val="1"/>
      <w:numFmt w:val="lowerRoman"/>
      <w:lvlText w:val="%3."/>
      <w:lvlJc w:val="right"/>
      <w:pPr>
        <w:ind w:left="1800" w:hanging="180"/>
      </w:pPr>
    </w:lvl>
    <w:lvl w:ilvl="3" w:tplc="73D675DA">
      <w:start w:val="1"/>
      <w:numFmt w:val="decimal"/>
      <w:lvlText w:val="%4."/>
      <w:lvlJc w:val="left"/>
      <w:pPr>
        <w:ind w:left="2520" w:hanging="360"/>
      </w:pPr>
    </w:lvl>
    <w:lvl w:ilvl="4" w:tplc="8E5A9566">
      <w:start w:val="1"/>
      <w:numFmt w:val="lowerLetter"/>
      <w:lvlText w:val="%5."/>
      <w:lvlJc w:val="left"/>
      <w:pPr>
        <w:ind w:left="3240" w:hanging="360"/>
      </w:pPr>
    </w:lvl>
    <w:lvl w:ilvl="5" w:tplc="D9D8CDC2">
      <w:start w:val="1"/>
      <w:numFmt w:val="lowerRoman"/>
      <w:lvlText w:val="%6."/>
      <w:lvlJc w:val="right"/>
      <w:pPr>
        <w:ind w:left="3960" w:hanging="180"/>
      </w:pPr>
    </w:lvl>
    <w:lvl w:ilvl="6" w:tplc="16B46016">
      <w:start w:val="1"/>
      <w:numFmt w:val="decimal"/>
      <w:lvlText w:val="%7."/>
      <w:lvlJc w:val="left"/>
      <w:pPr>
        <w:ind w:left="4680" w:hanging="360"/>
      </w:pPr>
    </w:lvl>
    <w:lvl w:ilvl="7" w:tplc="B116154E">
      <w:start w:val="1"/>
      <w:numFmt w:val="lowerLetter"/>
      <w:lvlText w:val="%8."/>
      <w:lvlJc w:val="left"/>
      <w:pPr>
        <w:ind w:left="5400" w:hanging="360"/>
      </w:pPr>
    </w:lvl>
    <w:lvl w:ilvl="8" w:tplc="9A368FEE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A11F7E"/>
    <w:multiLevelType w:val="hybridMultilevel"/>
    <w:tmpl w:val="983CBE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91053"/>
    <w:multiLevelType w:val="hybridMultilevel"/>
    <w:tmpl w:val="FFFFFFFF"/>
    <w:lvl w:ilvl="0" w:tplc="5A76B5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6C730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384EC0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F4D8D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916485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13258F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408BEC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62CEC7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C7647C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CFAF2A"/>
    <w:multiLevelType w:val="multilevel"/>
    <w:tmpl w:val="FFFFFFFF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360"/>
      </w:pPr>
    </w:lvl>
    <w:lvl w:ilvl="2">
      <w:start w:val="1"/>
      <w:numFmt w:val="decimal"/>
      <w:lvlText w:val="%1.%2.%3."/>
      <w:lvlJc w:val="left"/>
      <w:pPr>
        <w:ind w:left="788" w:hanging="180"/>
      </w:pPr>
    </w:lvl>
    <w:lvl w:ilvl="3">
      <w:start w:val="1"/>
      <w:numFmt w:val="decimal"/>
      <w:lvlText w:val="%1.%2.%3.%4."/>
      <w:lvlJc w:val="left"/>
      <w:pPr>
        <w:ind w:left="1728" w:hanging="360"/>
      </w:pPr>
    </w:lvl>
    <w:lvl w:ilvl="4">
      <w:start w:val="1"/>
      <w:numFmt w:val="decimal"/>
      <w:lvlText w:val="%1.%2.%3.%4.%5."/>
      <w:lvlJc w:val="left"/>
      <w:pPr>
        <w:ind w:left="2232" w:hanging="360"/>
      </w:pPr>
    </w:lvl>
    <w:lvl w:ilvl="5">
      <w:start w:val="1"/>
      <w:numFmt w:val="decimal"/>
      <w:lvlText w:val="%1.%2.%3.%4.%5.%6."/>
      <w:lvlJc w:val="left"/>
      <w:pPr>
        <w:ind w:left="2736" w:hanging="180"/>
      </w:pPr>
    </w:lvl>
    <w:lvl w:ilvl="6">
      <w:start w:val="1"/>
      <w:numFmt w:val="decimal"/>
      <w:lvlText w:val="%1.%2.%3.%4.%5.%6.%7."/>
      <w:lvlJc w:val="left"/>
      <w:pPr>
        <w:ind w:left="3240" w:hanging="360"/>
      </w:pPr>
    </w:lvl>
    <w:lvl w:ilvl="7">
      <w:start w:val="1"/>
      <w:numFmt w:val="decimal"/>
      <w:lvlText w:val="%1.%2.%3.%4.%5.%6.%7.%8."/>
      <w:lvlJc w:val="left"/>
      <w:pPr>
        <w:ind w:left="3744" w:hanging="360"/>
      </w:pPr>
    </w:lvl>
    <w:lvl w:ilvl="8">
      <w:start w:val="1"/>
      <w:numFmt w:val="decimal"/>
      <w:lvlText w:val="%1.%2.%3.%4.%5.%6.%7.%8.%9."/>
      <w:lvlJc w:val="left"/>
      <w:pPr>
        <w:ind w:left="4320" w:hanging="180"/>
      </w:pPr>
    </w:lvl>
  </w:abstractNum>
  <w:abstractNum w:abstractNumId="12" w15:restartNumberingAfterBreak="0">
    <w:nsid w:val="3AA6A559"/>
    <w:multiLevelType w:val="hybridMultilevel"/>
    <w:tmpl w:val="FFFFFFFF"/>
    <w:lvl w:ilvl="0" w:tplc="5C58F5E4">
      <w:start w:val="3"/>
      <w:numFmt w:val="decimal"/>
      <w:lvlText w:val="%1."/>
      <w:lvlJc w:val="left"/>
      <w:pPr>
        <w:ind w:left="720" w:hanging="360"/>
      </w:pPr>
    </w:lvl>
    <w:lvl w:ilvl="1" w:tplc="EE18CCB2">
      <w:start w:val="1"/>
      <w:numFmt w:val="lowerLetter"/>
      <w:lvlText w:val="%2."/>
      <w:lvlJc w:val="left"/>
      <w:pPr>
        <w:ind w:left="1440" w:hanging="360"/>
      </w:pPr>
    </w:lvl>
    <w:lvl w:ilvl="2" w:tplc="5324F838">
      <w:start w:val="1"/>
      <w:numFmt w:val="lowerRoman"/>
      <w:lvlText w:val="%3."/>
      <w:lvlJc w:val="right"/>
      <w:pPr>
        <w:ind w:left="2160" w:hanging="180"/>
      </w:pPr>
    </w:lvl>
    <w:lvl w:ilvl="3" w:tplc="30DA85D2">
      <w:start w:val="1"/>
      <w:numFmt w:val="decimal"/>
      <w:lvlText w:val="%4."/>
      <w:lvlJc w:val="left"/>
      <w:pPr>
        <w:ind w:left="2880" w:hanging="360"/>
      </w:pPr>
    </w:lvl>
    <w:lvl w:ilvl="4" w:tplc="2BAE3506">
      <w:start w:val="1"/>
      <w:numFmt w:val="lowerLetter"/>
      <w:lvlText w:val="%5."/>
      <w:lvlJc w:val="left"/>
      <w:pPr>
        <w:ind w:left="3600" w:hanging="360"/>
      </w:pPr>
    </w:lvl>
    <w:lvl w:ilvl="5" w:tplc="B142C144">
      <w:start w:val="1"/>
      <w:numFmt w:val="lowerRoman"/>
      <w:lvlText w:val="%6."/>
      <w:lvlJc w:val="right"/>
      <w:pPr>
        <w:ind w:left="4320" w:hanging="180"/>
      </w:pPr>
    </w:lvl>
    <w:lvl w:ilvl="6" w:tplc="F5BE42A2">
      <w:start w:val="1"/>
      <w:numFmt w:val="decimal"/>
      <w:lvlText w:val="%7."/>
      <w:lvlJc w:val="left"/>
      <w:pPr>
        <w:ind w:left="5040" w:hanging="360"/>
      </w:pPr>
    </w:lvl>
    <w:lvl w:ilvl="7" w:tplc="B282B618">
      <w:start w:val="1"/>
      <w:numFmt w:val="lowerLetter"/>
      <w:lvlText w:val="%8."/>
      <w:lvlJc w:val="left"/>
      <w:pPr>
        <w:ind w:left="5760" w:hanging="360"/>
      </w:pPr>
    </w:lvl>
    <w:lvl w:ilvl="8" w:tplc="5138238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537D7"/>
    <w:multiLevelType w:val="hybridMultilevel"/>
    <w:tmpl w:val="FFFFFFFF"/>
    <w:lvl w:ilvl="0" w:tplc="46B62662">
      <w:start w:val="2"/>
      <w:numFmt w:val="decimal"/>
      <w:lvlText w:val="%1."/>
      <w:lvlJc w:val="left"/>
      <w:pPr>
        <w:ind w:left="360" w:hanging="360"/>
      </w:pPr>
    </w:lvl>
    <w:lvl w:ilvl="1" w:tplc="E05E1CE0">
      <w:start w:val="1"/>
      <w:numFmt w:val="lowerLetter"/>
      <w:lvlText w:val="%2."/>
      <w:lvlJc w:val="left"/>
      <w:pPr>
        <w:ind w:left="1080" w:hanging="360"/>
      </w:pPr>
    </w:lvl>
    <w:lvl w:ilvl="2" w:tplc="3B8496CA">
      <w:start w:val="1"/>
      <w:numFmt w:val="lowerRoman"/>
      <w:lvlText w:val="%3."/>
      <w:lvlJc w:val="right"/>
      <w:pPr>
        <w:ind w:left="1800" w:hanging="180"/>
      </w:pPr>
    </w:lvl>
    <w:lvl w:ilvl="3" w:tplc="5B0080B8">
      <w:start w:val="1"/>
      <w:numFmt w:val="decimal"/>
      <w:lvlText w:val="%4."/>
      <w:lvlJc w:val="left"/>
      <w:pPr>
        <w:ind w:left="2520" w:hanging="360"/>
      </w:pPr>
    </w:lvl>
    <w:lvl w:ilvl="4" w:tplc="A106E118">
      <w:start w:val="1"/>
      <w:numFmt w:val="lowerLetter"/>
      <w:lvlText w:val="%5."/>
      <w:lvlJc w:val="left"/>
      <w:pPr>
        <w:ind w:left="3240" w:hanging="360"/>
      </w:pPr>
    </w:lvl>
    <w:lvl w:ilvl="5" w:tplc="08922BD4">
      <w:start w:val="1"/>
      <w:numFmt w:val="lowerRoman"/>
      <w:lvlText w:val="%6."/>
      <w:lvlJc w:val="right"/>
      <w:pPr>
        <w:ind w:left="3960" w:hanging="180"/>
      </w:pPr>
    </w:lvl>
    <w:lvl w:ilvl="6" w:tplc="F3745E94">
      <w:start w:val="1"/>
      <w:numFmt w:val="decimal"/>
      <w:lvlText w:val="%7."/>
      <w:lvlJc w:val="left"/>
      <w:pPr>
        <w:ind w:left="4680" w:hanging="360"/>
      </w:pPr>
    </w:lvl>
    <w:lvl w:ilvl="7" w:tplc="F2B839B6">
      <w:start w:val="1"/>
      <w:numFmt w:val="lowerLetter"/>
      <w:lvlText w:val="%8."/>
      <w:lvlJc w:val="left"/>
      <w:pPr>
        <w:ind w:left="5400" w:hanging="360"/>
      </w:pPr>
    </w:lvl>
    <w:lvl w:ilvl="8" w:tplc="7DC8EBE6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80713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7BF2F1E"/>
    <w:multiLevelType w:val="multilevel"/>
    <w:tmpl w:val="25CEB3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08B338D"/>
    <w:multiLevelType w:val="hybridMultilevel"/>
    <w:tmpl w:val="AE2EAA9C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D07F6C"/>
    <w:multiLevelType w:val="hybridMultilevel"/>
    <w:tmpl w:val="467A2B7E"/>
    <w:lvl w:ilvl="0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17809F8"/>
    <w:multiLevelType w:val="hybridMultilevel"/>
    <w:tmpl w:val="8E6E8434"/>
    <w:lvl w:ilvl="0" w:tplc="7EA020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0A673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2F10327"/>
    <w:multiLevelType w:val="hybridMultilevel"/>
    <w:tmpl w:val="A760B49A"/>
    <w:lvl w:ilvl="0" w:tplc="1E108D00">
      <w:start w:val="1"/>
      <w:numFmt w:val="lowerLetter"/>
      <w:lvlText w:val="%1."/>
      <w:lvlJc w:val="left"/>
      <w:pPr>
        <w:ind w:left="1429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46E1A98"/>
    <w:multiLevelType w:val="hybridMultilevel"/>
    <w:tmpl w:val="E89E90F2"/>
    <w:lvl w:ilvl="0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6710E6C"/>
    <w:multiLevelType w:val="hybridMultilevel"/>
    <w:tmpl w:val="FFFFFFFF"/>
    <w:lvl w:ilvl="0" w:tplc="F6721DC0">
      <w:start w:val="1"/>
      <w:numFmt w:val="decimal"/>
      <w:lvlText w:val="%1."/>
      <w:lvlJc w:val="left"/>
      <w:pPr>
        <w:ind w:left="720" w:hanging="360"/>
      </w:pPr>
    </w:lvl>
    <w:lvl w:ilvl="1" w:tplc="B8D2000A">
      <w:start w:val="1"/>
      <w:numFmt w:val="lowerLetter"/>
      <w:lvlText w:val="%2."/>
      <w:lvlJc w:val="left"/>
      <w:pPr>
        <w:ind w:left="1440" w:hanging="360"/>
      </w:pPr>
    </w:lvl>
    <w:lvl w:ilvl="2" w:tplc="E05603EC">
      <w:start w:val="1"/>
      <w:numFmt w:val="lowerRoman"/>
      <w:lvlText w:val="%3."/>
      <w:lvlJc w:val="right"/>
      <w:pPr>
        <w:ind w:left="2160" w:hanging="180"/>
      </w:pPr>
    </w:lvl>
    <w:lvl w:ilvl="3" w:tplc="C8FAD436">
      <w:start w:val="1"/>
      <w:numFmt w:val="decimal"/>
      <w:lvlText w:val="%4."/>
      <w:lvlJc w:val="left"/>
      <w:pPr>
        <w:ind w:left="2880" w:hanging="360"/>
      </w:pPr>
    </w:lvl>
    <w:lvl w:ilvl="4" w:tplc="A6D49778">
      <w:start w:val="1"/>
      <w:numFmt w:val="lowerLetter"/>
      <w:lvlText w:val="%5."/>
      <w:lvlJc w:val="left"/>
      <w:pPr>
        <w:ind w:left="3600" w:hanging="360"/>
      </w:pPr>
    </w:lvl>
    <w:lvl w:ilvl="5" w:tplc="7E68CF14">
      <w:start w:val="1"/>
      <w:numFmt w:val="lowerRoman"/>
      <w:lvlText w:val="%6."/>
      <w:lvlJc w:val="right"/>
      <w:pPr>
        <w:ind w:left="4320" w:hanging="180"/>
      </w:pPr>
    </w:lvl>
    <w:lvl w:ilvl="6" w:tplc="EE90A9B8">
      <w:start w:val="1"/>
      <w:numFmt w:val="decimal"/>
      <w:lvlText w:val="%7."/>
      <w:lvlJc w:val="left"/>
      <w:pPr>
        <w:ind w:left="5040" w:hanging="360"/>
      </w:pPr>
    </w:lvl>
    <w:lvl w:ilvl="7" w:tplc="76A03772">
      <w:start w:val="1"/>
      <w:numFmt w:val="lowerLetter"/>
      <w:lvlText w:val="%8."/>
      <w:lvlJc w:val="left"/>
      <w:pPr>
        <w:ind w:left="5760" w:hanging="360"/>
      </w:pPr>
    </w:lvl>
    <w:lvl w:ilvl="8" w:tplc="6CF68AA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A5D14"/>
    <w:multiLevelType w:val="hybridMultilevel"/>
    <w:tmpl w:val="3044E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DA22B0"/>
    <w:multiLevelType w:val="hybridMultilevel"/>
    <w:tmpl w:val="DAFA5A98"/>
    <w:lvl w:ilvl="0" w:tplc="6B506BE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67E0B"/>
    <w:multiLevelType w:val="hybridMultilevel"/>
    <w:tmpl w:val="4D7E3B40"/>
    <w:lvl w:ilvl="0" w:tplc="B78042B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E58EE"/>
    <w:multiLevelType w:val="hybridMultilevel"/>
    <w:tmpl w:val="C396F5BA"/>
    <w:lvl w:ilvl="0" w:tplc="0809000B">
      <w:start w:val="1"/>
      <w:numFmt w:val="bullet"/>
      <w:lvlText w:val=""/>
      <w:lvlJc w:val="left"/>
      <w:pPr>
        <w:ind w:left="19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7" w15:restartNumberingAfterBreak="0">
    <w:nsid w:val="750F0FD3"/>
    <w:multiLevelType w:val="hybridMultilevel"/>
    <w:tmpl w:val="A6348CA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9E53A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9D38EAA"/>
    <w:multiLevelType w:val="multilevel"/>
    <w:tmpl w:val="FFFFFFFF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360"/>
      </w:pPr>
    </w:lvl>
    <w:lvl w:ilvl="2">
      <w:start w:val="1"/>
      <w:numFmt w:val="decimal"/>
      <w:lvlText w:val="%1.%2.%3."/>
      <w:lvlJc w:val="left"/>
      <w:pPr>
        <w:ind w:left="788" w:hanging="180"/>
      </w:pPr>
    </w:lvl>
    <w:lvl w:ilvl="3">
      <w:start w:val="1"/>
      <w:numFmt w:val="decimal"/>
      <w:lvlText w:val="%1.%2.%3.%4."/>
      <w:lvlJc w:val="left"/>
      <w:pPr>
        <w:ind w:left="1728" w:hanging="360"/>
      </w:pPr>
    </w:lvl>
    <w:lvl w:ilvl="4">
      <w:start w:val="1"/>
      <w:numFmt w:val="decimal"/>
      <w:lvlText w:val="%1.%2.%3.%4.%5."/>
      <w:lvlJc w:val="left"/>
      <w:pPr>
        <w:ind w:left="2232" w:hanging="360"/>
      </w:pPr>
    </w:lvl>
    <w:lvl w:ilvl="5">
      <w:start w:val="1"/>
      <w:numFmt w:val="decimal"/>
      <w:lvlText w:val="%1.%2.%3.%4.%5.%6."/>
      <w:lvlJc w:val="left"/>
      <w:pPr>
        <w:ind w:left="2736" w:hanging="180"/>
      </w:pPr>
    </w:lvl>
    <w:lvl w:ilvl="6">
      <w:start w:val="1"/>
      <w:numFmt w:val="decimal"/>
      <w:lvlText w:val="%1.%2.%3.%4.%5.%6.%7."/>
      <w:lvlJc w:val="left"/>
      <w:pPr>
        <w:ind w:left="3240" w:hanging="360"/>
      </w:pPr>
    </w:lvl>
    <w:lvl w:ilvl="7">
      <w:start w:val="1"/>
      <w:numFmt w:val="decimal"/>
      <w:lvlText w:val="%1.%2.%3.%4.%5.%6.%7.%8."/>
      <w:lvlJc w:val="left"/>
      <w:pPr>
        <w:ind w:left="3744" w:hanging="360"/>
      </w:pPr>
    </w:lvl>
    <w:lvl w:ilvl="8">
      <w:start w:val="1"/>
      <w:numFmt w:val="decimal"/>
      <w:lvlText w:val="%1.%2.%3.%4.%5.%6.%7.%8.%9."/>
      <w:lvlJc w:val="left"/>
      <w:pPr>
        <w:ind w:left="4320" w:hanging="180"/>
      </w:pPr>
    </w:lvl>
  </w:abstractNum>
  <w:abstractNum w:abstractNumId="30" w15:restartNumberingAfterBreak="0">
    <w:nsid w:val="7A8D0FA5"/>
    <w:multiLevelType w:val="hybridMultilevel"/>
    <w:tmpl w:val="FFFFFFFF"/>
    <w:lvl w:ilvl="0" w:tplc="D7DCBB88">
      <w:start w:val="3"/>
      <w:numFmt w:val="decimal"/>
      <w:lvlText w:val="%1."/>
      <w:lvlJc w:val="left"/>
      <w:pPr>
        <w:ind w:left="360" w:hanging="360"/>
      </w:pPr>
    </w:lvl>
    <w:lvl w:ilvl="1" w:tplc="EDF2DF96">
      <w:start w:val="1"/>
      <w:numFmt w:val="lowerLetter"/>
      <w:lvlText w:val="%2."/>
      <w:lvlJc w:val="left"/>
      <w:pPr>
        <w:ind w:left="1080" w:hanging="360"/>
      </w:pPr>
    </w:lvl>
    <w:lvl w:ilvl="2" w:tplc="109A26CA">
      <w:start w:val="1"/>
      <w:numFmt w:val="lowerRoman"/>
      <w:lvlText w:val="%3."/>
      <w:lvlJc w:val="right"/>
      <w:pPr>
        <w:ind w:left="1800" w:hanging="180"/>
      </w:pPr>
    </w:lvl>
    <w:lvl w:ilvl="3" w:tplc="64822484">
      <w:start w:val="1"/>
      <w:numFmt w:val="decimal"/>
      <w:lvlText w:val="%4."/>
      <w:lvlJc w:val="left"/>
      <w:pPr>
        <w:ind w:left="2520" w:hanging="360"/>
      </w:pPr>
    </w:lvl>
    <w:lvl w:ilvl="4" w:tplc="50D6B9D2">
      <w:start w:val="1"/>
      <w:numFmt w:val="lowerLetter"/>
      <w:lvlText w:val="%5."/>
      <w:lvlJc w:val="left"/>
      <w:pPr>
        <w:ind w:left="3240" w:hanging="360"/>
      </w:pPr>
    </w:lvl>
    <w:lvl w:ilvl="5" w:tplc="3E549494">
      <w:start w:val="1"/>
      <w:numFmt w:val="lowerRoman"/>
      <w:lvlText w:val="%6."/>
      <w:lvlJc w:val="right"/>
      <w:pPr>
        <w:ind w:left="3960" w:hanging="180"/>
      </w:pPr>
    </w:lvl>
    <w:lvl w:ilvl="6" w:tplc="8182C93A">
      <w:start w:val="1"/>
      <w:numFmt w:val="decimal"/>
      <w:lvlText w:val="%7."/>
      <w:lvlJc w:val="left"/>
      <w:pPr>
        <w:ind w:left="4680" w:hanging="360"/>
      </w:pPr>
    </w:lvl>
    <w:lvl w:ilvl="7" w:tplc="6658C75C">
      <w:start w:val="1"/>
      <w:numFmt w:val="lowerLetter"/>
      <w:lvlText w:val="%8."/>
      <w:lvlJc w:val="left"/>
      <w:pPr>
        <w:ind w:left="5400" w:hanging="360"/>
      </w:pPr>
    </w:lvl>
    <w:lvl w:ilvl="8" w:tplc="D0BAF2FA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5137F9"/>
    <w:multiLevelType w:val="hybridMultilevel"/>
    <w:tmpl w:val="F77AB652"/>
    <w:lvl w:ilvl="0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FB62AC0"/>
    <w:multiLevelType w:val="hybridMultilevel"/>
    <w:tmpl w:val="A9BAEA4A"/>
    <w:lvl w:ilvl="0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76328647">
    <w:abstractNumId w:val="10"/>
  </w:num>
  <w:num w:numId="2" w16cid:durableId="301544682">
    <w:abstractNumId w:val="2"/>
  </w:num>
  <w:num w:numId="3" w16cid:durableId="1468745138">
    <w:abstractNumId w:val="14"/>
  </w:num>
  <w:num w:numId="4" w16cid:durableId="1863669283">
    <w:abstractNumId w:val="15"/>
  </w:num>
  <w:num w:numId="5" w16cid:durableId="1752845566">
    <w:abstractNumId w:val="28"/>
  </w:num>
  <w:num w:numId="6" w16cid:durableId="301740968">
    <w:abstractNumId w:val="24"/>
  </w:num>
  <w:num w:numId="7" w16cid:durableId="530919310">
    <w:abstractNumId w:val="23"/>
  </w:num>
  <w:num w:numId="8" w16cid:durableId="161941370">
    <w:abstractNumId w:val="16"/>
  </w:num>
  <w:num w:numId="9" w16cid:durableId="1668821659">
    <w:abstractNumId w:val="31"/>
  </w:num>
  <w:num w:numId="10" w16cid:durableId="1145658217">
    <w:abstractNumId w:val="21"/>
  </w:num>
  <w:num w:numId="11" w16cid:durableId="852720832">
    <w:abstractNumId w:val="3"/>
  </w:num>
  <w:num w:numId="12" w16cid:durableId="1804276071">
    <w:abstractNumId w:val="26"/>
  </w:num>
  <w:num w:numId="13" w16cid:durableId="1845124314">
    <w:abstractNumId w:val="32"/>
  </w:num>
  <w:num w:numId="14" w16cid:durableId="1552840848">
    <w:abstractNumId w:val="7"/>
  </w:num>
  <w:num w:numId="15" w16cid:durableId="30305514">
    <w:abstractNumId w:val="17"/>
  </w:num>
  <w:num w:numId="16" w16cid:durableId="255599511">
    <w:abstractNumId w:val="9"/>
  </w:num>
  <w:num w:numId="17" w16cid:durableId="783115988">
    <w:abstractNumId w:val="19"/>
  </w:num>
  <w:num w:numId="18" w16cid:durableId="87191691">
    <w:abstractNumId w:val="25"/>
  </w:num>
  <w:num w:numId="19" w16cid:durableId="498232765">
    <w:abstractNumId w:val="18"/>
  </w:num>
  <w:num w:numId="20" w16cid:durableId="357972146">
    <w:abstractNumId w:val="6"/>
  </w:num>
  <w:num w:numId="21" w16cid:durableId="2099129319">
    <w:abstractNumId w:val="0"/>
  </w:num>
  <w:num w:numId="22" w16cid:durableId="937059375">
    <w:abstractNumId w:val="5"/>
  </w:num>
  <w:num w:numId="23" w16cid:durableId="1735733907">
    <w:abstractNumId w:val="1"/>
  </w:num>
  <w:num w:numId="24" w16cid:durableId="1878660096">
    <w:abstractNumId w:val="27"/>
  </w:num>
  <w:num w:numId="25" w16cid:durableId="1528592484">
    <w:abstractNumId w:val="20"/>
  </w:num>
  <w:num w:numId="26" w16cid:durableId="578558424">
    <w:abstractNumId w:val="11"/>
  </w:num>
  <w:num w:numId="27" w16cid:durableId="406811010">
    <w:abstractNumId w:val="8"/>
  </w:num>
  <w:num w:numId="28" w16cid:durableId="1209143861">
    <w:abstractNumId w:val="30"/>
  </w:num>
  <w:num w:numId="29" w16cid:durableId="1050154165">
    <w:abstractNumId w:val="29"/>
  </w:num>
  <w:num w:numId="30" w16cid:durableId="187723099">
    <w:abstractNumId w:val="12"/>
  </w:num>
  <w:num w:numId="31" w16cid:durableId="2142847071">
    <w:abstractNumId w:val="13"/>
  </w:num>
  <w:num w:numId="32" w16cid:durableId="1216235916">
    <w:abstractNumId w:val="22"/>
  </w:num>
  <w:num w:numId="33" w16cid:durableId="865481081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213"/>
    <w:rsid w:val="000026C9"/>
    <w:rsid w:val="00011B56"/>
    <w:rsid w:val="0002445C"/>
    <w:rsid w:val="00024642"/>
    <w:rsid w:val="00024FF3"/>
    <w:rsid w:val="0002690D"/>
    <w:rsid w:val="00027F33"/>
    <w:rsid w:val="00030619"/>
    <w:rsid w:val="00045F8F"/>
    <w:rsid w:val="00047CBB"/>
    <w:rsid w:val="00050F95"/>
    <w:rsid w:val="0005120F"/>
    <w:rsid w:val="00052376"/>
    <w:rsid w:val="000567F4"/>
    <w:rsid w:val="00057728"/>
    <w:rsid w:val="00060FD7"/>
    <w:rsid w:val="000621E7"/>
    <w:rsid w:val="00064DBE"/>
    <w:rsid w:val="00071EC6"/>
    <w:rsid w:val="00073917"/>
    <w:rsid w:val="000771FA"/>
    <w:rsid w:val="00082A85"/>
    <w:rsid w:val="00085CBC"/>
    <w:rsid w:val="000976F9"/>
    <w:rsid w:val="000A4C66"/>
    <w:rsid w:val="000A7C7E"/>
    <w:rsid w:val="000B2395"/>
    <w:rsid w:val="000B6653"/>
    <w:rsid w:val="000B760F"/>
    <w:rsid w:val="000C2B08"/>
    <w:rsid w:val="000C41F4"/>
    <w:rsid w:val="000C4289"/>
    <w:rsid w:val="000C5275"/>
    <w:rsid w:val="000C6C81"/>
    <w:rsid w:val="000D08DC"/>
    <w:rsid w:val="000DEBFA"/>
    <w:rsid w:val="000DF9A0"/>
    <w:rsid w:val="000E000C"/>
    <w:rsid w:val="000E22FC"/>
    <w:rsid w:val="000E6073"/>
    <w:rsid w:val="000F1BE6"/>
    <w:rsid w:val="000F20CB"/>
    <w:rsid w:val="000F58BF"/>
    <w:rsid w:val="0010068B"/>
    <w:rsid w:val="00102643"/>
    <w:rsid w:val="001042F8"/>
    <w:rsid w:val="001127EF"/>
    <w:rsid w:val="001163E4"/>
    <w:rsid w:val="001220D8"/>
    <w:rsid w:val="001222F6"/>
    <w:rsid w:val="0013125B"/>
    <w:rsid w:val="001324F8"/>
    <w:rsid w:val="00135204"/>
    <w:rsid w:val="00140CEE"/>
    <w:rsid w:val="00144CB2"/>
    <w:rsid w:val="00151B3B"/>
    <w:rsid w:val="00152B5B"/>
    <w:rsid w:val="00160919"/>
    <w:rsid w:val="00164023"/>
    <w:rsid w:val="001645A3"/>
    <w:rsid w:val="001651D5"/>
    <w:rsid w:val="0017264A"/>
    <w:rsid w:val="00174A76"/>
    <w:rsid w:val="00183278"/>
    <w:rsid w:val="00186612"/>
    <w:rsid w:val="0018DDC6"/>
    <w:rsid w:val="00190521"/>
    <w:rsid w:val="001970D5"/>
    <w:rsid w:val="00197F23"/>
    <w:rsid w:val="001A26DF"/>
    <w:rsid w:val="001A2AE1"/>
    <w:rsid w:val="001A502C"/>
    <w:rsid w:val="001A604D"/>
    <w:rsid w:val="001A79B1"/>
    <w:rsid w:val="001B03BD"/>
    <w:rsid w:val="001B1BA3"/>
    <w:rsid w:val="001B30B3"/>
    <w:rsid w:val="001D1D3D"/>
    <w:rsid w:val="001D7BA5"/>
    <w:rsid w:val="001E0444"/>
    <w:rsid w:val="001E0F7C"/>
    <w:rsid w:val="001E2192"/>
    <w:rsid w:val="001E3A7B"/>
    <w:rsid w:val="001E4AA8"/>
    <w:rsid w:val="001F327A"/>
    <w:rsid w:val="001F76CC"/>
    <w:rsid w:val="0020077F"/>
    <w:rsid w:val="002037EE"/>
    <w:rsid w:val="00204F3A"/>
    <w:rsid w:val="0020609E"/>
    <w:rsid w:val="0022082F"/>
    <w:rsid w:val="002212EB"/>
    <w:rsid w:val="00225AE3"/>
    <w:rsid w:val="002315E0"/>
    <w:rsid w:val="00241BCC"/>
    <w:rsid w:val="0024533A"/>
    <w:rsid w:val="00245CDB"/>
    <w:rsid w:val="00250664"/>
    <w:rsid w:val="00256A54"/>
    <w:rsid w:val="002629F3"/>
    <w:rsid w:val="00282266"/>
    <w:rsid w:val="00284451"/>
    <w:rsid w:val="0028720A"/>
    <w:rsid w:val="00287E6A"/>
    <w:rsid w:val="002979D6"/>
    <w:rsid w:val="002B0EEA"/>
    <w:rsid w:val="002B2A7C"/>
    <w:rsid w:val="002C03E7"/>
    <w:rsid w:val="002D25A8"/>
    <w:rsid w:val="002D5CE3"/>
    <w:rsid w:val="002E3EA7"/>
    <w:rsid w:val="002E68A0"/>
    <w:rsid w:val="002E7922"/>
    <w:rsid w:val="002F04E3"/>
    <w:rsid w:val="0030083C"/>
    <w:rsid w:val="003040EE"/>
    <w:rsid w:val="00306F23"/>
    <w:rsid w:val="00315014"/>
    <w:rsid w:val="00326077"/>
    <w:rsid w:val="003337E9"/>
    <w:rsid w:val="0033694A"/>
    <w:rsid w:val="00341E4F"/>
    <w:rsid w:val="00345D6E"/>
    <w:rsid w:val="00352135"/>
    <w:rsid w:val="0035318F"/>
    <w:rsid w:val="003562EB"/>
    <w:rsid w:val="00362D6E"/>
    <w:rsid w:val="00363116"/>
    <w:rsid w:val="003642BC"/>
    <w:rsid w:val="00365E5F"/>
    <w:rsid w:val="00366E32"/>
    <w:rsid w:val="003739DE"/>
    <w:rsid w:val="00382654"/>
    <w:rsid w:val="00384AA9"/>
    <w:rsid w:val="0038745A"/>
    <w:rsid w:val="003927F8"/>
    <w:rsid w:val="003928E3"/>
    <w:rsid w:val="003A0884"/>
    <w:rsid w:val="003A1675"/>
    <w:rsid w:val="003A3214"/>
    <w:rsid w:val="003B348A"/>
    <w:rsid w:val="003C2B90"/>
    <w:rsid w:val="003C4FD7"/>
    <w:rsid w:val="003D4F64"/>
    <w:rsid w:val="003D72AF"/>
    <w:rsid w:val="003E05B2"/>
    <w:rsid w:val="003E14E8"/>
    <w:rsid w:val="003E3800"/>
    <w:rsid w:val="003E4350"/>
    <w:rsid w:val="003F575F"/>
    <w:rsid w:val="00403A10"/>
    <w:rsid w:val="00404336"/>
    <w:rsid w:val="00407D64"/>
    <w:rsid w:val="004124AD"/>
    <w:rsid w:val="00417455"/>
    <w:rsid w:val="00424A6D"/>
    <w:rsid w:val="00432FA8"/>
    <w:rsid w:val="004367AB"/>
    <w:rsid w:val="00441D6D"/>
    <w:rsid w:val="00442408"/>
    <w:rsid w:val="00442E4A"/>
    <w:rsid w:val="00445A1E"/>
    <w:rsid w:val="004537DA"/>
    <w:rsid w:val="00462824"/>
    <w:rsid w:val="00470A15"/>
    <w:rsid w:val="0047146A"/>
    <w:rsid w:val="00475D18"/>
    <w:rsid w:val="004873EF"/>
    <w:rsid w:val="00494D07"/>
    <w:rsid w:val="004A0640"/>
    <w:rsid w:val="004B02F0"/>
    <w:rsid w:val="004B2C35"/>
    <w:rsid w:val="004B2CE3"/>
    <w:rsid w:val="004C3888"/>
    <w:rsid w:val="004C7302"/>
    <w:rsid w:val="004D0E32"/>
    <w:rsid w:val="004E02CD"/>
    <w:rsid w:val="004E1080"/>
    <w:rsid w:val="004E1904"/>
    <w:rsid w:val="004E1A55"/>
    <w:rsid w:val="004E2061"/>
    <w:rsid w:val="004E601E"/>
    <w:rsid w:val="005042E0"/>
    <w:rsid w:val="00505C08"/>
    <w:rsid w:val="0050655C"/>
    <w:rsid w:val="00507874"/>
    <w:rsid w:val="005152ED"/>
    <w:rsid w:val="005156D7"/>
    <w:rsid w:val="00533022"/>
    <w:rsid w:val="005342F5"/>
    <w:rsid w:val="005417A0"/>
    <w:rsid w:val="00544182"/>
    <w:rsid w:val="00554254"/>
    <w:rsid w:val="005616DE"/>
    <w:rsid w:val="005626F0"/>
    <w:rsid w:val="00577089"/>
    <w:rsid w:val="00577265"/>
    <w:rsid w:val="005823D3"/>
    <w:rsid w:val="00586AB0"/>
    <w:rsid w:val="00586C85"/>
    <w:rsid w:val="0059151E"/>
    <w:rsid w:val="00597400"/>
    <w:rsid w:val="005A11C6"/>
    <w:rsid w:val="005A1B2F"/>
    <w:rsid w:val="005B0FD3"/>
    <w:rsid w:val="005B1BDD"/>
    <w:rsid w:val="005B2EE6"/>
    <w:rsid w:val="005B359D"/>
    <w:rsid w:val="005B55FC"/>
    <w:rsid w:val="005B6675"/>
    <w:rsid w:val="005C4156"/>
    <w:rsid w:val="005C4D7B"/>
    <w:rsid w:val="005D05A8"/>
    <w:rsid w:val="005D2587"/>
    <w:rsid w:val="005D494C"/>
    <w:rsid w:val="005F1CA7"/>
    <w:rsid w:val="00601801"/>
    <w:rsid w:val="00607C30"/>
    <w:rsid w:val="00614508"/>
    <w:rsid w:val="00614E4B"/>
    <w:rsid w:val="006159AC"/>
    <w:rsid w:val="00616BF6"/>
    <w:rsid w:val="006232DE"/>
    <w:rsid w:val="00642BF0"/>
    <w:rsid w:val="006454B0"/>
    <w:rsid w:val="006475FA"/>
    <w:rsid w:val="00652C01"/>
    <w:rsid w:val="00665A12"/>
    <w:rsid w:val="0066714E"/>
    <w:rsid w:val="00677662"/>
    <w:rsid w:val="00683E81"/>
    <w:rsid w:val="00684316"/>
    <w:rsid w:val="00690AA3"/>
    <w:rsid w:val="00690C09"/>
    <w:rsid w:val="00692E87"/>
    <w:rsid w:val="00694340"/>
    <w:rsid w:val="006B2BEC"/>
    <w:rsid w:val="006D16FB"/>
    <w:rsid w:val="006D40CE"/>
    <w:rsid w:val="006D59CE"/>
    <w:rsid w:val="006E18AC"/>
    <w:rsid w:val="006F29A4"/>
    <w:rsid w:val="006F577E"/>
    <w:rsid w:val="007053A6"/>
    <w:rsid w:val="00726828"/>
    <w:rsid w:val="00733732"/>
    <w:rsid w:val="00744967"/>
    <w:rsid w:val="0075434E"/>
    <w:rsid w:val="00755AB7"/>
    <w:rsid w:val="00763BB1"/>
    <w:rsid w:val="00767803"/>
    <w:rsid w:val="00767D4E"/>
    <w:rsid w:val="00774FF2"/>
    <w:rsid w:val="00782535"/>
    <w:rsid w:val="00784846"/>
    <w:rsid w:val="00796003"/>
    <w:rsid w:val="007A2D7D"/>
    <w:rsid w:val="007B0DB1"/>
    <w:rsid w:val="007B25FD"/>
    <w:rsid w:val="007C2CC6"/>
    <w:rsid w:val="007D186F"/>
    <w:rsid w:val="007D30A1"/>
    <w:rsid w:val="007D3758"/>
    <w:rsid w:val="007D44A3"/>
    <w:rsid w:val="007E2F88"/>
    <w:rsid w:val="007E33CE"/>
    <w:rsid w:val="007E3592"/>
    <w:rsid w:val="007F1A28"/>
    <w:rsid w:val="007F52A0"/>
    <w:rsid w:val="008010C5"/>
    <w:rsid w:val="00817AC6"/>
    <w:rsid w:val="00825A40"/>
    <w:rsid w:val="00826005"/>
    <w:rsid w:val="00835CD3"/>
    <w:rsid w:val="008372D2"/>
    <w:rsid w:val="008406F5"/>
    <w:rsid w:val="00840FCA"/>
    <w:rsid w:val="00852BC3"/>
    <w:rsid w:val="0085426C"/>
    <w:rsid w:val="00854949"/>
    <w:rsid w:val="008564B4"/>
    <w:rsid w:val="00867EDD"/>
    <w:rsid w:val="00872FC5"/>
    <w:rsid w:val="008732B6"/>
    <w:rsid w:val="008767B1"/>
    <w:rsid w:val="00880A77"/>
    <w:rsid w:val="00886693"/>
    <w:rsid w:val="008A6AB6"/>
    <w:rsid w:val="008B2EC7"/>
    <w:rsid w:val="008B6C47"/>
    <w:rsid w:val="008D3E39"/>
    <w:rsid w:val="008D3F9C"/>
    <w:rsid w:val="008D5A79"/>
    <w:rsid w:val="008D634B"/>
    <w:rsid w:val="008D6821"/>
    <w:rsid w:val="008E1285"/>
    <w:rsid w:val="008E244E"/>
    <w:rsid w:val="008E42BC"/>
    <w:rsid w:val="008F4980"/>
    <w:rsid w:val="00900FC1"/>
    <w:rsid w:val="0090103B"/>
    <w:rsid w:val="009019D9"/>
    <w:rsid w:val="00910327"/>
    <w:rsid w:val="00912213"/>
    <w:rsid w:val="0091595A"/>
    <w:rsid w:val="0093061E"/>
    <w:rsid w:val="00930D69"/>
    <w:rsid w:val="00933B50"/>
    <w:rsid w:val="009376D4"/>
    <w:rsid w:val="00945B4E"/>
    <w:rsid w:val="009504F8"/>
    <w:rsid w:val="009834D9"/>
    <w:rsid w:val="009839C6"/>
    <w:rsid w:val="00985675"/>
    <w:rsid w:val="009944E1"/>
    <w:rsid w:val="00994F06"/>
    <w:rsid w:val="009A151B"/>
    <w:rsid w:val="009A16F9"/>
    <w:rsid w:val="009A4174"/>
    <w:rsid w:val="009A7CF0"/>
    <w:rsid w:val="009B274D"/>
    <w:rsid w:val="009B5999"/>
    <w:rsid w:val="009B715B"/>
    <w:rsid w:val="009C0CFC"/>
    <w:rsid w:val="009C212C"/>
    <w:rsid w:val="009C29AE"/>
    <w:rsid w:val="009C4325"/>
    <w:rsid w:val="009C4B7C"/>
    <w:rsid w:val="009C5132"/>
    <w:rsid w:val="009E4E1F"/>
    <w:rsid w:val="00A002C4"/>
    <w:rsid w:val="00A10373"/>
    <w:rsid w:val="00A14736"/>
    <w:rsid w:val="00A14E4C"/>
    <w:rsid w:val="00A23433"/>
    <w:rsid w:val="00A31ED5"/>
    <w:rsid w:val="00A40BDE"/>
    <w:rsid w:val="00A43307"/>
    <w:rsid w:val="00A44BA6"/>
    <w:rsid w:val="00A50AFD"/>
    <w:rsid w:val="00A518EB"/>
    <w:rsid w:val="00A5275A"/>
    <w:rsid w:val="00A54009"/>
    <w:rsid w:val="00A61253"/>
    <w:rsid w:val="00A63117"/>
    <w:rsid w:val="00A63D9F"/>
    <w:rsid w:val="00A64648"/>
    <w:rsid w:val="00A646D3"/>
    <w:rsid w:val="00A72AFF"/>
    <w:rsid w:val="00A72DBB"/>
    <w:rsid w:val="00A73FB4"/>
    <w:rsid w:val="00A81462"/>
    <w:rsid w:val="00A852F2"/>
    <w:rsid w:val="00A925AA"/>
    <w:rsid w:val="00A938FD"/>
    <w:rsid w:val="00A96DA1"/>
    <w:rsid w:val="00AB47B8"/>
    <w:rsid w:val="00AC6967"/>
    <w:rsid w:val="00AC7EFA"/>
    <w:rsid w:val="00AD5D4D"/>
    <w:rsid w:val="00AD754D"/>
    <w:rsid w:val="00B0B2B5"/>
    <w:rsid w:val="00B114AB"/>
    <w:rsid w:val="00B1297F"/>
    <w:rsid w:val="00B12F16"/>
    <w:rsid w:val="00B13A89"/>
    <w:rsid w:val="00B17EA6"/>
    <w:rsid w:val="00B30A10"/>
    <w:rsid w:val="00B4416C"/>
    <w:rsid w:val="00B45660"/>
    <w:rsid w:val="00B50831"/>
    <w:rsid w:val="00B51E47"/>
    <w:rsid w:val="00B55354"/>
    <w:rsid w:val="00B57EA3"/>
    <w:rsid w:val="00B57EF1"/>
    <w:rsid w:val="00B609EF"/>
    <w:rsid w:val="00B72A55"/>
    <w:rsid w:val="00B75FDF"/>
    <w:rsid w:val="00B7778C"/>
    <w:rsid w:val="00BA1B4A"/>
    <w:rsid w:val="00BA3CB7"/>
    <w:rsid w:val="00BB63E3"/>
    <w:rsid w:val="00BC7A71"/>
    <w:rsid w:val="00BD06E7"/>
    <w:rsid w:val="00BD1DA1"/>
    <w:rsid w:val="00BD1F07"/>
    <w:rsid w:val="00BD346C"/>
    <w:rsid w:val="00BE572B"/>
    <w:rsid w:val="00BE700C"/>
    <w:rsid w:val="00BF4732"/>
    <w:rsid w:val="00BF6140"/>
    <w:rsid w:val="00C00011"/>
    <w:rsid w:val="00C02171"/>
    <w:rsid w:val="00C058F8"/>
    <w:rsid w:val="00C17E20"/>
    <w:rsid w:val="00C22A91"/>
    <w:rsid w:val="00C27422"/>
    <w:rsid w:val="00C319DC"/>
    <w:rsid w:val="00C32A82"/>
    <w:rsid w:val="00C34D44"/>
    <w:rsid w:val="00C41EFF"/>
    <w:rsid w:val="00C42E1B"/>
    <w:rsid w:val="00C469B3"/>
    <w:rsid w:val="00C46BDE"/>
    <w:rsid w:val="00C47324"/>
    <w:rsid w:val="00C50B13"/>
    <w:rsid w:val="00C50C14"/>
    <w:rsid w:val="00C5470C"/>
    <w:rsid w:val="00C56D69"/>
    <w:rsid w:val="00C74621"/>
    <w:rsid w:val="00C802DF"/>
    <w:rsid w:val="00C84423"/>
    <w:rsid w:val="00C8477D"/>
    <w:rsid w:val="00C85E96"/>
    <w:rsid w:val="00C9160B"/>
    <w:rsid w:val="00C928C6"/>
    <w:rsid w:val="00CA5AF3"/>
    <w:rsid w:val="00CB6CFA"/>
    <w:rsid w:val="00CC05B2"/>
    <w:rsid w:val="00CC1849"/>
    <w:rsid w:val="00CC5E15"/>
    <w:rsid w:val="00CE36C0"/>
    <w:rsid w:val="00CE5563"/>
    <w:rsid w:val="00CF638E"/>
    <w:rsid w:val="00D01BAC"/>
    <w:rsid w:val="00D026C2"/>
    <w:rsid w:val="00D0738B"/>
    <w:rsid w:val="00D12B96"/>
    <w:rsid w:val="00D22889"/>
    <w:rsid w:val="00D2493D"/>
    <w:rsid w:val="00D31E9D"/>
    <w:rsid w:val="00D33ED5"/>
    <w:rsid w:val="00D3594E"/>
    <w:rsid w:val="00D438B7"/>
    <w:rsid w:val="00D47EAE"/>
    <w:rsid w:val="00D500D9"/>
    <w:rsid w:val="00D71000"/>
    <w:rsid w:val="00D740D3"/>
    <w:rsid w:val="00D750D6"/>
    <w:rsid w:val="00D81BD1"/>
    <w:rsid w:val="00D93EDA"/>
    <w:rsid w:val="00D9585A"/>
    <w:rsid w:val="00DC57F2"/>
    <w:rsid w:val="00DD5223"/>
    <w:rsid w:val="00DE06D2"/>
    <w:rsid w:val="00DE47AC"/>
    <w:rsid w:val="00DE76F4"/>
    <w:rsid w:val="00DF41AD"/>
    <w:rsid w:val="00E133C9"/>
    <w:rsid w:val="00E226C9"/>
    <w:rsid w:val="00E23A13"/>
    <w:rsid w:val="00E316D8"/>
    <w:rsid w:val="00E34163"/>
    <w:rsid w:val="00E3500D"/>
    <w:rsid w:val="00E43332"/>
    <w:rsid w:val="00E43AD6"/>
    <w:rsid w:val="00E44816"/>
    <w:rsid w:val="00E51749"/>
    <w:rsid w:val="00E540E8"/>
    <w:rsid w:val="00E75586"/>
    <w:rsid w:val="00E764CF"/>
    <w:rsid w:val="00E76BA1"/>
    <w:rsid w:val="00E8353A"/>
    <w:rsid w:val="00E83BEA"/>
    <w:rsid w:val="00E92296"/>
    <w:rsid w:val="00EA3E77"/>
    <w:rsid w:val="00EA4AFC"/>
    <w:rsid w:val="00EC134E"/>
    <w:rsid w:val="00EC4C00"/>
    <w:rsid w:val="00EC6BCC"/>
    <w:rsid w:val="00ED1380"/>
    <w:rsid w:val="00ED5BC5"/>
    <w:rsid w:val="00ED5FFF"/>
    <w:rsid w:val="00ED650C"/>
    <w:rsid w:val="00ED6C65"/>
    <w:rsid w:val="00EE550F"/>
    <w:rsid w:val="00EF33C5"/>
    <w:rsid w:val="00EF4C16"/>
    <w:rsid w:val="00F010F0"/>
    <w:rsid w:val="00F041A4"/>
    <w:rsid w:val="00F13331"/>
    <w:rsid w:val="00F2419A"/>
    <w:rsid w:val="00F2792F"/>
    <w:rsid w:val="00F27C91"/>
    <w:rsid w:val="00F419C6"/>
    <w:rsid w:val="00F42F16"/>
    <w:rsid w:val="00F4743E"/>
    <w:rsid w:val="00F57F03"/>
    <w:rsid w:val="00F63F78"/>
    <w:rsid w:val="00F64C44"/>
    <w:rsid w:val="00F66DBB"/>
    <w:rsid w:val="00F72431"/>
    <w:rsid w:val="00F726C0"/>
    <w:rsid w:val="00F74BD5"/>
    <w:rsid w:val="00F84385"/>
    <w:rsid w:val="00F931EA"/>
    <w:rsid w:val="00F964DB"/>
    <w:rsid w:val="00FA0933"/>
    <w:rsid w:val="00FA1EDD"/>
    <w:rsid w:val="00FA4705"/>
    <w:rsid w:val="00FA7C9A"/>
    <w:rsid w:val="00FB3B4F"/>
    <w:rsid w:val="00FB4931"/>
    <w:rsid w:val="00FB6075"/>
    <w:rsid w:val="00FC0EA8"/>
    <w:rsid w:val="00FC14E0"/>
    <w:rsid w:val="00FC6F98"/>
    <w:rsid w:val="00FD179D"/>
    <w:rsid w:val="00FD712F"/>
    <w:rsid w:val="00FE1FA1"/>
    <w:rsid w:val="00FE4318"/>
    <w:rsid w:val="01018C4C"/>
    <w:rsid w:val="0102886B"/>
    <w:rsid w:val="0108C5B4"/>
    <w:rsid w:val="0135C336"/>
    <w:rsid w:val="01409A94"/>
    <w:rsid w:val="0179D729"/>
    <w:rsid w:val="017CDE5D"/>
    <w:rsid w:val="017FA0E4"/>
    <w:rsid w:val="0194D7CA"/>
    <w:rsid w:val="0198C846"/>
    <w:rsid w:val="01AB038B"/>
    <w:rsid w:val="01BFFF90"/>
    <w:rsid w:val="01CB5165"/>
    <w:rsid w:val="01D8F51C"/>
    <w:rsid w:val="0249BA9D"/>
    <w:rsid w:val="02534B0E"/>
    <w:rsid w:val="025A8635"/>
    <w:rsid w:val="0263C171"/>
    <w:rsid w:val="02684F23"/>
    <w:rsid w:val="02778268"/>
    <w:rsid w:val="028DD054"/>
    <w:rsid w:val="02917130"/>
    <w:rsid w:val="02AF8F08"/>
    <w:rsid w:val="02C5034C"/>
    <w:rsid w:val="03205A1F"/>
    <w:rsid w:val="032BF51C"/>
    <w:rsid w:val="032E230D"/>
    <w:rsid w:val="036BA77A"/>
    <w:rsid w:val="037887EF"/>
    <w:rsid w:val="03B5BF74"/>
    <w:rsid w:val="03DFC982"/>
    <w:rsid w:val="03F39EA7"/>
    <w:rsid w:val="042A1ABE"/>
    <w:rsid w:val="042B2175"/>
    <w:rsid w:val="04422607"/>
    <w:rsid w:val="0444DF2C"/>
    <w:rsid w:val="0459ECA3"/>
    <w:rsid w:val="045A4F39"/>
    <w:rsid w:val="046BE984"/>
    <w:rsid w:val="046EF0B8"/>
    <w:rsid w:val="04851C79"/>
    <w:rsid w:val="04CB0777"/>
    <w:rsid w:val="04D654EE"/>
    <w:rsid w:val="04FBE5E1"/>
    <w:rsid w:val="05204B70"/>
    <w:rsid w:val="0529FF65"/>
    <w:rsid w:val="053449D0"/>
    <w:rsid w:val="055A617E"/>
    <w:rsid w:val="055D56D6"/>
    <w:rsid w:val="05755043"/>
    <w:rsid w:val="05964478"/>
    <w:rsid w:val="05A17428"/>
    <w:rsid w:val="05B6783D"/>
    <w:rsid w:val="05CDABA4"/>
    <w:rsid w:val="05E43D80"/>
    <w:rsid w:val="05F08FC0"/>
    <w:rsid w:val="05F1D268"/>
    <w:rsid w:val="0604F859"/>
    <w:rsid w:val="0607D239"/>
    <w:rsid w:val="06167EF7"/>
    <w:rsid w:val="0619A5E2"/>
    <w:rsid w:val="0619C99D"/>
    <w:rsid w:val="061A05AC"/>
    <w:rsid w:val="0630E42E"/>
    <w:rsid w:val="06426F8B"/>
    <w:rsid w:val="0645C068"/>
    <w:rsid w:val="0648FA6D"/>
    <w:rsid w:val="0674EB81"/>
    <w:rsid w:val="0678B114"/>
    <w:rsid w:val="068AC933"/>
    <w:rsid w:val="068BE8CF"/>
    <w:rsid w:val="06A4DE5B"/>
    <w:rsid w:val="06BA7FDA"/>
    <w:rsid w:val="06C4CDF5"/>
    <w:rsid w:val="0733D6C2"/>
    <w:rsid w:val="073B1E36"/>
    <w:rsid w:val="07492A9B"/>
    <w:rsid w:val="074A3152"/>
    <w:rsid w:val="0750224B"/>
    <w:rsid w:val="0755260C"/>
    <w:rsid w:val="07596953"/>
    <w:rsid w:val="07631ECE"/>
    <w:rsid w:val="076CE3DA"/>
    <w:rsid w:val="07796222"/>
    <w:rsid w:val="077B4B0C"/>
    <w:rsid w:val="081F974C"/>
    <w:rsid w:val="084549B7"/>
    <w:rsid w:val="084F9C02"/>
    <w:rsid w:val="087EB53F"/>
    <w:rsid w:val="0881CA5F"/>
    <w:rsid w:val="08938683"/>
    <w:rsid w:val="08AA83D1"/>
    <w:rsid w:val="08BB2D22"/>
    <w:rsid w:val="08EB52CD"/>
    <w:rsid w:val="09047ED5"/>
    <w:rsid w:val="0922E08A"/>
    <w:rsid w:val="0923017F"/>
    <w:rsid w:val="0925D5E2"/>
    <w:rsid w:val="095D1DCF"/>
    <w:rsid w:val="097B2B34"/>
    <w:rsid w:val="097DFB2A"/>
    <w:rsid w:val="09853492"/>
    <w:rsid w:val="09C3EE38"/>
    <w:rsid w:val="09CA2B81"/>
    <w:rsid w:val="0A1113D7"/>
    <w:rsid w:val="0A117979"/>
    <w:rsid w:val="0A294015"/>
    <w:rsid w:val="0A7582B5"/>
    <w:rsid w:val="0A82617C"/>
    <w:rsid w:val="0A8CB6AA"/>
    <w:rsid w:val="0ACFB9EC"/>
    <w:rsid w:val="0AE299C9"/>
    <w:rsid w:val="0AE5B2DC"/>
    <w:rsid w:val="0AF9B03A"/>
    <w:rsid w:val="0B29B4F0"/>
    <w:rsid w:val="0B2ADC9C"/>
    <w:rsid w:val="0B2C6E15"/>
    <w:rsid w:val="0B3149FE"/>
    <w:rsid w:val="0B736DC5"/>
    <w:rsid w:val="0B9CC8FD"/>
    <w:rsid w:val="0BAA91EB"/>
    <w:rsid w:val="0BCFBF88"/>
    <w:rsid w:val="0BDB552D"/>
    <w:rsid w:val="0BE5D12B"/>
    <w:rsid w:val="0C181B0E"/>
    <w:rsid w:val="0C7431CD"/>
    <w:rsid w:val="0CA0FC7E"/>
    <w:rsid w:val="0CA12F4F"/>
    <w:rsid w:val="0CBB4F2D"/>
    <w:rsid w:val="0CE00A6C"/>
    <w:rsid w:val="0CEB808B"/>
    <w:rsid w:val="0CEE221D"/>
    <w:rsid w:val="0CEE54EE"/>
    <w:rsid w:val="0D3A6BDA"/>
    <w:rsid w:val="0D477655"/>
    <w:rsid w:val="0D558776"/>
    <w:rsid w:val="0D5869CA"/>
    <w:rsid w:val="0D603FFD"/>
    <w:rsid w:val="0D8468CF"/>
    <w:rsid w:val="0D9BA122"/>
    <w:rsid w:val="0DD9C5B4"/>
    <w:rsid w:val="0E069065"/>
    <w:rsid w:val="0E60F10B"/>
    <w:rsid w:val="0E62D9F5"/>
    <w:rsid w:val="0E63AA30"/>
    <w:rsid w:val="0E693AF9"/>
    <w:rsid w:val="0EA887D5"/>
    <w:rsid w:val="0EBECE32"/>
    <w:rsid w:val="0EC7F901"/>
    <w:rsid w:val="0EEF6498"/>
    <w:rsid w:val="0F0BCCC1"/>
    <w:rsid w:val="0F4E4ABB"/>
    <w:rsid w:val="0F989BF7"/>
    <w:rsid w:val="0FB1663E"/>
    <w:rsid w:val="0FB36065"/>
    <w:rsid w:val="0FDBF6BE"/>
    <w:rsid w:val="1032C88D"/>
    <w:rsid w:val="103AC7EF"/>
    <w:rsid w:val="103EB127"/>
    <w:rsid w:val="1051B4EE"/>
    <w:rsid w:val="1053545F"/>
    <w:rsid w:val="106F35CA"/>
    <w:rsid w:val="10720C9C"/>
    <w:rsid w:val="10B3DEA2"/>
    <w:rsid w:val="10E0FD19"/>
    <w:rsid w:val="1152BEB9"/>
    <w:rsid w:val="1169B620"/>
    <w:rsid w:val="11770A66"/>
    <w:rsid w:val="118D3749"/>
    <w:rsid w:val="1198E720"/>
    <w:rsid w:val="11A21B1C"/>
    <w:rsid w:val="11B748D5"/>
    <w:rsid w:val="11BA3E2D"/>
    <w:rsid w:val="11CC3B0E"/>
    <w:rsid w:val="11E7324D"/>
    <w:rsid w:val="11F4A604"/>
    <w:rsid w:val="11FC3FC4"/>
    <w:rsid w:val="12097748"/>
    <w:rsid w:val="12297017"/>
    <w:rsid w:val="125D99C5"/>
    <w:rsid w:val="12704FF0"/>
    <w:rsid w:val="12A1D994"/>
    <w:rsid w:val="12B7ABD4"/>
    <w:rsid w:val="12C3A745"/>
    <w:rsid w:val="12E8D836"/>
    <w:rsid w:val="12E9FF16"/>
    <w:rsid w:val="12F35C3A"/>
    <w:rsid w:val="13022C14"/>
    <w:rsid w:val="13089E34"/>
    <w:rsid w:val="1319D950"/>
    <w:rsid w:val="131D0710"/>
    <w:rsid w:val="133C611A"/>
    <w:rsid w:val="13911FB9"/>
    <w:rsid w:val="1399DF03"/>
    <w:rsid w:val="13A91926"/>
    <w:rsid w:val="13BE1D3B"/>
    <w:rsid w:val="13D5E3D7"/>
    <w:rsid w:val="13EC0525"/>
    <w:rsid w:val="1419050A"/>
    <w:rsid w:val="141937DB"/>
    <w:rsid w:val="1428451B"/>
    <w:rsid w:val="144A26D4"/>
    <w:rsid w:val="145DFBF9"/>
    <w:rsid w:val="1474911D"/>
    <w:rsid w:val="147C907F"/>
    <w:rsid w:val="148ABB03"/>
    <w:rsid w:val="149182B8"/>
    <w:rsid w:val="149D7051"/>
    <w:rsid w:val="14C3A329"/>
    <w:rsid w:val="14F0A0AB"/>
    <w:rsid w:val="151D6B5C"/>
    <w:rsid w:val="15658D1E"/>
    <w:rsid w:val="15936D96"/>
    <w:rsid w:val="15AFBABB"/>
    <w:rsid w:val="15B5B9A0"/>
    <w:rsid w:val="15BA4D27"/>
    <w:rsid w:val="15CBD775"/>
    <w:rsid w:val="15F3D80D"/>
    <w:rsid w:val="162F85B3"/>
    <w:rsid w:val="163F62D1"/>
    <w:rsid w:val="16566763"/>
    <w:rsid w:val="16A59F5B"/>
    <w:rsid w:val="16B324EE"/>
    <w:rsid w:val="16CD571B"/>
    <w:rsid w:val="16E412EC"/>
    <w:rsid w:val="170A18BE"/>
    <w:rsid w:val="171A5776"/>
    <w:rsid w:val="173E40C1"/>
    <w:rsid w:val="174BAA58"/>
    <w:rsid w:val="17513D44"/>
    <w:rsid w:val="1766766F"/>
    <w:rsid w:val="176EA2DA"/>
    <w:rsid w:val="1786CF18"/>
    <w:rsid w:val="17CDAEF1"/>
    <w:rsid w:val="182E0AF9"/>
    <w:rsid w:val="18463737"/>
    <w:rsid w:val="18537887"/>
    <w:rsid w:val="1889D3A9"/>
    <w:rsid w:val="189F0A8F"/>
    <w:rsid w:val="18B69395"/>
    <w:rsid w:val="19195804"/>
    <w:rsid w:val="193E544C"/>
    <w:rsid w:val="1995E423"/>
    <w:rsid w:val="1997B1B6"/>
    <w:rsid w:val="19A274C2"/>
    <w:rsid w:val="19A52DE7"/>
    <w:rsid w:val="19A56A1A"/>
    <w:rsid w:val="19A9D32E"/>
    <w:rsid w:val="19CAB77F"/>
    <w:rsid w:val="19FAD739"/>
    <w:rsid w:val="1A2D4F6B"/>
    <w:rsid w:val="1A310944"/>
    <w:rsid w:val="1A33D8A8"/>
    <w:rsid w:val="1A48A9EC"/>
    <w:rsid w:val="1A5F97B9"/>
    <w:rsid w:val="1A67CDDA"/>
    <w:rsid w:val="1A7114E2"/>
    <w:rsid w:val="1A72465A"/>
    <w:rsid w:val="1A7F095B"/>
    <w:rsid w:val="1AA8981A"/>
    <w:rsid w:val="1B31E88E"/>
    <w:rsid w:val="1B366E18"/>
    <w:rsid w:val="1B40E8A4"/>
    <w:rsid w:val="1B4F4E24"/>
    <w:rsid w:val="1B786460"/>
    <w:rsid w:val="1B7F0E2D"/>
    <w:rsid w:val="1B9338A5"/>
    <w:rsid w:val="1BB35E7D"/>
    <w:rsid w:val="1BC03627"/>
    <w:rsid w:val="1BC22F60"/>
    <w:rsid w:val="1BD73375"/>
    <w:rsid w:val="1BDE6CDD"/>
    <w:rsid w:val="1BEDFB6A"/>
    <w:rsid w:val="1C08226E"/>
    <w:rsid w:val="1C3D8171"/>
    <w:rsid w:val="1C4F7E52"/>
    <w:rsid w:val="1C59669E"/>
    <w:rsid w:val="1C7EA96B"/>
    <w:rsid w:val="1C94871D"/>
    <w:rsid w:val="1CAE9C45"/>
    <w:rsid w:val="1CB1B165"/>
    <w:rsid w:val="1CC43DC4"/>
    <w:rsid w:val="1D0934B3"/>
    <w:rsid w:val="1D0ED492"/>
    <w:rsid w:val="1D1B39D3"/>
    <w:rsid w:val="1D3F1DF8"/>
    <w:rsid w:val="1D53EF3C"/>
    <w:rsid w:val="1D55B386"/>
    <w:rsid w:val="1D5EE3F6"/>
    <w:rsid w:val="1D63273D"/>
    <w:rsid w:val="1DFD5E6B"/>
    <w:rsid w:val="1E11C56F"/>
    <w:rsid w:val="1E36BC05"/>
    <w:rsid w:val="1E41607F"/>
    <w:rsid w:val="1E567D8C"/>
    <w:rsid w:val="1E58804F"/>
    <w:rsid w:val="1E5959EC"/>
    <w:rsid w:val="1E5EA539"/>
    <w:rsid w:val="1E639AF5"/>
    <w:rsid w:val="1E6E5E01"/>
    <w:rsid w:val="1E8B8849"/>
    <w:rsid w:val="1F1EB304"/>
    <w:rsid w:val="1F316514"/>
    <w:rsid w:val="1F3CFE21"/>
    <w:rsid w:val="1F71C834"/>
    <w:rsid w:val="1F861392"/>
    <w:rsid w:val="1F8EF27C"/>
    <w:rsid w:val="1F8F299C"/>
    <w:rsid w:val="1FB6BF23"/>
    <w:rsid w:val="1FF32AB8"/>
    <w:rsid w:val="2005CDAC"/>
    <w:rsid w:val="203D408E"/>
    <w:rsid w:val="205E2DD5"/>
    <w:rsid w:val="205F21E4"/>
    <w:rsid w:val="2077EB8C"/>
    <w:rsid w:val="20901DEC"/>
    <w:rsid w:val="209EC1F0"/>
    <w:rsid w:val="20C88979"/>
    <w:rsid w:val="20FC03AF"/>
    <w:rsid w:val="21036E24"/>
    <w:rsid w:val="21079D04"/>
    <w:rsid w:val="2111F980"/>
    <w:rsid w:val="211E6EC5"/>
    <w:rsid w:val="21362BFF"/>
    <w:rsid w:val="214A92AA"/>
    <w:rsid w:val="214F2D74"/>
    <w:rsid w:val="2153A24F"/>
    <w:rsid w:val="217DCD75"/>
    <w:rsid w:val="21A62240"/>
    <w:rsid w:val="21ACF931"/>
    <w:rsid w:val="21ADE40A"/>
    <w:rsid w:val="21B562A5"/>
    <w:rsid w:val="2213F725"/>
    <w:rsid w:val="221D7810"/>
    <w:rsid w:val="221FD87B"/>
    <w:rsid w:val="2226565A"/>
    <w:rsid w:val="22ED83C0"/>
    <w:rsid w:val="231002E3"/>
    <w:rsid w:val="23263806"/>
    <w:rsid w:val="2345E1AE"/>
    <w:rsid w:val="234785DF"/>
    <w:rsid w:val="234E8259"/>
    <w:rsid w:val="23504030"/>
    <w:rsid w:val="23780537"/>
    <w:rsid w:val="23B5E055"/>
    <w:rsid w:val="23C882FD"/>
    <w:rsid w:val="23D9474A"/>
    <w:rsid w:val="2402C8BC"/>
    <w:rsid w:val="242C6B09"/>
    <w:rsid w:val="246D681A"/>
    <w:rsid w:val="24827591"/>
    <w:rsid w:val="2483952D"/>
    <w:rsid w:val="2484914C"/>
    <w:rsid w:val="24C49A65"/>
    <w:rsid w:val="24D1B6EB"/>
    <w:rsid w:val="250A231C"/>
    <w:rsid w:val="25411866"/>
    <w:rsid w:val="259F81ED"/>
    <w:rsid w:val="25BD1E4F"/>
    <w:rsid w:val="25CEA638"/>
    <w:rsid w:val="25DF961B"/>
    <w:rsid w:val="2604BFC5"/>
    <w:rsid w:val="2607CF8F"/>
    <w:rsid w:val="26181E5B"/>
    <w:rsid w:val="26248D0A"/>
    <w:rsid w:val="262E7556"/>
    <w:rsid w:val="264CCFC7"/>
    <w:rsid w:val="26768165"/>
    <w:rsid w:val="2679CD49"/>
    <w:rsid w:val="2703EDF8"/>
    <w:rsid w:val="2719B34B"/>
    <w:rsid w:val="271D6121"/>
    <w:rsid w:val="2734EECD"/>
    <w:rsid w:val="274922BA"/>
    <w:rsid w:val="276497E3"/>
    <w:rsid w:val="2773317B"/>
    <w:rsid w:val="2776A3A7"/>
    <w:rsid w:val="2779EB98"/>
    <w:rsid w:val="277C30C5"/>
    <w:rsid w:val="278D9121"/>
    <w:rsid w:val="27943C0E"/>
    <w:rsid w:val="279F7F58"/>
    <w:rsid w:val="27BDFF8B"/>
    <w:rsid w:val="27C106BF"/>
    <w:rsid w:val="27ED4519"/>
    <w:rsid w:val="27FE63EE"/>
    <w:rsid w:val="2805FDAE"/>
    <w:rsid w:val="280EC634"/>
    <w:rsid w:val="28505849"/>
    <w:rsid w:val="287C156C"/>
    <w:rsid w:val="28865FD7"/>
    <w:rsid w:val="289B2FD1"/>
    <w:rsid w:val="28B0C7B9"/>
    <w:rsid w:val="28B93182"/>
    <w:rsid w:val="2931DD6F"/>
    <w:rsid w:val="29365387"/>
    <w:rsid w:val="29570E60"/>
    <w:rsid w:val="296BDFA4"/>
    <w:rsid w:val="2997D66F"/>
    <w:rsid w:val="29A7B4C0"/>
    <w:rsid w:val="29AFCFDC"/>
    <w:rsid w:val="29AFE1B8"/>
    <w:rsid w:val="29B29ADD"/>
    <w:rsid w:val="29B2D710"/>
    <w:rsid w:val="29BD217B"/>
    <w:rsid w:val="29C70188"/>
    <w:rsid w:val="29D21C2E"/>
    <w:rsid w:val="29DCDF3A"/>
    <w:rsid w:val="29DDFED6"/>
    <w:rsid w:val="29E2CE6B"/>
    <w:rsid w:val="2A23F1E4"/>
    <w:rsid w:val="2A2A2F2D"/>
    <w:rsid w:val="2A2C1A8C"/>
    <w:rsid w:val="2A2F12AC"/>
    <w:rsid w:val="2A5501E3"/>
    <w:rsid w:val="2A7D5410"/>
    <w:rsid w:val="2A8D343D"/>
    <w:rsid w:val="2A9AE33F"/>
    <w:rsid w:val="2A9C4759"/>
    <w:rsid w:val="2AE8C7B5"/>
    <w:rsid w:val="2B04C4FE"/>
    <w:rsid w:val="2B45B688"/>
    <w:rsid w:val="2B61267D"/>
    <w:rsid w:val="2B71AD53"/>
    <w:rsid w:val="2BB6B61E"/>
    <w:rsid w:val="2BD0CB46"/>
    <w:rsid w:val="2BE66CC5"/>
    <w:rsid w:val="2C0D4329"/>
    <w:rsid w:val="2C45D4D7"/>
    <w:rsid w:val="2C751786"/>
    <w:rsid w:val="2C75EED7"/>
    <w:rsid w:val="2C946E80"/>
    <w:rsid w:val="2C9E777C"/>
    <w:rsid w:val="2CBB152C"/>
    <w:rsid w:val="2CD1E6ED"/>
    <w:rsid w:val="2CE09A4E"/>
    <w:rsid w:val="2CE71DD3"/>
    <w:rsid w:val="2CF64E84"/>
    <w:rsid w:val="2D1B2656"/>
    <w:rsid w:val="2D638F80"/>
    <w:rsid w:val="2D7F4698"/>
    <w:rsid w:val="2D9D7DED"/>
    <w:rsid w:val="2D9D91B5"/>
    <w:rsid w:val="2DD47783"/>
    <w:rsid w:val="2DDF68BA"/>
    <w:rsid w:val="2E076BC9"/>
    <w:rsid w:val="2E271BCA"/>
    <w:rsid w:val="2E3061E6"/>
    <w:rsid w:val="2E37C8E3"/>
    <w:rsid w:val="2E42BD9D"/>
    <w:rsid w:val="2E4BC641"/>
    <w:rsid w:val="2E71267D"/>
    <w:rsid w:val="2E7BCAF7"/>
    <w:rsid w:val="2E7E841C"/>
    <w:rsid w:val="2E9C37DA"/>
    <w:rsid w:val="2EA5D41C"/>
    <w:rsid w:val="2EC2DDA1"/>
    <w:rsid w:val="2EC62592"/>
    <w:rsid w:val="2EFCA7F2"/>
    <w:rsid w:val="2F21D58F"/>
    <w:rsid w:val="2F2A5C57"/>
    <w:rsid w:val="2F3D3393"/>
    <w:rsid w:val="2F44BF37"/>
    <w:rsid w:val="2F5F3360"/>
    <w:rsid w:val="2F683098"/>
    <w:rsid w:val="2F8072C8"/>
    <w:rsid w:val="2F9F3E9F"/>
    <w:rsid w:val="2FA8C48A"/>
    <w:rsid w:val="2FF65A76"/>
    <w:rsid w:val="30122D61"/>
    <w:rsid w:val="303D9692"/>
    <w:rsid w:val="303E9D49"/>
    <w:rsid w:val="30556F0A"/>
    <w:rsid w:val="30585B00"/>
    <w:rsid w:val="305DEC00"/>
    <w:rsid w:val="308722CB"/>
    <w:rsid w:val="309E5430"/>
    <w:rsid w:val="30A79D7D"/>
    <w:rsid w:val="30D67ED6"/>
    <w:rsid w:val="3113E24E"/>
    <w:rsid w:val="311509FA"/>
    <w:rsid w:val="3155D209"/>
    <w:rsid w:val="315BC533"/>
    <w:rsid w:val="3191852A"/>
    <w:rsid w:val="31B4EFFC"/>
    <w:rsid w:val="31BB5100"/>
    <w:rsid w:val="31CBED4A"/>
    <w:rsid w:val="324B62A8"/>
    <w:rsid w:val="327C4DD1"/>
    <w:rsid w:val="32A060C2"/>
    <w:rsid w:val="32CDFBAE"/>
    <w:rsid w:val="3305E171"/>
    <w:rsid w:val="3317AF80"/>
    <w:rsid w:val="331A83E3"/>
    <w:rsid w:val="335DAD26"/>
    <w:rsid w:val="336D7C16"/>
    <w:rsid w:val="33B35170"/>
    <w:rsid w:val="33B66D7F"/>
    <w:rsid w:val="33D5F4F2"/>
    <w:rsid w:val="3403D071"/>
    <w:rsid w:val="3426945D"/>
    <w:rsid w:val="34361A54"/>
    <w:rsid w:val="346D58DF"/>
    <w:rsid w:val="34954633"/>
    <w:rsid w:val="34DF4D50"/>
    <w:rsid w:val="34E413C3"/>
    <w:rsid w:val="34F12901"/>
    <w:rsid w:val="35095EDC"/>
    <w:rsid w:val="35215849"/>
    <w:rsid w:val="352BA2B4"/>
    <w:rsid w:val="35365C5E"/>
    <w:rsid w:val="35394854"/>
    <w:rsid w:val="35516844"/>
    <w:rsid w:val="3564818C"/>
    <w:rsid w:val="3570C312"/>
    <w:rsid w:val="3579B2D9"/>
    <w:rsid w:val="357B861E"/>
    <w:rsid w:val="357DA1D9"/>
    <w:rsid w:val="3592731D"/>
    <w:rsid w:val="35C265F7"/>
    <w:rsid w:val="3615BD4C"/>
    <w:rsid w:val="3651F2CF"/>
    <w:rsid w:val="3681A976"/>
    <w:rsid w:val="36C7D7BC"/>
    <w:rsid w:val="36E11188"/>
    <w:rsid w:val="36E335C0"/>
    <w:rsid w:val="36FC5ADD"/>
    <w:rsid w:val="371A744B"/>
    <w:rsid w:val="3727F9DE"/>
    <w:rsid w:val="373A9473"/>
    <w:rsid w:val="373D1EE8"/>
    <w:rsid w:val="373F4C7F"/>
    <w:rsid w:val="3759DDB2"/>
    <w:rsid w:val="375B3060"/>
    <w:rsid w:val="37825A84"/>
    <w:rsid w:val="378AA472"/>
    <w:rsid w:val="37927103"/>
    <w:rsid w:val="37B7A1F4"/>
    <w:rsid w:val="37DE3E72"/>
    <w:rsid w:val="37F22F03"/>
    <w:rsid w:val="37F937BF"/>
    <w:rsid w:val="37FBA408"/>
    <w:rsid w:val="380A5E19"/>
    <w:rsid w:val="38106370"/>
    <w:rsid w:val="381C10EB"/>
    <w:rsid w:val="382B5AAF"/>
    <w:rsid w:val="3835AE7C"/>
    <w:rsid w:val="389A0264"/>
    <w:rsid w:val="38E9D755"/>
    <w:rsid w:val="38F5FD15"/>
    <w:rsid w:val="3901D0C2"/>
    <w:rsid w:val="3909936D"/>
    <w:rsid w:val="390C632E"/>
    <w:rsid w:val="3915072B"/>
    <w:rsid w:val="3945EE14"/>
    <w:rsid w:val="39559B46"/>
    <w:rsid w:val="3972C5D4"/>
    <w:rsid w:val="39BE765A"/>
    <w:rsid w:val="39F93BE3"/>
    <w:rsid w:val="3A315EDA"/>
    <w:rsid w:val="3A4E4DEF"/>
    <w:rsid w:val="3A5E5C5C"/>
    <w:rsid w:val="3A8158B2"/>
    <w:rsid w:val="3A919727"/>
    <w:rsid w:val="3A94E30B"/>
    <w:rsid w:val="3AA8AD98"/>
    <w:rsid w:val="3AABE79D"/>
    <w:rsid w:val="3AC0B8E1"/>
    <w:rsid w:val="3AD8E51F"/>
    <w:rsid w:val="3AEDB663"/>
    <w:rsid w:val="3B0E9635"/>
    <w:rsid w:val="3B127577"/>
    <w:rsid w:val="3B2F722A"/>
    <w:rsid w:val="3B802100"/>
    <w:rsid w:val="3BA58E8E"/>
    <w:rsid w:val="3BACFAC7"/>
    <w:rsid w:val="3BB65A26"/>
    <w:rsid w:val="3BC6DC39"/>
    <w:rsid w:val="3BDBE9B0"/>
    <w:rsid w:val="3BF3B04C"/>
    <w:rsid w:val="3C3605A9"/>
    <w:rsid w:val="3C55C399"/>
    <w:rsid w:val="3C93376D"/>
    <w:rsid w:val="3CAA6696"/>
    <w:rsid w:val="3CB4081E"/>
    <w:rsid w:val="3CC38EF3"/>
    <w:rsid w:val="3CE190A4"/>
    <w:rsid w:val="3CE9C7BD"/>
    <w:rsid w:val="3D0DABE2"/>
    <w:rsid w:val="3D21884B"/>
    <w:rsid w:val="3D237135"/>
    <w:rsid w:val="3D6B9C61"/>
    <w:rsid w:val="3D7F3B90"/>
    <w:rsid w:val="3DB2EC31"/>
    <w:rsid w:val="3DB9E3E1"/>
    <w:rsid w:val="3DC7BD75"/>
    <w:rsid w:val="3DF8E9D7"/>
    <w:rsid w:val="3DFAAE21"/>
    <w:rsid w:val="3E0DE5DC"/>
    <w:rsid w:val="3E11D753"/>
    <w:rsid w:val="3E306495"/>
    <w:rsid w:val="3E5771CE"/>
    <w:rsid w:val="3E5A1633"/>
    <w:rsid w:val="3E9E2A26"/>
    <w:rsid w:val="3EA86C81"/>
    <w:rsid w:val="3EE54EAC"/>
    <w:rsid w:val="3EFE1854"/>
    <w:rsid w:val="3F124C2E"/>
    <w:rsid w:val="3F246D41"/>
    <w:rsid w:val="3F3007CA"/>
    <w:rsid w:val="3F37126A"/>
    <w:rsid w:val="3F60CC4A"/>
    <w:rsid w:val="3F76C4F4"/>
    <w:rsid w:val="3F8F9778"/>
    <w:rsid w:val="3FA19459"/>
    <w:rsid w:val="3FA6B748"/>
    <w:rsid w:val="3FB05562"/>
    <w:rsid w:val="3FE95FAB"/>
    <w:rsid w:val="3FF3422F"/>
    <w:rsid w:val="401653CB"/>
    <w:rsid w:val="402DAFCE"/>
    <w:rsid w:val="405FAA3A"/>
    <w:rsid w:val="4060EA99"/>
    <w:rsid w:val="406D4FDA"/>
    <w:rsid w:val="4088B400"/>
    <w:rsid w:val="40A60543"/>
    <w:rsid w:val="40A7D2EF"/>
    <w:rsid w:val="40ABF63C"/>
    <w:rsid w:val="40BF2590"/>
    <w:rsid w:val="40D71EFD"/>
    <w:rsid w:val="40E56B08"/>
    <w:rsid w:val="413248F1"/>
    <w:rsid w:val="419343B5"/>
    <w:rsid w:val="41A96F76"/>
    <w:rsid w:val="41AA9656"/>
    <w:rsid w:val="41B5B0FC"/>
    <w:rsid w:val="41C07408"/>
    <w:rsid w:val="41DA8930"/>
    <w:rsid w:val="420786B2"/>
    <w:rsid w:val="42170113"/>
    <w:rsid w:val="4251E9CA"/>
    <w:rsid w:val="427FDC27"/>
    <w:rsid w:val="4281A9D3"/>
    <w:rsid w:val="42B91B2F"/>
    <w:rsid w:val="42F0DBBD"/>
    <w:rsid w:val="42FC4DD4"/>
    <w:rsid w:val="4319A81A"/>
    <w:rsid w:val="433FE0E4"/>
    <w:rsid w:val="439A4AEC"/>
    <w:rsid w:val="43A74F9F"/>
    <w:rsid w:val="43C7486E"/>
    <w:rsid w:val="43D156A6"/>
    <w:rsid w:val="43F0D7F7"/>
    <w:rsid w:val="4414894B"/>
    <w:rsid w:val="4426936A"/>
    <w:rsid w:val="442B8DDD"/>
    <w:rsid w:val="442BC0AE"/>
    <w:rsid w:val="444E19B6"/>
    <w:rsid w:val="4455842B"/>
    <w:rsid w:val="4458588E"/>
    <w:rsid w:val="4486B08D"/>
    <w:rsid w:val="44887E39"/>
    <w:rsid w:val="44CAB2A1"/>
    <w:rsid w:val="44E8B713"/>
    <w:rsid w:val="44F83847"/>
    <w:rsid w:val="45393919"/>
    <w:rsid w:val="4543FC25"/>
    <w:rsid w:val="455BC2C1"/>
    <w:rsid w:val="4571EE82"/>
    <w:rsid w:val="458A1AC0"/>
    <w:rsid w:val="45973C38"/>
    <w:rsid w:val="45D9E069"/>
    <w:rsid w:val="46036444"/>
    <w:rsid w:val="462AECA7"/>
    <w:rsid w:val="465CC078"/>
    <w:rsid w:val="465D3B8D"/>
    <w:rsid w:val="466218EA"/>
    <w:rsid w:val="467558B5"/>
    <w:rsid w:val="46764CC4"/>
    <w:rsid w:val="4678CE9D"/>
    <w:rsid w:val="468E0290"/>
    <w:rsid w:val="46E03CC0"/>
    <w:rsid w:val="46F15F46"/>
    <w:rsid w:val="46F1CA62"/>
    <w:rsid w:val="471B7C00"/>
    <w:rsid w:val="471CE92D"/>
    <w:rsid w:val="471DD309"/>
    <w:rsid w:val="47342CF0"/>
    <w:rsid w:val="4767795D"/>
    <w:rsid w:val="4769AFCC"/>
    <w:rsid w:val="476F9D7F"/>
    <w:rsid w:val="477927E0"/>
    <w:rsid w:val="47BCC4FC"/>
    <w:rsid w:val="48047510"/>
    <w:rsid w:val="4823CCF2"/>
    <w:rsid w:val="486FA1EA"/>
    <w:rsid w:val="487C2D1B"/>
    <w:rsid w:val="4883855E"/>
    <w:rsid w:val="488D416C"/>
    <w:rsid w:val="489331AD"/>
    <w:rsid w:val="48A29CBA"/>
    <w:rsid w:val="48AA1EAC"/>
    <w:rsid w:val="48B4AAEA"/>
    <w:rsid w:val="48EBEBE5"/>
    <w:rsid w:val="48EDE6AB"/>
    <w:rsid w:val="48EEE2CA"/>
    <w:rsid w:val="48F7771C"/>
    <w:rsid w:val="490F3456"/>
    <w:rsid w:val="491BAE76"/>
    <w:rsid w:val="4931AC22"/>
    <w:rsid w:val="4931FC62"/>
    <w:rsid w:val="493C3B3A"/>
    <w:rsid w:val="495D4734"/>
    <w:rsid w:val="49692F5A"/>
    <w:rsid w:val="4977C2FD"/>
    <w:rsid w:val="4991E11B"/>
    <w:rsid w:val="49C02B69"/>
    <w:rsid w:val="49C5824C"/>
    <w:rsid w:val="4A0FD388"/>
    <w:rsid w:val="4A655D93"/>
    <w:rsid w:val="4A6BC952"/>
    <w:rsid w:val="4A7716C9"/>
    <w:rsid w:val="4A8FACF3"/>
    <w:rsid w:val="4AE65215"/>
    <w:rsid w:val="4AE90B3A"/>
    <w:rsid w:val="4AEA04EA"/>
    <w:rsid w:val="4B16121E"/>
    <w:rsid w:val="4B3079DF"/>
    <w:rsid w:val="4B58585F"/>
    <w:rsid w:val="4B6173B3"/>
    <w:rsid w:val="4B654B39"/>
    <w:rsid w:val="4B65E49F"/>
    <w:rsid w:val="4B875FC3"/>
    <w:rsid w:val="4BBC49BE"/>
    <w:rsid w:val="4BD27B9C"/>
    <w:rsid w:val="4BE7653F"/>
    <w:rsid w:val="4C0146B1"/>
    <w:rsid w:val="4C2CB2BA"/>
    <w:rsid w:val="4C44AC27"/>
    <w:rsid w:val="4C88698E"/>
    <w:rsid w:val="4C9040B2"/>
    <w:rsid w:val="4CAF4EFD"/>
    <w:rsid w:val="4CB69888"/>
    <w:rsid w:val="4D0A50C3"/>
    <w:rsid w:val="4D1B18D8"/>
    <w:rsid w:val="4D243235"/>
    <w:rsid w:val="4D2EF541"/>
    <w:rsid w:val="4D31B7C8"/>
    <w:rsid w:val="4D490A69"/>
    <w:rsid w:val="4D5AB2F6"/>
    <w:rsid w:val="4D7607EB"/>
    <w:rsid w:val="4D9AE888"/>
    <w:rsid w:val="4DF9521A"/>
    <w:rsid w:val="4DFA4873"/>
    <w:rsid w:val="4E19D4F3"/>
    <w:rsid w:val="4E1F771A"/>
    <w:rsid w:val="4E8F88B7"/>
    <w:rsid w:val="4E8FCDFB"/>
    <w:rsid w:val="4E94A35B"/>
    <w:rsid w:val="4E991475"/>
    <w:rsid w:val="4EB2EFAC"/>
    <w:rsid w:val="4EC3C35A"/>
    <w:rsid w:val="4EC664EC"/>
    <w:rsid w:val="4ED7E091"/>
    <w:rsid w:val="4EF3C810"/>
    <w:rsid w:val="4EF72A23"/>
    <w:rsid w:val="4F0B8EAC"/>
    <w:rsid w:val="4F0CF761"/>
    <w:rsid w:val="4F1EC515"/>
    <w:rsid w:val="4F35A67B"/>
    <w:rsid w:val="4F37B291"/>
    <w:rsid w:val="4F3882CC"/>
    <w:rsid w:val="4F4EE2B0"/>
    <w:rsid w:val="4F5F5930"/>
    <w:rsid w:val="4F6A7002"/>
    <w:rsid w:val="4F92A761"/>
    <w:rsid w:val="4FA1A28D"/>
    <w:rsid w:val="4FA8AAE3"/>
    <w:rsid w:val="4FC72D8D"/>
    <w:rsid w:val="4FE07FA0"/>
    <w:rsid w:val="4FE61EAA"/>
    <w:rsid w:val="4FF1DDA2"/>
    <w:rsid w:val="5009DF4F"/>
    <w:rsid w:val="500EEF7D"/>
    <w:rsid w:val="50135030"/>
    <w:rsid w:val="503E64B5"/>
    <w:rsid w:val="50458835"/>
    <w:rsid w:val="50534902"/>
    <w:rsid w:val="507EE95A"/>
    <w:rsid w:val="50E2A309"/>
    <w:rsid w:val="50F89BF9"/>
    <w:rsid w:val="5128A7C9"/>
    <w:rsid w:val="515CE168"/>
    <w:rsid w:val="515D9FF5"/>
    <w:rsid w:val="51B04897"/>
    <w:rsid w:val="51B6B8B1"/>
    <w:rsid w:val="51D09A23"/>
    <w:rsid w:val="51D0B537"/>
    <w:rsid w:val="51E15896"/>
    <w:rsid w:val="51EDAAC5"/>
    <w:rsid w:val="51EE4DE1"/>
    <w:rsid w:val="52183B99"/>
    <w:rsid w:val="5227DC02"/>
    <w:rsid w:val="526B84D1"/>
    <w:rsid w:val="52752BF5"/>
    <w:rsid w:val="528C5442"/>
    <w:rsid w:val="52A3B9E4"/>
    <w:rsid w:val="52F9D50A"/>
    <w:rsid w:val="530101D8"/>
    <w:rsid w:val="53010B3A"/>
    <w:rsid w:val="53185DDB"/>
    <w:rsid w:val="532B4635"/>
    <w:rsid w:val="533F5DC1"/>
    <w:rsid w:val="5381A034"/>
    <w:rsid w:val="53BCAA1B"/>
    <w:rsid w:val="53D05E0F"/>
    <w:rsid w:val="54250F68"/>
    <w:rsid w:val="5479629B"/>
    <w:rsid w:val="54971FE9"/>
    <w:rsid w:val="549D36E0"/>
    <w:rsid w:val="54A02D5B"/>
    <w:rsid w:val="54B9BB54"/>
    <w:rsid w:val="54BFD1EE"/>
    <w:rsid w:val="54CB9C45"/>
    <w:rsid w:val="54D81F97"/>
    <w:rsid w:val="54DF593F"/>
    <w:rsid w:val="55051D19"/>
    <w:rsid w:val="550D6707"/>
    <w:rsid w:val="551C0A18"/>
    <w:rsid w:val="551E0351"/>
    <w:rsid w:val="556A8A34"/>
    <w:rsid w:val="556AA732"/>
    <w:rsid w:val="560D8556"/>
    <w:rsid w:val="562EB9E2"/>
    <w:rsid w:val="56362549"/>
    <w:rsid w:val="565841C8"/>
    <w:rsid w:val="56606D06"/>
    <w:rsid w:val="56849357"/>
    <w:rsid w:val="568D5BDD"/>
    <w:rsid w:val="56AFC32D"/>
    <w:rsid w:val="56B18777"/>
    <w:rsid w:val="56C8E37A"/>
    <w:rsid w:val="56E0DCE7"/>
    <w:rsid w:val="56F5E0FC"/>
    <w:rsid w:val="570FA964"/>
    <w:rsid w:val="5727D59F"/>
    <w:rsid w:val="5736868A"/>
    <w:rsid w:val="57695A63"/>
    <w:rsid w:val="5779314A"/>
    <w:rsid w:val="5788305B"/>
    <w:rsid w:val="57928FF6"/>
    <w:rsid w:val="57E4471A"/>
    <w:rsid w:val="57F274AF"/>
    <w:rsid w:val="57FA5D0B"/>
    <w:rsid w:val="580EF426"/>
    <w:rsid w:val="581111CB"/>
    <w:rsid w:val="581E116B"/>
    <w:rsid w:val="5820BEFD"/>
    <w:rsid w:val="5821774C"/>
    <w:rsid w:val="585E6A3B"/>
    <w:rsid w:val="5870671C"/>
    <w:rsid w:val="58736E50"/>
    <w:rsid w:val="58887265"/>
    <w:rsid w:val="58A2BA5E"/>
    <w:rsid w:val="58CFB7E0"/>
    <w:rsid w:val="591A9151"/>
    <w:rsid w:val="5961A19D"/>
    <w:rsid w:val="5965C4EA"/>
    <w:rsid w:val="596C66DA"/>
    <w:rsid w:val="598D0444"/>
    <w:rsid w:val="598E2B24"/>
    <w:rsid w:val="59B08875"/>
    <w:rsid w:val="59BA01C6"/>
    <w:rsid w:val="59C1331E"/>
    <w:rsid w:val="5A04E9AE"/>
    <w:rsid w:val="5A5BC6DD"/>
    <w:rsid w:val="5A5F4215"/>
    <w:rsid w:val="5A7A0FE5"/>
    <w:rsid w:val="5A7A3016"/>
    <w:rsid w:val="5A8F34EF"/>
    <w:rsid w:val="5AABF3B9"/>
    <w:rsid w:val="5ABD63E9"/>
    <w:rsid w:val="5AE8FD22"/>
    <w:rsid w:val="5B33B472"/>
    <w:rsid w:val="5B60CD00"/>
    <w:rsid w:val="5B93D8AA"/>
    <w:rsid w:val="5B985AFF"/>
    <w:rsid w:val="5BC267A5"/>
    <w:rsid w:val="5C0F22AB"/>
    <w:rsid w:val="5C15919E"/>
    <w:rsid w:val="5C20ECBB"/>
    <w:rsid w:val="5C43B1DE"/>
    <w:rsid w:val="5C53E6C9"/>
    <w:rsid w:val="5C7F169F"/>
    <w:rsid w:val="5C98041B"/>
    <w:rsid w:val="5CA7B14D"/>
    <w:rsid w:val="5CC5346E"/>
    <w:rsid w:val="5CEB0D7A"/>
    <w:rsid w:val="5D04F30C"/>
    <w:rsid w:val="5D108C61"/>
    <w:rsid w:val="5D2539EA"/>
    <w:rsid w:val="5D49CB69"/>
    <w:rsid w:val="5D5CCF1A"/>
    <w:rsid w:val="5D5E9CAD"/>
    <w:rsid w:val="5D66AF3E"/>
    <w:rsid w:val="5D6C2240"/>
    <w:rsid w:val="5D86BCD2"/>
    <w:rsid w:val="5D883EFA"/>
    <w:rsid w:val="5D962E9C"/>
    <w:rsid w:val="5D99F982"/>
    <w:rsid w:val="5D9C3E89"/>
    <w:rsid w:val="5DB07263"/>
    <w:rsid w:val="5DCECCD4"/>
    <w:rsid w:val="5DE6F912"/>
    <w:rsid w:val="5DFAC39F"/>
    <w:rsid w:val="5E12CEE8"/>
    <w:rsid w:val="5E2AFB26"/>
    <w:rsid w:val="5E2D8ADC"/>
    <w:rsid w:val="5E5B2895"/>
    <w:rsid w:val="5EC0E56C"/>
    <w:rsid w:val="5EF7A495"/>
    <w:rsid w:val="5F08702D"/>
    <w:rsid w:val="5F256C60"/>
    <w:rsid w:val="5F45C653"/>
    <w:rsid w:val="5F7E199D"/>
    <w:rsid w:val="5FC23301"/>
    <w:rsid w:val="5FD5A13A"/>
    <w:rsid w:val="5FDD1FD5"/>
    <w:rsid w:val="60163C72"/>
    <w:rsid w:val="60199172"/>
    <w:rsid w:val="604C6439"/>
    <w:rsid w:val="60551691"/>
    <w:rsid w:val="60A1889F"/>
    <w:rsid w:val="60A8C207"/>
    <w:rsid w:val="60AB4C68"/>
    <w:rsid w:val="60D804B6"/>
    <w:rsid w:val="60ECD5FA"/>
    <w:rsid w:val="60EFDD2E"/>
    <w:rsid w:val="610BF9E8"/>
    <w:rsid w:val="6119D37C"/>
    <w:rsid w:val="611FD008"/>
    <w:rsid w:val="6131F934"/>
    <w:rsid w:val="61435458"/>
    <w:rsid w:val="614CC428"/>
    <w:rsid w:val="6163ED5A"/>
    <w:rsid w:val="61843EE6"/>
    <w:rsid w:val="618A4714"/>
    <w:rsid w:val="61947FFC"/>
    <w:rsid w:val="61AA1F4D"/>
    <w:rsid w:val="61AC2C3A"/>
    <w:rsid w:val="61F0402D"/>
    <w:rsid w:val="61F2BA76"/>
    <w:rsid w:val="621E8B1C"/>
    <w:rsid w:val="62433BD8"/>
    <w:rsid w:val="624F5E20"/>
    <w:rsid w:val="6268B37E"/>
    <w:rsid w:val="628A6CC3"/>
    <w:rsid w:val="62922778"/>
    <w:rsid w:val="629CECDC"/>
    <w:rsid w:val="62AF966D"/>
    <w:rsid w:val="62B2E251"/>
    <w:rsid w:val="62C17397"/>
    <w:rsid w:val="62C7B395"/>
    <w:rsid w:val="62CB5552"/>
    <w:rsid w:val="62E1AD7F"/>
    <w:rsid w:val="62F8CD4F"/>
    <w:rsid w:val="632DF01F"/>
    <w:rsid w:val="6339D2C7"/>
    <w:rsid w:val="634CB0E5"/>
    <w:rsid w:val="634DDD34"/>
    <w:rsid w:val="6357926C"/>
    <w:rsid w:val="636869D2"/>
    <w:rsid w:val="63957C6D"/>
    <w:rsid w:val="63AA62EF"/>
    <w:rsid w:val="63CB1DC8"/>
    <w:rsid w:val="63CD1E45"/>
    <w:rsid w:val="63F6B730"/>
    <w:rsid w:val="63F81B4A"/>
    <w:rsid w:val="63FE0C43"/>
    <w:rsid w:val="64C7F426"/>
    <w:rsid w:val="64D44623"/>
    <w:rsid w:val="64F732AA"/>
    <w:rsid w:val="65128A0F"/>
    <w:rsid w:val="65586DC9"/>
    <w:rsid w:val="6569171A"/>
    <w:rsid w:val="65A3FFD1"/>
    <w:rsid w:val="65BBF93E"/>
    <w:rsid w:val="65C73206"/>
    <w:rsid w:val="65D3BFDA"/>
    <w:rsid w:val="65E5BCBB"/>
    <w:rsid w:val="65EBB764"/>
    <w:rsid w:val="6605055C"/>
    <w:rsid w:val="660B3136"/>
    <w:rsid w:val="6691F6EB"/>
    <w:rsid w:val="66B034FB"/>
    <w:rsid w:val="66BF6371"/>
    <w:rsid w:val="66EC60F3"/>
    <w:rsid w:val="66EECE87"/>
    <w:rsid w:val="66F965A6"/>
    <w:rsid w:val="671A5350"/>
    <w:rsid w:val="67304B74"/>
    <w:rsid w:val="676315FF"/>
    <w:rsid w:val="67939CD4"/>
    <w:rsid w:val="67A02FBD"/>
    <w:rsid w:val="67A79A32"/>
    <w:rsid w:val="67AA6E95"/>
    <w:rsid w:val="67D8C694"/>
    <w:rsid w:val="67DA580D"/>
    <w:rsid w:val="68029CD5"/>
    <w:rsid w:val="6821F983"/>
    <w:rsid w:val="6836AAFF"/>
    <w:rsid w:val="68674362"/>
    <w:rsid w:val="686A0985"/>
    <w:rsid w:val="689F8130"/>
    <w:rsid w:val="68AC80F1"/>
    <w:rsid w:val="68DC30C7"/>
    <w:rsid w:val="68FDA698"/>
    <w:rsid w:val="690A2258"/>
    <w:rsid w:val="690C874D"/>
    <w:rsid w:val="6930B51B"/>
    <w:rsid w:val="694EE676"/>
    <w:rsid w:val="69522E67"/>
    <w:rsid w:val="696712B4"/>
    <w:rsid w:val="696944D8"/>
    <w:rsid w:val="69817116"/>
    <w:rsid w:val="69996A83"/>
    <w:rsid w:val="699C0C15"/>
    <w:rsid w:val="699C3EE6"/>
    <w:rsid w:val="69AC3DA2"/>
    <w:rsid w:val="69B175CC"/>
    <w:rsid w:val="69EB7801"/>
    <w:rsid w:val="6A0C65AB"/>
    <w:rsid w:val="6A2AAD9D"/>
    <w:rsid w:val="6A631A2D"/>
    <w:rsid w:val="6A8E6B02"/>
    <w:rsid w:val="6ABBC5D3"/>
    <w:rsid w:val="6AC797D6"/>
    <w:rsid w:val="6AF8CA80"/>
    <w:rsid w:val="6AF9E413"/>
    <w:rsid w:val="6B27C13B"/>
    <w:rsid w:val="6B28BD5A"/>
    <w:rsid w:val="6B28D746"/>
    <w:rsid w:val="6B528820"/>
    <w:rsid w:val="6B8812AB"/>
    <w:rsid w:val="6B8B19DF"/>
    <w:rsid w:val="6BAD33AD"/>
    <w:rsid w:val="6BC67F62"/>
    <w:rsid w:val="6BCE4322"/>
    <w:rsid w:val="6BEF55EC"/>
    <w:rsid w:val="6BFBB917"/>
    <w:rsid w:val="6BFC34B3"/>
    <w:rsid w:val="6C2DAB2E"/>
    <w:rsid w:val="6C3389AF"/>
    <w:rsid w:val="6C549C20"/>
    <w:rsid w:val="6C614A5D"/>
    <w:rsid w:val="6C8B8EBA"/>
    <w:rsid w:val="6C9E0EB4"/>
    <w:rsid w:val="6CA4AFD3"/>
    <w:rsid w:val="6CD26E93"/>
    <w:rsid w:val="6CE8B1E7"/>
    <w:rsid w:val="6CEA9AD1"/>
    <w:rsid w:val="6CF665B9"/>
    <w:rsid w:val="6D8150EF"/>
    <w:rsid w:val="6DB532F5"/>
    <w:rsid w:val="6DBE122A"/>
    <w:rsid w:val="6DC92CD0"/>
    <w:rsid w:val="6DD50F78"/>
    <w:rsid w:val="6DD60B97"/>
    <w:rsid w:val="6E030919"/>
    <w:rsid w:val="6E1E17A6"/>
    <w:rsid w:val="6E21638A"/>
    <w:rsid w:val="6E38681C"/>
    <w:rsid w:val="6E3B2141"/>
    <w:rsid w:val="6E3C85BF"/>
    <w:rsid w:val="6E6532CD"/>
    <w:rsid w:val="6E682825"/>
    <w:rsid w:val="6E764124"/>
    <w:rsid w:val="6E951C45"/>
    <w:rsid w:val="6EA28FFC"/>
    <w:rsid w:val="6ECC9703"/>
    <w:rsid w:val="6ECCCBEA"/>
    <w:rsid w:val="6ED36903"/>
    <w:rsid w:val="6ED75A0F"/>
    <w:rsid w:val="6ED975CA"/>
    <w:rsid w:val="6EF48457"/>
    <w:rsid w:val="6F0FC9A8"/>
    <w:rsid w:val="6F1E39E8"/>
    <w:rsid w:val="6F3F9BED"/>
    <w:rsid w:val="6F40F76E"/>
    <w:rsid w:val="6F61DC25"/>
    <w:rsid w:val="6F7624C4"/>
    <w:rsid w:val="6F7EC8C1"/>
    <w:rsid w:val="6F80C93E"/>
    <w:rsid w:val="6FA28ACE"/>
    <w:rsid w:val="6FA7E425"/>
    <w:rsid w:val="6FFB3A6E"/>
    <w:rsid w:val="700320DB"/>
    <w:rsid w:val="70180224"/>
    <w:rsid w:val="702C603C"/>
    <w:rsid w:val="703F09B1"/>
    <w:rsid w:val="704487CF"/>
    <w:rsid w:val="7057031E"/>
    <w:rsid w:val="706DAF3F"/>
    <w:rsid w:val="709B2070"/>
    <w:rsid w:val="70C6EF02"/>
    <w:rsid w:val="70C95CC5"/>
    <w:rsid w:val="70FDAC86"/>
    <w:rsid w:val="7102ADD0"/>
    <w:rsid w:val="712A7A77"/>
    <w:rsid w:val="713F0F4D"/>
    <w:rsid w:val="713F6CB0"/>
    <w:rsid w:val="71424113"/>
    <w:rsid w:val="7145366B"/>
    <w:rsid w:val="715520F0"/>
    <w:rsid w:val="715960E3"/>
    <w:rsid w:val="71718D21"/>
    <w:rsid w:val="7191826D"/>
    <w:rsid w:val="719D9694"/>
    <w:rsid w:val="71AC9BC4"/>
    <w:rsid w:val="71F13D35"/>
    <w:rsid w:val="7215D961"/>
    <w:rsid w:val="7228A1D5"/>
    <w:rsid w:val="7245DE17"/>
    <w:rsid w:val="725AE22C"/>
    <w:rsid w:val="727594BE"/>
    <w:rsid w:val="72A1C205"/>
    <w:rsid w:val="72AE8F92"/>
    <w:rsid w:val="72C0CCE4"/>
    <w:rsid w:val="72D9F541"/>
    <w:rsid w:val="72E6EBC5"/>
    <w:rsid w:val="72ED4CC9"/>
    <w:rsid w:val="7300D26A"/>
    <w:rsid w:val="7302433C"/>
    <w:rsid w:val="73054636"/>
    <w:rsid w:val="730C2B8D"/>
    <w:rsid w:val="73194394"/>
    <w:rsid w:val="73535FE4"/>
    <w:rsid w:val="73538953"/>
    <w:rsid w:val="73610584"/>
    <w:rsid w:val="73610EE6"/>
    <w:rsid w:val="738B49E1"/>
    <w:rsid w:val="73BA304D"/>
    <w:rsid w:val="73C3B97A"/>
    <w:rsid w:val="73D88ABE"/>
    <w:rsid w:val="73F48DAE"/>
    <w:rsid w:val="740788BD"/>
    <w:rsid w:val="7407BB8E"/>
    <w:rsid w:val="741C8CD2"/>
    <w:rsid w:val="7434B910"/>
    <w:rsid w:val="744AB200"/>
    <w:rsid w:val="744FD66B"/>
    <w:rsid w:val="745FC6BE"/>
    <w:rsid w:val="74B7FFB6"/>
    <w:rsid w:val="750855A4"/>
    <w:rsid w:val="75122E17"/>
    <w:rsid w:val="754CF487"/>
    <w:rsid w:val="756A51A0"/>
    <w:rsid w:val="75A21852"/>
    <w:rsid w:val="75DE6A49"/>
    <w:rsid w:val="75E0967D"/>
    <w:rsid w:val="7650FDD1"/>
    <w:rsid w:val="765317DF"/>
    <w:rsid w:val="766A73E2"/>
    <w:rsid w:val="766D8902"/>
    <w:rsid w:val="767D5C3C"/>
    <w:rsid w:val="76D3B63B"/>
    <w:rsid w:val="76F99B18"/>
    <w:rsid w:val="76F9CDE9"/>
    <w:rsid w:val="7715B7D2"/>
    <w:rsid w:val="773CC45B"/>
    <w:rsid w:val="776362F5"/>
    <w:rsid w:val="776DAB44"/>
    <w:rsid w:val="777BAE44"/>
    <w:rsid w:val="778123D2"/>
    <w:rsid w:val="77B5EA24"/>
    <w:rsid w:val="77F293A2"/>
    <w:rsid w:val="781FDB9C"/>
    <w:rsid w:val="782A359E"/>
    <w:rsid w:val="782CF825"/>
    <w:rsid w:val="7840BC86"/>
    <w:rsid w:val="7852785B"/>
    <w:rsid w:val="78573320"/>
    <w:rsid w:val="78851D6D"/>
    <w:rsid w:val="78B95457"/>
    <w:rsid w:val="78D8A9DD"/>
    <w:rsid w:val="78EB6B69"/>
    <w:rsid w:val="791C5967"/>
    <w:rsid w:val="7937AE09"/>
    <w:rsid w:val="795F9B5D"/>
    <w:rsid w:val="7965718D"/>
    <w:rsid w:val="797296C0"/>
    <w:rsid w:val="798FC108"/>
    <w:rsid w:val="79A42DA5"/>
    <w:rsid w:val="79A9A27A"/>
    <w:rsid w:val="79B7E264"/>
    <w:rsid w:val="79BB7E2B"/>
    <w:rsid w:val="79D18FCE"/>
    <w:rsid w:val="79D6A95E"/>
    <w:rsid w:val="79F05658"/>
    <w:rsid w:val="7A01D934"/>
    <w:rsid w:val="7A039D7E"/>
    <w:rsid w:val="7A290AA2"/>
    <w:rsid w:val="7A32F2EE"/>
    <w:rsid w:val="7A47F703"/>
    <w:rsid w:val="7A7E4AE1"/>
    <w:rsid w:val="7A8CBB21"/>
    <w:rsid w:val="7A9534D2"/>
    <w:rsid w:val="7AAB4863"/>
    <w:rsid w:val="7AE4A5FD"/>
    <w:rsid w:val="7AFA10A9"/>
    <w:rsid w:val="7B054367"/>
    <w:rsid w:val="7B066A47"/>
    <w:rsid w:val="7B0743E4"/>
    <w:rsid w:val="7B111340"/>
    <w:rsid w:val="7B397241"/>
    <w:rsid w:val="7B72D504"/>
    <w:rsid w:val="7BADBDBB"/>
    <w:rsid w:val="7BB08042"/>
    <w:rsid w:val="7BC670C6"/>
    <w:rsid w:val="7BCC9CFC"/>
    <w:rsid w:val="7BDA886C"/>
    <w:rsid w:val="7BDAA961"/>
    <w:rsid w:val="7BDBB018"/>
    <w:rsid w:val="7C14EF20"/>
    <w:rsid w:val="7C1FB22C"/>
    <w:rsid w:val="7C582397"/>
    <w:rsid w:val="7CE00E5A"/>
    <w:rsid w:val="7CF61EDD"/>
    <w:rsid w:val="7D0AE344"/>
    <w:rsid w:val="7D0D0BDC"/>
    <w:rsid w:val="7D2D2A97"/>
    <w:rsid w:val="7D3A095E"/>
    <w:rsid w:val="7D3DEDE3"/>
    <w:rsid w:val="7D49FE56"/>
    <w:rsid w:val="7D8761CE"/>
    <w:rsid w:val="7D9D5ABE"/>
    <w:rsid w:val="7DAB9928"/>
    <w:rsid w:val="7DB1581C"/>
    <w:rsid w:val="7DBB4524"/>
    <w:rsid w:val="7DCC25EC"/>
    <w:rsid w:val="7DD62477"/>
    <w:rsid w:val="7DE41D14"/>
    <w:rsid w:val="7E268692"/>
    <w:rsid w:val="7E5BCE02"/>
    <w:rsid w:val="7E6239CD"/>
    <w:rsid w:val="7E804EC5"/>
    <w:rsid w:val="7EA6B5EA"/>
    <w:rsid w:val="7EC1E11D"/>
    <w:rsid w:val="7ECF86BD"/>
    <w:rsid w:val="7EF4E49E"/>
    <w:rsid w:val="7F13E042"/>
    <w:rsid w:val="7F2EEECF"/>
    <w:rsid w:val="7F33896A"/>
    <w:rsid w:val="7F7731A2"/>
    <w:rsid w:val="7F814E3B"/>
    <w:rsid w:val="7F8B2F00"/>
    <w:rsid w:val="7FA5C9FF"/>
    <w:rsid w:val="7FB08F3C"/>
    <w:rsid w:val="7FBDD69F"/>
    <w:rsid w:val="7FC2BF8C"/>
    <w:rsid w:val="7FD12CA6"/>
    <w:rsid w:val="7FEA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3EE033"/>
  <w15:chartTrackingRefBased/>
  <w15:docId w15:val="{A5DBEB9F-6587-4877-AA3C-23DF1D39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6F2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cs="Arial"/>
      <w:sz w:val="36"/>
    </w:rPr>
  </w:style>
  <w:style w:type="paragraph" w:styleId="Subtitle">
    <w:name w:val="Subtitle"/>
    <w:basedOn w:val="Normal"/>
    <w:qFormat/>
    <w:pPr>
      <w:jc w:val="center"/>
    </w:pPr>
    <w:rPr>
      <w:rFonts w:cs="Arial"/>
      <w:b/>
      <w:bCs/>
      <w:sz w:val="32"/>
      <w:lang w:val="en-US"/>
    </w:rPr>
  </w:style>
  <w:style w:type="paragraph" w:styleId="BodyTextIndent3">
    <w:name w:val="Body Text Indent 3"/>
    <w:basedOn w:val="Normal"/>
    <w:semiHidden/>
    <w:pPr>
      <w:ind w:left="720" w:hanging="720"/>
    </w:pPr>
    <w:rPr>
      <w:rFonts w:cs="Arial"/>
    </w:rPr>
  </w:style>
  <w:style w:type="paragraph" w:styleId="BodyTextIndent">
    <w:name w:val="Body Text Indent"/>
    <w:basedOn w:val="Normal"/>
    <w:semiHidden/>
    <w:pPr>
      <w:ind w:left="900" w:hanging="900"/>
    </w:pPr>
    <w:rPr>
      <w:szCs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customStyle="1" w:styleId="sub-heading">
    <w:name w:val="sub-heading"/>
    <w:basedOn w:val="Normal"/>
    <w:next w:val="Normal"/>
    <w:autoRedefine/>
    <w:rsid w:val="00F726C0"/>
    <w:rPr>
      <w:rFonts w:cs="Arial"/>
      <w:i/>
      <w:iCs/>
      <w:lang w:val="en-US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2">
    <w:name w:val="Body Text Indent 2"/>
    <w:basedOn w:val="Normal"/>
    <w:semiHidden/>
    <w:pPr>
      <w:ind w:left="748" w:hanging="748"/>
    </w:pPr>
    <w:rPr>
      <w:rFonts w:cs="Arial"/>
      <w:lang w:val="en-US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jc w:val="center"/>
    </w:pPr>
    <w:rPr>
      <w:sz w:val="32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3FB4"/>
    <w:rPr>
      <w:rFonts w:ascii="Tahoma" w:hAnsi="Tahoma" w:cs="Tahoma"/>
      <w:sz w:val="16"/>
      <w:szCs w:val="1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06F2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5156D7"/>
    <w:pPr>
      <w:ind w:left="720"/>
      <w:contextualSpacing/>
    </w:pPr>
  </w:style>
  <w:style w:type="table" w:styleId="TableGrid">
    <w:name w:val="Table Grid"/>
    <w:basedOn w:val="TableNormal"/>
    <w:uiPriority w:val="59"/>
    <w:rsid w:val="00487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0655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DF41A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124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24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24A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4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4AD"/>
    <w:rPr>
      <w:rFonts w:ascii="Arial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D0E3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D3E3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4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3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5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9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7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1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1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7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06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7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3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29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7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7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2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0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41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3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8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79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7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27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0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2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4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82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93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9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1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17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73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4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9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5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4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7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5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4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5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8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3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5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5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3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2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2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4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s://www.local.gov.uk/our-support/sector-support-offer/care-and-health-improvement/commissioning-and-market-shaping/cost-of-care-toolki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69ff75-6c8d-407c-9722-5a9c635ec69a" xsi:nil="true"/>
    <lcf76f155ced4ddcb4097134ff3c332f xmlns="4fd9926b-14c8-4305-b4b2-751e3118cdd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110EBBC07F4448AD01E37A71852F3" ma:contentTypeVersion="13" ma:contentTypeDescription="Create a new document." ma:contentTypeScope="" ma:versionID="c90dc1d16df0b716513af3d5b182911d">
  <xsd:schema xmlns:xsd="http://www.w3.org/2001/XMLSchema" xmlns:xs="http://www.w3.org/2001/XMLSchema" xmlns:p="http://schemas.microsoft.com/office/2006/metadata/properties" xmlns:ns2="4fd9926b-14c8-4305-b4b2-751e3118cddb" xmlns:ns3="b669ff75-6c8d-407c-9722-5a9c635ec69a" targetNamespace="http://schemas.microsoft.com/office/2006/metadata/properties" ma:root="true" ma:fieldsID="0fc4a4953a1a20515aa38adb567c3dfc" ns2:_="" ns3:_="">
    <xsd:import namespace="4fd9926b-14c8-4305-b4b2-751e3118cddb"/>
    <xsd:import namespace="b669ff75-6c8d-407c-9722-5a9c635ec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9926b-14c8-4305-b4b2-751e3118cd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69303b9-df6d-4b7f-9ad0-59a49bf3f0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9ff75-6c8d-407c-9722-5a9c635ec6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1298caa-091a-4441-b788-fda864e1c702}" ma:internalName="TaxCatchAll" ma:showField="CatchAllData" ma:web="b669ff75-6c8d-407c-9722-5a9c635ec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F79E20-E105-49EC-AF58-E07C862E240D}">
  <ds:schemaRefs>
    <ds:schemaRef ds:uri="http://schemas.microsoft.com/office/2006/metadata/properties"/>
    <ds:schemaRef ds:uri="http://schemas.microsoft.com/office/infopath/2007/PartnerControls"/>
    <ds:schemaRef ds:uri="b669ff75-6c8d-407c-9722-5a9c635ec69a"/>
    <ds:schemaRef ds:uri="4fd9926b-14c8-4305-b4b2-751e3118cddb"/>
  </ds:schemaRefs>
</ds:datastoreItem>
</file>

<file path=customXml/itemProps2.xml><?xml version="1.0" encoding="utf-8"?>
<ds:datastoreItem xmlns:ds="http://schemas.openxmlformats.org/officeDocument/2006/customXml" ds:itemID="{1425511C-47BA-46D2-8DCD-14FF70F12B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F79D78-3FAD-426F-A39C-906E42ECBC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B4032D-340B-4EDC-8CF4-0C6757089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d9926b-14c8-4305-b4b2-751e3118cddb"/>
    <ds:schemaRef ds:uri="b669ff75-6c8d-407c-9722-5a9c635ec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 TITLE</vt:lpstr>
    </vt:vector>
  </TitlesOfParts>
  <Company>Medway Council</Company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 TITLE</dc:title>
  <dc:subject/>
  <dc:creator>milnes, jade</dc:creator>
  <cp:keywords/>
  <dc:description>Accessible Template</dc:description>
  <cp:lastModifiedBy>maskell, skye</cp:lastModifiedBy>
  <cp:revision>2</cp:revision>
  <cp:lastPrinted>2020-08-26T23:11:00Z</cp:lastPrinted>
  <dcterms:created xsi:type="dcterms:W3CDTF">2023-02-24T15:23:00Z</dcterms:created>
  <dcterms:modified xsi:type="dcterms:W3CDTF">2023-02-24T15:23:00Z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0x010100333110EBBC07F4448AD01E37A71852F3</vt:lpwstr>
  </property>
  <property fmtid="{D5CDD505-2E9C-101B-9397-08002B2CF9AE}" pid="3" name="MediaServiceImageTags">
    <vt:lpwstr/>
  </property>
</Properties>
</file>