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5459" w14:textId="210A54E2" w:rsidR="00A906E6" w:rsidRPr="00511CB7" w:rsidRDefault="00A906E6" w:rsidP="00A906E6">
      <w:pPr>
        <w:rPr>
          <w:rFonts w:ascii="Arial" w:hAnsi="Arial" w:cs="Arial"/>
          <w:b/>
          <w:bCs/>
          <w:sz w:val="24"/>
          <w:szCs w:val="24"/>
        </w:rPr>
      </w:pPr>
      <w:r w:rsidRPr="00511CB7">
        <w:rPr>
          <w:rFonts w:ascii="Arial" w:hAnsi="Arial" w:cs="Arial"/>
          <w:b/>
          <w:bCs/>
          <w:sz w:val="24"/>
          <w:szCs w:val="24"/>
        </w:rPr>
        <w:t>Medway Council Local Planning Authority</w:t>
      </w:r>
    </w:p>
    <w:p w14:paraId="24672DC8" w14:textId="4A7C50A1" w:rsidR="00A906E6" w:rsidRPr="00511CB7" w:rsidRDefault="00A906E6" w:rsidP="00A906E6">
      <w:pPr>
        <w:rPr>
          <w:rFonts w:ascii="Arial" w:hAnsi="Arial" w:cs="Arial"/>
          <w:b/>
          <w:bCs/>
          <w:sz w:val="24"/>
          <w:szCs w:val="24"/>
        </w:rPr>
      </w:pPr>
      <w:r w:rsidRPr="00511CB7">
        <w:rPr>
          <w:rFonts w:ascii="Arial" w:hAnsi="Arial" w:cs="Arial"/>
          <w:b/>
          <w:bCs/>
          <w:sz w:val="24"/>
          <w:szCs w:val="24"/>
        </w:rPr>
        <w:t xml:space="preserve">Cliffe and Cliffe Woods Neighbourhood Plan </w:t>
      </w:r>
      <w:r w:rsidR="005D4E97" w:rsidRPr="00511CB7">
        <w:rPr>
          <w:rFonts w:ascii="Arial" w:hAnsi="Arial" w:cs="Arial"/>
          <w:b/>
          <w:bCs/>
          <w:sz w:val="24"/>
          <w:szCs w:val="24"/>
        </w:rPr>
        <w:t>202</w:t>
      </w:r>
      <w:r w:rsidR="004B654C" w:rsidRPr="00511CB7">
        <w:rPr>
          <w:rFonts w:ascii="Arial" w:hAnsi="Arial" w:cs="Arial"/>
          <w:b/>
          <w:bCs/>
          <w:sz w:val="24"/>
          <w:szCs w:val="24"/>
        </w:rPr>
        <w:t>2</w:t>
      </w:r>
      <w:r w:rsidR="005D4E97" w:rsidRPr="00511CB7">
        <w:rPr>
          <w:rFonts w:ascii="Arial" w:hAnsi="Arial" w:cs="Arial"/>
          <w:b/>
          <w:bCs/>
          <w:sz w:val="24"/>
          <w:szCs w:val="24"/>
        </w:rPr>
        <w:t xml:space="preserve"> to 2040</w:t>
      </w:r>
    </w:p>
    <w:p w14:paraId="348AC459" w14:textId="77777777" w:rsidR="00A906E6" w:rsidRPr="00511CB7" w:rsidRDefault="00A906E6" w:rsidP="00A906E6">
      <w:pPr>
        <w:rPr>
          <w:rFonts w:ascii="Arial" w:hAnsi="Arial" w:cs="Arial"/>
          <w:sz w:val="24"/>
          <w:szCs w:val="24"/>
        </w:rPr>
      </w:pPr>
      <w:r w:rsidRPr="00511CB7">
        <w:rPr>
          <w:rFonts w:ascii="Arial" w:hAnsi="Arial" w:cs="Arial"/>
          <w:sz w:val="24"/>
          <w:szCs w:val="24"/>
        </w:rPr>
        <w:t>REGULATION 18 DECISION STATEMENT (proceeding to referendum)</w:t>
      </w:r>
    </w:p>
    <w:p w14:paraId="4A9B478C" w14:textId="26D4BC3D" w:rsidR="00A906E6" w:rsidRPr="00511CB7" w:rsidRDefault="00A906E6" w:rsidP="00A906E6">
      <w:pPr>
        <w:rPr>
          <w:rFonts w:ascii="Arial" w:hAnsi="Arial" w:cs="Arial"/>
          <w:sz w:val="24"/>
          <w:szCs w:val="24"/>
        </w:rPr>
      </w:pPr>
      <w:r w:rsidRPr="00511CB7">
        <w:rPr>
          <w:rFonts w:ascii="Arial" w:hAnsi="Arial" w:cs="Arial"/>
          <w:sz w:val="24"/>
          <w:szCs w:val="24"/>
        </w:rPr>
        <w:t xml:space="preserve">1. </w:t>
      </w:r>
      <w:r w:rsidR="00511CB7">
        <w:rPr>
          <w:rFonts w:ascii="Arial" w:hAnsi="Arial" w:cs="Arial"/>
          <w:sz w:val="24"/>
          <w:szCs w:val="24"/>
        </w:rPr>
        <w:tab/>
      </w:r>
      <w:r w:rsidRPr="00511CB7">
        <w:rPr>
          <w:rFonts w:ascii="Arial" w:hAnsi="Arial" w:cs="Arial"/>
          <w:sz w:val="24"/>
          <w:szCs w:val="24"/>
        </w:rPr>
        <w:t>Introduction</w:t>
      </w:r>
    </w:p>
    <w:p w14:paraId="65FD6BA9" w14:textId="4A46371E"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1.1 </w:t>
      </w:r>
      <w:r w:rsidR="00511CB7">
        <w:rPr>
          <w:rFonts w:ascii="Arial" w:hAnsi="Arial" w:cs="Arial"/>
          <w:sz w:val="24"/>
          <w:szCs w:val="24"/>
        </w:rPr>
        <w:tab/>
      </w:r>
      <w:r w:rsidRPr="00511CB7">
        <w:rPr>
          <w:rFonts w:ascii="Arial" w:hAnsi="Arial" w:cs="Arial"/>
          <w:sz w:val="24"/>
          <w:szCs w:val="24"/>
        </w:rPr>
        <w:t xml:space="preserve">In accordance with the Town and Country Planning Act 1990 (as amended), the </w:t>
      </w:r>
      <w:r w:rsidR="004B654C" w:rsidRPr="00511CB7">
        <w:rPr>
          <w:rFonts w:ascii="Arial" w:hAnsi="Arial" w:cs="Arial"/>
          <w:sz w:val="24"/>
          <w:szCs w:val="24"/>
        </w:rPr>
        <w:t>C</w:t>
      </w:r>
      <w:r w:rsidRPr="00511CB7">
        <w:rPr>
          <w:rFonts w:ascii="Arial" w:hAnsi="Arial" w:cs="Arial"/>
          <w:sz w:val="24"/>
          <w:szCs w:val="24"/>
        </w:rPr>
        <w:t xml:space="preserve">ouncil has a statutory duty to assist communities in the preparation of neighbourhood plans and to progress their neighbourhood plans through examination, referendum and to ‘make’ the </w:t>
      </w:r>
      <w:r w:rsidR="00511CB7" w:rsidRPr="00511CB7">
        <w:rPr>
          <w:rFonts w:ascii="Arial" w:hAnsi="Arial" w:cs="Arial"/>
          <w:sz w:val="24"/>
          <w:szCs w:val="24"/>
        </w:rPr>
        <w:t>P</w:t>
      </w:r>
      <w:r w:rsidRPr="00511CB7">
        <w:rPr>
          <w:rFonts w:ascii="Arial" w:hAnsi="Arial" w:cs="Arial"/>
          <w:sz w:val="24"/>
          <w:szCs w:val="24"/>
        </w:rPr>
        <w:t xml:space="preserve">lan. </w:t>
      </w:r>
    </w:p>
    <w:p w14:paraId="3615FA84" w14:textId="7C7AA7FE"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1.2 </w:t>
      </w:r>
      <w:r w:rsidR="00511CB7">
        <w:rPr>
          <w:rFonts w:ascii="Arial" w:hAnsi="Arial" w:cs="Arial"/>
          <w:sz w:val="24"/>
          <w:szCs w:val="24"/>
        </w:rPr>
        <w:tab/>
      </w:r>
      <w:r w:rsidRPr="00511CB7">
        <w:rPr>
          <w:rFonts w:ascii="Arial" w:hAnsi="Arial" w:cs="Arial"/>
          <w:sz w:val="24"/>
          <w:szCs w:val="24"/>
        </w:rPr>
        <w:t>In accordance with Regulation 18 of the Neighbourhood Planning (General) Regulations 2012</w:t>
      </w:r>
      <w:r w:rsidR="004B654C" w:rsidRPr="00511CB7">
        <w:rPr>
          <w:rFonts w:ascii="Arial" w:hAnsi="Arial" w:cs="Arial"/>
          <w:sz w:val="24"/>
          <w:szCs w:val="24"/>
        </w:rPr>
        <w:t xml:space="preserve"> Medway Council </w:t>
      </w:r>
      <w:r w:rsidRPr="00511CB7">
        <w:rPr>
          <w:rFonts w:ascii="Arial" w:hAnsi="Arial" w:cs="Arial"/>
          <w:sz w:val="24"/>
          <w:szCs w:val="24"/>
        </w:rPr>
        <w:t xml:space="preserve">has produced this ‘Decision Statement’ in relation to the </w:t>
      </w:r>
      <w:r w:rsidR="004B654C" w:rsidRPr="00511CB7">
        <w:rPr>
          <w:rFonts w:ascii="Arial" w:hAnsi="Arial" w:cs="Arial"/>
          <w:sz w:val="24"/>
          <w:szCs w:val="24"/>
        </w:rPr>
        <w:t xml:space="preserve">Cliffe and Cliffe Woods </w:t>
      </w:r>
      <w:r w:rsidRPr="00511CB7">
        <w:rPr>
          <w:rFonts w:ascii="Arial" w:hAnsi="Arial" w:cs="Arial"/>
          <w:sz w:val="24"/>
          <w:szCs w:val="24"/>
        </w:rPr>
        <w:t>Neighbourhood</w:t>
      </w:r>
      <w:r w:rsidR="004B654C" w:rsidRPr="00511CB7">
        <w:rPr>
          <w:rFonts w:ascii="Arial" w:hAnsi="Arial" w:cs="Arial"/>
          <w:sz w:val="24"/>
          <w:szCs w:val="24"/>
        </w:rPr>
        <w:t xml:space="preserve"> </w:t>
      </w:r>
      <w:r w:rsidRPr="00511CB7">
        <w:rPr>
          <w:rFonts w:ascii="Arial" w:hAnsi="Arial" w:cs="Arial"/>
          <w:sz w:val="24"/>
          <w:szCs w:val="24"/>
        </w:rPr>
        <w:t>Plan (</w:t>
      </w:r>
      <w:r w:rsidR="00362076">
        <w:rPr>
          <w:rFonts w:ascii="Arial" w:hAnsi="Arial" w:cs="Arial"/>
          <w:sz w:val="24"/>
          <w:szCs w:val="24"/>
        </w:rPr>
        <w:t>Cliffe and Cliffe Woods</w:t>
      </w:r>
      <w:r w:rsidR="004B654C" w:rsidRPr="00511CB7">
        <w:rPr>
          <w:rFonts w:ascii="Arial" w:hAnsi="Arial" w:cs="Arial"/>
          <w:sz w:val="24"/>
          <w:szCs w:val="24"/>
        </w:rPr>
        <w:t xml:space="preserve"> </w:t>
      </w:r>
      <w:r w:rsidRPr="00511CB7">
        <w:rPr>
          <w:rFonts w:ascii="Arial" w:hAnsi="Arial" w:cs="Arial"/>
          <w:sz w:val="24"/>
          <w:szCs w:val="24"/>
        </w:rPr>
        <w:t xml:space="preserve">NP). This statement confirms that the modifications proposed in the Examiner’s Report on the </w:t>
      </w:r>
      <w:r w:rsidR="004B654C" w:rsidRPr="00511CB7">
        <w:rPr>
          <w:rFonts w:ascii="Arial" w:hAnsi="Arial" w:cs="Arial"/>
          <w:sz w:val="24"/>
          <w:szCs w:val="24"/>
        </w:rPr>
        <w:t>C</w:t>
      </w:r>
      <w:r w:rsidR="00362076">
        <w:rPr>
          <w:rFonts w:ascii="Arial" w:hAnsi="Arial" w:cs="Arial"/>
          <w:sz w:val="24"/>
          <w:szCs w:val="24"/>
        </w:rPr>
        <w:t xml:space="preserve">liffe </w:t>
      </w:r>
      <w:r w:rsidR="004B654C" w:rsidRPr="00511CB7">
        <w:rPr>
          <w:rFonts w:ascii="Arial" w:hAnsi="Arial" w:cs="Arial"/>
          <w:sz w:val="24"/>
          <w:szCs w:val="24"/>
        </w:rPr>
        <w:t>&amp;</w:t>
      </w:r>
      <w:r w:rsidR="00362076">
        <w:rPr>
          <w:rFonts w:ascii="Arial" w:hAnsi="Arial" w:cs="Arial"/>
          <w:sz w:val="24"/>
          <w:szCs w:val="24"/>
        </w:rPr>
        <w:t xml:space="preserve"> </w:t>
      </w:r>
      <w:r w:rsidR="004B654C" w:rsidRPr="00511CB7">
        <w:rPr>
          <w:rFonts w:ascii="Arial" w:hAnsi="Arial" w:cs="Arial"/>
          <w:sz w:val="24"/>
          <w:szCs w:val="24"/>
        </w:rPr>
        <w:t>C</w:t>
      </w:r>
      <w:r w:rsidR="00362076">
        <w:rPr>
          <w:rFonts w:ascii="Arial" w:hAnsi="Arial" w:cs="Arial"/>
          <w:sz w:val="24"/>
          <w:szCs w:val="24"/>
        </w:rPr>
        <w:t xml:space="preserve">liffe </w:t>
      </w:r>
      <w:r w:rsidR="004B654C" w:rsidRPr="00511CB7">
        <w:rPr>
          <w:rFonts w:ascii="Arial" w:hAnsi="Arial" w:cs="Arial"/>
          <w:sz w:val="24"/>
          <w:szCs w:val="24"/>
        </w:rPr>
        <w:t>W</w:t>
      </w:r>
      <w:r w:rsidR="00362076">
        <w:rPr>
          <w:rFonts w:ascii="Arial" w:hAnsi="Arial" w:cs="Arial"/>
          <w:sz w:val="24"/>
          <w:szCs w:val="24"/>
        </w:rPr>
        <w:t>oods</w:t>
      </w:r>
      <w:r w:rsidR="004B654C" w:rsidRPr="00511CB7">
        <w:rPr>
          <w:rFonts w:ascii="Arial" w:hAnsi="Arial" w:cs="Arial"/>
          <w:sz w:val="24"/>
          <w:szCs w:val="24"/>
        </w:rPr>
        <w:t xml:space="preserve"> </w:t>
      </w:r>
      <w:r w:rsidRPr="00511CB7">
        <w:rPr>
          <w:rFonts w:ascii="Arial" w:hAnsi="Arial" w:cs="Arial"/>
          <w:sz w:val="24"/>
          <w:szCs w:val="24"/>
        </w:rPr>
        <w:t xml:space="preserve">NP have been accepted by </w:t>
      </w:r>
      <w:r w:rsidR="004B654C" w:rsidRPr="00511CB7">
        <w:rPr>
          <w:rFonts w:ascii="Arial" w:hAnsi="Arial" w:cs="Arial"/>
          <w:sz w:val="24"/>
          <w:szCs w:val="24"/>
        </w:rPr>
        <w:t>Medway C</w:t>
      </w:r>
      <w:r w:rsidRPr="00511CB7">
        <w:rPr>
          <w:rFonts w:ascii="Arial" w:hAnsi="Arial" w:cs="Arial"/>
          <w:sz w:val="24"/>
          <w:szCs w:val="24"/>
        </w:rPr>
        <w:t>ouncil and the Plan has been consequently amended. The Plan can now proceed to referendum.</w:t>
      </w:r>
    </w:p>
    <w:p w14:paraId="01AB67DB" w14:textId="51C4330E"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1.3 </w:t>
      </w:r>
      <w:r w:rsidR="00511CB7">
        <w:rPr>
          <w:rFonts w:ascii="Arial" w:hAnsi="Arial" w:cs="Arial"/>
          <w:sz w:val="24"/>
          <w:szCs w:val="24"/>
        </w:rPr>
        <w:tab/>
      </w:r>
      <w:r w:rsidRPr="00511CB7">
        <w:rPr>
          <w:rFonts w:ascii="Arial" w:hAnsi="Arial" w:cs="Arial"/>
          <w:sz w:val="24"/>
          <w:szCs w:val="24"/>
        </w:rPr>
        <w:t>The Examiner’s Report and submission</w:t>
      </w:r>
      <w:r w:rsidR="004B654C" w:rsidRPr="00511CB7">
        <w:rPr>
          <w:rFonts w:ascii="Arial" w:hAnsi="Arial" w:cs="Arial"/>
          <w:sz w:val="24"/>
          <w:szCs w:val="24"/>
        </w:rPr>
        <w:t xml:space="preserve"> </w:t>
      </w:r>
      <w:r w:rsidR="00392686">
        <w:rPr>
          <w:rFonts w:ascii="Arial" w:hAnsi="Arial" w:cs="Arial"/>
          <w:sz w:val="24"/>
          <w:szCs w:val="24"/>
        </w:rPr>
        <w:t xml:space="preserve">draft </w:t>
      </w:r>
      <w:r w:rsidR="004B654C" w:rsidRPr="00511CB7">
        <w:rPr>
          <w:rFonts w:ascii="Arial" w:hAnsi="Arial" w:cs="Arial"/>
          <w:sz w:val="24"/>
          <w:szCs w:val="24"/>
        </w:rPr>
        <w:t xml:space="preserve">Cliffe and Cliffe Woods </w:t>
      </w:r>
      <w:r w:rsidR="00392686">
        <w:rPr>
          <w:rFonts w:ascii="Arial" w:hAnsi="Arial" w:cs="Arial"/>
          <w:sz w:val="24"/>
          <w:szCs w:val="24"/>
        </w:rPr>
        <w:t>N</w:t>
      </w:r>
      <w:r w:rsidR="004B654C" w:rsidRPr="00511CB7">
        <w:rPr>
          <w:rFonts w:ascii="Arial" w:hAnsi="Arial" w:cs="Arial"/>
          <w:sz w:val="24"/>
          <w:szCs w:val="24"/>
        </w:rPr>
        <w:t>eighbourhood Plan</w:t>
      </w:r>
      <w:r w:rsidRPr="00511CB7">
        <w:rPr>
          <w:rFonts w:ascii="Arial" w:hAnsi="Arial" w:cs="Arial"/>
          <w:sz w:val="24"/>
          <w:szCs w:val="24"/>
        </w:rPr>
        <w:t>, including supporting documents,</w:t>
      </w:r>
      <w:r w:rsidR="004B654C" w:rsidRPr="00511CB7">
        <w:rPr>
          <w:rFonts w:ascii="Arial" w:hAnsi="Arial" w:cs="Arial"/>
          <w:sz w:val="24"/>
          <w:szCs w:val="24"/>
        </w:rPr>
        <w:t xml:space="preserve"> </w:t>
      </w:r>
      <w:r w:rsidRPr="00511CB7">
        <w:rPr>
          <w:rFonts w:ascii="Arial" w:hAnsi="Arial" w:cs="Arial"/>
          <w:sz w:val="24"/>
          <w:szCs w:val="24"/>
        </w:rPr>
        <w:t xml:space="preserve">can be viewed on the </w:t>
      </w:r>
      <w:r w:rsidR="004B654C" w:rsidRPr="00511CB7">
        <w:rPr>
          <w:rFonts w:ascii="Arial" w:hAnsi="Arial" w:cs="Arial"/>
          <w:sz w:val="24"/>
          <w:szCs w:val="24"/>
        </w:rPr>
        <w:t>C</w:t>
      </w:r>
      <w:r w:rsidRPr="00511CB7">
        <w:rPr>
          <w:rFonts w:ascii="Arial" w:hAnsi="Arial" w:cs="Arial"/>
          <w:sz w:val="24"/>
          <w:szCs w:val="24"/>
        </w:rPr>
        <w:t>ouncil’s website at:</w:t>
      </w:r>
    </w:p>
    <w:p w14:paraId="2FF80F03" w14:textId="09AD1F41" w:rsidR="008A76EA" w:rsidRPr="00511CB7" w:rsidRDefault="00D43D3C" w:rsidP="00362076">
      <w:pPr>
        <w:ind w:left="709"/>
        <w:rPr>
          <w:rFonts w:ascii="Arial" w:hAnsi="Arial" w:cs="Arial"/>
          <w:sz w:val="24"/>
          <w:szCs w:val="24"/>
        </w:rPr>
      </w:pPr>
      <w:hyperlink r:id="rId5" w:history="1">
        <w:r w:rsidR="00362076" w:rsidRPr="00FA5F2B">
          <w:rPr>
            <w:rStyle w:val="Hyperlink"/>
            <w:rFonts w:ascii="Arial" w:hAnsi="Arial" w:cs="Arial"/>
            <w:sz w:val="24"/>
            <w:szCs w:val="24"/>
          </w:rPr>
          <w:t>https://www.medway.gov.uk/info/200149/planning_policy/142/neighbourhood_planning/4</w:t>
        </w:r>
      </w:hyperlink>
      <w:r w:rsidR="008A76EA" w:rsidRPr="00511CB7">
        <w:rPr>
          <w:rFonts w:ascii="Arial" w:hAnsi="Arial" w:cs="Arial"/>
          <w:sz w:val="24"/>
          <w:szCs w:val="24"/>
        </w:rPr>
        <w:t xml:space="preserve"> </w:t>
      </w:r>
    </w:p>
    <w:p w14:paraId="72613F02" w14:textId="6CE55964" w:rsidR="00A906E6" w:rsidRPr="00511CB7" w:rsidRDefault="00A906E6" w:rsidP="00362076">
      <w:pPr>
        <w:ind w:left="709"/>
        <w:rPr>
          <w:rFonts w:ascii="Arial" w:hAnsi="Arial" w:cs="Arial"/>
          <w:sz w:val="24"/>
          <w:szCs w:val="24"/>
        </w:rPr>
      </w:pPr>
      <w:r w:rsidRPr="00511CB7">
        <w:rPr>
          <w:rFonts w:ascii="Arial" w:hAnsi="Arial" w:cs="Arial"/>
          <w:sz w:val="24"/>
          <w:szCs w:val="24"/>
        </w:rPr>
        <w:t xml:space="preserve">Hard copies of the documents can also be viewed at the </w:t>
      </w:r>
      <w:r w:rsidR="004B654C" w:rsidRPr="00511CB7">
        <w:rPr>
          <w:rFonts w:ascii="Arial" w:hAnsi="Arial" w:cs="Arial"/>
          <w:sz w:val="24"/>
          <w:szCs w:val="24"/>
        </w:rPr>
        <w:t>C</w:t>
      </w:r>
      <w:r w:rsidRPr="00511CB7">
        <w:rPr>
          <w:rFonts w:ascii="Arial" w:hAnsi="Arial" w:cs="Arial"/>
          <w:sz w:val="24"/>
          <w:szCs w:val="24"/>
        </w:rPr>
        <w:t xml:space="preserve">ouncil </w:t>
      </w:r>
      <w:r w:rsidR="004B654C" w:rsidRPr="00511CB7">
        <w:rPr>
          <w:rFonts w:ascii="Arial" w:hAnsi="Arial" w:cs="Arial"/>
          <w:sz w:val="24"/>
          <w:szCs w:val="24"/>
        </w:rPr>
        <w:t>o</w:t>
      </w:r>
      <w:r w:rsidRPr="00511CB7">
        <w:rPr>
          <w:rFonts w:ascii="Arial" w:hAnsi="Arial" w:cs="Arial"/>
          <w:sz w:val="24"/>
          <w:szCs w:val="24"/>
        </w:rPr>
        <w:t>ffices</w:t>
      </w:r>
      <w:r w:rsidR="008A76EA" w:rsidRPr="00511CB7">
        <w:rPr>
          <w:rFonts w:ascii="Arial" w:hAnsi="Arial" w:cs="Arial"/>
          <w:sz w:val="24"/>
          <w:szCs w:val="24"/>
        </w:rPr>
        <w:t>:</w:t>
      </w:r>
    </w:p>
    <w:p w14:paraId="35A34EAF" w14:textId="3FE8D11B" w:rsidR="008A76EA" w:rsidRPr="00511CB7" w:rsidRDefault="008A76EA" w:rsidP="00362076">
      <w:pPr>
        <w:ind w:left="709"/>
        <w:rPr>
          <w:rFonts w:ascii="Arial" w:hAnsi="Arial" w:cs="Arial"/>
          <w:sz w:val="24"/>
          <w:szCs w:val="24"/>
        </w:rPr>
      </w:pPr>
      <w:r w:rsidRPr="00511CB7">
        <w:rPr>
          <w:rFonts w:ascii="Arial" w:hAnsi="Arial" w:cs="Arial"/>
          <w:sz w:val="24"/>
          <w:szCs w:val="24"/>
        </w:rPr>
        <w:t>Gun Wharf, Dock Road, Chatham, Kent ME4 4TR</w:t>
      </w:r>
    </w:p>
    <w:p w14:paraId="621D992E" w14:textId="723DBA81"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 </w:t>
      </w:r>
      <w:r w:rsidR="00511CB7">
        <w:rPr>
          <w:rFonts w:ascii="Arial" w:hAnsi="Arial" w:cs="Arial"/>
          <w:sz w:val="24"/>
          <w:szCs w:val="24"/>
        </w:rPr>
        <w:tab/>
      </w:r>
      <w:r w:rsidRPr="00511CB7">
        <w:rPr>
          <w:rFonts w:ascii="Arial" w:hAnsi="Arial" w:cs="Arial"/>
          <w:sz w:val="24"/>
          <w:szCs w:val="24"/>
        </w:rPr>
        <w:t>Background</w:t>
      </w:r>
    </w:p>
    <w:p w14:paraId="36C24651" w14:textId="4528CEB7"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2.1 </w:t>
      </w:r>
      <w:r w:rsidR="00511CB7">
        <w:rPr>
          <w:rFonts w:ascii="Arial" w:hAnsi="Arial" w:cs="Arial"/>
          <w:sz w:val="24"/>
          <w:szCs w:val="24"/>
        </w:rPr>
        <w:tab/>
      </w:r>
      <w:r w:rsidRPr="00511CB7">
        <w:rPr>
          <w:rFonts w:ascii="Arial" w:hAnsi="Arial" w:cs="Arial"/>
          <w:sz w:val="24"/>
          <w:szCs w:val="24"/>
        </w:rPr>
        <w:t xml:space="preserve">On </w:t>
      </w:r>
      <w:r w:rsidR="00C61F13" w:rsidRPr="00511CB7">
        <w:rPr>
          <w:rFonts w:ascii="Arial" w:hAnsi="Arial" w:cs="Arial"/>
          <w:sz w:val="24"/>
          <w:szCs w:val="24"/>
        </w:rPr>
        <w:t xml:space="preserve">16 June 2015 Medway Council </w:t>
      </w:r>
      <w:r w:rsidRPr="00511CB7">
        <w:rPr>
          <w:rFonts w:ascii="Arial" w:hAnsi="Arial" w:cs="Arial"/>
          <w:sz w:val="24"/>
          <w:szCs w:val="24"/>
        </w:rPr>
        <w:t xml:space="preserve">designated the </w:t>
      </w:r>
      <w:r w:rsidR="00C61F13" w:rsidRPr="00511CB7">
        <w:rPr>
          <w:rFonts w:ascii="Arial" w:hAnsi="Arial" w:cs="Arial"/>
          <w:sz w:val="24"/>
          <w:szCs w:val="24"/>
        </w:rPr>
        <w:t xml:space="preserve">Cliffe and Cliffe Woods </w:t>
      </w:r>
      <w:r w:rsidRPr="00511CB7">
        <w:rPr>
          <w:rFonts w:ascii="Arial" w:hAnsi="Arial" w:cs="Arial"/>
          <w:sz w:val="24"/>
          <w:szCs w:val="24"/>
        </w:rPr>
        <w:t xml:space="preserve">Neighbourhood Area for the purpose of preparing a Neighbourhood Plan. The plan area covers the parish of </w:t>
      </w:r>
      <w:r w:rsidR="009F13FE" w:rsidRPr="00511CB7">
        <w:rPr>
          <w:rFonts w:ascii="Arial" w:hAnsi="Arial" w:cs="Arial"/>
          <w:sz w:val="24"/>
          <w:szCs w:val="24"/>
        </w:rPr>
        <w:t xml:space="preserve">Cliffe and Cliffe Woods </w:t>
      </w:r>
      <w:r w:rsidRPr="00511CB7">
        <w:rPr>
          <w:rFonts w:ascii="Arial" w:hAnsi="Arial" w:cs="Arial"/>
          <w:sz w:val="24"/>
          <w:szCs w:val="24"/>
        </w:rPr>
        <w:t xml:space="preserve">and lies solely within the </w:t>
      </w:r>
      <w:r w:rsidR="009F13FE" w:rsidRPr="00511CB7">
        <w:rPr>
          <w:rFonts w:ascii="Arial" w:hAnsi="Arial" w:cs="Arial"/>
          <w:sz w:val="24"/>
          <w:szCs w:val="24"/>
        </w:rPr>
        <w:t xml:space="preserve">Medway Council </w:t>
      </w:r>
      <w:r w:rsidRPr="00511CB7">
        <w:rPr>
          <w:rFonts w:ascii="Arial" w:hAnsi="Arial" w:cs="Arial"/>
          <w:sz w:val="24"/>
          <w:szCs w:val="24"/>
        </w:rPr>
        <w:t>Local Planning Authority Area.</w:t>
      </w:r>
    </w:p>
    <w:p w14:paraId="4BB6E67E" w14:textId="498F1307" w:rsidR="00A906E6" w:rsidRPr="00511CB7" w:rsidRDefault="00A906E6" w:rsidP="00362076">
      <w:pPr>
        <w:ind w:left="709" w:hanging="709"/>
        <w:rPr>
          <w:rFonts w:ascii="Arial" w:hAnsi="Arial" w:cs="Arial"/>
          <w:sz w:val="24"/>
          <w:szCs w:val="24"/>
        </w:rPr>
      </w:pPr>
      <w:r w:rsidRPr="00511CB7">
        <w:rPr>
          <w:rFonts w:ascii="Arial" w:hAnsi="Arial" w:cs="Arial"/>
          <w:sz w:val="24"/>
          <w:szCs w:val="24"/>
        </w:rPr>
        <w:lastRenderedPageBreak/>
        <w:t xml:space="preserve">2.2 </w:t>
      </w:r>
      <w:r w:rsidR="00511CB7">
        <w:rPr>
          <w:rFonts w:ascii="Arial" w:hAnsi="Arial" w:cs="Arial"/>
          <w:sz w:val="24"/>
          <w:szCs w:val="24"/>
        </w:rPr>
        <w:tab/>
      </w:r>
      <w:r w:rsidR="009F13FE" w:rsidRPr="00511CB7">
        <w:rPr>
          <w:rFonts w:ascii="Arial" w:hAnsi="Arial" w:cs="Arial"/>
          <w:sz w:val="24"/>
          <w:szCs w:val="24"/>
        </w:rPr>
        <w:t xml:space="preserve">Cliffe and Cliffe Woods Parish Council, </w:t>
      </w:r>
      <w:r w:rsidRPr="00511CB7">
        <w:rPr>
          <w:rFonts w:ascii="Arial" w:hAnsi="Arial" w:cs="Arial"/>
          <w:sz w:val="24"/>
          <w:szCs w:val="24"/>
        </w:rPr>
        <w:t xml:space="preserve">the qualifying body, submitted the draft </w:t>
      </w:r>
      <w:r w:rsidR="009F13FE" w:rsidRPr="00511CB7">
        <w:rPr>
          <w:rFonts w:ascii="Arial" w:hAnsi="Arial" w:cs="Arial"/>
          <w:sz w:val="24"/>
          <w:szCs w:val="24"/>
        </w:rPr>
        <w:t xml:space="preserve">Cliffe and Cliffe Woods </w:t>
      </w:r>
      <w:r w:rsidRPr="00511CB7">
        <w:rPr>
          <w:rFonts w:ascii="Arial" w:hAnsi="Arial" w:cs="Arial"/>
          <w:sz w:val="24"/>
          <w:szCs w:val="24"/>
        </w:rPr>
        <w:t xml:space="preserve">and supporting documents to </w:t>
      </w:r>
      <w:r w:rsidR="009F13FE" w:rsidRPr="00511CB7">
        <w:rPr>
          <w:rFonts w:ascii="Arial" w:hAnsi="Arial" w:cs="Arial"/>
          <w:sz w:val="24"/>
          <w:szCs w:val="24"/>
        </w:rPr>
        <w:t xml:space="preserve">Medway Council </w:t>
      </w:r>
      <w:r w:rsidR="0015361E" w:rsidRPr="00511CB7">
        <w:rPr>
          <w:rFonts w:ascii="Arial" w:hAnsi="Arial" w:cs="Arial"/>
          <w:sz w:val="24"/>
          <w:szCs w:val="24"/>
        </w:rPr>
        <w:t>in</w:t>
      </w:r>
      <w:r w:rsidRPr="00511CB7">
        <w:rPr>
          <w:rFonts w:ascii="Arial" w:hAnsi="Arial" w:cs="Arial"/>
          <w:sz w:val="24"/>
          <w:szCs w:val="24"/>
        </w:rPr>
        <w:t xml:space="preserve"> </w:t>
      </w:r>
      <w:r w:rsidR="0015361E" w:rsidRPr="00511CB7">
        <w:rPr>
          <w:rFonts w:ascii="Arial" w:hAnsi="Arial" w:cs="Arial"/>
          <w:sz w:val="24"/>
          <w:szCs w:val="24"/>
        </w:rPr>
        <w:t>September</w:t>
      </w:r>
      <w:r w:rsidRPr="00511CB7">
        <w:rPr>
          <w:rFonts w:ascii="Arial" w:hAnsi="Arial" w:cs="Arial"/>
          <w:sz w:val="24"/>
          <w:szCs w:val="24"/>
        </w:rPr>
        <w:t xml:space="preserve"> 202</w:t>
      </w:r>
      <w:r w:rsidR="0015361E" w:rsidRPr="00511CB7">
        <w:rPr>
          <w:rFonts w:ascii="Arial" w:hAnsi="Arial" w:cs="Arial"/>
          <w:sz w:val="24"/>
          <w:szCs w:val="24"/>
        </w:rPr>
        <w:t>1</w:t>
      </w:r>
      <w:r w:rsidRPr="00511CB7">
        <w:rPr>
          <w:rFonts w:ascii="Arial" w:hAnsi="Arial" w:cs="Arial"/>
          <w:sz w:val="24"/>
          <w:szCs w:val="24"/>
        </w:rPr>
        <w:t>.</w:t>
      </w:r>
    </w:p>
    <w:p w14:paraId="7B12CA4F" w14:textId="10D9D780"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2.3 </w:t>
      </w:r>
      <w:r w:rsidR="00511CB7">
        <w:rPr>
          <w:rFonts w:ascii="Arial" w:hAnsi="Arial" w:cs="Arial"/>
          <w:sz w:val="24"/>
          <w:szCs w:val="24"/>
        </w:rPr>
        <w:tab/>
      </w:r>
      <w:r w:rsidRPr="00511CB7">
        <w:rPr>
          <w:rFonts w:ascii="Arial" w:hAnsi="Arial" w:cs="Arial"/>
          <w:sz w:val="24"/>
          <w:szCs w:val="24"/>
        </w:rPr>
        <w:t xml:space="preserve">Following submission of the </w:t>
      </w:r>
      <w:r w:rsidR="00575727" w:rsidRPr="00511CB7">
        <w:rPr>
          <w:rFonts w:ascii="Arial" w:hAnsi="Arial" w:cs="Arial"/>
          <w:sz w:val="24"/>
          <w:szCs w:val="24"/>
        </w:rPr>
        <w:t>Cliffe and Cliffe Woods</w:t>
      </w:r>
      <w:r w:rsidRPr="00511CB7">
        <w:rPr>
          <w:rFonts w:ascii="Arial" w:hAnsi="Arial" w:cs="Arial"/>
          <w:sz w:val="24"/>
          <w:szCs w:val="24"/>
        </w:rPr>
        <w:t xml:space="preserve"> N</w:t>
      </w:r>
      <w:r w:rsidR="00575727" w:rsidRPr="00511CB7">
        <w:rPr>
          <w:rFonts w:ascii="Arial" w:hAnsi="Arial" w:cs="Arial"/>
          <w:sz w:val="24"/>
          <w:szCs w:val="24"/>
        </w:rPr>
        <w:t xml:space="preserve">eighbourhood </w:t>
      </w:r>
      <w:r w:rsidRPr="00511CB7">
        <w:rPr>
          <w:rFonts w:ascii="Arial" w:hAnsi="Arial" w:cs="Arial"/>
          <w:sz w:val="24"/>
          <w:szCs w:val="24"/>
        </w:rPr>
        <w:t>P</w:t>
      </w:r>
      <w:r w:rsidR="00575727" w:rsidRPr="00511CB7">
        <w:rPr>
          <w:rFonts w:ascii="Arial" w:hAnsi="Arial" w:cs="Arial"/>
          <w:sz w:val="24"/>
          <w:szCs w:val="24"/>
        </w:rPr>
        <w:t>lan</w:t>
      </w:r>
      <w:r w:rsidRPr="00511CB7">
        <w:rPr>
          <w:rFonts w:ascii="Arial" w:hAnsi="Arial" w:cs="Arial"/>
          <w:sz w:val="24"/>
          <w:szCs w:val="24"/>
        </w:rPr>
        <w:t xml:space="preserve">, </w:t>
      </w:r>
      <w:r w:rsidR="00575727" w:rsidRPr="00511CB7">
        <w:rPr>
          <w:rFonts w:ascii="Arial" w:hAnsi="Arial" w:cs="Arial"/>
          <w:sz w:val="24"/>
          <w:szCs w:val="24"/>
        </w:rPr>
        <w:t>Medway Council</w:t>
      </w:r>
      <w:r w:rsidRPr="00511CB7">
        <w:rPr>
          <w:rFonts w:ascii="Arial" w:hAnsi="Arial" w:cs="Arial"/>
          <w:sz w:val="24"/>
          <w:szCs w:val="24"/>
        </w:rPr>
        <w:t xml:space="preserve"> publicised the Plan and supporting documents and invited representations during the consultation period which ran from</w:t>
      </w:r>
      <w:r w:rsidR="00CC243D" w:rsidRPr="00511CB7">
        <w:rPr>
          <w:rFonts w:ascii="Arial" w:hAnsi="Arial" w:cs="Arial"/>
          <w:sz w:val="24"/>
          <w:szCs w:val="24"/>
        </w:rPr>
        <w:t xml:space="preserve"> 25 March to 20 May </w:t>
      </w:r>
      <w:r w:rsidRPr="00511CB7">
        <w:rPr>
          <w:rFonts w:ascii="Arial" w:hAnsi="Arial" w:cs="Arial"/>
          <w:sz w:val="24"/>
          <w:szCs w:val="24"/>
        </w:rPr>
        <w:t>2022.</w:t>
      </w:r>
    </w:p>
    <w:p w14:paraId="58A555A1" w14:textId="102D08D1"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2.4 </w:t>
      </w:r>
      <w:r w:rsidR="00511CB7">
        <w:rPr>
          <w:rFonts w:ascii="Arial" w:hAnsi="Arial" w:cs="Arial"/>
          <w:sz w:val="24"/>
          <w:szCs w:val="24"/>
        </w:rPr>
        <w:tab/>
      </w:r>
      <w:r w:rsidR="00CC243D" w:rsidRPr="00511CB7">
        <w:rPr>
          <w:rFonts w:ascii="Arial" w:hAnsi="Arial" w:cs="Arial"/>
          <w:sz w:val="24"/>
          <w:szCs w:val="24"/>
        </w:rPr>
        <w:t>Medway C</w:t>
      </w:r>
      <w:r w:rsidR="00043818" w:rsidRPr="00511CB7">
        <w:rPr>
          <w:rFonts w:ascii="Arial" w:hAnsi="Arial" w:cs="Arial"/>
          <w:sz w:val="24"/>
          <w:szCs w:val="24"/>
        </w:rPr>
        <w:t>ouncil</w:t>
      </w:r>
      <w:r w:rsidRPr="00511CB7">
        <w:rPr>
          <w:rFonts w:ascii="Arial" w:hAnsi="Arial" w:cs="Arial"/>
          <w:sz w:val="24"/>
          <w:szCs w:val="24"/>
        </w:rPr>
        <w:t xml:space="preserve">, with the consent of </w:t>
      </w:r>
      <w:r w:rsidR="00043818" w:rsidRPr="00511CB7">
        <w:rPr>
          <w:rFonts w:ascii="Arial" w:hAnsi="Arial" w:cs="Arial"/>
          <w:sz w:val="24"/>
          <w:szCs w:val="24"/>
        </w:rPr>
        <w:t xml:space="preserve">Cliffe and Cliffe Woods </w:t>
      </w:r>
      <w:r w:rsidRPr="00511CB7">
        <w:rPr>
          <w:rFonts w:ascii="Arial" w:hAnsi="Arial" w:cs="Arial"/>
          <w:sz w:val="24"/>
          <w:szCs w:val="24"/>
        </w:rPr>
        <w:t xml:space="preserve">PC, appointed an independent examiner, </w:t>
      </w:r>
      <w:r w:rsidR="00043818" w:rsidRPr="00511CB7">
        <w:rPr>
          <w:rFonts w:ascii="Arial" w:hAnsi="Arial" w:cs="Arial"/>
          <w:sz w:val="24"/>
          <w:szCs w:val="24"/>
        </w:rPr>
        <w:t xml:space="preserve">Christopher Lockhart-Mummery KC, </w:t>
      </w:r>
      <w:r w:rsidRPr="00511CB7">
        <w:rPr>
          <w:rFonts w:ascii="Arial" w:hAnsi="Arial" w:cs="Arial"/>
          <w:sz w:val="24"/>
          <w:szCs w:val="24"/>
        </w:rPr>
        <w:t>to review the Plan and assess whether it should proceed to referendum.</w:t>
      </w:r>
    </w:p>
    <w:p w14:paraId="3C6CF7F1" w14:textId="2AB8000F"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2.5 </w:t>
      </w:r>
      <w:r w:rsidR="00511CB7">
        <w:rPr>
          <w:rFonts w:ascii="Arial" w:hAnsi="Arial" w:cs="Arial"/>
          <w:sz w:val="24"/>
          <w:szCs w:val="24"/>
        </w:rPr>
        <w:tab/>
      </w:r>
      <w:r w:rsidRPr="00511CB7">
        <w:rPr>
          <w:rFonts w:ascii="Arial" w:hAnsi="Arial" w:cs="Arial"/>
          <w:sz w:val="24"/>
          <w:szCs w:val="24"/>
        </w:rPr>
        <w:t xml:space="preserve">The Examiner’s Report was received on </w:t>
      </w:r>
      <w:r w:rsidR="005838D4" w:rsidRPr="00511CB7">
        <w:rPr>
          <w:rFonts w:ascii="Arial" w:hAnsi="Arial" w:cs="Arial"/>
          <w:sz w:val="24"/>
          <w:szCs w:val="24"/>
        </w:rPr>
        <w:t xml:space="preserve">26 January 2023 </w:t>
      </w:r>
      <w:r w:rsidRPr="00511CB7">
        <w:rPr>
          <w:rFonts w:ascii="Arial" w:hAnsi="Arial" w:cs="Arial"/>
          <w:sz w:val="24"/>
          <w:szCs w:val="24"/>
        </w:rPr>
        <w:t>and recommended that,</w:t>
      </w:r>
      <w:r w:rsidR="00C53C74" w:rsidRPr="00511CB7">
        <w:rPr>
          <w:rFonts w:ascii="Arial" w:hAnsi="Arial" w:cs="Arial"/>
          <w:sz w:val="24"/>
          <w:szCs w:val="24"/>
        </w:rPr>
        <w:t xml:space="preserve"> </w:t>
      </w:r>
      <w:r w:rsidRPr="00511CB7">
        <w:rPr>
          <w:rFonts w:ascii="Arial" w:hAnsi="Arial" w:cs="Arial"/>
          <w:sz w:val="24"/>
          <w:szCs w:val="24"/>
        </w:rPr>
        <w:t>subject to a number of proposed modifications, the Plan should proceed to referendum. The modifications are required to ensure that the Plan meets the basic conditions set out in the legislation (Para 8(2) Schedule 4B Town and Country Planning Act 1990). The examiner also recommended that the area for the referendum should be based on the designated neighbourhood area which the Plan relates to.</w:t>
      </w:r>
    </w:p>
    <w:p w14:paraId="1B971533" w14:textId="6FE719E3"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2.6 </w:t>
      </w:r>
      <w:r w:rsidR="00511CB7">
        <w:rPr>
          <w:rFonts w:ascii="Arial" w:hAnsi="Arial" w:cs="Arial"/>
          <w:sz w:val="24"/>
          <w:szCs w:val="24"/>
        </w:rPr>
        <w:tab/>
      </w:r>
      <w:r w:rsidRPr="00511CB7">
        <w:rPr>
          <w:rFonts w:ascii="Arial" w:hAnsi="Arial" w:cs="Arial"/>
          <w:sz w:val="24"/>
          <w:szCs w:val="24"/>
        </w:rPr>
        <w:t>In accordance with the legislation (Schedule 4B paragraph 12 Town and Country Planning Act 1990), the Local Planning Authority must decide what action to take in response to the examiner’s recommendations, what modifications to make to the Plan and whether the Plan should proceed to referendum.</w:t>
      </w:r>
    </w:p>
    <w:p w14:paraId="392067E7" w14:textId="0FD8FC86"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2.7 </w:t>
      </w:r>
      <w:r w:rsidR="00511CB7">
        <w:rPr>
          <w:rFonts w:ascii="Arial" w:hAnsi="Arial" w:cs="Arial"/>
          <w:sz w:val="24"/>
          <w:szCs w:val="24"/>
        </w:rPr>
        <w:tab/>
      </w:r>
      <w:r w:rsidRPr="00511CB7">
        <w:rPr>
          <w:rFonts w:ascii="Arial" w:hAnsi="Arial" w:cs="Arial"/>
          <w:sz w:val="24"/>
          <w:szCs w:val="24"/>
        </w:rPr>
        <w:t xml:space="preserve">If the Local Planning Authority is satisfied that the Plan can proceed to referendum, it is also required to consider whether the Referendum Area should be extended beyond the </w:t>
      </w:r>
      <w:r w:rsidR="007E384C" w:rsidRPr="00511CB7">
        <w:rPr>
          <w:rFonts w:ascii="Arial" w:hAnsi="Arial" w:cs="Arial"/>
          <w:sz w:val="24"/>
          <w:szCs w:val="24"/>
        </w:rPr>
        <w:t xml:space="preserve">Cliffe and Cliffe Woods </w:t>
      </w:r>
      <w:r w:rsidRPr="00511CB7">
        <w:rPr>
          <w:rFonts w:ascii="Arial" w:hAnsi="Arial" w:cs="Arial"/>
          <w:sz w:val="24"/>
          <w:szCs w:val="24"/>
        </w:rPr>
        <w:t xml:space="preserve">Neighbourhood Area (Schedule 4B paragraph 12(8) Town and Country Planning Act 1990). </w:t>
      </w:r>
    </w:p>
    <w:p w14:paraId="2B3ED2A6" w14:textId="125C5941" w:rsidR="00A906E6" w:rsidRPr="00511CB7" w:rsidRDefault="00A906E6" w:rsidP="00A906E6">
      <w:pPr>
        <w:rPr>
          <w:rFonts w:ascii="Arial" w:hAnsi="Arial" w:cs="Arial"/>
          <w:sz w:val="24"/>
          <w:szCs w:val="24"/>
        </w:rPr>
      </w:pPr>
      <w:r w:rsidRPr="00511CB7">
        <w:rPr>
          <w:rFonts w:ascii="Arial" w:hAnsi="Arial" w:cs="Arial"/>
          <w:sz w:val="24"/>
          <w:szCs w:val="24"/>
        </w:rPr>
        <w:t xml:space="preserve">3. </w:t>
      </w:r>
      <w:r w:rsidR="00511CB7">
        <w:rPr>
          <w:rFonts w:ascii="Arial" w:hAnsi="Arial" w:cs="Arial"/>
          <w:sz w:val="24"/>
          <w:szCs w:val="24"/>
        </w:rPr>
        <w:tab/>
      </w:r>
      <w:r w:rsidRPr="00511CB7">
        <w:rPr>
          <w:rFonts w:ascii="Arial" w:hAnsi="Arial" w:cs="Arial"/>
          <w:sz w:val="24"/>
          <w:szCs w:val="24"/>
        </w:rPr>
        <w:t xml:space="preserve">Local Planning Authority Decision </w:t>
      </w:r>
    </w:p>
    <w:p w14:paraId="2423F9F5" w14:textId="7BD8CB68" w:rsidR="00A906E6" w:rsidRPr="00511CB7" w:rsidRDefault="00A906E6" w:rsidP="00392686">
      <w:pPr>
        <w:ind w:left="720" w:hanging="720"/>
        <w:rPr>
          <w:rFonts w:ascii="Arial" w:hAnsi="Arial" w:cs="Arial"/>
          <w:sz w:val="24"/>
          <w:szCs w:val="24"/>
        </w:rPr>
      </w:pPr>
      <w:r w:rsidRPr="00511CB7">
        <w:rPr>
          <w:rFonts w:ascii="Arial" w:hAnsi="Arial" w:cs="Arial"/>
          <w:sz w:val="24"/>
          <w:szCs w:val="24"/>
        </w:rPr>
        <w:t xml:space="preserve">3.1 </w:t>
      </w:r>
      <w:r w:rsidR="00511CB7">
        <w:rPr>
          <w:rFonts w:ascii="Arial" w:hAnsi="Arial" w:cs="Arial"/>
          <w:sz w:val="24"/>
          <w:szCs w:val="24"/>
        </w:rPr>
        <w:tab/>
      </w:r>
      <w:r w:rsidRPr="00511CB7">
        <w:rPr>
          <w:rFonts w:ascii="Arial" w:hAnsi="Arial" w:cs="Arial"/>
          <w:sz w:val="24"/>
          <w:szCs w:val="24"/>
        </w:rPr>
        <w:t>Having considered the Examiner’s Report the Local Planning Authority confirms that:</w:t>
      </w:r>
    </w:p>
    <w:p w14:paraId="05916BFD" w14:textId="3B6ED3AD" w:rsidR="00A906E6" w:rsidRPr="00511CB7" w:rsidRDefault="00A906E6" w:rsidP="00392686">
      <w:pPr>
        <w:pStyle w:val="ListParagraph"/>
        <w:numPr>
          <w:ilvl w:val="0"/>
          <w:numId w:val="4"/>
        </w:numPr>
        <w:ind w:left="720"/>
        <w:rPr>
          <w:rFonts w:ascii="Arial" w:hAnsi="Arial" w:cs="Arial"/>
          <w:sz w:val="24"/>
          <w:szCs w:val="24"/>
        </w:rPr>
      </w:pPr>
      <w:r w:rsidRPr="00511CB7">
        <w:rPr>
          <w:rFonts w:ascii="Arial" w:hAnsi="Arial" w:cs="Arial"/>
          <w:sz w:val="24"/>
          <w:szCs w:val="24"/>
        </w:rPr>
        <w:lastRenderedPageBreak/>
        <w:t xml:space="preserve">The Examiner’s recommended modifications are accepted and agreed. The modifications have been agreed and are supported by the Local Planning Authority in the interests of ensuring that the </w:t>
      </w:r>
      <w:r w:rsidR="007E384C" w:rsidRPr="00511CB7">
        <w:rPr>
          <w:rFonts w:ascii="Arial" w:hAnsi="Arial" w:cs="Arial"/>
          <w:sz w:val="24"/>
          <w:szCs w:val="24"/>
        </w:rPr>
        <w:t xml:space="preserve">Cliffe and Cliffe Woods </w:t>
      </w:r>
      <w:r w:rsidRPr="00511CB7">
        <w:rPr>
          <w:rFonts w:ascii="Arial" w:hAnsi="Arial" w:cs="Arial"/>
          <w:sz w:val="24"/>
          <w:szCs w:val="24"/>
        </w:rPr>
        <w:t>NP meets the basic conditions, improving precision for accurate</w:t>
      </w:r>
      <w:r w:rsidR="00C53C74" w:rsidRPr="00511CB7">
        <w:rPr>
          <w:rFonts w:ascii="Arial" w:hAnsi="Arial" w:cs="Arial"/>
          <w:sz w:val="24"/>
          <w:szCs w:val="24"/>
        </w:rPr>
        <w:t xml:space="preserve"> i</w:t>
      </w:r>
      <w:r w:rsidRPr="00511CB7">
        <w:rPr>
          <w:rFonts w:ascii="Arial" w:hAnsi="Arial" w:cs="Arial"/>
          <w:sz w:val="24"/>
          <w:szCs w:val="24"/>
        </w:rPr>
        <w:t>nterpretation of the Plan, and making necessary minor edits to the Plan.</w:t>
      </w:r>
    </w:p>
    <w:p w14:paraId="06B38331" w14:textId="61EBE284" w:rsidR="00A906E6" w:rsidRPr="00511CB7" w:rsidRDefault="00A906E6" w:rsidP="00392686">
      <w:pPr>
        <w:pStyle w:val="ListParagraph"/>
        <w:numPr>
          <w:ilvl w:val="0"/>
          <w:numId w:val="3"/>
        </w:numPr>
        <w:ind w:left="720"/>
        <w:rPr>
          <w:rFonts w:ascii="Arial" w:hAnsi="Arial" w:cs="Arial"/>
          <w:sz w:val="24"/>
          <w:szCs w:val="24"/>
        </w:rPr>
      </w:pPr>
      <w:r w:rsidRPr="00511CB7">
        <w:rPr>
          <w:rFonts w:ascii="Arial" w:hAnsi="Arial" w:cs="Arial"/>
          <w:sz w:val="24"/>
          <w:szCs w:val="24"/>
        </w:rPr>
        <w:t xml:space="preserve">The </w:t>
      </w:r>
      <w:r w:rsidR="007E384C" w:rsidRPr="00511CB7">
        <w:rPr>
          <w:rFonts w:ascii="Arial" w:hAnsi="Arial" w:cs="Arial"/>
          <w:sz w:val="24"/>
          <w:szCs w:val="24"/>
        </w:rPr>
        <w:t xml:space="preserve">Cliffe and Cliffe Woods </w:t>
      </w:r>
      <w:r w:rsidRPr="00511CB7">
        <w:rPr>
          <w:rFonts w:ascii="Arial" w:hAnsi="Arial" w:cs="Arial"/>
          <w:sz w:val="24"/>
          <w:szCs w:val="24"/>
        </w:rPr>
        <w:t>NP, incorporating all the recommended modifications and consequential modifications, should proceed to referendum as the Plan:</w:t>
      </w:r>
    </w:p>
    <w:p w14:paraId="7508D42D" w14:textId="1DE696F1"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meets the basic conditions in paragraph 8(2) of Schedule 4B to the Town and Country Planning Act 1990 (as amended);</w:t>
      </w:r>
    </w:p>
    <w:p w14:paraId="700EF9C5" w14:textId="2B509CAF"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is compatible with Convention Rights (the European Convention on Human Rights) and complies with the Human Rights Act 1998;</w:t>
      </w:r>
    </w:p>
    <w:p w14:paraId="15B859F1" w14:textId="5961D9C7"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is compliant with the provision made by or under sections 38A and 38B of the Planning and Compulsory Purchase Act 2004.</w:t>
      </w:r>
    </w:p>
    <w:p w14:paraId="4C7BA719" w14:textId="552054FD" w:rsidR="00A906E6" w:rsidRPr="00511CB7" w:rsidRDefault="00A906E6" w:rsidP="00392686">
      <w:pPr>
        <w:pStyle w:val="ListParagraph"/>
        <w:numPr>
          <w:ilvl w:val="0"/>
          <w:numId w:val="5"/>
        </w:numPr>
        <w:ind w:left="720"/>
        <w:rPr>
          <w:rFonts w:ascii="Arial" w:hAnsi="Arial" w:cs="Arial"/>
          <w:sz w:val="24"/>
          <w:szCs w:val="24"/>
        </w:rPr>
      </w:pPr>
      <w:r w:rsidRPr="00511CB7">
        <w:rPr>
          <w:rFonts w:ascii="Arial" w:hAnsi="Arial" w:cs="Arial"/>
          <w:sz w:val="24"/>
          <w:szCs w:val="24"/>
        </w:rPr>
        <w:t>The recommended modifications will not have significant environmental effects. A</w:t>
      </w:r>
      <w:r w:rsidR="00C53C74" w:rsidRPr="00511CB7">
        <w:rPr>
          <w:rFonts w:ascii="Arial" w:hAnsi="Arial" w:cs="Arial"/>
          <w:sz w:val="24"/>
          <w:szCs w:val="24"/>
        </w:rPr>
        <w:t xml:space="preserve"> </w:t>
      </w:r>
      <w:r w:rsidRPr="00511CB7">
        <w:rPr>
          <w:rFonts w:ascii="Arial" w:hAnsi="Arial" w:cs="Arial"/>
          <w:sz w:val="24"/>
          <w:szCs w:val="24"/>
        </w:rPr>
        <w:t xml:space="preserve">Strategic Environmental Assessment was not required for the </w:t>
      </w:r>
      <w:r w:rsidR="000F1B2C" w:rsidRPr="00511CB7">
        <w:rPr>
          <w:rFonts w:ascii="Arial" w:hAnsi="Arial" w:cs="Arial"/>
          <w:sz w:val="24"/>
          <w:szCs w:val="24"/>
        </w:rPr>
        <w:t xml:space="preserve">Cliffe and Cliffe Woods </w:t>
      </w:r>
      <w:r w:rsidRPr="00511CB7">
        <w:rPr>
          <w:rFonts w:ascii="Arial" w:hAnsi="Arial" w:cs="Arial"/>
          <w:sz w:val="24"/>
          <w:szCs w:val="24"/>
        </w:rPr>
        <w:t>NP.</w:t>
      </w:r>
    </w:p>
    <w:p w14:paraId="58115BEE" w14:textId="1CF5D7EC" w:rsidR="00A906E6" w:rsidRPr="00511CB7" w:rsidRDefault="00A906E6" w:rsidP="00392686">
      <w:pPr>
        <w:pStyle w:val="ListParagraph"/>
        <w:numPr>
          <w:ilvl w:val="0"/>
          <w:numId w:val="5"/>
        </w:numPr>
        <w:ind w:left="720"/>
        <w:rPr>
          <w:rFonts w:ascii="Arial" w:hAnsi="Arial" w:cs="Arial"/>
          <w:sz w:val="24"/>
          <w:szCs w:val="24"/>
        </w:rPr>
      </w:pPr>
      <w:r w:rsidRPr="00511CB7">
        <w:rPr>
          <w:rFonts w:ascii="Arial" w:hAnsi="Arial" w:cs="Arial"/>
          <w:sz w:val="24"/>
          <w:szCs w:val="24"/>
        </w:rPr>
        <w:t xml:space="preserve">It agrees with the Examiner’s recommendation to proceed to a referendum based on the </w:t>
      </w:r>
      <w:r w:rsidR="000F1B2C" w:rsidRPr="00511CB7">
        <w:rPr>
          <w:rFonts w:ascii="Arial" w:hAnsi="Arial" w:cs="Arial"/>
          <w:sz w:val="24"/>
          <w:szCs w:val="24"/>
        </w:rPr>
        <w:t xml:space="preserve">Cliffe and Cliffe Woods </w:t>
      </w:r>
      <w:r w:rsidRPr="00511CB7">
        <w:rPr>
          <w:rFonts w:ascii="Arial" w:hAnsi="Arial" w:cs="Arial"/>
          <w:sz w:val="24"/>
          <w:szCs w:val="24"/>
        </w:rPr>
        <w:t xml:space="preserve">Neighbourhood Area as approved by the </w:t>
      </w:r>
      <w:r w:rsidR="00C53C74" w:rsidRPr="00511CB7">
        <w:rPr>
          <w:rFonts w:ascii="Arial" w:hAnsi="Arial" w:cs="Arial"/>
          <w:sz w:val="24"/>
          <w:szCs w:val="24"/>
        </w:rPr>
        <w:t>C</w:t>
      </w:r>
      <w:r w:rsidRPr="00511CB7">
        <w:rPr>
          <w:rFonts w:ascii="Arial" w:hAnsi="Arial" w:cs="Arial"/>
          <w:sz w:val="24"/>
          <w:szCs w:val="24"/>
        </w:rPr>
        <w:t>ouncil.</w:t>
      </w:r>
    </w:p>
    <w:p w14:paraId="0BC64FA3" w14:textId="32056420" w:rsidR="00A906E6" w:rsidRPr="00511CB7" w:rsidRDefault="00A906E6" w:rsidP="00392686">
      <w:pPr>
        <w:ind w:left="709" w:hanging="709"/>
        <w:rPr>
          <w:rFonts w:ascii="Arial" w:hAnsi="Arial" w:cs="Arial"/>
          <w:sz w:val="24"/>
          <w:szCs w:val="24"/>
        </w:rPr>
      </w:pPr>
      <w:r w:rsidRPr="00511CB7">
        <w:rPr>
          <w:rFonts w:ascii="Arial" w:hAnsi="Arial" w:cs="Arial"/>
          <w:sz w:val="24"/>
          <w:szCs w:val="24"/>
        </w:rPr>
        <w:t xml:space="preserve">3.2 </w:t>
      </w:r>
      <w:r w:rsidR="00511CB7">
        <w:rPr>
          <w:rFonts w:ascii="Arial" w:hAnsi="Arial" w:cs="Arial"/>
          <w:sz w:val="24"/>
          <w:szCs w:val="24"/>
        </w:rPr>
        <w:tab/>
      </w:r>
      <w:r w:rsidRPr="00511CB7">
        <w:rPr>
          <w:rFonts w:ascii="Arial" w:hAnsi="Arial" w:cs="Arial"/>
          <w:sz w:val="24"/>
          <w:szCs w:val="24"/>
        </w:rPr>
        <w:t>This decision has been made in accordance with the relevant legislation, guidance and advice and in response to the recommendations made in the Examiner’s Report.</w:t>
      </w:r>
    </w:p>
    <w:p w14:paraId="73A44032" w14:textId="3CB56521" w:rsidR="005062A8" w:rsidRDefault="00A906E6" w:rsidP="00392686">
      <w:pPr>
        <w:ind w:left="709" w:hanging="709"/>
        <w:rPr>
          <w:rFonts w:ascii="Arial" w:hAnsi="Arial" w:cs="Arial"/>
          <w:sz w:val="24"/>
          <w:szCs w:val="24"/>
        </w:rPr>
      </w:pPr>
      <w:r w:rsidRPr="00511CB7">
        <w:rPr>
          <w:rFonts w:ascii="Arial" w:hAnsi="Arial" w:cs="Arial"/>
          <w:sz w:val="24"/>
          <w:szCs w:val="24"/>
        </w:rPr>
        <w:t xml:space="preserve">3.3 </w:t>
      </w:r>
      <w:r w:rsidR="00511CB7">
        <w:rPr>
          <w:rFonts w:ascii="Arial" w:hAnsi="Arial" w:cs="Arial"/>
          <w:sz w:val="24"/>
          <w:szCs w:val="24"/>
        </w:rPr>
        <w:tab/>
      </w:r>
      <w:r w:rsidRPr="00511CB7">
        <w:rPr>
          <w:rFonts w:ascii="Arial" w:hAnsi="Arial" w:cs="Arial"/>
          <w:sz w:val="24"/>
          <w:szCs w:val="24"/>
        </w:rPr>
        <w:t xml:space="preserve">Not less than 28 days before the date of the referendum the </w:t>
      </w:r>
      <w:r w:rsidR="000F1B2C" w:rsidRPr="00511CB7">
        <w:rPr>
          <w:rFonts w:ascii="Arial" w:hAnsi="Arial" w:cs="Arial"/>
          <w:sz w:val="24"/>
          <w:szCs w:val="24"/>
        </w:rPr>
        <w:t>C</w:t>
      </w:r>
      <w:r w:rsidRPr="00511CB7">
        <w:rPr>
          <w:rFonts w:ascii="Arial" w:hAnsi="Arial" w:cs="Arial"/>
          <w:sz w:val="24"/>
          <w:szCs w:val="24"/>
        </w:rPr>
        <w:t>ouncil must</w:t>
      </w:r>
      <w:r w:rsidR="000F1B2C" w:rsidRPr="00511CB7">
        <w:rPr>
          <w:rFonts w:ascii="Arial" w:hAnsi="Arial" w:cs="Arial"/>
          <w:sz w:val="24"/>
          <w:szCs w:val="24"/>
        </w:rPr>
        <w:t xml:space="preserve"> </w:t>
      </w:r>
      <w:r w:rsidRPr="00511CB7">
        <w:rPr>
          <w:rFonts w:ascii="Arial" w:hAnsi="Arial" w:cs="Arial"/>
          <w:sz w:val="24"/>
          <w:szCs w:val="24"/>
        </w:rPr>
        <w:t xml:space="preserve">publish on </w:t>
      </w:r>
      <w:r w:rsidR="000F1B2C" w:rsidRPr="00511CB7">
        <w:rPr>
          <w:rFonts w:ascii="Arial" w:hAnsi="Arial" w:cs="Arial"/>
          <w:sz w:val="24"/>
          <w:szCs w:val="24"/>
        </w:rPr>
        <w:t xml:space="preserve">its </w:t>
      </w:r>
      <w:r w:rsidRPr="00511CB7">
        <w:rPr>
          <w:rFonts w:ascii="Arial" w:hAnsi="Arial" w:cs="Arial"/>
          <w:sz w:val="24"/>
          <w:szCs w:val="24"/>
        </w:rPr>
        <w:t xml:space="preserve">website and make available an information statement and specified documents (which will include the </w:t>
      </w:r>
      <w:r w:rsidR="000F1B2C" w:rsidRPr="00511CB7">
        <w:rPr>
          <w:rFonts w:ascii="Arial" w:hAnsi="Arial" w:cs="Arial"/>
          <w:sz w:val="24"/>
          <w:szCs w:val="24"/>
        </w:rPr>
        <w:t xml:space="preserve">Cliffe and Cliffe Woods </w:t>
      </w:r>
      <w:r w:rsidRPr="00511CB7">
        <w:rPr>
          <w:rFonts w:ascii="Arial" w:hAnsi="Arial" w:cs="Arial"/>
          <w:sz w:val="24"/>
          <w:szCs w:val="24"/>
        </w:rPr>
        <w:t>NP, as revised in light of the Examiner</w:t>
      </w:r>
      <w:r w:rsidR="000F1B2C" w:rsidRPr="00511CB7">
        <w:rPr>
          <w:rFonts w:ascii="Arial" w:hAnsi="Arial" w:cs="Arial"/>
          <w:sz w:val="24"/>
          <w:szCs w:val="24"/>
        </w:rPr>
        <w:t>’</w:t>
      </w:r>
      <w:r w:rsidRPr="00511CB7">
        <w:rPr>
          <w:rFonts w:ascii="Arial" w:hAnsi="Arial" w:cs="Arial"/>
          <w:sz w:val="24"/>
          <w:szCs w:val="24"/>
        </w:rPr>
        <w:t xml:space="preserve">s recommendations). These documents will be made available during the referendum period for inspection including at the </w:t>
      </w:r>
      <w:r w:rsidR="000F1B2C" w:rsidRPr="00511CB7">
        <w:rPr>
          <w:rFonts w:ascii="Arial" w:hAnsi="Arial" w:cs="Arial"/>
          <w:sz w:val="24"/>
          <w:szCs w:val="24"/>
        </w:rPr>
        <w:t>C</w:t>
      </w:r>
      <w:r w:rsidRPr="00511CB7">
        <w:rPr>
          <w:rFonts w:ascii="Arial" w:hAnsi="Arial" w:cs="Arial"/>
          <w:sz w:val="24"/>
          <w:szCs w:val="24"/>
        </w:rPr>
        <w:t xml:space="preserve">ouncil’s </w:t>
      </w:r>
      <w:r w:rsidR="000F1B2C" w:rsidRPr="00511CB7">
        <w:rPr>
          <w:rFonts w:ascii="Arial" w:hAnsi="Arial" w:cs="Arial"/>
          <w:sz w:val="24"/>
          <w:szCs w:val="24"/>
        </w:rPr>
        <w:t>o</w:t>
      </w:r>
      <w:r w:rsidRPr="00511CB7">
        <w:rPr>
          <w:rFonts w:ascii="Arial" w:hAnsi="Arial" w:cs="Arial"/>
          <w:sz w:val="24"/>
          <w:szCs w:val="24"/>
        </w:rPr>
        <w:t>ffices</w:t>
      </w:r>
      <w:r w:rsidR="000F1B2C" w:rsidRPr="00511CB7">
        <w:rPr>
          <w:rFonts w:ascii="Arial" w:hAnsi="Arial" w:cs="Arial"/>
          <w:sz w:val="24"/>
          <w:szCs w:val="24"/>
        </w:rPr>
        <w:t xml:space="preserve"> at Gun Wharf.</w:t>
      </w:r>
    </w:p>
    <w:p w14:paraId="15F57ABB" w14:textId="05722650" w:rsidR="002336F0" w:rsidRDefault="002336F0" w:rsidP="00392686">
      <w:pPr>
        <w:ind w:left="709" w:hanging="709"/>
        <w:rPr>
          <w:rFonts w:ascii="Arial" w:hAnsi="Arial" w:cs="Arial"/>
          <w:sz w:val="24"/>
          <w:szCs w:val="24"/>
        </w:rPr>
      </w:pPr>
    </w:p>
    <w:p w14:paraId="07347E64" w14:textId="03E18611" w:rsidR="002336F0" w:rsidRDefault="002336F0" w:rsidP="00392686">
      <w:pPr>
        <w:ind w:left="709" w:hanging="709"/>
        <w:rPr>
          <w:rFonts w:ascii="Arial" w:hAnsi="Arial" w:cs="Arial"/>
          <w:sz w:val="24"/>
          <w:szCs w:val="24"/>
        </w:rPr>
      </w:pPr>
    </w:p>
    <w:p w14:paraId="14FDDD9C" w14:textId="6A2B5C65" w:rsidR="002336F0" w:rsidRDefault="002336F0" w:rsidP="00D43D3C">
      <w:pPr>
        <w:rPr>
          <w:rFonts w:ascii="Arial" w:hAnsi="Arial" w:cs="Arial"/>
          <w:sz w:val="24"/>
          <w:szCs w:val="24"/>
        </w:rPr>
      </w:pPr>
    </w:p>
    <w:p w14:paraId="21BE7C1F" w14:textId="23AC7F6A" w:rsidR="002336F0" w:rsidRDefault="002336F0" w:rsidP="00D43D3C">
      <w:pPr>
        <w:rPr>
          <w:rFonts w:ascii="Arial" w:hAnsi="Arial" w:cs="Arial"/>
          <w:sz w:val="24"/>
          <w:szCs w:val="24"/>
        </w:rPr>
      </w:pPr>
    </w:p>
    <w:p w14:paraId="5EEC0F51" w14:textId="77777777" w:rsidR="00D43D3C" w:rsidRDefault="00D43D3C" w:rsidP="002336F0">
      <w:pPr>
        <w:rPr>
          <w:rFonts w:ascii="Arial" w:hAnsi="Arial" w:cs="Arial"/>
          <w:sz w:val="24"/>
          <w:szCs w:val="24"/>
        </w:rPr>
        <w:sectPr w:rsidR="00D43D3C" w:rsidSect="00D43D3C">
          <w:pgSz w:w="11906" w:h="16838"/>
          <w:pgMar w:top="567" w:right="1440" w:bottom="567" w:left="1440" w:header="709" w:footer="709" w:gutter="0"/>
          <w:cols w:space="708"/>
          <w:docGrid w:linePitch="360"/>
        </w:sectPr>
      </w:pPr>
    </w:p>
    <w:p w14:paraId="5000D950" w14:textId="77777777" w:rsidR="002336F0" w:rsidRDefault="002336F0" w:rsidP="002336F0">
      <w:pPr>
        <w:rPr>
          <w:rFonts w:ascii="Arial" w:hAnsi="Arial" w:cs="Arial"/>
          <w:sz w:val="24"/>
          <w:szCs w:val="24"/>
        </w:rPr>
      </w:pPr>
    </w:p>
    <w:p w14:paraId="28468396" w14:textId="203FF0AD" w:rsidR="002336F0" w:rsidRDefault="002336F0" w:rsidP="002336F0">
      <w:r>
        <w:t>Schedule of Modifications to the Cliffe and Cliffe Woods Neighbourhood Plan</w:t>
      </w:r>
    </w:p>
    <w:p w14:paraId="3432D00F" w14:textId="77777777" w:rsidR="002336F0" w:rsidRDefault="002336F0" w:rsidP="002336F0">
      <w:r>
        <w:t>Appendix 1: Modifications in line with the Examiner’s recommendations and in consent with Medway Council (changes ordered as per Examiner’s report)</w:t>
      </w:r>
    </w:p>
    <w:p w14:paraId="1C649CA1" w14:textId="77777777" w:rsidR="002336F0" w:rsidRDefault="002336F0" w:rsidP="002336F0"/>
    <w:tbl>
      <w:tblPr>
        <w:tblStyle w:val="TableGrid"/>
        <w:tblW w:w="14783" w:type="dxa"/>
        <w:tblLook w:val="04A0" w:firstRow="1" w:lastRow="0" w:firstColumn="1" w:lastColumn="0" w:noHBand="0" w:noVBand="1"/>
      </w:tblPr>
      <w:tblGrid>
        <w:gridCol w:w="2956"/>
        <w:gridCol w:w="2956"/>
        <w:gridCol w:w="2957"/>
        <w:gridCol w:w="2957"/>
        <w:gridCol w:w="2957"/>
      </w:tblGrid>
      <w:tr w:rsidR="002336F0" w14:paraId="65F2D65E" w14:textId="77777777" w:rsidTr="00391233">
        <w:trPr>
          <w:trHeight w:val="144"/>
        </w:trPr>
        <w:tc>
          <w:tcPr>
            <w:tcW w:w="2956" w:type="dxa"/>
          </w:tcPr>
          <w:p w14:paraId="5AD98369" w14:textId="77777777" w:rsidR="002336F0" w:rsidRDefault="002336F0" w:rsidP="00391233">
            <w:r>
              <w:t>Change Reference</w:t>
            </w:r>
          </w:p>
        </w:tc>
        <w:tc>
          <w:tcPr>
            <w:tcW w:w="2956" w:type="dxa"/>
          </w:tcPr>
          <w:p w14:paraId="65933274" w14:textId="77777777" w:rsidR="002336F0" w:rsidRDefault="002336F0" w:rsidP="00391233">
            <w:r>
              <w:t>Policy/Paragraph</w:t>
            </w:r>
          </w:p>
        </w:tc>
        <w:tc>
          <w:tcPr>
            <w:tcW w:w="2957" w:type="dxa"/>
          </w:tcPr>
          <w:p w14:paraId="5B0367C7" w14:textId="77777777" w:rsidR="002336F0" w:rsidRDefault="002336F0" w:rsidP="00391233">
            <w:r>
              <w:t>Page in Submission Neighbourhood Plan</w:t>
            </w:r>
          </w:p>
        </w:tc>
        <w:tc>
          <w:tcPr>
            <w:tcW w:w="2957" w:type="dxa"/>
          </w:tcPr>
          <w:p w14:paraId="2CB11CC1" w14:textId="77777777" w:rsidR="002336F0" w:rsidRDefault="002336F0" w:rsidP="00391233">
            <w:r>
              <w:t>Description of Modification</w:t>
            </w:r>
          </w:p>
        </w:tc>
        <w:tc>
          <w:tcPr>
            <w:tcW w:w="2957" w:type="dxa"/>
          </w:tcPr>
          <w:p w14:paraId="21A8DB53" w14:textId="77777777" w:rsidR="002336F0" w:rsidRDefault="002336F0" w:rsidP="00391233">
            <w:r>
              <w:t>Explanation of modification</w:t>
            </w:r>
          </w:p>
        </w:tc>
      </w:tr>
      <w:tr w:rsidR="002336F0" w14:paraId="2F3EBD89" w14:textId="77777777" w:rsidTr="00391233">
        <w:trPr>
          <w:trHeight w:val="144"/>
        </w:trPr>
        <w:tc>
          <w:tcPr>
            <w:tcW w:w="2956" w:type="dxa"/>
          </w:tcPr>
          <w:p w14:paraId="3016BE79" w14:textId="77777777" w:rsidR="002336F0" w:rsidRDefault="002336F0" w:rsidP="00391233">
            <w:r>
              <w:t>CCW1</w:t>
            </w:r>
          </w:p>
        </w:tc>
        <w:tc>
          <w:tcPr>
            <w:tcW w:w="2956" w:type="dxa"/>
          </w:tcPr>
          <w:p w14:paraId="7395F821" w14:textId="77777777" w:rsidR="002336F0" w:rsidRDefault="002336F0" w:rsidP="00391233">
            <w:r>
              <w:t>General</w:t>
            </w:r>
          </w:p>
        </w:tc>
        <w:tc>
          <w:tcPr>
            <w:tcW w:w="2957" w:type="dxa"/>
          </w:tcPr>
          <w:p w14:paraId="5B5CF177" w14:textId="77777777" w:rsidR="002336F0" w:rsidRDefault="002336F0" w:rsidP="00391233">
            <w:r>
              <w:t>Throughout</w:t>
            </w:r>
          </w:p>
        </w:tc>
        <w:tc>
          <w:tcPr>
            <w:tcW w:w="2957" w:type="dxa"/>
          </w:tcPr>
          <w:p w14:paraId="17A8363A" w14:textId="77777777" w:rsidR="002336F0" w:rsidRDefault="002336F0" w:rsidP="00391233">
            <w:r>
              <w:t>The plan period should be specified on the front cover, on the header throughout the document and an additional paragraph at the end of page 3</w:t>
            </w:r>
          </w:p>
        </w:tc>
        <w:tc>
          <w:tcPr>
            <w:tcW w:w="2957" w:type="dxa"/>
          </w:tcPr>
          <w:p w14:paraId="2B351A4D" w14:textId="77777777" w:rsidR="002336F0" w:rsidRDefault="002336F0" w:rsidP="00391233">
            <w:r>
              <w:t>Minor editing matter</w:t>
            </w:r>
          </w:p>
        </w:tc>
      </w:tr>
      <w:tr w:rsidR="002336F0" w14:paraId="563C0C62" w14:textId="77777777" w:rsidTr="00391233">
        <w:trPr>
          <w:trHeight w:val="144"/>
        </w:trPr>
        <w:tc>
          <w:tcPr>
            <w:tcW w:w="2956" w:type="dxa"/>
          </w:tcPr>
          <w:p w14:paraId="14FA0824" w14:textId="77777777" w:rsidR="002336F0" w:rsidRDefault="002336F0" w:rsidP="00391233">
            <w:r>
              <w:t>CCW2</w:t>
            </w:r>
          </w:p>
        </w:tc>
        <w:tc>
          <w:tcPr>
            <w:tcW w:w="2956" w:type="dxa"/>
          </w:tcPr>
          <w:p w14:paraId="5716F89C" w14:textId="77777777" w:rsidR="002336F0" w:rsidRDefault="002336F0" w:rsidP="00391233">
            <w:r>
              <w:t>Local Plan</w:t>
            </w:r>
          </w:p>
        </w:tc>
        <w:tc>
          <w:tcPr>
            <w:tcW w:w="2957" w:type="dxa"/>
          </w:tcPr>
          <w:p w14:paraId="274C66F8" w14:textId="77777777" w:rsidR="002336F0" w:rsidRDefault="002336F0" w:rsidP="00391233">
            <w:r>
              <w:t>3</w:t>
            </w:r>
          </w:p>
        </w:tc>
        <w:tc>
          <w:tcPr>
            <w:tcW w:w="2957" w:type="dxa"/>
          </w:tcPr>
          <w:p w14:paraId="417FF8E1" w14:textId="5CEE7024" w:rsidR="002336F0" w:rsidRPr="00D43D3C" w:rsidRDefault="002336F0" w:rsidP="00D43D3C">
            <w:pPr>
              <w:jc w:val="both"/>
              <w:rPr>
                <w:rFonts w:cstheme="minorHAnsi"/>
              </w:rPr>
            </w:pPr>
            <w:r>
              <w:rPr>
                <w:rFonts w:cstheme="minorHAnsi"/>
              </w:rPr>
              <w:t>T</w:t>
            </w:r>
            <w:r w:rsidRPr="00E0324F">
              <w:rPr>
                <w:rFonts w:cstheme="minorHAnsi"/>
              </w:rPr>
              <w:t>ext should be updated in accordance with the L</w:t>
            </w:r>
            <w:r>
              <w:rPr>
                <w:rFonts w:cstheme="minorHAnsi"/>
              </w:rPr>
              <w:t>ocal Development Scheme</w:t>
            </w:r>
            <w:r w:rsidRPr="00E0324F">
              <w:rPr>
                <w:rFonts w:cstheme="minorHAnsi"/>
              </w:rPr>
              <w:t xml:space="preserve"> October 2022</w:t>
            </w:r>
            <w:r>
              <w:rPr>
                <w:rFonts w:cstheme="minorHAnsi"/>
              </w:rPr>
              <w:t xml:space="preserve"> to reflect the current position of the emerging local plan</w:t>
            </w:r>
          </w:p>
        </w:tc>
        <w:tc>
          <w:tcPr>
            <w:tcW w:w="2957" w:type="dxa"/>
          </w:tcPr>
          <w:p w14:paraId="657BB783" w14:textId="77777777" w:rsidR="002336F0" w:rsidRDefault="002336F0" w:rsidP="00391233">
            <w:r>
              <w:t>Minor editing matter</w:t>
            </w:r>
          </w:p>
        </w:tc>
      </w:tr>
      <w:tr w:rsidR="002336F0" w14:paraId="5DCD663E" w14:textId="77777777" w:rsidTr="00391233">
        <w:trPr>
          <w:trHeight w:val="144"/>
        </w:trPr>
        <w:tc>
          <w:tcPr>
            <w:tcW w:w="2956" w:type="dxa"/>
          </w:tcPr>
          <w:p w14:paraId="58B3E5BD" w14:textId="77777777" w:rsidR="002336F0" w:rsidRDefault="002336F0" w:rsidP="00391233">
            <w:r>
              <w:t>CCW3</w:t>
            </w:r>
          </w:p>
        </w:tc>
        <w:tc>
          <w:tcPr>
            <w:tcW w:w="2956" w:type="dxa"/>
          </w:tcPr>
          <w:p w14:paraId="08817136" w14:textId="77777777" w:rsidR="002336F0" w:rsidRDefault="002336F0" w:rsidP="00391233">
            <w:r>
              <w:t>Parish statistics</w:t>
            </w:r>
          </w:p>
        </w:tc>
        <w:tc>
          <w:tcPr>
            <w:tcW w:w="2957" w:type="dxa"/>
          </w:tcPr>
          <w:p w14:paraId="68E0C728" w14:textId="77777777" w:rsidR="002336F0" w:rsidRDefault="002336F0" w:rsidP="00391233">
            <w:r>
              <w:t>5</w:t>
            </w:r>
          </w:p>
        </w:tc>
        <w:tc>
          <w:tcPr>
            <w:tcW w:w="2957" w:type="dxa"/>
          </w:tcPr>
          <w:p w14:paraId="12453F9F" w14:textId="77777777" w:rsidR="002336F0" w:rsidRDefault="002336F0" w:rsidP="00D43D3C">
            <w:pPr>
              <w:jc w:val="both"/>
            </w:pPr>
            <w:r>
              <w:rPr>
                <w:rFonts w:cstheme="minorHAnsi"/>
              </w:rPr>
              <w:t>R</w:t>
            </w:r>
            <w:r w:rsidRPr="00E0324F">
              <w:rPr>
                <w:rFonts w:cstheme="minorHAnsi"/>
              </w:rPr>
              <w:t xml:space="preserve">eview of </w:t>
            </w:r>
            <w:r>
              <w:rPr>
                <w:rFonts w:cstheme="minorHAnsi"/>
              </w:rPr>
              <w:t>Census data to reflect Census 2021 where appropriate</w:t>
            </w:r>
          </w:p>
        </w:tc>
        <w:tc>
          <w:tcPr>
            <w:tcW w:w="2957" w:type="dxa"/>
          </w:tcPr>
          <w:p w14:paraId="05A6746E" w14:textId="77777777" w:rsidR="002336F0" w:rsidRDefault="002336F0" w:rsidP="00391233">
            <w:r>
              <w:t>Minor editing matter</w:t>
            </w:r>
          </w:p>
        </w:tc>
      </w:tr>
      <w:tr w:rsidR="002336F0" w14:paraId="28E9012A" w14:textId="77777777" w:rsidTr="00391233">
        <w:trPr>
          <w:trHeight w:val="144"/>
        </w:trPr>
        <w:tc>
          <w:tcPr>
            <w:tcW w:w="2956" w:type="dxa"/>
          </w:tcPr>
          <w:p w14:paraId="2BD840E6" w14:textId="77777777" w:rsidR="002336F0" w:rsidRDefault="002336F0" w:rsidP="00391233">
            <w:r>
              <w:t>CCW4</w:t>
            </w:r>
          </w:p>
        </w:tc>
        <w:tc>
          <w:tcPr>
            <w:tcW w:w="2956" w:type="dxa"/>
          </w:tcPr>
          <w:p w14:paraId="223E925F" w14:textId="77777777" w:rsidR="002336F0" w:rsidRDefault="002336F0" w:rsidP="00391233">
            <w:r>
              <w:t>General</w:t>
            </w:r>
          </w:p>
        </w:tc>
        <w:tc>
          <w:tcPr>
            <w:tcW w:w="2957" w:type="dxa"/>
          </w:tcPr>
          <w:p w14:paraId="5581FFAE" w14:textId="77777777" w:rsidR="002336F0" w:rsidRDefault="002336F0" w:rsidP="00391233">
            <w:r>
              <w:t>6</w:t>
            </w:r>
          </w:p>
        </w:tc>
        <w:tc>
          <w:tcPr>
            <w:tcW w:w="2957" w:type="dxa"/>
          </w:tcPr>
          <w:p w14:paraId="201C0D36" w14:textId="21148552" w:rsidR="002336F0" w:rsidRPr="00D43D3C" w:rsidRDefault="002336F0" w:rsidP="00D43D3C">
            <w:pPr>
              <w:jc w:val="both"/>
              <w:rPr>
                <w:rFonts w:cstheme="minorHAnsi"/>
              </w:rPr>
            </w:pPr>
            <w:r w:rsidRPr="00E0324F">
              <w:rPr>
                <w:rFonts w:cstheme="minorHAnsi"/>
              </w:rPr>
              <w:t>Medway</w:t>
            </w:r>
            <w:r>
              <w:rPr>
                <w:rFonts w:cstheme="minorHAnsi"/>
              </w:rPr>
              <w:t xml:space="preserve"> </w:t>
            </w:r>
            <w:r w:rsidRPr="00E0324F">
              <w:rPr>
                <w:rFonts w:cstheme="minorHAnsi"/>
              </w:rPr>
              <w:t xml:space="preserve">Council January 2017 Infrastructure Position Statement is now likely to </w:t>
            </w:r>
            <w:r>
              <w:rPr>
                <w:rFonts w:cstheme="minorHAnsi"/>
              </w:rPr>
              <w:t xml:space="preserve">be </w:t>
            </w:r>
            <w:r w:rsidRPr="00E0324F">
              <w:rPr>
                <w:rFonts w:cstheme="minorHAnsi"/>
              </w:rPr>
              <w:t>updated an</w:t>
            </w:r>
            <w:r>
              <w:rPr>
                <w:rFonts w:cstheme="minorHAnsi"/>
              </w:rPr>
              <w:t xml:space="preserve">d should be reviewed. </w:t>
            </w:r>
            <w:r w:rsidRPr="00E0324F">
              <w:rPr>
                <w:rFonts w:cstheme="minorHAnsi"/>
              </w:rPr>
              <w:t xml:space="preserve">This may require a considerable number of changes throughout the NP. </w:t>
            </w:r>
          </w:p>
        </w:tc>
        <w:tc>
          <w:tcPr>
            <w:tcW w:w="2957" w:type="dxa"/>
          </w:tcPr>
          <w:p w14:paraId="6F339506" w14:textId="77777777" w:rsidR="002336F0" w:rsidRDefault="002336F0" w:rsidP="00391233">
            <w:r>
              <w:t>Minor editing matter</w:t>
            </w:r>
          </w:p>
        </w:tc>
      </w:tr>
      <w:tr w:rsidR="002336F0" w14:paraId="06C41413" w14:textId="77777777" w:rsidTr="00391233">
        <w:trPr>
          <w:trHeight w:val="144"/>
        </w:trPr>
        <w:tc>
          <w:tcPr>
            <w:tcW w:w="2956" w:type="dxa"/>
          </w:tcPr>
          <w:p w14:paraId="0DDE7703" w14:textId="77777777" w:rsidR="002336F0" w:rsidRDefault="002336F0" w:rsidP="00391233">
            <w:r>
              <w:t>CCW5</w:t>
            </w:r>
          </w:p>
        </w:tc>
        <w:tc>
          <w:tcPr>
            <w:tcW w:w="2956" w:type="dxa"/>
          </w:tcPr>
          <w:p w14:paraId="2A885DE5" w14:textId="77777777" w:rsidR="002336F0" w:rsidRDefault="002336F0" w:rsidP="00391233">
            <w:r>
              <w:t>General</w:t>
            </w:r>
          </w:p>
        </w:tc>
        <w:tc>
          <w:tcPr>
            <w:tcW w:w="2957" w:type="dxa"/>
          </w:tcPr>
          <w:p w14:paraId="4C86EFAF" w14:textId="77777777" w:rsidR="002336F0" w:rsidRDefault="002336F0" w:rsidP="00391233">
            <w:r>
              <w:t>Throughout</w:t>
            </w:r>
          </w:p>
        </w:tc>
        <w:tc>
          <w:tcPr>
            <w:tcW w:w="2957" w:type="dxa"/>
          </w:tcPr>
          <w:p w14:paraId="6FA5F014" w14:textId="77777777" w:rsidR="002336F0" w:rsidRDefault="002336F0" w:rsidP="00391233">
            <w:r>
              <w:t>Referenced to the NPPF (2019) need to be updated and refer to the current version dated 2021</w:t>
            </w:r>
          </w:p>
        </w:tc>
        <w:tc>
          <w:tcPr>
            <w:tcW w:w="2957" w:type="dxa"/>
          </w:tcPr>
          <w:p w14:paraId="4BF8117F" w14:textId="77777777" w:rsidR="002336F0" w:rsidRDefault="002336F0" w:rsidP="00391233">
            <w:r>
              <w:t>Minor editing matter</w:t>
            </w:r>
          </w:p>
        </w:tc>
      </w:tr>
    </w:tbl>
    <w:p w14:paraId="39FB103A" w14:textId="77777777" w:rsidR="00D43D3C" w:rsidRDefault="00D43D3C">
      <w:r>
        <w:br w:type="page"/>
      </w:r>
    </w:p>
    <w:tbl>
      <w:tblPr>
        <w:tblStyle w:val="TableGrid"/>
        <w:tblW w:w="14783" w:type="dxa"/>
        <w:tblLook w:val="04A0" w:firstRow="1" w:lastRow="0" w:firstColumn="1" w:lastColumn="0" w:noHBand="0" w:noVBand="1"/>
      </w:tblPr>
      <w:tblGrid>
        <w:gridCol w:w="2956"/>
        <w:gridCol w:w="2956"/>
        <w:gridCol w:w="2957"/>
        <w:gridCol w:w="2957"/>
        <w:gridCol w:w="2957"/>
      </w:tblGrid>
      <w:tr w:rsidR="002336F0" w14:paraId="0F9509C7" w14:textId="77777777" w:rsidTr="00391233">
        <w:trPr>
          <w:trHeight w:val="144"/>
        </w:trPr>
        <w:tc>
          <w:tcPr>
            <w:tcW w:w="2956" w:type="dxa"/>
          </w:tcPr>
          <w:p w14:paraId="2B42D5B3" w14:textId="42510A0B" w:rsidR="002336F0" w:rsidRDefault="002336F0" w:rsidP="00391233">
            <w:r>
              <w:t>CCW6</w:t>
            </w:r>
          </w:p>
        </w:tc>
        <w:tc>
          <w:tcPr>
            <w:tcW w:w="2956" w:type="dxa"/>
          </w:tcPr>
          <w:p w14:paraId="3E0D01BA" w14:textId="77777777" w:rsidR="002336F0" w:rsidRDefault="002336F0" w:rsidP="00391233">
            <w:r>
              <w:t>Policy SUSDEV3</w:t>
            </w:r>
          </w:p>
        </w:tc>
        <w:tc>
          <w:tcPr>
            <w:tcW w:w="2957" w:type="dxa"/>
          </w:tcPr>
          <w:p w14:paraId="14082446" w14:textId="77777777" w:rsidR="002336F0" w:rsidRDefault="002336F0" w:rsidP="00391233">
            <w:r>
              <w:t>13</w:t>
            </w:r>
          </w:p>
        </w:tc>
        <w:tc>
          <w:tcPr>
            <w:tcW w:w="2957" w:type="dxa"/>
          </w:tcPr>
          <w:p w14:paraId="176453E5" w14:textId="77777777" w:rsidR="002336F0" w:rsidRDefault="002336F0" w:rsidP="00391233">
            <w:r>
              <w:t>Delete paragraph to accord with national policy and guidance:</w:t>
            </w:r>
          </w:p>
          <w:p w14:paraId="7EF33016" w14:textId="77777777" w:rsidR="002336F0" w:rsidRDefault="002336F0" w:rsidP="00391233"/>
          <w:p w14:paraId="5288A929" w14:textId="77777777" w:rsidR="002336F0" w:rsidRDefault="002336F0" w:rsidP="00391233">
            <w:r>
              <w:t>Changes of use will need to be justified with evidence of their non-viability and demonstrate that every effort has been made to market them in their current use.</w:t>
            </w:r>
          </w:p>
        </w:tc>
        <w:tc>
          <w:tcPr>
            <w:tcW w:w="2957" w:type="dxa"/>
          </w:tcPr>
          <w:p w14:paraId="5FCE7CC2" w14:textId="77777777" w:rsidR="002336F0" w:rsidRDefault="002336F0" w:rsidP="00391233">
            <w:r>
              <w:t>To meet basic conditions</w:t>
            </w:r>
          </w:p>
        </w:tc>
      </w:tr>
      <w:tr w:rsidR="002336F0" w14:paraId="3BFB2E00" w14:textId="77777777" w:rsidTr="00391233">
        <w:trPr>
          <w:trHeight w:val="144"/>
        </w:trPr>
        <w:tc>
          <w:tcPr>
            <w:tcW w:w="2956" w:type="dxa"/>
          </w:tcPr>
          <w:p w14:paraId="63A4CEF6" w14:textId="77777777" w:rsidR="002336F0" w:rsidRDefault="002336F0" w:rsidP="00391233">
            <w:r>
              <w:t>CCW7</w:t>
            </w:r>
          </w:p>
        </w:tc>
        <w:tc>
          <w:tcPr>
            <w:tcW w:w="2956" w:type="dxa"/>
          </w:tcPr>
          <w:p w14:paraId="44A4B1FF" w14:textId="77777777" w:rsidR="002336F0" w:rsidRDefault="002336F0" w:rsidP="00391233">
            <w:r w:rsidRPr="00E0324F">
              <w:rPr>
                <w:rFonts w:cstheme="minorHAnsi"/>
              </w:rPr>
              <w:t>Policy SUSDEV4</w:t>
            </w:r>
          </w:p>
        </w:tc>
        <w:tc>
          <w:tcPr>
            <w:tcW w:w="2957" w:type="dxa"/>
          </w:tcPr>
          <w:p w14:paraId="7D4D5C6C" w14:textId="77777777" w:rsidR="002336F0" w:rsidRDefault="002336F0" w:rsidP="00391233">
            <w:r>
              <w:t>14</w:t>
            </w:r>
          </w:p>
        </w:tc>
        <w:tc>
          <w:tcPr>
            <w:tcW w:w="2957" w:type="dxa"/>
          </w:tcPr>
          <w:p w14:paraId="1BDFA4CE" w14:textId="77777777" w:rsidR="002336F0" w:rsidRDefault="002336F0" w:rsidP="00391233">
            <w:pPr>
              <w:rPr>
                <w:rFonts w:cstheme="minorHAnsi"/>
              </w:rPr>
            </w:pPr>
            <w:r>
              <w:rPr>
                <w:rFonts w:cstheme="minorHAnsi"/>
              </w:rPr>
              <w:t>R</w:t>
            </w:r>
            <w:r w:rsidRPr="00E0324F">
              <w:rPr>
                <w:rFonts w:cstheme="minorHAnsi"/>
              </w:rPr>
              <w:t>eference in line 1 of the Policy to “Greenfield site land” should be deleted and replaced by “greenfield land”.</w:t>
            </w:r>
          </w:p>
          <w:p w14:paraId="6DC23931" w14:textId="77777777" w:rsidR="002336F0" w:rsidRDefault="002336F0" w:rsidP="00391233"/>
          <w:p w14:paraId="4F18FC25" w14:textId="77777777" w:rsidR="002336F0" w:rsidRDefault="002336F0" w:rsidP="00391233">
            <w:r>
              <w:rPr>
                <w:rFonts w:cstheme="minorHAnsi"/>
              </w:rPr>
              <w:t>F</w:t>
            </w:r>
            <w:r w:rsidRPr="00E0324F">
              <w:rPr>
                <w:rFonts w:cstheme="minorHAnsi"/>
              </w:rPr>
              <w:t>irst paragraph of the supporting text, the three references to “its” should be replaced by “their”.</w:t>
            </w:r>
          </w:p>
        </w:tc>
        <w:tc>
          <w:tcPr>
            <w:tcW w:w="2957" w:type="dxa"/>
          </w:tcPr>
          <w:p w14:paraId="0C8DEE49" w14:textId="77777777" w:rsidR="002336F0" w:rsidRDefault="002336F0" w:rsidP="00391233">
            <w:r>
              <w:t>Minor editing matter</w:t>
            </w:r>
          </w:p>
        </w:tc>
      </w:tr>
      <w:tr w:rsidR="002336F0" w14:paraId="209739C7" w14:textId="77777777" w:rsidTr="00391233">
        <w:trPr>
          <w:trHeight w:val="144"/>
        </w:trPr>
        <w:tc>
          <w:tcPr>
            <w:tcW w:w="2956" w:type="dxa"/>
          </w:tcPr>
          <w:p w14:paraId="2E209AC8" w14:textId="77777777" w:rsidR="002336F0" w:rsidRDefault="002336F0" w:rsidP="00391233">
            <w:r>
              <w:t>CCW8</w:t>
            </w:r>
          </w:p>
        </w:tc>
        <w:tc>
          <w:tcPr>
            <w:tcW w:w="2956" w:type="dxa"/>
          </w:tcPr>
          <w:p w14:paraId="33DEA9E6" w14:textId="77777777" w:rsidR="002336F0" w:rsidRPr="00E0324F" w:rsidRDefault="002336F0" w:rsidP="00391233">
            <w:pPr>
              <w:rPr>
                <w:rFonts w:cstheme="minorHAnsi"/>
              </w:rPr>
            </w:pPr>
            <w:r w:rsidRPr="00E0324F">
              <w:rPr>
                <w:rFonts w:cstheme="minorHAnsi"/>
              </w:rPr>
              <w:t>Policy SUSDEV5</w:t>
            </w:r>
          </w:p>
        </w:tc>
        <w:tc>
          <w:tcPr>
            <w:tcW w:w="2957" w:type="dxa"/>
          </w:tcPr>
          <w:p w14:paraId="00289BB9" w14:textId="77777777" w:rsidR="002336F0" w:rsidRDefault="002336F0" w:rsidP="00391233">
            <w:r>
              <w:t>15</w:t>
            </w:r>
          </w:p>
        </w:tc>
        <w:tc>
          <w:tcPr>
            <w:tcW w:w="2957" w:type="dxa"/>
          </w:tcPr>
          <w:p w14:paraId="30EAC068" w14:textId="77777777" w:rsidR="002336F0" w:rsidRDefault="002336F0" w:rsidP="00391233">
            <w:pPr>
              <w:rPr>
                <w:rFonts w:cstheme="minorHAnsi"/>
              </w:rPr>
            </w:pPr>
            <w:r>
              <w:rPr>
                <w:rFonts w:cstheme="minorHAnsi"/>
              </w:rPr>
              <w:t xml:space="preserve">In line 2, </w:t>
            </w:r>
            <w:r w:rsidRPr="00E0324F">
              <w:rPr>
                <w:rFonts w:cstheme="minorHAnsi"/>
              </w:rPr>
              <w:t>after “infrastructure sufficiency” “(including green infrastructure)”</w:t>
            </w:r>
            <w:r>
              <w:rPr>
                <w:rFonts w:cstheme="minorHAnsi"/>
              </w:rPr>
              <w:t>, should</w:t>
            </w:r>
            <w:r w:rsidRPr="00E0324F">
              <w:rPr>
                <w:rFonts w:cstheme="minorHAnsi"/>
              </w:rPr>
              <w:t xml:space="preserve"> be added to accord with national policy and guidance.</w:t>
            </w:r>
          </w:p>
        </w:tc>
        <w:tc>
          <w:tcPr>
            <w:tcW w:w="2957" w:type="dxa"/>
          </w:tcPr>
          <w:p w14:paraId="38E4121A" w14:textId="77777777" w:rsidR="002336F0" w:rsidRDefault="002336F0" w:rsidP="00391233">
            <w:r>
              <w:t>To meet basic conditions</w:t>
            </w:r>
          </w:p>
        </w:tc>
      </w:tr>
      <w:tr w:rsidR="002336F0" w14:paraId="7F4A2066" w14:textId="77777777" w:rsidTr="00391233">
        <w:trPr>
          <w:trHeight w:val="144"/>
        </w:trPr>
        <w:tc>
          <w:tcPr>
            <w:tcW w:w="2956" w:type="dxa"/>
          </w:tcPr>
          <w:p w14:paraId="649041F6" w14:textId="77777777" w:rsidR="002336F0" w:rsidRDefault="002336F0" w:rsidP="00391233">
            <w:r>
              <w:t>CCW9</w:t>
            </w:r>
          </w:p>
        </w:tc>
        <w:tc>
          <w:tcPr>
            <w:tcW w:w="2956" w:type="dxa"/>
          </w:tcPr>
          <w:p w14:paraId="0D3F5CD4" w14:textId="77777777" w:rsidR="002336F0" w:rsidRPr="00E0324F" w:rsidRDefault="002336F0" w:rsidP="00391233">
            <w:pPr>
              <w:rPr>
                <w:rFonts w:cstheme="minorHAnsi"/>
              </w:rPr>
            </w:pPr>
            <w:r>
              <w:rPr>
                <w:rFonts w:cstheme="minorHAnsi"/>
              </w:rPr>
              <w:t>Evidence base</w:t>
            </w:r>
          </w:p>
        </w:tc>
        <w:tc>
          <w:tcPr>
            <w:tcW w:w="2957" w:type="dxa"/>
          </w:tcPr>
          <w:p w14:paraId="52D8D80D" w14:textId="77777777" w:rsidR="002336F0" w:rsidRDefault="002336F0" w:rsidP="00391233">
            <w:r>
              <w:t>17</w:t>
            </w:r>
          </w:p>
        </w:tc>
        <w:tc>
          <w:tcPr>
            <w:tcW w:w="2957" w:type="dxa"/>
          </w:tcPr>
          <w:p w14:paraId="63E55CE9" w14:textId="77777777" w:rsidR="002336F0" w:rsidRDefault="002336F0" w:rsidP="00391233">
            <w:pPr>
              <w:rPr>
                <w:rFonts w:cstheme="minorHAnsi"/>
              </w:rPr>
            </w:pPr>
            <w:r>
              <w:rPr>
                <w:rFonts w:cstheme="minorHAnsi"/>
              </w:rPr>
              <w:t>F</w:t>
            </w:r>
            <w:r w:rsidRPr="00E0324F">
              <w:rPr>
                <w:rFonts w:cstheme="minorHAnsi"/>
              </w:rPr>
              <w:t xml:space="preserve">irst paragraph, </w:t>
            </w:r>
            <w:r>
              <w:rPr>
                <w:rFonts w:cstheme="minorHAnsi"/>
              </w:rPr>
              <w:t>update to</w:t>
            </w:r>
            <w:r w:rsidRPr="00E0324F">
              <w:rPr>
                <w:rFonts w:cstheme="minorHAnsi"/>
              </w:rPr>
              <w:t xml:space="preserve"> latest data on planning applications should be substituted. </w:t>
            </w:r>
            <w:r>
              <w:rPr>
                <w:rFonts w:cstheme="minorHAnsi"/>
              </w:rPr>
              <w:t>Update all references in second paragraph and last two paragraphs</w:t>
            </w:r>
          </w:p>
        </w:tc>
        <w:tc>
          <w:tcPr>
            <w:tcW w:w="2957" w:type="dxa"/>
          </w:tcPr>
          <w:p w14:paraId="712A4FF3" w14:textId="77777777" w:rsidR="002336F0" w:rsidRDefault="002336F0" w:rsidP="00391233">
            <w:r>
              <w:t>Minor editing matter</w:t>
            </w:r>
          </w:p>
        </w:tc>
      </w:tr>
      <w:tr w:rsidR="002336F0" w14:paraId="7E817C76" w14:textId="77777777" w:rsidTr="00391233">
        <w:trPr>
          <w:trHeight w:val="144"/>
        </w:trPr>
        <w:tc>
          <w:tcPr>
            <w:tcW w:w="2956" w:type="dxa"/>
          </w:tcPr>
          <w:p w14:paraId="59C9E476" w14:textId="77777777" w:rsidR="002336F0" w:rsidRDefault="002336F0" w:rsidP="00391233">
            <w:r>
              <w:t>CCW10</w:t>
            </w:r>
          </w:p>
        </w:tc>
        <w:tc>
          <w:tcPr>
            <w:tcW w:w="2956" w:type="dxa"/>
          </w:tcPr>
          <w:p w14:paraId="314E6300" w14:textId="77777777" w:rsidR="002336F0" w:rsidRPr="00E0324F" w:rsidRDefault="002336F0" w:rsidP="00391233">
            <w:pPr>
              <w:rPr>
                <w:rFonts w:cstheme="minorHAnsi"/>
              </w:rPr>
            </w:pPr>
            <w:r>
              <w:rPr>
                <w:rFonts w:cstheme="minorHAnsi"/>
              </w:rPr>
              <w:t>Evidence base</w:t>
            </w:r>
          </w:p>
        </w:tc>
        <w:tc>
          <w:tcPr>
            <w:tcW w:w="2957" w:type="dxa"/>
          </w:tcPr>
          <w:p w14:paraId="2738D290" w14:textId="77777777" w:rsidR="002336F0" w:rsidRDefault="002336F0" w:rsidP="00391233">
            <w:r>
              <w:t>18</w:t>
            </w:r>
          </w:p>
        </w:tc>
        <w:tc>
          <w:tcPr>
            <w:tcW w:w="2957" w:type="dxa"/>
          </w:tcPr>
          <w:p w14:paraId="49F2B6CD" w14:textId="77777777" w:rsidR="002336F0" w:rsidRDefault="002336F0" w:rsidP="00391233">
            <w:pPr>
              <w:rPr>
                <w:rFonts w:cstheme="minorHAnsi"/>
              </w:rPr>
            </w:pPr>
            <w:r>
              <w:rPr>
                <w:rFonts w:cstheme="minorHAnsi"/>
              </w:rPr>
              <w:t>Update to Housing Needs Survey</w:t>
            </w:r>
          </w:p>
        </w:tc>
        <w:tc>
          <w:tcPr>
            <w:tcW w:w="2957" w:type="dxa"/>
          </w:tcPr>
          <w:p w14:paraId="7F5BC42A" w14:textId="77777777" w:rsidR="002336F0" w:rsidRDefault="002336F0" w:rsidP="00391233">
            <w:r>
              <w:t>Minor editing matter</w:t>
            </w:r>
          </w:p>
        </w:tc>
      </w:tr>
      <w:tr w:rsidR="002336F0" w14:paraId="6EAF2284" w14:textId="77777777" w:rsidTr="00391233">
        <w:trPr>
          <w:trHeight w:val="144"/>
        </w:trPr>
        <w:tc>
          <w:tcPr>
            <w:tcW w:w="2956" w:type="dxa"/>
          </w:tcPr>
          <w:p w14:paraId="4890A8C9" w14:textId="77777777" w:rsidR="002336F0" w:rsidRDefault="002336F0" w:rsidP="00391233">
            <w:r>
              <w:t>CCW11</w:t>
            </w:r>
          </w:p>
        </w:tc>
        <w:tc>
          <w:tcPr>
            <w:tcW w:w="2956" w:type="dxa"/>
          </w:tcPr>
          <w:p w14:paraId="70A812D7" w14:textId="77777777" w:rsidR="002336F0" w:rsidRPr="00E0324F" w:rsidRDefault="002336F0" w:rsidP="00391233">
            <w:pPr>
              <w:rPr>
                <w:rFonts w:cstheme="minorHAnsi"/>
              </w:rPr>
            </w:pPr>
            <w:r>
              <w:rPr>
                <w:rFonts w:cstheme="minorHAnsi"/>
              </w:rPr>
              <w:t>Policy H1</w:t>
            </w:r>
          </w:p>
        </w:tc>
        <w:tc>
          <w:tcPr>
            <w:tcW w:w="2957" w:type="dxa"/>
          </w:tcPr>
          <w:p w14:paraId="7AE7AA8D" w14:textId="77777777" w:rsidR="002336F0" w:rsidRDefault="002336F0" w:rsidP="00391233">
            <w:r>
              <w:t>18</w:t>
            </w:r>
          </w:p>
        </w:tc>
        <w:tc>
          <w:tcPr>
            <w:tcW w:w="2957" w:type="dxa"/>
          </w:tcPr>
          <w:p w14:paraId="2486EB85" w14:textId="77777777" w:rsidR="002336F0" w:rsidRDefault="002336F0" w:rsidP="00391233">
            <w:pPr>
              <w:rPr>
                <w:rFonts w:cstheme="minorHAnsi"/>
              </w:rPr>
            </w:pPr>
            <w:r>
              <w:rPr>
                <w:rFonts w:cstheme="minorHAnsi"/>
              </w:rPr>
              <w:t>M</w:t>
            </w:r>
            <w:r w:rsidRPr="00E0324F">
              <w:rPr>
                <w:rFonts w:cstheme="minorHAnsi"/>
              </w:rPr>
              <w:t>ixed uses should be “expected” or “encouraged” rather than “requested”</w:t>
            </w:r>
          </w:p>
        </w:tc>
        <w:tc>
          <w:tcPr>
            <w:tcW w:w="2957" w:type="dxa"/>
          </w:tcPr>
          <w:p w14:paraId="67061060" w14:textId="77777777" w:rsidR="002336F0" w:rsidRDefault="002336F0" w:rsidP="00391233">
            <w:r>
              <w:t>Minor editing matter</w:t>
            </w:r>
          </w:p>
        </w:tc>
      </w:tr>
    </w:tbl>
    <w:p w14:paraId="7603E797" w14:textId="77777777" w:rsidR="00D43D3C" w:rsidRDefault="00D43D3C">
      <w:r>
        <w:br w:type="page"/>
      </w:r>
    </w:p>
    <w:tbl>
      <w:tblPr>
        <w:tblStyle w:val="TableGrid"/>
        <w:tblW w:w="14783" w:type="dxa"/>
        <w:tblLook w:val="04A0" w:firstRow="1" w:lastRow="0" w:firstColumn="1" w:lastColumn="0" w:noHBand="0" w:noVBand="1"/>
      </w:tblPr>
      <w:tblGrid>
        <w:gridCol w:w="2956"/>
        <w:gridCol w:w="2956"/>
        <w:gridCol w:w="2957"/>
        <w:gridCol w:w="2957"/>
        <w:gridCol w:w="2957"/>
      </w:tblGrid>
      <w:tr w:rsidR="002336F0" w14:paraId="138A3A96" w14:textId="77777777" w:rsidTr="00391233">
        <w:trPr>
          <w:trHeight w:val="144"/>
        </w:trPr>
        <w:tc>
          <w:tcPr>
            <w:tcW w:w="2956" w:type="dxa"/>
          </w:tcPr>
          <w:p w14:paraId="4FCC1485" w14:textId="6FAA5ECE" w:rsidR="002336F0" w:rsidRDefault="002336F0" w:rsidP="00391233">
            <w:r>
              <w:t>CCW12</w:t>
            </w:r>
          </w:p>
        </w:tc>
        <w:tc>
          <w:tcPr>
            <w:tcW w:w="2956" w:type="dxa"/>
          </w:tcPr>
          <w:p w14:paraId="633C01D0" w14:textId="77777777" w:rsidR="002336F0" w:rsidRPr="00E0324F" w:rsidRDefault="002336F0" w:rsidP="00391233">
            <w:pPr>
              <w:rPr>
                <w:rFonts w:cstheme="minorHAnsi"/>
              </w:rPr>
            </w:pPr>
            <w:r>
              <w:rPr>
                <w:rFonts w:cstheme="minorHAnsi"/>
              </w:rPr>
              <w:t>Policy H2</w:t>
            </w:r>
          </w:p>
        </w:tc>
        <w:tc>
          <w:tcPr>
            <w:tcW w:w="2957" w:type="dxa"/>
          </w:tcPr>
          <w:p w14:paraId="101E7E0E" w14:textId="77777777" w:rsidR="002336F0" w:rsidRDefault="002336F0" w:rsidP="00391233">
            <w:r>
              <w:t>18</w:t>
            </w:r>
          </w:p>
        </w:tc>
        <w:tc>
          <w:tcPr>
            <w:tcW w:w="2957" w:type="dxa"/>
          </w:tcPr>
          <w:p w14:paraId="7CD68B5D" w14:textId="77777777" w:rsidR="002336F0" w:rsidRDefault="002336F0" w:rsidP="00391233">
            <w:pPr>
              <w:rPr>
                <w:rFonts w:cstheme="minorHAnsi"/>
              </w:rPr>
            </w:pPr>
            <w:r>
              <w:rPr>
                <w:rFonts w:cstheme="minorHAnsi"/>
              </w:rPr>
              <w:t>A</w:t>
            </w:r>
            <w:r w:rsidRPr="00E0324F">
              <w:rPr>
                <w:rFonts w:cstheme="minorHAnsi"/>
              </w:rPr>
              <w:t xml:space="preserve">ddition at the end of the Policy </w:t>
            </w:r>
            <w:r>
              <w:rPr>
                <w:rFonts w:cstheme="minorHAnsi"/>
              </w:rPr>
              <w:t>as follows:</w:t>
            </w:r>
            <w:r w:rsidRPr="00E0324F">
              <w:rPr>
                <w:rFonts w:cstheme="minorHAnsi"/>
              </w:rPr>
              <w:t xml:space="preserve"> </w:t>
            </w:r>
            <w:r w:rsidRPr="00E0324F">
              <w:rPr>
                <w:rFonts w:cstheme="minorHAnsi"/>
                <w:i/>
              </w:rPr>
              <w:t>Providing they will not result in impact to designated nature conservation sites</w:t>
            </w:r>
            <w:r w:rsidRPr="00E0324F">
              <w:rPr>
                <w:rFonts w:cstheme="minorHAnsi"/>
              </w:rPr>
              <w:t>. This is to accord with legal requirements and national policy and guidance relating to European sites.</w:t>
            </w:r>
          </w:p>
        </w:tc>
        <w:tc>
          <w:tcPr>
            <w:tcW w:w="2957" w:type="dxa"/>
          </w:tcPr>
          <w:p w14:paraId="4DAD7C66" w14:textId="77777777" w:rsidR="002336F0" w:rsidRDefault="002336F0" w:rsidP="00391233">
            <w:r>
              <w:t>To meet basic conditions</w:t>
            </w:r>
          </w:p>
        </w:tc>
      </w:tr>
      <w:tr w:rsidR="002336F0" w14:paraId="3409C4DB" w14:textId="77777777" w:rsidTr="00391233">
        <w:trPr>
          <w:trHeight w:val="144"/>
        </w:trPr>
        <w:tc>
          <w:tcPr>
            <w:tcW w:w="2956" w:type="dxa"/>
          </w:tcPr>
          <w:p w14:paraId="38F644B0" w14:textId="77777777" w:rsidR="002336F0" w:rsidRDefault="002336F0" w:rsidP="00391233">
            <w:r>
              <w:t>CCW13</w:t>
            </w:r>
          </w:p>
        </w:tc>
        <w:tc>
          <w:tcPr>
            <w:tcW w:w="2956" w:type="dxa"/>
          </w:tcPr>
          <w:p w14:paraId="5AB5F69E" w14:textId="77777777" w:rsidR="002336F0" w:rsidRPr="00E0324F" w:rsidRDefault="002336F0" w:rsidP="00391233">
            <w:pPr>
              <w:rPr>
                <w:rFonts w:cstheme="minorHAnsi"/>
              </w:rPr>
            </w:pPr>
            <w:r>
              <w:rPr>
                <w:rFonts w:cstheme="minorHAnsi"/>
              </w:rPr>
              <w:t>Evidence base</w:t>
            </w:r>
          </w:p>
        </w:tc>
        <w:tc>
          <w:tcPr>
            <w:tcW w:w="2957" w:type="dxa"/>
          </w:tcPr>
          <w:p w14:paraId="11C2EDB5" w14:textId="77777777" w:rsidR="002336F0" w:rsidRDefault="002336F0" w:rsidP="00391233">
            <w:r>
              <w:t>22, 24, 25, 26</w:t>
            </w:r>
          </w:p>
        </w:tc>
        <w:tc>
          <w:tcPr>
            <w:tcW w:w="2957" w:type="dxa"/>
          </w:tcPr>
          <w:p w14:paraId="7E25F837" w14:textId="77777777" w:rsidR="002336F0" w:rsidRDefault="002336F0" w:rsidP="00391233">
            <w:pPr>
              <w:rPr>
                <w:rFonts w:cstheme="minorHAnsi"/>
              </w:rPr>
            </w:pPr>
            <w:r>
              <w:rPr>
                <w:rFonts w:cstheme="minorHAnsi"/>
              </w:rPr>
              <w:t>Update evidence base documents</w:t>
            </w:r>
          </w:p>
        </w:tc>
        <w:tc>
          <w:tcPr>
            <w:tcW w:w="2957" w:type="dxa"/>
          </w:tcPr>
          <w:p w14:paraId="11B0506B" w14:textId="77777777" w:rsidR="002336F0" w:rsidRDefault="002336F0" w:rsidP="00391233">
            <w:r>
              <w:t>Minor editing matter</w:t>
            </w:r>
          </w:p>
        </w:tc>
      </w:tr>
      <w:tr w:rsidR="002336F0" w14:paraId="3D07D4BF" w14:textId="77777777" w:rsidTr="00391233">
        <w:trPr>
          <w:trHeight w:val="144"/>
        </w:trPr>
        <w:tc>
          <w:tcPr>
            <w:tcW w:w="2956" w:type="dxa"/>
          </w:tcPr>
          <w:p w14:paraId="75D1D0EF" w14:textId="77777777" w:rsidR="002336F0" w:rsidRDefault="002336F0" w:rsidP="00391233">
            <w:r>
              <w:t>CCW14</w:t>
            </w:r>
          </w:p>
        </w:tc>
        <w:tc>
          <w:tcPr>
            <w:tcW w:w="2956" w:type="dxa"/>
          </w:tcPr>
          <w:p w14:paraId="0D4956B1" w14:textId="77777777" w:rsidR="002336F0" w:rsidRPr="00E0324F" w:rsidRDefault="002336F0" w:rsidP="00391233">
            <w:pPr>
              <w:rPr>
                <w:rFonts w:cstheme="minorHAnsi"/>
              </w:rPr>
            </w:pPr>
            <w:r>
              <w:rPr>
                <w:rFonts w:cstheme="minorHAnsi"/>
              </w:rPr>
              <w:t>Policy CF1</w:t>
            </w:r>
          </w:p>
        </w:tc>
        <w:tc>
          <w:tcPr>
            <w:tcW w:w="2957" w:type="dxa"/>
          </w:tcPr>
          <w:p w14:paraId="518F6D23" w14:textId="77777777" w:rsidR="002336F0" w:rsidRDefault="002336F0" w:rsidP="00391233">
            <w:r>
              <w:t>27</w:t>
            </w:r>
          </w:p>
        </w:tc>
        <w:tc>
          <w:tcPr>
            <w:tcW w:w="2957" w:type="dxa"/>
          </w:tcPr>
          <w:p w14:paraId="065AB155" w14:textId="77777777" w:rsidR="002336F0" w:rsidRPr="00585436" w:rsidRDefault="002336F0" w:rsidP="00D43D3C">
            <w:pPr>
              <w:rPr>
                <w:rFonts w:cstheme="minorHAnsi"/>
              </w:rPr>
            </w:pPr>
            <w:r>
              <w:rPr>
                <w:rFonts w:cstheme="minorHAnsi"/>
              </w:rPr>
              <w:t>T</w:t>
            </w:r>
            <w:r w:rsidRPr="00585436">
              <w:rPr>
                <w:rFonts w:cstheme="minorHAnsi"/>
              </w:rPr>
              <w:t>he three maps should be titled CF1;</w:t>
            </w:r>
          </w:p>
          <w:p w14:paraId="6051C6A5" w14:textId="77777777" w:rsidR="002336F0" w:rsidRPr="00585436" w:rsidRDefault="002336F0" w:rsidP="00D43D3C">
            <w:pPr>
              <w:rPr>
                <w:rFonts w:cstheme="minorHAnsi"/>
              </w:rPr>
            </w:pPr>
            <w:r>
              <w:rPr>
                <w:rFonts w:cstheme="minorHAnsi"/>
              </w:rPr>
              <w:t>Th</w:t>
            </w:r>
            <w:r w:rsidRPr="00585436">
              <w:rPr>
                <w:rFonts w:cstheme="minorHAnsi"/>
              </w:rPr>
              <w:t>e map on page 29  to</w:t>
            </w:r>
            <w:r>
              <w:rPr>
                <w:rFonts w:cstheme="minorHAnsi"/>
              </w:rPr>
              <w:t xml:space="preserve"> 29</w:t>
            </w:r>
            <w:r w:rsidRPr="00585436">
              <w:rPr>
                <w:rFonts w:cstheme="minorHAnsi"/>
              </w:rPr>
              <w:t xml:space="preserve"> show</w:t>
            </w:r>
            <w:r>
              <w:rPr>
                <w:rFonts w:cstheme="minorHAnsi"/>
              </w:rPr>
              <w:t xml:space="preserve">ing </w:t>
            </w:r>
            <w:r w:rsidRPr="00585436">
              <w:rPr>
                <w:rFonts w:cstheme="minorHAnsi"/>
              </w:rPr>
              <w:t>local shops/cafes outside the plan area</w:t>
            </w:r>
            <w:r>
              <w:rPr>
                <w:rFonts w:cstheme="minorHAnsi"/>
              </w:rPr>
              <w:t xml:space="preserve"> </w:t>
            </w:r>
            <w:r w:rsidRPr="00585436">
              <w:rPr>
                <w:rFonts w:cstheme="minorHAnsi"/>
              </w:rPr>
              <w:t>should be deleted;</w:t>
            </w:r>
          </w:p>
          <w:p w14:paraId="3C3E8DB2" w14:textId="77777777" w:rsidR="002336F0" w:rsidRPr="0025406B" w:rsidRDefault="002336F0" w:rsidP="00D43D3C">
            <w:pPr>
              <w:rPr>
                <w:rFonts w:cstheme="minorHAnsi"/>
              </w:rPr>
            </w:pPr>
            <w:r>
              <w:rPr>
                <w:rFonts w:cstheme="minorHAnsi"/>
              </w:rPr>
              <w:t>T</w:t>
            </w:r>
            <w:r w:rsidRPr="0025406B">
              <w:rPr>
                <w:rFonts w:cstheme="minorHAnsi"/>
              </w:rPr>
              <w:t>he outdoor sports areas on page 30 are illegible.</w:t>
            </w:r>
          </w:p>
          <w:p w14:paraId="46CEB2C4" w14:textId="77777777" w:rsidR="002336F0" w:rsidRDefault="002336F0" w:rsidP="00391233">
            <w:pPr>
              <w:ind w:firstLine="720"/>
              <w:rPr>
                <w:rFonts w:cstheme="minorHAnsi"/>
              </w:rPr>
            </w:pPr>
          </w:p>
        </w:tc>
        <w:tc>
          <w:tcPr>
            <w:tcW w:w="2957" w:type="dxa"/>
          </w:tcPr>
          <w:p w14:paraId="02ACDF86" w14:textId="77777777" w:rsidR="002336F0" w:rsidRDefault="002336F0" w:rsidP="00391233">
            <w:r>
              <w:t>Minor editing matter</w:t>
            </w:r>
          </w:p>
        </w:tc>
      </w:tr>
      <w:tr w:rsidR="002336F0" w14:paraId="1D0A3267" w14:textId="77777777" w:rsidTr="00391233">
        <w:trPr>
          <w:trHeight w:val="144"/>
        </w:trPr>
        <w:tc>
          <w:tcPr>
            <w:tcW w:w="2956" w:type="dxa"/>
          </w:tcPr>
          <w:p w14:paraId="70797EA6" w14:textId="77777777" w:rsidR="002336F0" w:rsidRDefault="002336F0" w:rsidP="00391233">
            <w:r>
              <w:t>CCW15</w:t>
            </w:r>
          </w:p>
        </w:tc>
        <w:tc>
          <w:tcPr>
            <w:tcW w:w="2956" w:type="dxa"/>
          </w:tcPr>
          <w:p w14:paraId="7FFCA049" w14:textId="77777777" w:rsidR="002336F0" w:rsidRPr="00E0324F" w:rsidRDefault="002336F0" w:rsidP="00391233">
            <w:pPr>
              <w:rPr>
                <w:rFonts w:cstheme="minorHAnsi"/>
              </w:rPr>
            </w:pPr>
            <w:r>
              <w:rPr>
                <w:rFonts w:cstheme="minorHAnsi"/>
              </w:rPr>
              <w:t>Policy CF3</w:t>
            </w:r>
          </w:p>
        </w:tc>
        <w:tc>
          <w:tcPr>
            <w:tcW w:w="2957" w:type="dxa"/>
          </w:tcPr>
          <w:p w14:paraId="199E05A3" w14:textId="77777777" w:rsidR="002336F0" w:rsidRDefault="002336F0" w:rsidP="00391233">
            <w:r>
              <w:t>31</w:t>
            </w:r>
          </w:p>
        </w:tc>
        <w:tc>
          <w:tcPr>
            <w:tcW w:w="2957" w:type="dxa"/>
          </w:tcPr>
          <w:p w14:paraId="5E4AEE18" w14:textId="77777777" w:rsidR="002336F0" w:rsidRDefault="002336F0" w:rsidP="00391233">
            <w:pPr>
              <w:rPr>
                <w:rFonts w:cstheme="minorHAnsi"/>
              </w:rPr>
            </w:pPr>
            <w:r>
              <w:rPr>
                <w:rFonts w:cstheme="minorHAnsi"/>
              </w:rPr>
              <w:t>Duplication of policy CF1 so should be amalgamated or revised</w:t>
            </w:r>
          </w:p>
        </w:tc>
        <w:tc>
          <w:tcPr>
            <w:tcW w:w="2957" w:type="dxa"/>
          </w:tcPr>
          <w:p w14:paraId="7B9CEB2D" w14:textId="77777777" w:rsidR="002336F0" w:rsidRDefault="002336F0" w:rsidP="00391233">
            <w:r>
              <w:t>Minor editing matter</w:t>
            </w:r>
          </w:p>
          <w:p w14:paraId="4DF72318" w14:textId="77777777" w:rsidR="002336F0" w:rsidRPr="002C79C6" w:rsidRDefault="002336F0" w:rsidP="00391233">
            <w:pPr>
              <w:ind w:firstLine="720"/>
            </w:pPr>
          </w:p>
        </w:tc>
      </w:tr>
      <w:tr w:rsidR="002336F0" w14:paraId="26526C10" w14:textId="77777777" w:rsidTr="00391233">
        <w:trPr>
          <w:trHeight w:val="789"/>
        </w:trPr>
        <w:tc>
          <w:tcPr>
            <w:tcW w:w="2956" w:type="dxa"/>
          </w:tcPr>
          <w:p w14:paraId="2B3C555D" w14:textId="77777777" w:rsidR="002336F0" w:rsidRDefault="002336F0" w:rsidP="00391233">
            <w:r>
              <w:t>CCW16</w:t>
            </w:r>
          </w:p>
        </w:tc>
        <w:tc>
          <w:tcPr>
            <w:tcW w:w="2956" w:type="dxa"/>
          </w:tcPr>
          <w:p w14:paraId="44A39040" w14:textId="77777777" w:rsidR="002336F0" w:rsidRPr="00E0324F" w:rsidRDefault="002336F0" w:rsidP="00391233">
            <w:pPr>
              <w:rPr>
                <w:rFonts w:cstheme="minorHAnsi"/>
              </w:rPr>
            </w:pPr>
            <w:r>
              <w:rPr>
                <w:rFonts w:cstheme="minorHAnsi"/>
              </w:rPr>
              <w:t>Mapping</w:t>
            </w:r>
          </w:p>
        </w:tc>
        <w:tc>
          <w:tcPr>
            <w:tcW w:w="2957" w:type="dxa"/>
          </w:tcPr>
          <w:p w14:paraId="51E1BB52" w14:textId="77777777" w:rsidR="002336F0" w:rsidRDefault="002336F0" w:rsidP="00391233">
            <w:r>
              <w:t>39-40</w:t>
            </w:r>
          </w:p>
        </w:tc>
        <w:tc>
          <w:tcPr>
            <w:tcW w:w="2957" w:type="dxa"/>
          </w:tcPr>
          <w:p w14:paraId="5BDC0AFC" w14:textId="77777777" w:rsidR="002336F0" w:rsidRDefault="002336F0" w:rsidP="00391233">
            <w:pPr>
              <w:rPr>
                <w:rFonts w:cstheme="minorHAnsi"/>
              </w:rPr>
            </w:pPr>
            <w:r w:rsidRPr="00E0324F">
              <w:rPr>
                <w:rFonts w:cstheme="minorHAnsi"/>
              </w:rPr>
              <w:t>Public Open Space Maps - (page 39-40) be clarified</w:t>
            </w:r>
          </w:p>
          <w:p w14:paraId="239E495A" w14:textId="77777777" w:rsidR="002336F0" w:rsidRDefault="002336F0" w:rsidP="00391233">
            <w:pPr>
              <w:rPr>
                <w:rFonts w:cstheme="minorHAnsi"/>
              </w:rPr>
            </w:pPr>
          </w:p>
        </w:tc>
        <w:tc>
          <w:tcPr>
            <w:tcW w:w="2957" w:type="dxa"/>
          </w:tcPr>
          <w:p w14:paraId="0A70D971" w14:textId="77777777" w:rsidR="002336F0" w:rsidRDefault="002336F0" w:rsidP="00391233">
            <w:r>
              <w:t>Minor editing matter</w:t>
            </w:r>
          </w:p>
        </w:tc>
      </w:tr>
      <w:tr w:rsidR="002336F0" w14:paraId="08BA8CE0" w14:textId="77777777" w:rsidTr="00391233">
        <w:trPr>
          <w:trHeight w:val="144"/>
        </w:trPr>
        <w:tc>
          <w:tcPr>
            <w:tcW w:w="2956" w:type="dxa"/>
          </w:tcPr>
          <w:p w14:paraId="43087B80" w14:textId="77777777" w:rsidR="002336F0" w:rsidRDefault="002336F0" w:rsidP="00391233">
            <w:r>
              <w:t>CCW17</w:t>
            </w:r>
          </w:p>
        </w:tc>
        <w:tc>
          <w:tcPr>
            <w:tcW w:w="2956" w:type="dxa"/>
          </w:tcPr>
          <w:p w14:paraId="3776C799" w14:textId="77777777" w:rsidR="002336F0" w:rsidRPr="00E0324F" w:rsidRDefault="002336F0" w:rsidP="00391233">
            <w:pPr>
              <w:rPr>
                <w:rFonts w:cstheme="minorHAnsi"/>
              </w:rPr>
            </w:pPr>
            <w:r>
              <w:rPr>
                <w:rFonts w:cstheme="minorHAnsi"/>
              </w:rPr>
              <w:t>Policy E and H2</w:t>
            </w:r>
          </w:p>
        </w:tc>
        <w:tc>
          <w:tcPr>
            <w:tcW w:w="2957" w:type="dxa"/>
          </w:tcPr>
          <w:p w14:paraId="62D41A36" w14:textId="77777777" w:rsidR="002336F0" w:rsidRDefault="002336F0" w:rsidP="00391233">
            <w:r>
              <w:t>41</w:t>
            </w:r>
          </w:p>
        </w:tc>
        <w:tc>
          <w:tcPr>
            <w:tcW w:w="2957" w:type="dxa"/>
          </w:tcPr>
          <w:p w14:paraId="7DFE7D74" w14:textId="77777777" w:rsidR="002336F0" w:rsidRDefault="002336F0" w:rsidP="00391233">
            <w:pPr>
              <w:rPr>
                <w:rFonts w:cstheme="minorHAnsi"/>
              </w:rPr>
            </w:pPr>
            <w:r w:rsidRPr="00E0324F">
              <w:rPr>
                <w:rFonts w:cstheme="minorHAnsi"/>
              </w:rPr>
              <w:t>Policy E and H2:</w:t>
            </w:r>
            <w:r>
              <w:rPr>
                <w:rFonts w:cstheme="minorHAnsi"/>
              </w:rPr>
              <w:t xml:space="preserve"> </w:t>
            </w:r>
            <w:r w:rsidRPr="00E0324F">
              <w:rPr>
                <w:rFonts w:cstheme="minorHAnsi"/>
              </w:rPr>
              <w:t xml:space="preserve">relevant sentence in the Policy should be deleted and replaced by: </w:t>
            </w:r>
            <w:r w:rsidRPr="00E0324F">
              <w:rPr>
                <w:rFonts w:cstheme="minorHAnsi"/>
                <w:i/>
              </w:rPr>
              <w:t xml:space="preserve">Developments must </w:t>
            </w:r>
            <w:r w:rsidRPr="00E0324F">
              <w:rPr>
                <w:rFonts w:cstheme="minorHAnsi"/>
                <w:i/>
              </w:rPr>
              <w:lastRenderedPageBreak/>
              <w:t>demonstrate a measurable biodiversity net gain in alignment with the Environment Act 2021</w:t>
            </w:r>
            <w:r w:rsidRPr="00E0324F">
              <w:rPr>
                <w:rFonts w:cstheme="minorHAnsi"/>
              </w:rPr>
              <w:t>.</w:t>
            </w:r>
          </w:p>
        </w:tc>
        <w:tc>
          <w:tcPr>
            <w:tcW w:w="2957" w:type="dxa"/>
          </w:tcPr>
          <w:p w14:paraId="271FC44D" w14:textId="77777777" w:rsidR="002336F0" w:rsidRDefault="002336F0" w:rsidP="00391233">
            <w:r>
              <w:lastRenderedPageBreak/>
              <w:t>Minor editing matter</w:t>
            </w:r>
          </w:p>
        </w:tc>
      </w:tr>
    </w:tbl>
    <w:p w14:paraId="73BE3E83" w14:textId="77777777" w:rsidR="00D43D3C" w:rsidRDefault="00D43D3C">
      <w:r>
        <w:br w:type="page"/>
      </w:r>
    </w:p>
    <w:tbl>
      <w:tblPr>
        <w:tblStyle w:val="TableGrid"/>
        <w:tblW w:w="14783" w:type="dxa"/>
        <w:tblLook w:val="04A0" w:firstRow="1" w:lastRow="0" w:firstColumn="1" w:lastColumn="0" w:noHBand="0" w:noVBand="1"/>
      </w:tblPr>
      <w:tblGrid>
        <w:gridCol w:w="2956"/>
        <w:gridCol w:w="2956"/>
        <w:gridCol w:w="2957"/>
        <w:gridCol w:w="2957"/>
        <w:gridCol w:w="2957"/>
      </w:tblGrid>
      <w:tr w:rsidR="002336F0" w14:paraId="11EB954A" w14:textId="77777777" w:rsidTr="00391233">
        <w:trPr>
          <w:trHeight w:val="144"/>
        </w:trPr>
        <w:tc>
          <w:tcPr>
            <w:tcW w:w="2956" w:type="dxa"/>
          </w:tcPr>
          <w:p w14:paraId="77BB2B1D" w14:textId="3A7348D7" w:rsidR="002336F0" w:rsidRDefault="002336F0" w:rsidP="00391233">
            <w:r>
              <w:t>CCW18</w:t>
            </w:r>
          </w:p>
        </w:tc>
        <w:tc>
          <w:tcPr>
            <w:tcW w:w="2956" w:type="dxa"/>
          </w:tcPr>
          <w:p w14:paraId="6271EB26" w14:textId="77777777" w:rsidR="002336F0" w:rsidRPr="00E0324F" w:rsidRDefault="002336F0" w:rsidP="00391233">
            <w:pPr>
              <w:rPr>
                <w:rFonts w:cstheme="minorHAnsi"/>
              </w:rPr>
            </w:pPr>
            <w:r w:rsidRPr="00E0324F">
              <w:rPr>
                <w:rFonts w:cstheme="minorHAnsi"/>
              </w:rPr>
              <w:t>Policy E&amp;H3</w:t>
            </w:r>
          </w:p>
        </w:tc>
        <w:tc>
          <w:tcPr>
            <w:tcW w:w="2957" w:type="dxa"/>
          </w:tcPr>
          <w:p w14:paraId="4756F522" w14:textId="77777777" w:rsidR="002336F0" w:rsidRDefault="002336F0" w:rsidP="00391233">
            <w:r>
              <w:t>45</w:t>
            </w:r>
          </w:p>
        </w:tc>
        <w:tc>
          <w:tcPr>
            <w:tcW w:w="2957" w:type="dxa"/>
          </w:tcPr>
          <w:p w14:paraId="6E06FB81" w14:textId="77777777" w:rsidR="002336F0" w:rsidRDefault="002336F0" w:rsidP="00391233">
            <w:pPr>
              <w:rPr>
                <w:rFonts w:cstheme="minorHAnsi"/>
              </w:rPr>
            </w:pPr>
            <w:r>
              <w:rPr>
                <w:rFonts w:cstheme="minorHAnsi"/>
              </w:rPr>
              <w:t>P</w:t>
            </w:r>
            <w:r w:rsidRPr="00E0324F">
              <w:rPr>
                <w:rFonts w:cstheme="minorHAnsi"/>
              </w:rPr>
              <w:t xml:space="preserve">aragraph a) be deleted and replaced with: </w:t>
            </w:r>
            <w:r w:rsidRPr="00E0324F">
              <w:rPr>
                <w:rFonts w:cstheme="minorHAnsi"/>
                <w:i/>
              </w:rPr>
              <w:t>The nature and significance of the heritage assets identified in the Kent Historic Environment Record or elsewhere</w:t>
            </w:r>
          </w:p>
        </w:tc>
        <w:tc>
          <w:tcPr>
            <w:tcW w:w="2957" w:type="dxa"/>
          </w:tcPr>
          <w:p w14:paraId="1CEB821F" w14:textId="77777777" w:rsidR="002336F0" w:rsidRDefault="002336F0" w:rsidP="00391233">
            <w:r>
              <w:t>Minor editing matter</w:t>
            </w:r>
          </w:p>
        </w:tc>
      </w:tr>
      <w:tr w:rsidR="002336F0" w14:paraId="040351D4" w14:textId="77777777" w:rsidTr="00391233">
        <w:trPr>
          <w:trHeight w:val="144"/>
        </w:trPr>
        <w:tc>
          <w:tcPr>
            <w:tcW w:w="2956" w:type="dxa"/>
          </w:tcPr>
          <w:p w14:paraId="15CAE9F0" w14:textId="77777777" w:rsidR="002336F0" w:rsidRDefault="002336F0" w:rsidP="00391233">
            <w:r>
              <w:t>CCW19</w:t>
            </w:r>
          </w:p>
        </w:tc>
        <w:tc>
          <w:tcPr>
            <w:tcW w:w="2956" w:type="dxa"/>
          </w:tcPr>
          <w:p w14:paraId="247D5C8E" w14:textId="77777777" w:rsidR="002336F0" w:rsidRPr="00E0324F" w:rsidRDefault="002336F0" w:rsidP="00391233">
            <w:pPr>
              <w:rPr>
                <w:rFonts w:cstheme="minorHAnsi"/>
              </w:rPr>
            </w:pPr>
            <w:r>
              <w:rPr>
                <w:rFonts w:cstheme="minorHAnsi"/>
              </w:rPr>
              <w:t>Economy and Employment</w:t>
            </w:r>
          </w:p>
        </w:tc>
        <w:tc>
          <w:tcPr>
            <w:tcW w:w="2957" w:type="dxa"/>
          </w:tcPr>
          <w:p w14:paraId="7854682F" w14:textId="77777777" w:rsidR="002336F0" w:rsidRDefault="002336F0" w:rsidP="00391233">
            <w:r>
              <w:t>47</w:t>
            </w:r>
          </w:p>
        </w:tc>
        <w:tc>
          <w:tcPr>
            <w:tcW w:w="2957" w:type="dxa"/>
          </w:tcPr>
          <w:p w14:paraId="592DC08B" w14:textId="77777777" w:rsidR="002336F0" w:rsidRDefault="002336F0" w:rsidP="00391233">
            <w:pPr>
              <w:rPr>
                <w:rFonts w:cstheme="minorHAnsi"/>
              </w:rPr>
            </w:pPr>
            <w:r w:rsidRPr="00E0324F">
              <w:rPr>
                <w:rFonts w:cstheme="minorHAnsi"/>
              </w:rPr>
              <w:t>Map 1</w:t>
            </w:r>
            <w:r>
              <w:rPr>
                <w:rFonts w:cstheme="minorHAnsi"/>
              </w:rPr>
              <w:t xml:space="preserve">, </w:t>
            </w:r>
            <w:r w:rsidRPr="00E0324F">
              <w:rPr>
                <w:rFonts w:cstheme="minorHAnsi"/>
              </w:rPr>
              <w:t>Maps 3 and 4</w:t>
            </w:r>
            <w:r>
              <w:rPr>
                <w:rFonts w:cstheme="minorHAnsi"/>
              </w:rPr>
              <w:t xml:space="preserve"> </w:t>
            </w:r>
            <w:r w:rsidRPr="00E0324F">
              <w:rPr>
                <w:rFonts w:cstheme="minorHAnsi"/>
              </w:rPr>
              <w:t>is illegible</w:t>
            </w:r>
            <w:r>
              <w:rPr>
                <w:rFonts w:cstheme="minorHAnsi"/>
              </w:rPr>
              <w:t xml:space="preserve"> and map 4 doesn’t clearly reflect content on page 48 </w:t>
            </w:r>
          </w:p>
        </w:tc>
        <w:tc>
          <w:tcPr>
            <w:tcW w:w="2957" w:type="dxa"/>
          </w:tcPr>
          <w:p w14:paraId="4B407CDF" w14:textId="77777777" w:rsidR="002336F0" w:rsidRDefault="002336F0" w:rsidP="00391233"/>
        </w:tc>
      </w:tr>
      <w:tr w:rsidR="002336F0" w14:paraId="5AF4DD70" w14:textId="77777777" w:rsidTr="00391233">
        <w:trPr>
          <w:trHeight w:val="2687"/>
        </w:trPr>
        <w:tc>
          <w:tcPr>
            <w:tcW w:w="2956" w:type="dxa"/>
          </w:tcPr>
          <w:p w14:paraId="0E66EB30" w14:textId="77777777" w:rsidR="002336F0" w:rsidRDefault="002336F0" w:rsidP="00391233">
            <w:r>
              <w:t>CCW20</w:t>
            </w:r>
          </w:p>
        </w:tc>
        <w:tc>
          <w:tcPr>
            <w:tcW w:w="2956" w:type="dxa"/>
          </w:tcPr>
          <w:p w14:paraId="1D595A9E" w14:textId="77777777" w:rsidR="002336F0" w:rsidRPr="00E0324F" w:rsidRDefault="002336F0" w:rsidP="00391233">
            <w:pPr>
              <w:rPr>
                <w:rFonts w:cstheme="minorHAnsi"/>
              </w:rPr>
            </w:pPr>
            <w:r>
              <w:rPr>
                <w:rFonts w:cstheme="minorHAnsi"/>
              </w:rPr>
              <w:t>Chapter 9, Infrastructure</w:t>
            </w:r>
          </w:p>
        </w:tc>
        <w:tc>
          <w:tcPr>
            <w:tcW w:w="2957" w:type="dxa"/>
          </w:tcPr>
          <w:p w14:paraId="07F6327F" w14:textId="77777777" w:rsidR="002336F0" w:rsidRDefault="002336F0" w:rsidP="00391233">
            <w:r>
              <w:t>58</w:t>
            </w:r>
          </w:p>
        </w:tc>
        <w:tc>
          <w:tcPr>
            <w:tcW w:w="2957" w:type="dxa"/>
          </w:tcPr>
          <w:p w14:paraId="0AFBF67A" w14:textId="77777777" w:rsidR="002336F0" w:rsidRPr="00C10A78" w:rsidRDefault="002336F0" w:rsidP="00D43D3C">
            <w:pPr>
              <w:jc w:val="both"/>
              <w:rPr>
                <w:rFonts w:cstheme="minorHAnsi"/>
              </w:rPr>
            </w:pPr>
            <w:r>
              <w:rPr>
                <w:rFonts w:cstheme="minorHAnsi"/>
              </w:rPr>
              <w:t>A</w:t>
            </w:r>
            <w:r w:rsidRPr="00C10A78">
              <w:rPr>
                <w:rFonts w:cstheme="minorHAnsi"/>
              </w:rPr>
              <w:t xml:space="preserve">ddition to the end of paragraph 3 of Policy INFRA3: </w:t>
            </w:r>
            <w:r w:rsidRPr="00C10A78">
              <w:rPr>
                <w:rFonts w:cstheme="minorHAnsi"/>
                <w:i/>
              </w:rPr>
              <w:t>while retaining their rural character</w:t>
            </w:r>
            <w:r w:rsidRPr="00C10A78">
              <w:rPr>
                <w:rFonts w:cstheme="minorHAnsi"/>
              </w:rPr>
              <w:t>.</w:t>
            </w:r>
          </w:p>
          <w:p w14:paraId="7F2B4C9B" w14:textId="77777777" w:rsidR="002336F0" w:rsidRDefault="002336F0" w:rsidP="00391233">
            <w:pPr>
              <w:rPr>
                <w:rFonts w:cstheme="minorHAnsi"/>
              </w:rPr>
            </w:pPr>
            <w:r w:rsidRPr="00E0324F">
              <w:rPr>
                <w:rFonts w:cstheme="minorHAnsi"/>
              </w:rPr>
              <w:t xml:space="preserve">Policy INFRA4 whilst it is headed “Parking – Cars and Cycles”, there is no reference to any required quantum of car parking for visitors, or cycles. </w:t>
            </w:r>
            <w:r>
              <w:rPr>
                <w:rFonts w:cstheme="minorHAnsi"/>
              </w:rPr>
              <w:t>D</w:t>
            </w:r>
            <w:r w:rsidRPr="00E0324F">
              <w:rPr>
                <w:rFonts w:cstheme="minorHAnsi"/>
              </w:rPr>
              <w:t xml:space="preserve">iscussion </w:t>
            </w:r>
            <w:r>
              <w:rPr>
                <w:rFonts w:cstheme="minorHAnsi"/>
              </w:rPr>
              <w:t xml:space="preserve">should </w:t>
            </w:r>
            <w:r w:rsidRPr="00E0324F">
              <w:rPr>
                <w:rFonts w:cstheme="minorHAnsi"/>
              </w:rPr>
              <w:t>take place with Kent County Council to ascertain if an agreed amendment/addition can be made and recommend that any agreed change to</w:t>
            </w:r>
            <w:r>
              <w:rPr>
                <w:rFonts w:cstheme="minorHAnsi"/>
              </w:rPr>
              <w:t xml:space="preserve"> the policy be included</w:t>
            </w:r>
          </w:p>
        </w:tc>
        <w:tc>
          <w:tcPr>
            <w:tcW w:w="2957" w:type="dxa"/>
          </w:tcPr>
          <w:p w14:paraId="3B26CF8B" w14:textId="77777777" w:rsidR="002336F0" w:rsidRDefault="002336F0" w:rsidP="00391233">
            <w:r>
              <w:t>To meet basic conditions</w:t>
            </w:r>
          </w:p>
        </w:tc>
      </w:tr>
      <w:tr w:rsidR="002336F0" w14:paraId="0FDC9BB5" w14:textId="77777777" w:rsidTr="00391233">
        <w:trPr>
          <w:trHeight w:val="144"/>
        </w:trPr>
        <w:tc>
          <w:tcPr>
            <w:tcW w:w="2956" w:type="dxa"/>
          </w:tcPr>
          <w:p w14:paraId="7EDFF8A3" w14:textId="77777777" w:rsidR="002336F0" w:rsidRDefault="002336F0" w:rsidP="00391233">
            <w:r>
              <w:t>CCW21</w:t>
            </w:r>
          </w:p>
        </w:tc>
        <w:tc>
          <w:tcPr>
            <w:tcW w:w="2956" w:type="dxa"/>
          </w:tcPr>
          <w:p w14:paraId="71527515" w14:textId="77777777" w:rsidR="002336F0" w:rsidRPr="00E0324F" w:rsidRDefault="002336F0" w:rsidP="00391233">
            <w:pPr>
              <w:rPr>
                <w:rFonts w:cstheme="minorHAnsi"/>
              </w:rPr>
            </w:pPr>
            <w:r>
              <w:rPr>
                <w:rFonts w:cstheme="minorHAnsi"/>
              </w:rPr>
              <w:t>Policy INFRA4</w:t>
            </w:r>
          </w:p>
        </w:tc>
        <w:tc>
          <w:tcPr>
            <w:tcW w:w="2957" w:type="dxa"/>
          </w:tcPr>
          <w:p w14:paraId="036287D1" w14:textId="77777777" w:rsidR="002336F0" w:rsidRDefault="002336F0" w:rsidP="00391233">
            <w:r>
              <w:t>60</w:t>
            </w:r>
          </w:p>
        </w:tc>
        <w:tc>
          <w:tcPr>
            <w:tcW w:w="2957" w:type="dxa"/>
          </w:tcPr>
          <w:p w14:paraId="760100AA" w14:textId="77777777" w:rsidR="002336F0" w:rsidRDefault="002336F0" w:rsidP="00391233">
            <w:pPr>
              <w:rPr>
                <w:rFonts w:cstheme="minorHAnsi"/>
              </w:rPr>
            </w:pPr>
            <w:r w:rsidRPr="00E0324F">
              <w:rPr>
                <w:rFonts w:cstheme="minorHAnsi"/>
              </w:rPr>
              <w:t>Policy INFRA4 be amended to be consistent with MC’s parking standards</w:t>
            </w:r>
            <w:r>
              <w:rPr>
                <w:rFonts w:cstheme="minorHAnsi"/>
              </w:rPr>
              <w:t xml:space="preserve"> however KCC content with policy so no changes suggested</w:t>
            </w:r>
          </w:p>
        </w:tc>
        <w:tc>
          <w:tcPr>
            <w:tcW w:w="2957" w:type="dxa"/>
          </w:tcPr>
          <w:p w14:paraId="1F836C40" w14:textId="77777777" w:rsidR="002336F0" w:rsidRDefault="002336F0" w:rsidP="00391233">
            <w:r>
              <w:t>To meet basic conditions</w:t>
            </w:r>
          </w:p>
        </w:tc>
      </w:tr>
      <w:tr w:rsidR="002336F0" w14:paraId="3B277BA9" w14:textId="77777777" w:rsidTr="00D43D3C">
        <w:trPr>
          <w:trHeight w:val="2967"/>
        </w:trPr>
        <w:tc>
          <w:tcPr>
            <w:tcW w:w="2956" w:type="dxa"/>
          </w:tcPr>
          <w:p w14:paraId="1D4E3B09" w14:textId="77777777" w:rsidR="002336F0" w:rsidRDefault="002336F0" w:rsidP="00391233">
            <w:r>
              <w:t>CCW22</w:t>
            </w:r>
          </w:p>
        </w:tc>
        <w:tc>
          <w:tcPr>
            <w:tcW w:w="2956" w:type="dxa"/>
          </w:tcPr>
          <w:p w14:paraId="5D3B784C" w14:textId="77777777" w:rsidR="002336F0" w:rsidRPr="00E0324F" w:rsidRDefault="002336F0" w:rsidP="00391233">
            <w:pPr>
              <w:rPr>
                <w:rFonts w:cstheme="minorHAnsi"/>
              </w:rPr>
            </w:pPr>
            <w:r w:rsidRPr="00E0324F">
              <w:rPr>
                <w:rFonts w:cstheme="minorHAnsi"/>
              </w:rPr>
              <w:t>Policy INFRA6</w:t>
            </w:r>
          </w:p>
        </w:tc>
        <w:tc>
          <w:tcPr>
            <w:tcW w:w="2957" w:type="dxa"/>
          </w:tcPr>
          <w:p w14:paraId="4D82E602" w14:textId="77777777" w:rsidR="002336F0" w:rsidRDefault="002336F0" w:rsidP="00391233">
            <w:r>
              <w:t>61</w:t>
            </w:r>
          </w:p>
        </w:tc>
        <w:tc>
          <w:tcPr>
            <w:tcW w:w="2957" w:type="dxa"/>
          </w:tcPr>
          <w:p w14:paraId="31BEB1DF" w14:textId="77777777" w:rsidR="002336F0" w:rsidRDefault="002336F0" w:rsidP="00391233">
            <w:pPr>
              <w:rPr>
                <w:rFonts w:cstheme="minorHAnsi"/>
              </w:rPr>
            </w:pPr>
            <w:r>
              <w:rPr>
                <w:rFonts w:cstheme="minorHAnsi"/>
              </w:rPr>
              <w:t xml:space="preserve">In </w:t>
            </w:r>
            <w:r w:rsidRPr="00E0324F">
              <w:rPr>
                <w:rFonts w:cstheme="minorHAnsi"/>
              </w:rPr>
              <w:t>agreement with Natural England</w:t>
            </w:r>
            <w:r>
              <w:rPr>
                <w:rFonts w:cstheme="minorHAnsi"/>
              </w:rPr>
              <w:t xml:space="preserve">, </w:t>
            </w:r>
            <w:r w:rsidRPr="00E0324F">
              <w:rPr>
                <w:rFonts w:cstheme="minorHAnsi"/>
              </w:rPr>
              <w:t xml:space="preserve">following addition </w:t>
            </w:r>
            <w:r>
              <w:rPr>
                <w:rFonts w:cstheme="minorHAnsi"/>
              </w:rPr>
              <w:t>to be</w:t>
            </w:r>
            <w:r w:rsidRPr="00E0324F">
              <w:rPr>
                <w:rFonts w:cstheme="minorHAnsi"/>
              </w:rPr>
              <w:t xml:space="preserve"> included as a new second paragraph in the policy </w:t>
            </w:r>
            <w:r>
              <w:rPr>
                <w:rFonts w:cstheme="minorHAnsi"/>
              </w:rPr>
              <w:t>:</w:t>
            </w:r>
            <w:r w:rsidRPr="00E0324F">
              <w:rPr>
                <w:rFonts w:cstheme="minorHAnsi"/>
              </w:rPr>
              <w:t xml:space="preserve"> </w:t>
            </w:r>
            <w:r w:rsidRPr="00E0324F">
              <w:rPr>
                <w:rFonts w:cstheme="minorHAnsi"/>
                <w:i/>
              </w:rPr>
              <w:t>Any proposals to provide cycle routes through European conservation sites or the SSSI will need to ensure that impacts are avoided or fully mitigated</w:t>
            </w:r>
            <w:r w:rsidRPr="00E0324F">
              <w:rPr>
                <w:rFonts w:cstheme="minorHAnsi"/>
              </w:rPr>
              <w:t>.</w:t>
            </w:r>
          </w:p>
        </w:tc>
        <w:tc>
          <w:tcPr>
            <w:tcW w:w="2957" w:type="dxa"/>
          </w:tcPr>
          <w:p w14:paraId="7BBA7500" w14:textId="77777777" w:rsidR="002336F0" w:rsidRDefault="002336F0" w:rsidP="00391233">
            <w:r>
              <w:t xml:space="preserve">Minor editing matter </w:t>
            </w:r>
          </w:p>
        </w:tc>
      </w:tr>
    </w:tbl>
    <w:p w14:paraId="74BFC334" w14:textId="77777777" w:rsidR="002336F0" w:rsidRDefault="002336F0" w:rsidP="002336F0"/>
    <w:p w14:paraId="06D158C0" w14:textId="77777777" w:rsidR="002336F0" w:rsidRPr="00511CB7" w:rsidRDefault="002336F0" w:rsidP="00392686">
      <w:pPr>
        <w:ind w:left="709" w:hanging="709"/>
        <w:rPr>
          <w:rFonts w:ascii="Arial" w:hAnsi="Arial" w:cs="Arial"/>
          <w:sz w:val="24"/>
          <w:szCs w:val="24"/>
        </w:rPr>
      </w:pPr>
    </w:p>
    <w:sectPr w:rsidR="002336F0" w:rsidRPr="00511CB7" w:rsidSect="00D43D3C">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0751"/>
    <w:multiLevelType w:val="hybridMultilevel"/>
    <w:tmpl w:val="F08E3528"/>
    <w:lvl w:ilvl="0" w:tplc="3C2269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675D9"/>
    <w:multiLevelType w:val="hybridMultilevel"/>
    <w:tmpl w:val="D618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CE4C45"/>
    <w:multiLevelType w:val="hybridMultilevel"/>
    <w:tmpl w:val="7830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92C69"/>
    <w:multiLevelType w:val="hybridMultilevel"/>
    <w:tmpl w:val="3F74D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F4012B"/>
    <w:multiLevelType w:val="hybridMultilevel"/>
    <w:tmpl w:val="1BAC0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4876D5"/>
    <w:multiLevelType w:val="hybridMultilevel"/>
    <w:tmpl w:val="C3FA0A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90220583">
    <w:abstractNumId w:val="1"/>
  </w:num>
  <w:num w:numId="2" w16cid:durableId="1598828355">
    <w:abstractNumId w:val="2"/>
  </w:num>
  <w:num w:numId="3" w16cid:durableId="2067411859">
    <w:abstractNumId w:val="3"/>
  </w:num>
  <w:num w:numId="4" w16cid:durableId="526716277">
    <w:abstractNumId w:val="5"/>
  </w:num>
  <w:num w:numId="5" w16cid:durableId="1136601639">
    <w:abstractNumId w:val="4"/>
  </w:num>
  <w:num w:numId="6" w16cid:durableId="200489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81"/>
    <w:rsid w:val="00043818"/>
    <w:rsid w:val="000701D1"/>
    <w:rsid w:val="000F1B2C"/>
    <w:rsid w:val="0015361E"/>
    <w:rsid w:val="002336F0"/>
    <w:rsid w:val="00335ABE"/>
    <w:rsid w:val="00362076"/>
    <w:rsid w:val="00392686"/>
    <w:rsid w:val="004B654C"/>
    <w:rsid w:val="005062A8"/>
    <w:rsid w:val="00511CB7"/>
    <w:rsid w:val="00575727"/>
    <w:rsid w:val="005838D4"/>
    <w:rsid w:val="005D4E97"/>
    <w:rsid w:val="00703881"/>
    <w:rsid w:val="007E384C"/>
    <w:rsid w:val="008A76EA"/>
    <w:rsid w:val="009F13FE"/>
    <w:rsid w:val="00A906E6"/>
    <w:rsid w:val="00B60A25"/>
    <w:rsid w:val="00C53C74"/>
    <w:rsid w:val="00C61F13"/>
    <w:rsid w:val="00CC243D"/>
    <w:rsid w:val="00D43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A66A"/>
  <w15:chartTrackingRefBased/>
  <w15:docId w15:val="{1A065AA8-FF25-477B-B687-76621AEA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6EA"/>
    <w:rPr>
      <w:color w:val="0563C1" w:themeColor="hyperlink"/>
      <w:u w:val="single"/>
    </w:rPr>
  </w:style>
  <w:style w:type="character" w:styleId="UnresolvedMention">
    <w:name w:val="Unresolved Mention"/>
    <w:basedOn w:val="DefaultParagraphFont"/>
    <w:uiPriority w:val="99"/>
    <w:semiHidden/>
    <w:unhideWhenUsed/>
    <w:rsid w:val="008A76EA"/>
    <w:rPr>
      <w:color w:val="605E5C"/>
      <w:shd w:val="clear" w:color="auto" w:fill="E1DFDD"/>
    </w:rPr>
  </w:style>
  <w:style w:type="paragraph" w:styleId="ListParagraph">
    <w:name w:val="List Paragraph"/>
    <w:basedOn w:val="Normal"/>
    <w:uiPriority w:val="34"/>
    <w:qFormat/>
    <w:rsid w:val="000F1B2C"/>
    <w:pPr>
      <w:ind w:left="720"/>
      <w:contextualSpacing/>
    </w:pPr>
  </w:style>
  <w:style w:type="table" w:styleId="TableGrid">
    <w:name w:val="Table Grid"/>
    <w:basedOn w:val="TableNormal"/>
    <w:uiPriority w:val="39"/>
    <w:rsid w:val="0023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way.gov.uk/info/200149/planning_policy/142/neighbourhood_planning/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ringham, jane</cp:lastModifiedBy>
  <cp:revision>3</cp:revision>
  <dcterms:created xsi:type="dcterms:W3CDTF">2023-03-21T16:57:00Z</dcterms:created>
  <dcterms:modified xsi:type="dcterms:W3CDTF">2023-03-21T17:01:00Z</dcterms:modified>
</cp:coreProperties>
</file>