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820D" w14:textId="0AAE6DB9" w:rsidR="003A7958" w:rsidRPr="00FA7ADC" w:rsidRDefault="003A7958" w:rsidP="003A7958">
      <w:pPr>
        <w:jc w:val="center"/>
        <w:rPr>
          <w:b/>
          <w:bCs/>
        </w:rPr>
      </w:pPr>
      <w:r w:rsidRPr="00FA7ADC">
        <w:rPr>
          <w:b/>
          <w:bCs/>
        </w:rPr>
        <w:t xml:space="preserve">Medway Council’s </w:t>
      </w:r>
      <w:r w:rsidR="00423BF0">
        <w:rPr>
          <w:b/>
          <w:bCs/>
        </w:rPr>
        <w:t>Greenhouse Gas</w:t>
      </w:r>
      <w:r w:rsidRPr="00FA7ADC">
        <w:rPr>
          <w:b/>
          <w:bCs/>
        </w:rPr>
        <w:t xml:space="preserve"> Emissions 20</w:t>
      </w:r>
      <w:r>
        <w:rPr>
          <w:b/>
          <w:bCs/>
        </w:rPr>
        <w:t>2</w:t>
      </w:r>
      <w:r w:rsidR="00F733C7">
        <w:rPr>
          <w:b/>
          <w:bCs/>
        </w:rPr>
        <w:t>1</w:t>
      </w:r>
      <w:r w:rsidRPr="00FA7ADC">
        <w:rPr>
          <w:b/>
          <w:bCs/>
        </w:rPr>
        <w:t>/</w:t>
      </w:r>
      <w:r>
        <w:rPr>
          <w:b/>
          <w:bCs/>
        </w:rPr>
        <w:t>2</w:t>
      </w:r>
      <w:r w:rsidR="00F733C7">
        <w:rPr>
          <w:b/>
          <w:bCs/>
        </w:rPr>
        <w:t>2</w:t>
      </w:r>
    </w:p>
    <w:p w14:paraId="3BA51699" w14:textId="77777777" w:rsidR="003A7958" w:rsidRDefault="003A7958" w:rsidP="003A7958">
      <w:pPr>
        <w:jc w:val="center"/>
      </w:pPr>
      <w:r>
        <w:t>(Own Estate and Operations)</w:t>
      </w:r>
    </w:p>
    <w:p w14:paraId="52EF3633" w14:textId="43D76796" w:rsidR="0007643B" w:rsidRPr="00506F07" w:rsidRDefault="00F733C7" w:rsidP="00B369AA">
      <w:r>
        <w:t>This report represents the fourth consecutive year</w:t>
      </w:r>
      <w:r w:rsidR="0007643B">
        <w:t xml:space="preserve"> of re</w:t>
      </w:r>
      <w:r w:rsidR="001A4CB9">
        <w:t>porting the Council’s</w:t>
      </w:r>
      <w:r w:rsidR="000A2634">
        <w:t xml:space="preserve"> operational greenhouse gas </w:t>
      </w:r>
      <w:r w:rsidR="000A2634" w:rsidRPr="00506F07">
        <w:t xml:space="preserve">emissions.  </w:t>
      </w:r>
      <w:r w:rsidR="00A52C30" w:rsidRPr="00506F07">
        <w:t xml:space="preserve">Emissions have been calculated using the </w:t>
      </w:r>
      <w:hyperlink r:id="rId10" w:history="1">
        <w:r w:rsidR="00A52C30" w:rsidRPr="00506F07">
          <w:rPr>
            <w:rStyle w:val="Hyperlink"/>
            <w:color w:val="auto"/>
          </w:rPr>
          <w:t>Local Government Association Greenhouse Gas Accounting Tool</w:t>
        </w:r>
      </w:hyperlink>
      <w:r w:rsidR="00A52C30" w:rsidRPr="00506F07">
        <w:t xml:space="preserve"> </w:t>
      </w:r>
      <w:r w:rsidR="00DB2CEC" w:rsidRPr="00506F07">
        <w:t>which</w:t>
      </w:r>
      <w:r w:rsidR="009C4549" w:rsidRPr="00506F07">
        <w:t xml:space="preserve"> directly references</w:t>
      </w:r>
      <w:r w:rsidR="00FC1D35" w:rsidRPr="00506F07">
        <w:t xml:space="preserve"> the standard </w:t>
      </w:r>
      <w:hyperlink r:id="rId11" w:history="1">
        <w:r w:rsidR="00FC1D35" w:rsidRPr="00506F07">
          <w:rPr>
            <w:rStyle w:val="Hyperlink"/>
            <w:color w:val="auto"/>
          </w:rPr>
          <w:t>conversion factors</w:t>
        </w:r>
      </w:hyperlink>
      <w:r w:rsidR="00FC1D35" w:rsidRPr="00506F07">
        <w:t xml:space="preserve"> published annually by the UK government.</w:t>
      </w:r>
      <w:r w:rsidR="001A4CB9" w:rsidRPr="00506F07">
        <w:t xml:space="preserve"> </w:t>
      </w:r>
    </w:p>
    <w:p w14:paraId="5594110B" w14:textId="72964E1F" w:rsidR="00B369AA" w:rsidRPr="00506F07" w:rsidRDefault="00B369AA" w:rsidP="00B369AA">
      <w:r w:rsidRPr="00506F07">
        <w:t xml:space="preserve">We are improving how we calculate our emissions so that we can monitor progress against the </w:t>
      </w:r>
      <w:hyperlink r:id="rId12" w:history="1">
        <w:r w:rsidRPr="00506F07">
          <w:rPr>
            <w:rStyle w:val="Hyperlink"/>
            <w:color w:val="auto"/>
          </w:rPr>
          <w:t>Climate Change Action Plan</w:t>
        </w:r>
      </w:hyperlink>
      <w:r w:rsidRPr="00506F07">
        <w:t>.</w:t>
      </w:r>
    </w:p>
    <w:p w14:paraId="44DCD7C2" w14:textId="1A9E5BC4" w:rsidR="006B14A0" w:rsidRPr="00506F07" w:rsidRDefault="006B14A0" w:rsidP="00096560">
      <w:pPr>
        <w:pStyle w:val="Heading1"/>
      </w:pPr>
      <w:r w:rsidRPr="00506F07">
        <w:t xml:space="preserve">What improvements have we made in this period? </w:t>
      </w:r>
    </w:p>
    <w:p w14:paraId="4C61F9DD" w14:textId="3B7EE742" w:rsidR="007376F4" w:rsidRPr="00506F07" w:rsidRDefault="002557FC" w:rsidP="003A7958">
      <w:r w:rsidRPr="00506F07">
        <w:t xml:space="preserve">We have </w:t>
      </w:r>
      <w:r w:rsidR="002E22ED" w:rsidRPr="00506F07">
        <w:t xml:space="preserve">continued to </w:t>
      </w:r>
      <w:r w:rsidR="00AD0863" w:rsidRPr="00506F07">
        <w:t>achieve more accurate designation of data relating to gas and electricity usage</w:t>
      </w:r>
      <w:r w:rsidR="002E22ED" w:rsidRPr="00506F07">
        <w:t xml:space="preserve"> across each of our sites</w:t>
      </w:r>
      <w:r w:rsidR="00AD0863" w:rsidRPr="00506F07">
        <w:t xml:space="preserve">.  </w:t>
      </w:r>
      <w:r w:rsidR="002559F0" w:rsidRPr="00506F07">
        <w:t xml:space="preserve">This has increased the accuracy of our emissions reporting.  </w:t>
      </w:r>
      <w:r w:rsidR="00852377" w:rsidRPr="00506F07">
        <w:t xml:space="preserve"> </w:t>
      </w:r>
      <w:r w:rsidR="00B81E2A" w:rsidRPr="00506F07">
        <w:t>During collation of 20</w:t>
      </w:r>
      <w:r w:rsidR="00061A54" w:rsidRPr="00506F07">
        <w:t>21/22 data</w:t>
      </w:r>
      <w:r w:rsidR="000F66A3" w:rsidRPr="00506F07">
        <w:t xml:space="preserve"> </w:t>
      </w:r>
      <w:r w:rsidR="00061A54" w:rsidRPr="00506F07">
        <w:t>it was noted that the gas consumption</w:t>
      </w:r>
      <w:r w:rsidR="000F66A3" w:rsidRPr="00506F07">
        <w:t>,</w:t>
      </w:r>
      <w:r w:rsidR="00061A54" w:rsidRPr="00506F07">
        <w:t xml:space="preserve"> of one site</w:t>
      </w:r>
      <w:r w:rsidR="000F66A3" w:rsidRPr="00506F07">
        <w:t xml:space="preserve"> in 2020/21, </w:t>
      </w:r>
      <w:r w:rsidR="00061A54" w:rsidRPr="00506F07">
        <w:t>had been double counted</w:t>
      </w:r>
      <w:r w:rsidR="000F66A3" w:rsidRPr="00506F07">
        <w:t xml:space="preserve">.  </w:t>
      </w:r>
      <w:r w:rsidR="00C41440" w:rsidRPr="00506F07">
        <w:t xml:space="preserve">The </w:t>
      </w:r>
      <w:r w:rsidR="005F79A4" w:rsidRPr="00506F07">
        <w:t xml:space="preserve">additional emissions, represent less than 1% of </w:t>
      </w:r>
      <w:r w:rsidR="004D2279" w:rsidRPr="00506F07">
        <w:t xml:space="preserve">the </w:t>
      </w:r>
      <w:r w:rsidR="008D4D4C" w:rsidRPr="00506F07">
        <w:t xml:space="preserve">Council’s </w:t>
      </w:r>
      <w:r w:rsidR="004D2279" w:rsidRPr="00506F07">
        <w:t>total emissions</w:t>
      </w:r>
      <w:r w:rsidR="00C9401D" w:rsidRPr="00506F07">
        <w:t xml:space="preserve"> in that year</w:t>
      </w:r>
      <w:r w:rsidR="004D2279" w:rsidRPr="00506F07">
        <w:t xml:space="preserve"> and therefore </w:t>
      </w:r>
      <w:r w:rsidR="009754B9" w:rsidRPr="00506F07">
        <w:t xml:space="preserve">the error is </w:t>
      </w:r>
      <w:r w:rsidR="004D2279" w:rsidRPr="00506F07">
        <w:t xml:space="preserve">not considered to </w:t>
      </w:r>
      <w:r w:rsidR="00211EEE" w:rsidRPr="00506F07">
        <w:t xml:space="preserve">have been </w:t>
      </w:r>
      <w:r w:rsidR="004D2279" w:rsidRPr="00506F07">
        <w:t>materially misleading</w:t>
      </w:r>
      <w:r w:rsidR="00B3103D" w:rsidRPr="00506F07">
        <w:t xml:space="preserve"> </w:t>
      </w:r>
      <w:r w:rsidR="005E5633" w:rsidRPr="00506F07">
        <w:t xml:space="preserve">(according to the GHG </w:t>
      </w:r>
      <w:r w:rsidR="00D15A3B" w:rsidRPr="00506F07">
        <w:t>Protocol Corporate Accounting and Reporting Standard)</w:t>
      </w:r>
      <w:r w:rsidR="00D77CE8" w:rsidRPr="00506F07">
        <w:t xml:space="preserve">.  We have made the decision not to update </w:t>
      </w:r>
      <w:r w:rsidR="00B3103D" w:rsidRPr="00506F07">
        <w:t xml:space="preserve">the </w:t>
      </w:r>
      <w:r w:rsidR="009754B9" w:rsidRPr="00506F07">
        <w:t xml:space="preserve">published </w:t>
      </w:r>
      <w:r w:rsidR="00B3103D" w:rsidRPr="00506F07">
        <w:t>2020/21 report.  For comp</w:t>
      </w:r>
      <w:r w:rsidR="00330059" w:rsidRPr="00506F07">
        <w:t>arison purposes</w:t>
      </w:r>
      <w:r w:rsidR="005E5633" w:rsidRPr="00506F07">
        <w:t>,</w:t>
      </w:r>
      <w:r w:rsidR="00B3103D" w:rsidRPr="00506F07">
        <w:t xml:space="preserve"> the </w:t>
      </w:r>
      <w:r w:rsidR="00C012BB" w:rsidRPr="00506F07">
        <w:t>tonnes of C</w:t>
      </w:r>
      <w:r w:rsidR="00CB7E35" w:rsidRPr="00506F07">
        <w:t>O</w:t>
      </w:r>
      <w:r w:rsidR="00C012BB" w:rsidRPr="00506F07">
        <w:t xml:space="preserve">2e value for heating </w:t>
      </w:r>
      <w:r w:rsidR="006B33E7" w:rsidRPr="00506F07">
        <w:t>and the total tonnes of</w:t>
      </w:r>
      <w:r w:rsidR="00CB7E35" w:rsidRPr="00506F07">
        <w:t xml:space="preserve"> CO2e</w:t>
      </w:r>
      <w:r w:rsidR="00F17019" w:rsidRPr="00506F07">
        <w:t xml:space="preserve"> </w:t>
      </w:r>
      <w:r w:rsidR="00CB7E35" w:rsidRPr="00506F07">
        <w:t>for 202</w:t>
      </w:r>
      <w:r w:rsidR="00FB5D91" w:rsidRPr="00506F07">
        <w:t>0</w:t>
      </w:r>
      <w:r w:rsidR="00CB7E35" w:rsidRPr="00506F07">
        <w:t xml:space="preserve">/21 </w:t>
      </w:r>
      <w:r w:rsidR="00C012BB" w:rsidRPr="00506F07">
        <w:t>ha</w:t>
      </w:r>
      <w:r w:rsidR="00CB7E35" w:rsidRPr="00506F07">
        <w:t>ve</w:t>
      </w:r>
      <w:r w:rsidR="00C012BB" w:rsidRPr="00506F07">
        <w:t xml:space="preserve"> been updated in the table below</w:t>
      </w:r>
      <w:r w:rsidR="005E5633" w:rsidRPr="00506F07">
        <w:t xml:space="preserve"> and will continue to be included in future reports</w:t>
      </w:r>
      <w:r w:rsidR="00F17019" w:rsidRPr="00506F07">
        <w:t>.</w:t>
      </w:r>
    </w:p>
    <w:p w14:paraId="5801E7CE" w14:textId="712C2482" w:rsidR="003A7958" w:rsidRPr="00506F07" w:rsidRDefault="003A7958" w:rsidP="00096560">
      <w:pPr>
        <w:pStyle w:val="Heading1"/>
      </w:pPr>
      <w:r w:rsidRPr="00506F07">
        <w:t>What is our carbon reduction target?</w:t>
      </w:r>
    </w:p>
    <w:p w14:paraId="5EF8098F" w14:textId="2BBD7785" w:rsidR="00C2015C" w:rsidRDefault="00C2015C" w:rsidP="00C2015C">
      <w:r w:rsidRPr="00506F07">
        <w:t xml:space="preserve">In 2020, we commissioned </w:t>
      </w:r>
      <w:hyperlink r:id="rId13" w:history="1">
        <w:r w:rsidRPr="00506F07">
          <w:rPr>
            <w:rStyle w:val="Hyperlink"/>
            <w:color w:val="auto"/>
          </w:rPr>
          <w:t>Local Partnerships</w:t>
        </w:r>
      </w:hyperlink>
      <w:r w:rsidRPr="00506F07">
        <w:t xml:space="preserve"> to </w:t>
      </w:r>
      <w:r>
        <w:t xml:space="preserve">undertake a technical study to understand the Council’s carbon footprint and to inform our approach to reducing our emissions. The study identified a series of interventions to put the Council on a path to </w:t>
      </w:r>
      <w:r w:rsidRPr="00003534">
        <w:rPr>
          <w:b/>
          <w:bCs/>
        </w:rPr>
        <w:t>reducing its emissions by 95% by 2050</w:t>
      </w:r>
      <w:r>
        <w:rPr>
          <w:b/>
          <w:bCs/>
        </w:rPr>
        <w:t xml:space="preserve"> against a baseline year of 2018/19</w:t>
      </w:r>
      <w:r>
        <w:t xml:space="preserve">. The study uses the science-based target approach to reducing emissions at a rate that is in line with keeping global temperature rises below 1.5°C. This means halving emissions every ten years as opposed to reducing emissions by a fixed amount every year. </w:t>
      </w:r>
      <w:r w:rsidRPr="00003534">
        <w:rPr>
          <w:b/>
          <w:bCs/>
        </w:rPr>
        <w:t>It sets the first carbon budget for 2020</w:t>
      </w:r>
      <w:r w:rsidR="004E706D">
        <w:rPr>
          <w:b/>
          <w:bCs/>
        </w:rPr>
        <w:t>/21</w:t>
      </w:r>
      <w:r w:rsidRPr="00003534">
        <w:rPr>
          <w:b/>
          <w:bCs/>
        </w:rPr>
        <w:t>-</w:t>
      </w:r>
      <w:r w:rsidR="004E706D">
        <w:rPr>
          <w:b/>
          <w:bCs/>
        </w:rPr>
        <w:t>20</w:t>
      </w:r>
      <w:r w:rsidRPr="00003534">
        <w:rPr>
          <w:b/>
          <w:bCs/>
        </w:rPr>
        <w:t>27</w:t>
      </w:r>
      <w:r w:rsidR="00C61085">
        <w:rPr>
          <w:b/>
          <w:bCs/>
        </w:rPr>
        <w:t>/28</w:t>
      </w:r>
      <w:r w:rsidRPr="00003534">
        <w:rPr>
          <w:b/>
          <w:bCs/>
        </w:rPr>
        <w:t xml:space="preserve"> as 57,631 tonnes of carbon dioxide emission equivalent</w:t>
      </w:r>
      <w:r w:rsidR="00D80DA3">
        <w:rPr>
          <w:b/>
          <w:bCs/>
        </w:rPr>
        <w:t xml:space="preserve"> (tCO2e)</w:t>
      </w:r>
      <w:r>
        <w:t>.</w:t>
      </w:r>
    </w:p>
    <w:p w14:paraId="5150B64B" w14:textId="1212B2A1" w:rsidR="003A7958" w:rsidRPr="00EC5319" w:rsidRDefault="003A7958" w:rsidP="00096560">
      <w:pPr>
        <w:pStyle w:val="Heading1"/>
      </w:pPr>
      <w:r w:rsidRPr="00EC5319">
        <w:t xml:space="preserve">What </w:t>
      </w:r>
      <w:r>
        <w:t>is</w:t>
      </w:r>
      <w:r w:rsidRPr="00EC5319">
        <w:t xml:space="preserve"> included in our emissions reporting? </w:t>
      </w:r>
    </w:p>
    <w:p w14:paraId="206E4D5D" w14:textId="77777777" w:rsidR="003A7958" w:rsidRDefault="003A7958" w:rsidP="003A7958">
      <w:r>
        <w:t xml:space="preserve">Our carbon footprint includes: </w:t>
      </w:r>
    </w:p>
    <w:p w14:paraId="7F5BB3C2" w14:textId="77777777" w:rsidR="00B437D7" w:rsidRPr="00A005D5" w:rsidRDefault="00B437D7" w:rsidP="00B437D7">
      <w:pPr>
        <w:rPr>
          <w:u w:val="single"/>
        </w:rPr>
      </w:pPr>
      <w:r w:rsidRPr="00A005D5">
        <w:rPr>
          <w:u w:val="single"/>
        </w:rPr>
        <w:t>Direct Emissions (Scope 1 &amp; 2)</w:t>
      </w:r>
    </w:p>
    <w:p w14:paraId="7C0C2391" w14:textId="593F75C5" w:rsidR="00B437D7" w:rsidRDefault="00B437D7" w:rsidP="00686CB7">
      <w:pPr>
        <w:pStyle w:val="ListParagraph"/>
        <w:numPr>
          <w:ilvl w:val="0"/>
          <w:numId w:val="2"/>
        </w:numPr>
      </w:pPr>
      <w:r>
        <w:t>Energy to heat Council owned buildings</w:t>
      </w:r>
      <w:r w:rsidR="00506F07">
        <w:t>.</w:t>
      </w:r>
    </w:p>
    <w:p w14:paraId="156DA602" w14:textId="3935A0FB" w:rsidR="00B437D7" w:rsidRDefault="00B437D7" w:rsidP="00686CB7">
      <w:pPr>
        <w:pStyle w:val="ListParagraph"/>
        <w:numPr>
          <w:ilvl w:val="0"/>
          <w:numId w:val="2"/>
        </w:numPr>
      </w:pPr>
      <w:r>
        <w:t xml:space="preserve">Emissions from small fleet vehicles and Refuse Collection Vehicles owned or leased by the </w:t>
      </w:r>
      <w:r w:rsidR="00506F07">
        <w:t>Council.</w:t>
      </w:r>
    </w:p>
    <w:p w14:paraId="6963338F" w14:textId="7AC347F8" w:rsidR="00351A01" w:rsidRDefault="00351A01" w:rsidP="00351A01">
      <w:pPr>
        <w:pStyle w:val="ListParagraph"/>
        <w:numPr>
          <w:ilvl w:val="0"/>
          <w:numId w:val="2"/>
        </w:numPr>
      </w:pPr>
      <w:r>
        <w:t xml:space="preserve">Fugitive emissions - </w:t>
      </w:r>
      <w:r w:rsidRPr="00686CB7">
        <w:rPr>
          <w:rFonts w:cstheme="minorHAnsi"/>
        </w:rPr>
        <w:t>this term refers</w:t>
      </w:r>
      <w:r w:rsidRPr="00686CB7">
        <w:rPr>
          <w:rFonts w:cstheme="minorHAnsi"/>
          <w:shd w:val="clear" w:color="auto" w:fill="FFFFFF"/>
        </w:rPr>
        <w:t xml:space="preserve"> to leaks or unintended releases of pollutants from a contained source, such as an air conditioning unit, into the surrounding atmosphere</w:t>
      </w:r>
      <w:r w:rsidR="00506F07">
        <w:rPr>
          <w:rFonts w:cstheme="minorHAnsi"/>
          <w:shd w:val="clear" w:color="auto" w:fill="FFFFFF"/>
        </w:rPr>
        <w:t>.</w:t>
      </w:r>
    </w:p>
    <w:p w14:paraId="45F51244" w14:textId="1A998C52" w:rsidR="001259C9" w:rsidRDefault="00B437D7" w:rsidP="00686CB7">
      <w:pPr>
        <w:pStyle w:val="ListParagraph"/>
        <w:numPr>
          <w:ilvl w:val="0"/>
          <w:numId w:val="2"/>
        </w:numPr>
      </w:pPr>
      <w:r>
        <w:t xml:space="preserve">Electricity for Council owned buildings and street lighting.  </w:t>
      </w:r>
      <w:r w:rsidR="003A6608">
        <w:t xml:space="preserve">In 2021/22, this also included electricity </w:t>
      </w:r>
      <w:r w:rsidR="002F35EB">
        <w:t xml:space="preserve">used to charge </w:t>
      </w:r>
      <w:r w:rsidR="00C60130">
        <w:t xml:space="preserve">a fleet of </w:t>
      </w:r>
      <w:r w:rsidR="002F35EB">
        <w:t xml:space="preserve">electric vehicles </w:t>
      </w:r>
      <w:r w:rsidR="00C60130">
        <w:t>which were trialled during this period.</w:t>
      </w:r>
      <w:r w:rsidR="003A6608">
        <w:t xml:space="preserve"> </w:t>
      </w:r>
    </w:p>
    <w:p w14:paraId="2A86509A" w14:textId="3451ECC5" w:rsidR="00B437D7" w:rsidRDefault="00B437D7" w:rsidP="001259C9">
      <w:r>
        <w:t>It does not include Council owned housing except for energy supplied to communal areas and sheltered housing.</w:t>
      </w:r>
    </w:p>
    <w:p w14:paraId="7DCEEE6C" w14:textId="77777777" w:rsidR="00B437D7" w:rsidRPr="00A005D5" w:rsidRDefault="00B437D7" w:rsidP="00B437D7">
      <w:pPr>
        <w:rPr>
          <w:u w:val="single"/>
        </w:rPr>
      </w:pPr>
      <w:r w:rsidRPr="00A005D5">
        <w:rPr>
          <w:u w:val="single"/>
        </w:rPr>
        <w:lastRenderedPageBreak/>
        <w:t xml:space="preserve">Indirect emissions (Scope 3) </w:t>
      </w:r>
    </w:p>
    <w:p w14:paraId="1765FB31" w14:textId="77777777" w:rsidR="00A63CC5" w:rsidRDefault="00B437D7" w:rsidP="00B437D7">
      <w:pPr>
        <w:pStyle w:val="ListParagraph"/>
        <w:numPr>
          <w:ilvl w:val="0"/>
          <w:numId w:val="3"/>
        </w:numPr>
      </w:pPr>
      <w:r>
        <w:t>Staff business travel</w:t>
      </w:r>
    </w:p>
    <w:p w14:paraId="1BFBA087" w14:textId="77777777" w:rsidR="00A63CC5" w:rsidRDefault="00B437D7" w:rsidP="00B437D7">
      <w:pPr>
        <w:pStyle w:val="ListParagraph"/>
        <w:numPr>
          <w:ilvl w:val="0"/>
          <w:numId w:val="3"/>
        </w:numPr>
      </w:pPr>
      <w:r>
        <w:t>Water</w:t>
      </w:r>
      <w:r w:rsidR="00CF0013">
        <w:t xml:space="preserve"> (including waste water</w:t>
      </w:r>
      <w:r w:rsidR="00377115">
        <w:t xml:space="preserve"> treatment</w:t>
      </w:r>
      <w:r w:rsidR="00CF0013">
        <w:t>)</w:t>
      </w:r>
    </w:p>
    <w:p w14:paraId="760EDED4" w14:textId="17CFDA6F" w:rsidR="00B437D7" w:rsidRPr="00D20153" w:rsidRDefault="00B437D7" w:rsidP="00B437D7">
      <w:pPr>
        <w:pStyle w:val="ListParagraph"/>
        <w:numPr>
          <w:ilvl w:val="0"/>
          <w:numId w:val="3"/>
        </w:numPr>
      </w:pPr>
      <w:r w:rsidRPr="00D20153">
        <w:t>Transmission and distribution losses – this term is used to describe the proportion of electricity purchased by the Council that is lost between the power station and the point of use (e.g., buildings or street lighting).</w:t>
      </w:r>
      <w:r w:rsidR="00406B11">
        <w:t xml:space="preserve">  It is directly proportional to the amount of electricity used so if </w:t>
      </w:r>
      <w:r w:rsidR="00D445F2">
        <w:t>less electricity is used the losses will be less.</w:t>
      </w:r>
    </w:p>
    <w:p w14:paraId="2D4F7768" w14:textId="39280FB8" w:rsidR="00FF17CC" w:rsidRDefault="00B437D7" w:rsidP="003A7958">
      <w:r>
        <w:t>We have not included areas of indirect control for example emissions from Local Authority Schools, staff commuting and contracted out services, such as school transport and waste disposal.</w:t>
      </w:r>
    </w:p>
    <w:p w14:paraId="224798DA" w14:textId="3EA2745F" w:rsidR="003A7958" w:rsidRPr="00937518" w:rsidRDefault="003A7958" w:rsidP="00096560">
      <w:pPr>
        <w:pStyle w:val="Heading1"/>
      </w:pPr>
      <w:r w:rsidRPr="00937518">
        <w:t xml:space="preserve">What are the main sources of emissions across our estate and operations? </w:t>
      </w:r>
    </w:p>
    <w:tbl>
      <w:tblPr>
        <w:tblStyle w:val="TableGrid"/>
        <w:tblW w:w="5000" w:type="pct"/>
        <w:tblLook w:val="04A0" w:firstRow="1" w:lastRow="0" w:firstColumn="1" w:lastColumn="0" w:noHBand="0" w:noVBand="1"/>
        <w:tblCaption w:val="Table 1 – Emissions summary 2021/22"/>
      </w:tblPr>
      <w:tblGrid>
        <w:gridCol w:w="1497"/>
        <w:gridCol w:w="947"/>
        <w:gridCol w:w="1250"/>
        <w:gridCol w:w="1250"/>
        <w:gridCol w:w="1250"/>
        <w:gridCol w:w="1412"/>
        <w:gridCol w:w="1410"/>
      </w:tblGrid>
      <w:tr w:rsidR="002E22ED" w14:paraId="699C55FD" w14:textId="77777777" w:rsidTr="00A72AA2">
        <w:trPr>
          <w:cantSplit/>
          <w:tblHeader/>
        </w:trPr>
        <w:tc>
          <w:tcPr>
            <w:tcW w:w="830" w:type="pct"/>
          </w:tcPr>
          <w:p w14:paraId="6B7BC5C5" w14:textId="01152629" w:rsidR="002E22ED" w:rsidRPr="006C00DF" w:rsidRDefault="002E22ED" w:rsidP="00A52B0D">
            <w:pPr>
              <w:rPr>
                <w:b/>
                <w:bCs/>
              </w:rPr>
            </w:pPr>
            <w:r w:rsidRPr="006C00DF">
              <w:rPr>
                <w:b/>
                <w:bCs/>
              </w:rPr>
              <w:t>Source</w:t>
            </w:r>
          </w:p>
        </w:tc>
        <w:tc>
          <w:tcPr>
            <w:tcW w:w="525" w:type="pct"/>
          </w:tcPr>
          <w:p w14:paraId="5A7AB3B4" w14:textId="77777777" w:rsidR="002E22ED" w:rsidRDefault="002E22ED" w:rsidP="002D22EA">
            <w:pPr>
              <w:rPr>
                <w:b/>
                <w:bCs/>
              </w:rPr>
            </w:pPr>
            <w:r>
              <w:rPr>
                <w:b/>
                <w:bCs/>
              </w:rPr>
              <w:t xml:space="preserve">Scope </w:t>
            </w:r>
          </w:p>
          <w:p w14:paraId="065EF880" w14:textId="304CE4A5" w:rsidR="002E22ED" w:rsidRPr="006C00DF" w:rsidRDefault="002E22ED" w:rsidP="002D22EA">
            <w:pPr>
              <w:rPr>
                <w:b/>
                <w:bCs/>
              </w:rPr>
            </w:pPr>
            <w:r>
              <w:rPr>
                <w:b/>
                <w:bCs/>
              </w:rPr>
              <w:t>(1, 2 or 3)</w:t>
            </w:r>
          </w:p>
        </w:tc>
        <w:tc>
          <w:tcPr>
            <w:tcW w:w="693" w:type="pct"/>
          </w:tcPr>
          <w:p w14:paraId="295300D2" w14:textId="77777777" w:rsidR="002E22ED" w:rsidRDefault="002E22ED" w:rsidP="00A25F26">
            <w:pPr>
              <w:rPr>
                <w:b/>
                <w:bCs/>
              </w:rPr>
            </w:pPr>
            <w:r w:rsidRPr="006C00DF">
              <w:rPr>
                <w:b/>
                <w:bCs/>
              </w:rPr>
              <w:t>Tonnes CO2e</w:t>
            </w:r>
          </w:p>
          <w:p w14:paraId="181F6094" w14:textId="7053453D" w:rsidR="002E22ED" w:rsidRDefault="002E22ED" w:rsidP="00A25F26">
            <w:pPr>
              <w:rPr>
                <w:b/>
                <w:bCs/>
              </w:rPr>
            </w:pPr>
            <w:r>
              <w:rPr>
                <w:b/>
                <w:bCs/>
              </w:rPr>
              <w:t>2018/19</w:t>
            </w:r>
          </w:p>
        </w:tc>
        <w:tc>
          <w:tcPr>
            <w:tcW w:w="693" w:type="pct"/>
          </w:tcPr>
          <w:p w14:paraId="42E27027" w14:textId="3A974BE9" w:rsidR="002E22ED" w:rsidRDefault="002E22ED" w:rsidP="00A25F26">
            <w:pPr>
              <w:rPr>
                <w:b/>
                <w:bCs/>
              </w:rPr>
            </w:pPr>
            <w:r w:rsidRPr="006C00DF">
              <w:rPr>
                <w:b/>
                <w:bCs/>
              </w:rPr>
              <w:t>Tonnes CO2e</w:t>
            </w:r>
          </w:p>
          <w:p w14:paraId="59480B93" w14:textId="3BF0EFC1" w:rsidR="002E22ED" w:rsidRDefault="002E22ED" w:rsidP="00A25F26">
            <w:pPr>
              <w:rPr>
                <w:b/>
                <w:bCs/>
              </w:rPr>
            </w:pPr>
            <w:r>
              <w:rPr>
                <w:b/>
                <w:bCs/>
              </w:rPr>
              <w:t>2019/20</w:t>
            </w:r>
          </w:p>
          <w:p w14:paraId="4C14A1B9" w14:textId="292671A4" w:rsidR="002E22ED" w:rsidRPr="006C00DF" w:rsidRDefault="002E22ED" w:rsidP="00AA0C1B">
            <w:pPr>
              <w:jc w:val="center"/>
              <w:rPr>
                <w:b/>
                <w:bCs/>
              </w:rPr>
            </w:pPr>
          </w:p>
        </w:tc>
        <w:tc>
          <w:tcPr>
            <w:tcW w:w="693" w:type="pct"/>
          </w:tcPr>
          <w:p w14:paraId="16E0E6C9" w14:textId="72DD3009" w:rsidR="002E22ED" w:rsidRPr="00CF62D0" w:rsidRDefault="002E22ED" w:rsidP="00A25F26">
            <w:pPr>
              <w:rPr>
                <w:b/>
                <w:bCs/>
              </w:rPr>
            </w:pPr>
            <w:r w:rsidRPr="00CF62D0">
              <w:rPr>
                <w:b/>
                <w:bCs/>
              </w:rPr>
              <w:t>Tonnes CO2e</w:t>
            </w:r>
          </w:p>
          <w:p w14:paraId="58928793" w14:textId="77777777" w:rsidR="002E22ED" w:rsidRPr="00CF62D0" w:rsidRDefault="002E22ED" w:rsidP="00A25F26">
            <w:pPr>
              <w:rPr>
                <w:b/>
                <w:bCs/>
              </w:rPr>
            </w:pPr>
            <w:r w:rsidRPr="00CF62D0">
              <w:rPr>
                <w:b/>
                <w:bCs/>
              </w:rPr>
              <w:t>2020/21</w:t>
            </w:r>
          </w:p>
          <w:p w14:paraId="22060F3B" w14:textId="4D1E6178" w:rsidR="002E22ED" w:rsidRPr="00CF62D0" w:rsidRDefault="002E22ED" w:rsidP="00A25F26"/>
        </w:tc>
        <w:tc>
          <w:tcPr>
            <w:tcW w:w="783" w:type="pct"/>
          </w:tcPr>
          <w:p w14:paraId="744DA3EE" w14:textId="77777777" w:rsidR="00333CB2" w:rsidRDefault="00333CB2" w:rsidP="00333CB2">
            <w:pPr>
              <w:rPr>
                <w:b/>
                <w:bCs/>
              </w:rPr>
            </w:pPr>
            <w:r w:rsidRPr="006C00DF">
              <w:rPr>
                <w:b/>
                <w:bCs/>
              </w:rPr>
              <w:t>Tonnes CO2e</w:t>
            </w:r>
          </w:p>
          <w:p w14:paraId="6196CC62" w14:textId="772C8A3F" w:rsidR="00333CB2" w:rsidRDefault="00333CB2" w:rsidP="00333CB2">
            <w:pPr>
              <w:rPr>
                <w:b/>
                <w:bCs/>
              </w:rPr>
            </w:pPr>
            <w:r>
              <w:rPr>
                <w:b/>
                <w:bCs/>
              </w:rPr>
              <w:t>202</w:t>
            </w:r>
            <w:r w:rsidR="00E56F6A">
              <w:rPr>
                <w:b/>
                <w:bCs/>
              </w:rPr>
              <w:t>1</w:t>
            </w:r>
            <w:r>
              <w:rPr>
                <w:b/>
                <w:bCs/>
              </w:rPr>
              <w:t>/2</w:t>
            </w:r>
            <w:r w:rsidR="00E56F6A">
              <w:rPr>
                <w:b/>
                <w:bCs/>
              </w:rPr>
              <w:t>2</w:t>
            </w:r>
          </w:p>
          <w:p w14:paraId="69FCFB33" w14:textId="712BAD3B" w:rsidR="002E22ED" w:rsidRDefault="00333CB2" w:rsidP="00333CB2">
            <w:pPr>
              <w:rPr>
                <w:b/>
                <w:bCs/>
              </w:rPr>
            </w:pPr>
            <w:r w:rsidRPr="006E7829">
              <w:t>(% difference from previous year in brackets)</w:t>
            </w:r>
          </w:p>
        </w:tc>
        <w:tc>
          <w:tcPr>
            <w:tcW w:w="782" w:type="pct"/>
          </w:tcPr>
          <w:p w14:paraId="56B797A8" w14:textId="297E367C" w:rsidR="002E22ED" w:rsidRDefault="002E22ED" w:rsidP="00A52B0D">
            <w:pPr>
              <w:rPr>
                <w:b/>
                <w:bCs/>
              </w:rPr>
            </w:pPr>
            <w:r>
              <w:rPr>
                <w:b/>
                <w:bCs/>
              </w:rPr>
              <w:t>% of overall emissions</w:t>
            </w:r>
          </w:p>
          <w:p w14:paraId="5C41F68D" w14:textId="56887C88" w:rsidR="002E22ED" w:rsidRPr="001420E5" w:rsidRDefault="002E22ED" w:rsidP="00A52B0D">
            <w:r w:rsidRPr="001420E5">
              <w:t>(</w:t>
            </w:r>
            <w:r>
              <w:t>20</w:t>
            </w:r>
            <w:r w:rsidR="00333CB2">
              <w:t>20</w:t>
            </w:r>
            <w:r>
              <w:t>/2</w:t>
            </w:r>
            <w:r w:rsidR="00333CB2">
              <w:t>1</w:t>
            </w:r>
            <w:r w:rsidRPr="001420E5">
              <w:t xml:space="preserve"> data in brackets)</w:t>
            </w:r>
          </w:p>
        </w:tc>
      </w:tr>
      <w:tr w:rsidR="00873A76" w14:paraId="548D5E01" w14:textId="77777777" w:rsidTr="00A72AA2">
        <w:trPr>
          <w:cantSplit/>
        </w:trPr>
        <w:tc>
          <w:tcPr>
            <w:tcW w:w="830" w:type="pct"/>
          </w:tcPr>
          <w:p w14:paraId="71C98BA3" w14:textId="77777777" w:rsidR="00873A76" w:rsidRDefault="00873A76" w:rsidP="00873A76">
            <w:r>
              <w:t>Heating (Gas and other heating fuel)</w:t>
            </w:r>
          </w:p>
          <w:p w14:paraId="68927DEB" w14:textId="77777777" w:rsidR="00873A76" w:rsidRPr="006C00DF" w:rsidRDefault="00873A76" w:rsidP="00873A76">
            <w:pPr>
              <w:rPr>
                <w:b/>
                <w:bCs/>
              </w:rPr>
            </w:pPr>
          </w:p>
        </w:tc>
        <w:tc>
          <w:tcPr>
            <w:tcW w:w="525" w:type="pct"/>
          </w:tcPr>
          <w:p w14:paraId="56F57D5B" w14:textId="5BFEEF6A" w:rsidR="00873A76" w:rsidRDefault="00873A76" w:rsidP="00873A76">
            <w:pPr>
              <w:rPr>
                <w:b/>
                <w:bCs/>
              </w:rPr>
            </w:pPr>
            <w:r>
              <w:t>Scope 1</w:t>
            </w:r>
          </w:p>
        </w:tc>
        <w:tc>
          <w:tcPr>
            <w:tcW w:w="693" w:type="pct"/>
          </w:tcPr>
          <w:p w14:paraId="22D6F5DC" w14:textId="5E339171" w:rsidR="00873A76" w:rsidRPr="006C00DF" w:rsidRDefault="00873A76" w:rsidP="00873A76">
            <w:pPr>
              <w:rPr>
                <w:b/>
                <w:bCs/>
              </w:rPr>
            </w:pPr>
            <w:r>
              <w:t>3,576.02</w:t>
            </w:r>
          </w:p>
        </w:tc>
        <w:tc>
          <w:tcPr>
            <w:tcW w:w="693" w:type="pct"/>
          </w:tcPr>
          <w:p w14:paraId="2BA2BEAF" w14:textId="7B5F9761" w:rsidR="00873A76" w:rsidRPr="006C00DF" w:rsidRDefault="00873A76" w:rsidP="00873A76">
            <w:pPr>
              <w:rPr>
                <w:b/>
                <w:bCs/>
              </w:rPr>
            </w:pPr>
            <w:r w:rsidRPr="00A25F26">
              <w:t>3,438.45</w:t>
            </w:r>
          </w:p>
        </w:tc>
        <w:tc>
          <w:tcPr>
            <w:tcW w:w="693" w:type="pct"/>
          </w:tcPr>
          <w:p w14:paraId="74097A5F" w14:textId="77777777" w:rsidR="00EC1403" w:rsidRDefault="00873A76" w:rsidP="00873A76">
            <w:r w:rsidRPr="00CF62D0">
              <w:t>2,251.39</w:t>
            </w:r>
          </w:p>
          <w:p w14:paraId="1D79F72C" w14:textId="00F461A2" w:rsidR="00873A76" w:rsidRPr="00CF62D0" w:rsidRDefault="003677B8" w:rsidP="003677B8">
            <w:pPr>
              <w:rPr>
                <w:b/>
                <w:bCs/>
              </w:rPr>
            </w:pPr>
            <w:r>
              <w:t>(value updated from 2020/21 report</w:t>
            </w:r>
            <w:r w:rsidR="009055C0">
              <w:t xml:space="preserve"> for reasons given above</w:t>
            </w:r>
            <w:r>
              <w:t>)</w:t>
            </w:r>
          </w:p>
        </w:tc>
        <w:tc>
          <w:tcPr>
            <w:tcW w:w="783" w:type="pct"/>
          </w:tcPr>
          <w:p w14:paraId="71B4740A" w14:textId="77777777" w:rsidR="00166593" w:rsidRDefault="00873A76" w:rsidP="00873A76">
            <w:pPr>
              <w:rPr>
                <w:b/>
                <w:bCs/>
              </w:rPr>
            </w:pPr>
            <w:r>
              <w:rPr>
                <w:b/>
                <w:bCs/>
              </w:rPr>
              <w:t>2,804.76</w:t>
            </w:r>
          </w:p>
          <w:p w14:paraId="5150C1AB" w14:textId="17494A4F" w:rsidR="00873A76" w:rsidRDefault="00873A76" w:rsidP="00873A76">
            <w:pPr>
              <w:rPr>
                <w:b/>
                <w:bCs/>
              </w:rPr>
            </w:pPr>
            <w:r w:rsidRPr="00333CB2">
              <w:rPr>
                <w:b/>
                <w:bCs/>
              </w:rPr>
              <w:t>↑</w:t>
            </w:r>
          </w:p>
          <w:p w14:paraId="47F34CDC" w14:textId="36DACFC3" w:rsidR="00190956" w:rsidRPr="00873A76" w:rsidRDefault="00873A76" w:rsidP="00873A76">
            <w:r w:rsidRPr="00873A76">
              <w:t>(</w:t>
            </w:r>
            <w:r w:rsidR="00D41867">
              <w:t>+</w:t>
            </w:r>
            <w:r w:rsidRPr="00873A76">
              <w:t>24.6%)</w:t>
            </w:r>
          </w:p>
          <w:p w14:paraId="6B0C2447" w14:textId="28C883E2" w:rsidR="00873A76" w:rsidRPr="00D41867" w:rsidRDefault="00D41867" w:rsidP="00873A76">
            <w:r w:rsidRPr="00D41867">
              <w:t>+553.37</w:t>
            </w:r>
            <w:r>
              <w:t xml:space="preserve"> tCO2e</w:t>
            </w:r>
          </w:p>
        </w:tc>
        <w:tc>
          <w:tcPr>
            <w:tcW w:w="782" w:type="pct"/>
          </w:tcPr>
          <w:p w14:paraId="274207CC" w14:textId="77777777" w:rsidR="00873A76" w:rsidRPr="00A25F26" w:rsidRDefault="00873A76" w:rsidP="00873A76">
            <w:pPr>
              <w:rPr>
                <w:b/>
                <w:bCs/>
              </w:rPr>
            </w:pPr>
            <w:r>
              <w:rPr>
                <w:b/>
                <w:bCs/>
              </w:rPr>
              <w:t>34</w:t>
            </w:r>
            <w:r w:rsidRPr="00A25F26">
              <w:rPr>
                <w:b/>
                <w:bCs/>
              </w:rPr>
              <w:t>%</w:t>
            </w:r>
          </w:p>
          <w:p w14:paraId="4BD8BB11" w14:textId="2B31D289" w:rsidR="00873A76" w:rsidRDefault="00873A76" w:rsidP="00873A76">
            <w:pPr>
              <w:rPr>
                <w:b/>
                <w:bCs/>
              </w:rPr>
            </w:pPr>
            <w:r w:rsidRPr="00A25F26">
              <w:t>(</w:t>
            </w:r>
            <w:r>
              <w:t>27.1</w:t>
            </w:r>
            <w:r w:rsidRPr="00A25F26">
              <w:t>%)</w:t>
            </w:r>
          </w:p>
        </w:tc>
      </w:tr>
      <w:tr w:rsidR="00A72AA2" w14:paraId="5B02A7E3" w14:textId="77777777" w:rsidTr="00A72AA2">
        <w:trPr>
          <w:cantSplit/>
        </w:trPr>
        <w:tc>
          <w:tcPr>
            <w:tcW w:w="830" w:type="pct"/>
          </w:tcPr>
          <w:p w14:paraId="74B358AD" w14:textId="06F3CD56" w:rsidR="00A72AA2" w:rsidRDefault="00A72AA2" w:rsidP="00A72AA2">
            <w:r>
              <w:t>Fleet (Diesel and Petrol)</w:t>
            </w:r>
          </w:p>
        </w:tc>
        <w:tc>
          <w:tcPr>
            <w:tcW w:w="525" w:type="pct"/>
          </w:tcPr>
          <w:p w14:paraId="1F5DDC83" w14:textId="521917F6" w:rsidR="00A72AA2" w:rsidRDefault="00A72AA2" w:rsidP="00A72AA2">
            <w:r>
              <w:t>Scope 1</w:t>
            </w:r>
          </w:p>
        </w:tc>
        <w:tc>
          <w:tcPr>
            <w:tcW w:w="693" w:type="pct"/>
          </w:tcPr>
          <w:p w14:paraId="6EE14436" w14:textId="27B9094B" w:rsidR="00A72AA2" w:rsidRDefault="00A72AA2" w:rsidP="00A72AA2">
            <w:r>
              <w:t>1,320.45</w:t>
            </w:r>
          </w:p>
        </w:tc>
        <w:tc>
          <w:tcPr>
            <w:tcW w:w="693" w:type="pct"/>
          </w:tcPr>
          <w:p w14:paraId="5302B56A" w14:textId="00A63C52" w:rsidR="00A72AA2" w:rsidRPr="00A25F26" w:rsidRDefault="00A72AA2" w:rsidP="00A72AA2">
            <w:r w:rsidRPr="00A25F26">
              <w:t>1,120.51</w:t>
            </w:r>
          </w:p>
        </w:tc>
        <w:tc>
          <w:tcPr>
            <w:tcW w:w="693" w:type="pct"/>
          </w:tcPr>
          <w:p w14:paraId="29F68FA2" w14:textId="0464C081" w:rsidR="00A72AA2" w:rsidRPr="00CF62D0" w:rsidRDefault="00A72AA2" w:rsidP="00A72AA2">
            <w:r w:rsidRPr="00CF62D0">
              <w:t xml:space="preserve">1,332.86 </w:t>
            </w:r>
          </w:p>
        </w:tc>
        <w:tc>
          <w:tcPr>
            <w:tcW w:w="783" w:type="pct"/>
          </w:tcPr>
          <w:p w14:paraId="2839B682" w14:textId="77777777" w:rsidR="00A72AA2" w:rsidRDefault="00A72AA2" w:rsidP="00A72AA2">
            <w:pPr>
              <w:rPr>
                <w:b/>
                <w:bCs/>
              </w:rPr>
            </w:pPr>
            <w:r>
              <w:rPr>
                <w:b/>
                <w:bCs/>
              </w:rPr>
              <w:t>1,274.03</w:t>
            </w:r>
          </w:p>
          <w:p w14:paraId="491B6D8E" w14:textId="77777777" w:rsidR="00A72AA2" w:rsidRDefault="00A72AA2" w:rsidP="00A72AA2">
            <w:pPr>
              <w:rPr>
                <w:b/>
                <w:bCs/>
              </w:rPr>
            </w:pPr>
            <w:r w:rsidRPr="00333CB2">
              <w:rPr>
                <w:b/>
                <w:bCs/>
              </w:rPr>
              <w:t>↓</w:t>
            </w:r>
          </w:p>
          <w:p w14:paraId="3C46B059" w14:textId="77777777" w:rsidR="00A72AA2" w:rsidRDefault="00A72AA2" w:rsidP="00A72AA2">
            <w:r w:rsidRPr="00873A76">
              <w:t>(-4.4%)</w:t>
            </w:r>
          </w:p>
          <w:p w14:paraId="72F0F172" w14:textId="7EE81AB3" w:rsidR="00A72AA2" w:rsidRDefault="00A72AA2" w:rsidP="00A72AA2">
            <w:pPr>
              <w:rPr>
                <w:b/>
                <w:bCs/>
              </w:rPr>
            </w:pPr>
            <w:r>
              <w:t>-58.83 tCO2e</w:t>
            </w:r>
          </w:p>
        </w:tc>
        <w:tc>
          <w:tcPr>
            <w:tcW w:w="782" w:type="pct"/>
          </w:tcPr>
          <w:p w14:paraId="29553319" w14:textId="77777777" w:rsidR="00A72AA2" w:rsidRPr="00B57F81" w:rsidRDefault="00A72AA2" w:rsidP="00A72AA2">
            <w:pPr>
              <w:rPr>
                <w:b/>
                <w:bCs/>
              </w:rPr>
            </w:pPr>
            <w:r w:rsidRPr="00B57F81">
              <w:rPr>
                <w:b/>
                <w:bCs/>
              </w:rPr>
              <w:t>15.4%</w:t>
            </w:r>
          </w:p>
          <w:p w14:paraId="4496197A" w14:textId="77777777" w:rsidR="00A72AA2" w:rsidRPr="00B57F81" w:rsidRDefault="00A72AA2" w:rsidP="00A72AA2">
            <w:r w:rsidRPr="00B57F81">
              <w:t>(16.1%)</w:t>
            </w:r>
          </w:p>
          <w:p w14:paraId="206B9A14" w14:textId="77777777" w:rsidR="00A72AA2" w:rsidRDefault="00A72AA2" w:rsidP="00A72AA2">
            <w:pPr>
              <w:rPr>
                <w:b/>
                <w:bCs/>
              </w:rPr>
            </w:pPr>
          </w:p>
        </w:tc>
      </w:tr>
      <w:tr w:rsidR="00A72AA2" w14:paraId="7EC7B0AD" w14:textId="77777777" w:rsidTr="00A72AA2">
        <w:trPr>
          <w:cantSplit/>
        </w:trPr>
        <w:tc>
          <w:tcPr>
            <w:tcW w:w="830" w:type="pct"/>
          </w:tcPr>
          <w:p w14:paraId="520D36CC" w14:textId="561B26DF" w:rsidR="00A72AA2" w:rsidRDefault="00A72AA2" w:rsidP="00A72AA2">
            <w:r>
              <w:t>Fugitive Emissions</w:t>
            </w:r>
          </w:p>
        </w:tc>
        <w:tc>
          <w:tcPr>
            <w:tcW w:w="525" w:type="pct"/>
          </w:tcPr>
          <w:p w14:paraId="5FFC0035" w14:textId="6AAF1B2A" w:rsidR="00A72AA2" w:rsidRDefault="00A72AA2" w:rsidP="00A72AA2">
            <w:r>
              <w:t>Scope 1</w:t>
            </w:r>
          </w:p>
        </w:tc>
        <w:tc>
          <w:tcPr>
            <w:tcW w:w="693" w:type="pct"/>
          </w:tcPr>
          <w:p w14:paraId="61A0D1C3" w14:textId="5AB21883" w:rsidR="00A72AA2" w:rsidRDefault="00A72AA2" w:rsidP="00A72AA2">
            <w:r>
              <w:t>0</w:t>
            </w:r>
          </w:p>
        </w:tc>
        <w:tc>
          <w:tcPr>
            <w:tcW w:w="693" w:type="pct"/>
          </w:tcPr>
          <w:p w14:paraId="719BFDE1" w14:textId="7D6335E6" w:rsidR="00A72AA2" w:rsidRPr="00A25F26" w:rsidRDefault="00A72AA2" w:rsidP="00A72AA2">
            <w:r w:rsidRPr="00E56F6A">
              <w:t>5.88</w:t>
            </w:r>
          </w:p>
        </w:tc>
        <w:tc>
          <w:tcPr>
            <w:tcW w:w="693" w:type="pct"/>
          </w:tcPr>
          <w:p w14:paraId="08678AFE" w14:textId="6217B05D" w:rsidR="00A72AA2" w:rsidRPr="00CF62D0" w:rsidRDefault="00A72AA2" w:rsidP="00A72AA2">
            <w:r w:rsidRPr="00CF62D0">
              <w:t xml:space="preserve">4.16 </w:t>
            </w:r>
          </w:p>
        </w:tc>
        <w:tc>
          <w:tcPr>
            <w:tcW w:w="783" w:type="pct"/>
          </w:tcPr>
          <w:p w14:paraId="41D5CAB5" w14:textId="77777777" w:rsidR="00A72AA2" w:rsidRDefault="00A72AA2" w:rsidP="00A72AA2">
            <w:pPr>
              <w:rPr>
                <w:b/>
                <w:bCs/>
              </w:rPr>
            </w:pPr>
            <w:r>
              <w:rPr>
                <w:b/>
                <w:bCs/>
              </w:rPr>
              <w:t>0</w:t>
            </w:r>
          </w:p>
          <w:p w14:paraId="41CE6350" w14:textId="77777777" w:rsidR="00A72AA2" w:rsidRDefault="00A72AA2" w:rsidP="00A72AA2">
            <w:pPr>
              <w:rPr>
                <w:b/>
                <w:bCs/>
              </w:rPr>
            </w:pPr>
            <w:r w:rsidRPr="00E56F6A">
              <w:rPr>
                <w:b/>
                <w:bCs/>
              </w:rPr>
              <w:t>↓</w:t>
            </w:r>
          </w:p>
          <w:p w14:paraId="25C4BA92" w14:textId="77777777" w:rsidR="00A72AA2" w:rsidRDefault="00A72AA2" w:rsidP="00A72AA2">
            <w:r w:rsidRPr="00734927">
              <w:t>(-100%)</w:t>
            </w:r>
          </w:p>
          <w:p w14:paraId="074BD545" w14:textId="073649F6" w:rsidR="00A72AA2" w:rsidRDefault="00A72AA2" w:rsidP="00A72AA2">
            <w:pPr>
              <w:rPr>
                <w:b/>
                <w:bCs/>
              </w:rPr>
            </w:pPr>
            <w:r>
              <w:t>-4.16 tCO2e</w:t>
            </w:r>
          </w:p>
        </w:tc>
        <w:tc>
          <w:tcPr>
            <w:tcW w:w="782" w:type="pct"/>
          </w:tcPr>
          <w:p w14:paraId="48C00A74" w14:textId="77777777" w:rsidR="00A72AA2" w:rsidRPr="00A25F26" w:rsidRDefault="00A72AA2" w:rsidP="00A72AA2">
            <w:pPr>
              <w:rPr>
                <w:b/>
                <w:bCs/>
              </w:rPr>
            </w:pPr>
            <w:r w:rsidRPr="00A25F26">
              <w:rPr>
                <w:b/>
                <w:bCs/>
              </w:rPr>
              <w:t>0%</w:t>
            </w:r>
          </w:p>
          <w:p w14:paraId="0A5DE4CD" w14:textId="77777777" w:rsidR="00A72AA2" w:rsidRPr="00A25F26" w:rsidRDefault="00A72AA2" w:rsidP="00A72AA2">
            <w:r w:rsidRPr="00A25F26">
              <w:t>(0.1%)</w:t>
            </w:r>
          </w:p>
          <w:p w14:paraId="034164E1" w14:textId="77777777" w:rsidR="00A72AA2" w:rsidRDefault="00A72AA2" w:rsidP="00A72AA2">
            <w:pPr>
              <w:rPr>
                <w:b/>
                <w:bCs/>
              </w:rPr>
            </w:pPr>
          </w:p>
        </w:tc>
      </w:tr>
      <w:tr w:rsidR="00A72AA2" w14:paraId="76DB5714" w14:textId="77777777" w:rsidTr="00A72AA2">
        <w:trPr>
          <w:cantSplit/>
        </w:trPr>
        <w:tc>
          <w:tcPr>
            <w:tcW w:w="830" w:type="pct"/>
          </w:tcPr>
          <w:p w14:paraId="064238DA" w14:textId="07643ED0" w:rsidR="00A72AA2" w:rsidRPr="006C00DF" w:rsidRDefault="00A72AA2" w:rsidP="00A72AA2">
            <w:pPr>
              <w:rPr>
                <w:b/>
                <w:bCs/>
              </w:rPr>
            </w:pPr>
            <w:r>
              <w:t>Building (Electricity)</w:t>
            </w:r>
          </w:p>
        </w:tc>
        <w:tc>
          <w:tcPr>
            <w:tcW w:w="525" w:type="pct"/>
          </w:tcPr>
          <w:p w14:paraId="358BA92F" w14:textId="2BCA78E5" w:rsidR="00A72AA2" w:rsidRDefault="00A72AA2" w:rsidP="00A72AA2">
            <w:pPr>
              <w:rPr>
                <w:b/>
                <w:bCs/>
              </w:rPr>
            </w:pPr>
            <w:r>
              <w:t>Scope 2</w:t>
            </w:r>
          </w:p>
        </w:tc>
        <w:tc>
          <w:tcPr>
            <w:tcW w:w="693" w:type="pct"/>
          </w:tcPr>
          <w:p w14:paraId="49E64D6F" w14:textId="118CC009" w:rsidR="00A72AA2" w:rsidRDefault="00A72AA2" w:rsidP="00A72AA2">
            <w:pPr>
              <w:rPr>
                <w:b/>
                <w:bCs/>
              </w:rPr>
            </w:pPr>
            <w:r w:rsidRPr="000F3F33">
              <w:t>3,453.80</w:t>
            </w:r>
          </w:p>
        </w:tc>
        <w:tc>
          <w:tcPr>
            <w:tcW w:w="693" w:type="pct"/>
          </w:tcPr>
          <w:p w14:paraId="2335819A" w14:textId="5FAFE0C0" w:rsidR="00A72AA2" w:rsidRPr="00A25F26" w:rsidRDefault="00A72AA2" w:rsidP="00A72AA2">
            <w:pPr>
              <w:rPr>
                <w:b/>
                <w:bCs/>
              </w:rPr>
            </w:pPr>
            <w:r w:rsidRPr="00A25F26">
              <w:t>2,617.52</w:t>
            </w:r>
          </w:p>
        </w:tc>
        <w:tc>
          <w:tcPr>
            <w:tcW w:w="693" w:type="pct"/>
          </w:tcPr>
          <w:p w14:paraId="56B9C876" w14:textId="32D49E71" w:rsidR="00A72AA2" w:rsidRPr="00CF62D0" w:rsidRDefault="00A72AA2" w:rsidP="00A72AA2">
            <w:r w:rsidRPr="00CF62D0">
              <w:t xml:space="preserve">2,367.17 </w:t>
            </w:r>
          </w:p>
        </w:tc>
        <w:tc>
          <w:tcPr>
            <w:tcW w:w="783" w:type="pct"/>
          </w:tcPr>
          <w:p w14:paraId="06857A13" w14:textId="77777777" w:rsidR="00A72AA2" w:rsidRDefault="00A72AA2" w:rsidP="00A72AA2">
            <w:pPr>
              <w:rPr>
                <w:b/>
                <w:bCs/>
              </w:rPr>
            </w:pPr>
            <w:r>
              <w:rPr>
                <w:b/>
                <w:bCs/>
              </w:rPr>
              <w:t>2,158.18</w:t>
            </w:r>
          </w:p>
          <w:p w14:paraId="215F312A" w14:textId="229D45A4" w:rsidR="00A72AA2" w:rsidRDefault="00A72AA2" w:rsidP="00A72AA2">
            <w:pPr>
              <w:rPr>
                <w:b/>
                <w:bCs/>
              </w:rPr>
            </w:pPr>
            <w:r w:rsidRPr="00333CB2">
              <w:rPr>
                <w:b/>
                <w:bCs/>
              </w:rPr>
              <w:t>↓</w:t>
            </w:r>
          </w:p>
          <w:p w14:paraId="7B6C2443" w14:textId="77777777" w:rsidR="00A72AA2" w:rsidRDefault="00A72AA2" w:rsidP="00A72AA2">
            <w:r w:rsidRPr="00873A76">
              <w:t>(-8.8%)</w:t>
            </w:r>
          </w:p>
          <w:p w14:paraId="31B49DF1" w14:textId="0CB84564" w:rsidR="00A72AA2" w:rsidRPr="00873A76" w:rsidRDefault="00A72AA2" w:rsidP="00A72AA2">
            <w:r>
              <w:t>-208.99 tCO2e</w:t>
            </w:r>
          </w:p>
        </w:tc>
        <w:tc>
          <w:tcPr>
            <w:tcW w:w="782" w:type="pct"/>
          </w:tcPr>
          <w:p w14:paraId="41F6C2A5" w14:textId="455D5879" w:rsidR="00A72AA2" w:rsidRPr="00A25F26" w:rsidRDefault="00A72AA2" w:rsidP="00A72AA2">
            <w:pPr>
              <w:rPr>
                <w:b/>
                <w:bCs/>
              </w:rPr>
            </w:pPr>
            <w:r w:rsidRPr="00A25F26">
              <w:rPr>
                <w:b/>
                <w:bCs/>
              </w:rPr>
              <w:t>2</w:t>
            </w:r>
            <w:r>
              <w:rPr>
                <w:b/>
                <w:bCs/>
              </w:rPr>
              <w:t>6.1</w:t>
            </w:r>
            <w:r w:rsidRPr="00A25F26">
              <w:rPr>
                <w:b/>
                <w:bCs/>
              </w:rPr>
              <w:t>%</w:t>
            </w:r>
          </w:p>
          <w:p w14:paraId="6E2EC4CC" w14:textId="56F208EF" w:rsidR="00A72AA2" w:rsidRPr="00A25F26" w:rsidRDefault="00A72AA2" w:rsidP="00A72AA2">
            <w:r w:rsidRPr="00A25F26">
              <w:t>(</w:t>
            </w:r>
            <w:r>
              <w:t>28.5</w:t>
            </w:r>
            <w:r w:rsidRPr="00A25F26">
              <w:t>%)</w:t>
            </w:r>
          </w:p>
          <w:p w14:paraId="304C36B4" w14:textId="78870098" w:rsidR="00A72AA2" w:rsidRPr="00A25F26" w:rsidRDefault="00A72AA2" w:rsidP="00A72AA2">
            <w:pPr>
              <w:rPr>
                <w:b/>
                <w:bCs/>
              </w:rPr>
            </w:pPr>
          </w:p>
        </w:tc>
      </w:tr>
      <w:tr w:rsidR="00A72AA2" w14:paraId="17BBC4BC" w14:textId="77777777" w:rsidTr="00A72AA2">
        <w:trPr>
          <w:cantSplit/>
        </w:trPr>
        <w:tc>
          <w:tcPr>
            <w:tcW w:w="830" w:type="pct"/>
          </w:tcPr>
          <w:p w14:paraId="60B3C55D" w14:textId="77777777" w:rsidR="00A72AA2" w:rsidRDefault="00A72AA2" w:rsidP="00A72AA2">
            <w:r>
              <w:t>Street Lighting (Electricity)</w:t>
            </w:r>
          </w:p>
        </w:tc>
        <w:tc>
          <w:tcPr>
            <w:tcW w:w="525" w:type="pct"/>
          </w:tcPr>
          <w:p w14:paraId="6BA770BA" w14:textId="77777777" w:rsidR="00A72AA2" w:rsidRDefault="00A72AA2" w:rsidP="00A72AA2">
            <w:r>
              <w:t>Scope 2</w:t>
            </w:r>
          </w:p>
        </w:tc>
        <w:tc>
          <w:tcPr>
            <w:tcW w:w="693" w:type="pct"/>
          </w:tcPr>
          <w:p w14:paraId="3AA6DA52" w14:textId="13118488" w:rsidR="00A72AA2" w:rsidRPr="00D00388" w:rsidRDefault="00A72AA2" w:rsidP="00A72AA2">
            <w:r>
              <w:t>2,762.29</w:t>
            </w:r>
          </w:p>
        </w:tc>
        <w:tc>
          <w:tcPr>
            <w:tcW w:w="693" w:type="pct"/>
          </w:tcPr>
          <w:p w14:paraId="16703A67" w14:textId="4E6C7A73" w:rsidR="00A72AA2" w:rsidRPr="00A25F26" w:rsidRDefault="00A72AA2" w:rsidP="00A72AA2">
            <w:pPr>
              <w:rPr>
                <w:b/>
                <w:bCs/>
              </w:rPr>
            </w:pPr>
            <w:r w:rsidRPr="00A25F26">
              <w:t>2,442.13</w:t>
            </w:r>
          </w:p>
        </w:tc>
        <w:tc>
          <w:tcPr>
            <w:tcW w:w="693" w:type="pct"/>
          </w:tcPr>
          <w:p w14:paraId="41FA16AD" w14:textId="38731FEE" w:rsidR="00A72AA2" w:rsidRPr="00CF62D0" w:rsidRDefault="00A72AA2" w:rsidP="00A72AA2">
            <w:r w:rsidRPr="00CF62D0">
              <w:t>1,741.10</w:t>
            </w:r>
          </w:p>
        </w:tc>
        <w:tc>
          <w:tcPr>
            <w:tcW w:w="783" w:type="pct"/>
          </w:tcPr>
          <w:p w14:paraId="31039B85" w14:textId="77777777" w:rsidR="00A72AA2" w:rsidRDefault="00A72AA2" w:rsidP="00A72AA2">
            <w:pPr>
              <w:rPr>
                <w:b/>
                <w:bCs/>
              </w:rPr>
            </w:pPr>
            <w:r>
              <w:rPr>
                <w:b/>
                <w:bCs/>
              </w:rPr>
              <w:t>1,449.19</w:t>
            </w:r>
          </w:p>
          <w:p w14:paraId="700771D9" w14:textId="205D293C" w:rsidR="00A72AA2" w:rsidRDefault="00A72AA2" w:rsidP="00A72AA2">
            <w:pPr>
              <w:rPr>
                <w:b/>
                <w:bCs/>
              </w:rPr>
            </w:pPr>
            <w:r w:rsidRPr="00333CB2">
              <w:rPr>
                <w:b/>
                <w:bCs/>
              </w:rPr>
              <w:t>↓</w:t>
            </w:r>
          </w:p>
          <w:p w14:paraId="5B4FF44C" w14:textId="77777777" w:rsidR="00A72AA2" w:rsidRDefault="00A72AA2" w:rsidP="00A72AA2">
            <w:r w:rsidRPr="00873A76">
              <w:t>(-16.8%)</w:t>
            </w:r>
          </w:p>
          <w:p w14:paraId="51D59B47" w14:textId="437430F5" w:rsidR="00A72AA2" w:rsidRPr="00873A76" w:rsidRDefault="00A72AA2" w:rsidP="00A72AA2">
            <w:r>
              <w:t>-291.91 tCO2e</w:t>
            </w:r>
          </w:p>
        </w:tc>
        <w:tc>
          <w:tcPr>
            <w:tcW w:w="782" w:type="pct"/>
          </w:tcPr>
          <w:p w14:paraId="67BDA4B1" w14:textId="2D94504F" w:rsidR="00A72AA2" w:rsidRPr="00A25F26" w:rsidRDefault="00A72AA2" w:rsidP="00A72AA2">
            <w:pPr>
              <w:rPr>
                <w:b/>
                <w:bCs/>
              </w:rPr>
            </w:pPr>
            <w:r>
              <w:rPr>
                <w:b/>
                <w:bCs/>
              </w:rPr>
              <w:t>17.6</w:t>
            </w:r>
            <w:r w:rsidRPr="00A25F26">
              <w:rPr>
                <w:b/>
                <w:bCs/>
              </w:rPr>
              <w:t>%</w:t>
            </w:r>
          </w:p>
          <w:p w14:paraId="0F0A4312" w14:textId="6BE164F7" w:rsidR="00A72AA2" w:rsidRPr="00A25F26" w:rsidRDefault="00A72AA2" w:rsidP="00A72AA2">
            <w:r w:rsidRPr="00A25F26">
              <w:t>(2</w:t>
            </w:r>
            <w:r>
              <w:t>1</w:t>
            </w:r>
            <w:r w:rsidRPr="00A25F26">
              <w:t>%)</w:t>
            </w:r>
          </w:p>
        </w:tc>
      </w:tr>
      <w:tr w:rsidR="00A72AA2" w14:paraId="6F08E6BF" w14:textId="77777777" w:rsidTr="00A72AA2">
        <w:trPr>
          <w:cantSplit/>
        </w:trPr>
        <w:tc>
          <w:tcPr>
            <w:tcW w:w="830" w:type="pct"/>
          </w:tcPr>
          <w:p w14:paraId="4E52D3C1" w14:textId="77777777" w:rsidR="00A72AA2" w:rsidRDefault="00A72AA2" w:rsidP="00A72AA2">
            <w:r>
              <w:lastRenderedPageBreak/>
              <w:t>Transmission and Distribution Losses</w:t>
            </w:r>
          </w:p>
          <w:p w14:paraId="425C7931" w14:textId="4DD70E77" w:rsidR="00A72AA2" w:rsidRDefault="00A72AA2" w:rsidP="00A72AA2"/>
        </w:tc>
        <w:tc>
          <w:tcPr>
            <w:tcW w:w="525" w:type="pct"/>
          </w:tcPr>
          <w:p w14:paraId="70A22477" w14:textId="77777777" w:rsidR="00A72AA2" w:rsidRDefault="00A72AA2" w:rsidP="00A72AA2">
            <w:r>
              <w:t>Scope 3</w:t>
            </w:r>
          </w:p>
        </w:tc>
        <w:tc>
          <w:tcPr>
            <w:tcW w:w="693" w:type="pct"/>
          </w:tcPr>
          <w:p w14:paraId="060DF8E4" w14:textId="153AE215" w:rsidR="00A72AA2" w:rsidRPr="00A452B5" w:rsidRDefault="00A72AA2" w:rsidP="00A72AA2">
            <w:r>
              <w:t>529.83</w:t>
            </w:r>
          </w:p>
        </w:tc>
        <w:tc>
          <w:tcPr>
            <w:tcW w:w="693" w:type="pct"/>
          </w:tcPr>
          <w:p w14:paraId="569FD86C" w14:textId="4D2ACD4D" w:rsidR="00A72AA2" w:rsidRPr="00A25F26" w:rsidRDefault="00A72AA2" w:rsidP="00A72AA2">
            <w:pPr>
              <w:rPr>
                <w:b/>
                <w:bCs/>
              </w:rPr>
            </w:pPr>
            <w:r w:rsidRPr="00A25F26">
              <w:t>429.56</w:t>
            </w:r>
          </w:p>
        </w:tc>
        <w:tc>
          <w:tcPr>
            <w:tcW w:w="693" w:type="pct"/>
          </w:tcPr>
          <w:p w14:paraId="53A979AF" w14:textId="60B5DE22" w:rsidR="00A72AA2" w:rsidRPr="00CF62D0" w:rsidRDefault="00A72AA2" w:rsidP="00A72AA2">
            <w:r w:rsidRPr="00CF62D0">
              <w:t>353.31</w:t>
            </w:r>
          </w:p>
        </w:tc>
        <w:tc>
          <w:tcPr>
            <w:tcW w:w="783" w:type="pct"/>
          </w:tcPr>
          <w:p w14:paraId="6B5351F0" w14:textId="77777777" w:rsidR="00A72AA2" w:rsidRDefault="00A72AA2" w:rsidP="00A72AA2">
            <w:pPr>
              <w:rPr>
                <w:b/>
                <w:bCs/>
              </w:rPr>
            </w:pPr>
            <w:r>
              <w:rPr>
                <w:b/>
                <w:bCs/>
              </w:rPr>
              <w:t>319.23</w:t>
            </w:r>
          </w:p>
          <w:p w14:paraId="5552294E" w14:textId="70759EA0" w:rsidR="00A72AA2" w:rsidRDefault="00A72AA2" w:rsidP="00A72AA2">
            <w:pPr>
              <w:rPr>
                <w:b/>
                <w:bCs/>
              </w:rPr>
            </w:pPr>
            <w:r w:rsidRPr="00333CB2">
              <w:rPr>
                <w:b/>
                <w:bCs/>
              </w:rPr>
              <w:t>↓</w:t>
            </w:r>
          </w:p>
          <w:p w14:paraId="0761CB52" w14:textId="77777777" w:rsidR="00A72AA2" w:rsidRDefault="00A72AA2" w:rsidP="00A72AA2">
            <w:r w:rsidRPr="00873A76">
              <w:t>(-9.6%)</w:t>
            </w:r>
          </w:p>
          <w:p w14:paraId="15ED03A9" w14:textId="6C03DA7C" w:rsidR="00A72AA2" w:rsidRPr="00873A76" w:rsidRDefault="00A72AA2" w:rsidP="00A72AA2">
            <w:r>
              <w:t>-34.08 tCO2e</w:t>
            </w:r>
          </w:p>
        </w:tc>
        <w:tc>
          <w:tcPr>
            <w:tcW w:w="782" w:type="pct"/>
          </w:tcPr>
          <w:p w14:paraId="6111E6CB" w14:textId="713521CE" w:rsidR="00A72AA2" w:rsidRPr="00B57F81" w:rsidRDefault="00A72AA2" w:rsidP="00A72AA2">
            <w:pPr>
              <w:rPr>
                <w:b/>
                <w:bCs/>
              </w:rPr>
            </w:pPr>
            <w:r w:rsidRPr="00B57F81">
              <w:rPr>
                <w:b/>
                <w:bCs/>
              </w:rPr>
              <w:t>3.9%</w:t>
            </w:r>
          </w:p>
          <w:p w14:paraId="06CFDAC8" w14:textId="379F63CB" w:rsidR="00A72AA2" w:rsidRPr="00B57F81" w:rsidRDefault="00A72AA2" w:rsidP="00A72AA2">
            <w:r w:rsidRPr="00B57F81">
              <w:t>(4.3%)</w:t>
            </w:r>
          </w:p>
        </w:tc>
      </w:tr>
      <w:tr w:rsidR="00A72AA2" w14:paraId="35A7D542" w14:textId="77777777" w:rsidTr="00A72AA2">
        <w:trPr>
          <w:cantSplit/>
        </w:trPr>
        <w:tc>
          <w:tcPr>
            <w:tcW w:w="830" w:type="pct"/>
            <w:tcBorders>
              <w:bottom w:val="single" w:sz="4" w:space="0" w:color="auto"/>
            </w:tcBorders>
          </w:tcPr>
          <w:p w14:paraId="43892127" w14:textId="1AAC0466" w:rsidR="00A72AA2" w:rsidRDefault="00A72AA2" w:rsidP="00A72AA2">
            <w:r>
              <w:t xml:space="preserve">Staff Business Travel </w:t>
            </w:r>
          </w:p>
        </w:tc>
        <w:tc>
          <w:tcPr>
            <w:tcW w:w="525" w:type="pct"/>
            <w:tcBorders>
              <w:bottom w:val="single" w:sz="4" w:space="0" w:color="auto"/>
            </w:tcBorders>
          </w:tcPr>
          <w:p w14:paraId="7EC9A111" w14:textId="77777777" w:rsidR="00A72AA2" w:rsidRDefault="00A72AA2" w:rsidP="00A72AA2">
            <w:r>
              <w:t>Scope 3</w:t>
            </w:r>
          </w:p>
        </w:tc>
        <w:tc>
          <w:tcPr>
            <w:tcW w:w="693" w:type="pct"/>
            <w:tcBorders>
              <w:bottom w:val="single" w:sz="4" w:space="0" w:color="auto"/>
            </w:tcBorders>
          </w:tcPr>
          <w:p w14:paraId="45B87FC8" w14:textId="684B62E3" w:rsidR="00A72AA2" w:rsidRPr="00A452B5" w:rsidRDefault="00A72AA2" w:rsidP="00A72AA2">
            <w:r>
              <w:t>319.52</w:t>
            </w:r>
          </w:p>
        </w:tc>
        <w:tc>
          <w:tcPr>
            <w:tcW w:w="693" w:type="pct"/>
            <w:tcBorders>
              <w:bottom w:val="single" w:sz="4" w:space="0" w:color="auto"/>
            </w:tcBorders>
          </w:tcPr>
          <w:p w14:paraId="1555BA3F" w14:textId="32A2C0C6" w:rsidR="00A72AA2" w:rsidRPr="00A25F26" w:rsidRDefault="00A72AA2" w:rsidP="00A72AA2">
            <w:pPr>
              <w:rPr>
                <w:b/>
                <w:bCs/>
              </w:rPr>
            </w:pPr>
            <w:r w:rsidRPr="00A25F26">
              <w:t>305.39</w:t>
            </w:r>
          </w:p>
        </w:tc>
        <w:tc>
          <w:tcPr>
            <w:tcW w:w="693" w:type="pct"/>
            <w:tcBorders>
              <w:bottom w:val="single" w:sz="4" w:space="0" w:color="auto"/>
            </w:tcBorders>
          </w:tcPr>
          <w:p w14:paraId="39CE616E" w14:textId="767B6117" w:rsidR="00A72AA2" w:rsidRPr="00CF62D0" w:rsidRDefault="00A72AA2" w:rsidP="00A72AA2">
            <w:r w:rsidRPr="00CF62D0">
              <w:t xml:space="preserve">118.96 </w:t>
            </w:r>
          </w:p>
        </w:tc>
        <w:tc>
          <w:tcPr>
            <w:tcW w:w="783" w:type="pct"/>
            <w:tcBorders>
              <w:bottom w:val="single" w:sz="4" w:space="0" w:color="auto"/>
            </w:tcBorders>
          </w:tcPr>
          <w:p w14:paraId="589BD277" w14:textId="77777777" w:rsidR="00A72AA2" w:rsidRDefault="00A72AA2" w:rsidP="00A72AA2">
            <w:pPr>
              <w:rPr>
                <w:b/>
                <w:bCs/>
              </w:rPr>
            </w:pPr>
            <w:r>
              <w:rPr>
                <w:b/>
                <w:bCs/>
              </w:rPr>
              <w:t>207.81</w:t>
            </w:r>
          </w:p>
          <w:p w14:paraId="3AC2DC72" w14:textId="5C58E025" w:rsidR="00A72AA2" w:rsidRDefault="00A72AA2" w:rsidP="00A72AA2">
            <w:pPr>
              <w:rPr>
                <w:b/>
                <w:bCs/>
              </w:rPr>
            </w:pPr>
            <w:r w:rsidRPr="00333CB2">
              <w:rPr>
                <w:b/>
                <w:bCs/>
              </w:rPr>
              <w:t>↑</w:t>
            </w:r>
          </w:p>
          <w:p w14:paraId="68B4BA2B" w14:textId="77777777" w:rsidR="00A72AA2" w:rsidRDefault="00A72AA2" w:rsidP="00A72AA2">
            <w:r w:rsidRPr="00734927">
              <w:t>(+74.7%)</w:t>
            </w:r>
          </w:p>
          <w:p w14:paraId="2D24A4DD" w14:textId="6245603A" w:rsidR="00A72AA2" w:rsidRPr="00734927" w:rsidRDefault="00A72AA2" w:rsidP="00A72AA2">
            <w:r>
              <w:t>+88.85 tCO2e</w:t>
            </w:r>
          </w:p>
        </w:tc>
        <w:tc>
          <w:tcPr>
            <w:tcW w:w="782" w:type="pct"/>
            <w:tcBorders>
              <w:bottom w:val="single" w:sz="4" w:space="0" w:color="auto"/>
            </w:tcBorders>
          </w:tcPr>
          <w:p w14:paraId="520AF0ED" w14:textId="775EB3DD" w:rsidR="00A72AA2" w:rsidRPr="00A25F26" w:rsidRDefault="00A72AA2" w:rsidP="00A72AA2">
            <w:pPr>
              <w:rPr>
                <w:b/>
                <w:bCs/>
              </w:rPr>
            </w:pPr>
            <w:r>
              <w:rPr>
                <w:b/>
                <w:bCs/>
              </w:rPr>
              <w:t>2.5</w:t>
            </w:r>
            <w:r w:rsidRPr="00A25F26">
              <w:rPr>
                <w:b/>
                <w:bCs/>
              </w:rPr>
              <w:t>%</w:t>
            </w:r>
          </w:p>
          <w:p w14:paraId="4D9654B7" w14:textId="1773FC13" w:rsidR="00A72AA2" w:rsidRPr="00A25F26" w:rsidRDefault="00A72AA2" w:rsidP="00A72AA2">
            <w:r w:rsidRPr="00A25F26">
              <w:t>(</w:t>
            </w:r>
            <w:r>
              <w:t>1.4</w:t>
            </w:r>
            <w:r w:rsidRPr="00A25F26">
              <w:t>%)</w:t>
            </w:r>
          </w:p>
          <w:p w14:paraId="08C982B3" w14:textId="54048CB1" w:rsidR="00A72AA2" w:rsidRPr="00A25F26" w:rsidRDefault="00A72AA2" w:rsidP="00A72AA2"/>
        </w:tc>
      </w:tr>
      <w:tr w:rsidR="00A72AA2" w14:paraId="5CCDAD16" w14:textId="77777777" w:rsidTr="00A72AA2">
        <w:trPr>
          <w:cantSplit/>
        </w:trPr>
        <w:tc>
          <w:tcPr>
            <w:tcW w:w="830" w:type="pct"/>
            <w:tcBorders>
              <w:bottom w:val="single" w:sz="4" w:space="0" w:color="auto"/>
            </w:tcBorders>
          </w:tcPr>
          <w:p w14:paraId="19F500CE" w14:textId="34C2B895" w:rsidR="00A72AA2" w:rsidRDefault="00A72AA2" w:rsidP="00A72AA2">
            <w:r>
              <w:t xml:space="preserve">Water </w:t>
            </w:r>
          </w:p>
        </w:tc>
        <w:tc>
          <w:tcPr>
            <w:tcW w:w="525" w:type="pct"/>
            <w:tcBorders>
              <w:bottom w:val="single" w:sz="4" w:space="0" w:color="auto"/>
            </w:tcBorders>
          </w:tcPr>
          <w:p w14:paraId="672C9F6C" w14:textId="2D300CA3" w:rsidR="00A72AA2" w:rsidRDefault="00A72AA2" w:rsidP="00A72AA2">
            <w:r>
              <w:t>Scope 3</w:t>
            </w:r>
          </w:p>
        </w:tc>
        <w:tc>
          <w:tcPr>
            <w:tcW w:w="693" w:type="pct"/>
            <w:tcBorders>
              <w:bottom w:val="single" w:sz="4" w:space="0" w:color="auto"/>
            </w:tcBorders>
          </w:tcPr>
          <w:p w14:paraId="35ECE21A" w14:textId="2761A142" w:rsidR="00A72AA2" w:rsidRDefault="00A72AA2" w:rsidP="00A72AA2">
            <w:r>
              <w:t>143.20</w:t>
            </w:r>
          </w:p>
        </w:tc>
        <w:tc>
          <w:tcPr>
            <w:tcW w:w="693" w:type="pct"/>
            <w:tcBorders>
              <w:bottom w:val="single" w:sz="4" w:space="0" w:color="auto"/>
            </w:tcBorders>
          </w:tcPr>
          <w:p w14:paraId="5BAAE08D" w14:textId="677424DC" w:rsidR="00A72AA2" w:rsidRPr="00A25F26" w:rsidRDefault="00A72AA2" w:rsidP="00A72AA2">
            <w:r w:rsidRPr="00A25F26">
              <w:t>150.73</w:t>
            </w:r>
          </w:p>
        </w:tc>
        <w:tc>
          <w:tcPr>
            <w:tcW w:w="693" w:type="pct"/>
            <w:tcBorders>
              <w:bottom w:val="single" w:sz="4" w:space="0" w:color="auto"/>
            </w:tcBorders>
          </w:tcPr>
          <w:p w14:paraId="45756AA6" w14:textId="6CE61610" w:rsidR="00A72AA2" w:rsidRPr="00CF62D0" w:rsidRDefault="00A72AA2" w:rsidP="00A72AA2">
            <w:r w:rsidRPr="00CF62D0">
              <w:t xml:space="preserve">133.38 </w:t>
            </w:r>
          </w:p>
        </w:tc>
        <w:tc>
          <w:tcPr>
            <w:tcW w:w="783" w:type="pct"/>
            <w:tcBorders>
              <w:bottom w:val="single" w:sz="4" w:space="0" w:color="auto"/>
            </w:tcBorders>
          </w:tcPr>
          <w:p w14:paraId="3F77474B" w14:textId="77777777" w:rsidR="00A72AA2" w:rsidRDefault="00A72AA2" w:rsidP="00A72AA2">
            <w:pPr>
              <w:rPr>
                <w:b/>
                <w:bCs/>
              </w:rPr>
            </w:pPr>
            <w:r>
              <w:rPr>
                <w:b/>
                <w:bCs/>
              </w:rPr>
              <w:t>44.21</w:t>
            </w:r>
          </w:p>
          <w:p w14:paraId="2950DE46" w14:textId="022779C6" w:rsidR="00A72AA2" w:rsidRDefault="00A72AA2" w:rsidP="00A72AA2">
            <w:pPr>
              <w:rPr>
                <w:b/>
                <w:bCs/>
              </w:rPr>
            </w:pPr>
            <w:r w:rsidRPr="00E56F6A">
              <w:rPr>
                <w:b/>
                <w:bCs/>
              </w:rPr>
              <w:t>↓</w:t>
            </w:r>
          </w:p>
          <w:p w14:paraId="06F64BC2" w14:textId="77777777" w:rsidR="00A72AA2" w:rsidRDefault="00A72AA2" w:rsidP="00A72AA2">
            <w:r w:rsidRPr="00734927">
              <w:t>(-66.9%)</w:t>
            </w:r>
          </w:p>
          <w:p w14:paraId="44892B96" w14:textId="1A898D87" w:rsidR="00A72AA2" w:rsidRPr="00734927" w:rsidRDefault="00A72AA2" w:rsidP="00A72AA2">
            <w:r>
              <w:t>-89.17 tCO2e</w:t>
            </w:r>
          </w:p>
        </w:tc>
        <w:tc>
          <w:tcPr>
            <w:tcW w:w="782" w:type="pct"/>
            <w:tcBorders>
              <w:bottom w:val="single" w:sz="4" w:space="0" w:color="auto"/>
            </w:tcBorders>
          </w:tcPr>
          <w:p w14:paraId="2D2B50E8" w14:textId="77777777" w:rsidR="00A72AA2" w:rsidRPr="00A25F26" w:rsidRDefault="00A72AA2" w:rsidP="00A72AA2">
            <w:pPr>
              <w:rPr>
                <w:b/>
                <w:bCs/>
              </w:rPr>
            </w:pPr>
            <w:r>
              <w:rPr>
                <w:b/>
                <w:bCs/>
              </w:rPr>
              <w:t>0.5</w:t>
            </w:r>
            <w:r w:rsidRPr="00A25F26">
              <w:rPr>
                <w:b/>
                <w:bCs/>
              </w:rPr>
              <w:t>%</w:t>
            </w:r>
          </w:p>
          <w:p w14:paraId="71CBA966" w14:textId="77777777" w:rsidR="00A72AA2" w:rsidRPr="00A25F26" w:rsidRDefault="00A72AA2" w:rsidP="00A72AA2">
            <w:r w:rsidRPr="00A25F26">
              <w:t>(1.</w:t>
            </w:r>
            <w:r>
              <w:t>6</w:t>
            </w:r>
            <w:r w:rsidRPr="00A25F26">
              <w:t>%)</w:t>
            </w:r>
          </w:p>
          <w:p w14:paraId="5D59E5B1" w14:textId="77777777" w:rsidR="00A72AA2" w:rsidRDefault="00A72AA2" w:rsidP="00A72AA2">
            <w:pPr>
              <w:rPr>
                <w:b/>
                <w:bCs/>
              </w:rPr>
            </w:pPr>
          </w:p>
        </w:tc>
      </w:tr>
      <w:tr w:rsidR="00A72AA2" w14:paraId="4F3B8EF9" w14:textId="77777777" w:rsidTr="00A72AA2">
        <w:trPr>
          <w:cantSplit/>
        </w:trPr>
        <w:tc>
          <w:tcPr>
            <w:tcW w:w="83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0C53CB" w14:textId="77777777" w:rsidR="00A72AA2" w:rsidRPr="006155D7" w:rsidRDefault="00A72AA2" w:rsidP="00A72AA2">
            <w:pPr>
              <w:rPr>
                <w:b/>
                <w:bCs/>
              </w:rPr>
            </w:pPr>
            <w:r w:rsidRPr="006155D7">
              <w:rPr>
                <w:b/>
                <w:bCs/>
              </w:rPr>
              <w:t xml:space="preserve">Total </w:t>
            </w:r>
          </w:p>
        </w:tc>
        <w:tc>
          <w:tcPr>
            <w:tcW w:w="5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F7531C" w14:textId="77777777" w:rsidR="00A72AA2" w:rsidRPr="006155D7" w:rsidRDefault="00A72AA2" w:rsidP="00A72AA2">
            <w:pPr>
              <w:rPr>
                <w:b/>
                <w:bCs/>
              </w:rPr>
            </w:pPr>
          </w:p>
        </w:tc>
        <w:tc>
          <w:tcPr>
            <w:tcW w:w="69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A8F54A" w14:textId="1717E4EF" w:rsidR="00A72AA2" w:rsidRPr="00F8471E" w:rsidRDefault="00A72AA2" w:rsidP="00A72AA2">
            <w:r>
              <w:t>12,105.11</w:t>
            </w:r>
          </w:p>
        </w:tc>
        <w:tc>
          <w:tcPr>
            <w:tcW w:w="69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B7A318" w14:textId="4CC4D439" w:rsidR="00A72AA2" w:rsidRPr="00A25F26" w:rsidRDefault="00A72AA2" w:rsidP="00A72AA2">
            <w:pPr>
              <w:rPr>
                <w:b/>
                <w:bCs/>
              </w:rPr>
            </w:pPr>
            <w:r w:rsidRPr="00A25F26">
              <w:t>10,510.17</w:t>
            </w:r>
          </w:p>
        </w:tc>
        <w:tc>
          <w:tcPr>
            <w:tcW w:w="69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5152A4" w14:textId="7E1DEAE8" w:rsidR="00A72AA2" w:rsidRDefault="00A72AA2" w:rsidP="00A72AA2">
            <w:r w:rsidRPr="00CF62D0">
              <w:t>8,30</w:t>
            </w:r>
            <w:r>
              <w:t>2</w:t>
            </w:r>
            <w:r w:rsidRPr="00CF62D0">
              <w:t>.3</w:t>
            </w:r>
            <w:r>
              <w:t>3</w:t>
            </w:r>
            <w:r w:rsidRPr="00CF62D0">
              <w:t xml:space="preserve"> </w:t>
            </w:r>
          </w:p>
          <w:p w14:paraId="101DBB65" w14:textId="5FAAD9B2" w:rsidR="00A72AA2" w:rsidRPr="00CF62D0" w:rsidRDefault="00A72AA2" w:rsidP="00A72AA2">
            <w:r>
              <w:t>(value updated from 2020/21 report for reasons given above)</w:t>
            </w:r>
          </w:p>
          <w:p w14:paraId="7658AB04" w14:textId="77777777" w:rsidR="00A72AA2" w:rsidRPr="00CF62D0" w:rsidRDefault="00A72AA2" w:rsidP="00A72AA2"/>
        </w:tc>
        <w:tc>
          <w:tcPr>
            <w:tcW w:w="78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14C0A8" w14:textId="77777777" w:rsidR="00A72AA2" w:rsidRDefault="00A72AA2" w:rsidP="00A72AA2">
            <w:pPr>
              <w:rPr>
                <w:b/>
                <w:bCs/>
              </w:rPr>
            </w:pPr>
            <w:r>
              <w:rPr>
                <w:b/>
                <w:bCs/>
              </w:rPr>
              <w:t>8,257.41</w:t>
            </w:r>
          </w:p>
          <w:p w14:paraId="620E4D2F" w14:textId="426A74EF" w:rsidR="00A72AA2" w:rsidRDefault="00A72AA2" w:rsidP="00A72AA2">
            <w:pPr>
              <w:rPr>
                <w:b/>
                <w:bCs/>
              </w:rPr>
            </w:pPr>
            <w:r w:rsidRPr="00A25F26">
              <w:rPr>
                <w:b/>
                <w:bCs/>
              </w:rPr>
              <w:t>↓</w:t>
            </w:r>
          </w:p>
          <w:p w14:paraId="342617D4" w14:textId="77777777" w:rsidR="00A72AA2" w:rsidRDefault="00A72AA2" w:rsidP="00A72AA2">
            <w:r w:rsidRPr="00734927">
              <w:t>(-0.54%)</w:t>
            </w:r>
          </w:p>
          <w:p w14:paraId="76239CEB" w14:textId="1A0658FD" w:rsidR="00A72AA2" w:rsidRDefault="00A72AA2" w:rsidP="00A72AA2">
            <w:r>
              <w:t>-44.92 tCO2e</w:t>
            </w:r>
          </w:p>
          <w:p w14:paraId="2F84889D" w14:textId="1592338C" w:rsidR="00A72AA2" w:rsidRPr="00734927" w:rsidRDefault="00A72AA2" w:rsidP="00A72AA2"/>
        </w:tc>
        <w:tc>
          <w:tcPr>
            <w:tcW w:w="78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D6D1CD" w14:textId="132FE583" w:rsidR="00A72AA2" w:rsidRPr="00A25F26" w:rsidRDefault="00A72AA2" w:rsidP="00A72AA2">
            <w:pPr>
              <w:rPr>
                <w:b/>
                <w:bCs/>
              </w:rPr>
            </w:pPr>
            <w:r w:rsidRPr="00A25F26">
              <w:rPr>
                <w:b/>
                <w:bCs/>
              </w:rPr>
              <w:t>100%</w:t>
            </w:r>
          </w:p>
        </w:tc>
      </w:tr>
    </w:tbl>
    <w:p w14:paraId="50A1B307" w14:textId="72AF1B4E" w:rsidR="003A7958" w:rsidRPr="00D45583" w:rsidRDefault="00D45583" w:rsidP="003A7958">
      <w:pPr>
        <w:rPr>
          <w:sz w:val="20"/>
          <w:szCs w:val="20"/>
        </w:rPr>
      </w:pPr>
      <w:r w:rsidRPr="00D45583">
        <w:rPr>
          <w:sz w:val="20"/>
          <w:szCs w:val="20"/>
        </w:rPr>
        <w:t>Table 1 – Emissions summary 202</w:t>
      </w:r>
      <w:r w:rsidR="00A678DD">
        <w:rPr>
          <w:sz w:val="20"/>
          <w:szCs w:val="20"/>
        </w:rPr>
        <w:t>1</w:t>
      </w:r>
      <w:r w:rsidRPr="00D45583">
        <w:rPr>
          <w:sz w:val="20"/>
          <w:szCs w:val="20"/>
        </w:rPr>
        <w:t>/2</w:t>
      </w:r>
      <w:r w:rsidR="00A678DD">
        <w:rPr>
          <w:sz w:val="20"/>
          <w:szCs w:val="20"/>
        </w:rPr>
        <w:t>2</w:t>
      </w:r>
    </w:p>
    <w:p w14:paraId="3FD552D4" w14:textId="22D95B32" w:rsidR="003A7958" w:rsidRDefault="003A7958" w:rsidP="00096560">
      <w:pPr>
        <w:pStyle w:val="Heading1"/>
      </w:pPr>
      <w:r w:rsidRPr="00201DE8">
        <w:t xml:space="preserve">How does this compare with </w:t>
      </w:r>
      <w:r>
        <w:t xml:space="preserve">the </w:t>
      </w:r>
      <w:r w:rsidRPr="00201DE8">
        <w:t>previous period</w:t>
      </w:r>
      <w:r>
        <w:t>/year</w:t>
      </w:r>
      <w:r w:rsidRPr="00201DE8">
        <w:t>?</w:t>
      </w:r>
      <w:r>
        <w:t xml:space="preserve"> </w:t>
      </w:r>
    </w:p>
    <w:p w14:paraId="3BADC33F" w14:textId="2F51CC42" w:rsidR="00C96D39" w:rsidRDefault="00C96D39" w:rsidP="003A7958">
      <w:r>
        <w:t xml:space="preserve">The </w:t>
      </w:r>
      <w:r w:rsidR="004B7130">
        <w:t>previous</w:t>
      </w:r>
      <w:r>
        <w:t xml:space="preserve"> reporting year </w:t>
      </w:r>
      <w:r w:rsidR="004B7130">
        <w:t xml:space="preserve">(2020/21) </w:t>
      </w:r>
      <w:r>
        <w:t xml:space="preserve">was impacted by the </w:t>
      </w:r>
      <w:r w:rsidRPr="00A13592">
        <w:t>Coronavirus (COVID-19) pandemic</w:t>
      </w:r>
      <w:r>
        <w:t>, with many of the council's corporate buildings, leisure centres</w:t>
      </w:r>
      <w:r w:rsidR="00F53C5A">
        <w:t xml:space="preserve"> and</w:t>
      </w:r>
      <w:r w:rsidR="00632FE9">
        <w:t xml:space="preserve"> libraries etc either</w:t>
      </w:r>
      <w:r>
        <w:t xml:space="preserve"> operating at reduced capacity or closed.  </w:t>
      </w:r>
      <w:r w:rsidR="00373451">
        <w:t>As</w:t>
      </w:r>
      <w:r>
        <w:t xml:space="preserve"> Covid restrictions lifted from April 2021</w:t>
      </w:r>
      <w:r w:rsidR="00E378B1">
        <w:t xml:space="preserve"> and services reopened</w:t>
      </w:r>
      <w:r>
        <w:t xml:space="preserve">, </w:t>
      </w:r>
      <w:r w:rsidR="00D86FCA">
        <w:t>we expected</w:t>
      </w:r>
      <w:r w:rsidR="00BF3707">
        <w:t xml:space="preserve"> carbon emissions </w:t>
      </w:r>
      <w:r w:rsidR="00D86FCA">
        <w:t>to</w:t>
      </w:r>
      <w:r w:rsidR="00BF3707">
        <w:t xml:space="preserve"> rise again </w:t>
      </w:r>
      <w:r>
        <w:t>due to increased energy consumption</w:t>
      </w:r>
      <w:r w:rsidR="00E378B1">
        <w:t xml:space="preserve">.  </w:t>
      </w:r>
      <w:r>
        <w:t xml:space="preserve"> In fact, </w:t>
      </w:r>
      <w:r w:rsidR="00B750C5">
        <w:t>emissions have not returned to pre-pandemic levels</w:t>
      </w:r>
      <w:r w:rsidR="00826F89">
        <w:t>.  T</w:t>
      </w:r>
      <w:r w:rsidR="004250CD">
        <w:t xml:space="preserve">he total emissions </w:t>
      </w:r>
      <w:r w:rsidR="00C77B46">
        <w:t xml:space="preserve">for 2021/22 </w:t>
      </w:r>
      <w:r w:rsidR="004250CD">
        <w:t xml:space="preserve">are 44.92 tCO2e less </w:t>
      </w:r>
      <w:r>
        <w:t>than 2020/21 levels</w:t>
      </w:r>
      <w:r w:rsidR="00713C39">
        <w:t xml:space="preserve"> (</w:t>
      </w:r>
      <w:r>
        <w:t xml:space="preserve">an </w:t>
      </w:r>
      <w:r w:rsidR="002F4143">
        <w:t>annual</w:t>
      </w:r>
      <w:r>
        <w:t xml:space="preserve"> reduction of 0.54%</w:t>
      </w:r>
      <w:r w:rsidR="00713C39">
        <w:t xml:space="preserve">) and remain </w:t>
      </w:r>
      <w:r w:rsidR="00AB6E57">
        <w:t>21.</w:t>
      </w:r>
      <w:r w:rsidR="00CE45CB">
        <w:t>4</w:t>
      </w:r>
      <w:r w:rsidR="00713C39">
        <w:t>%</w:t>
      </w:r>
      <w:r w:rsidR="008A2AEB">
        <w:t xml:space="preserve"> less than pre-pandemic levels (2019/20).</w:t>
      </w:r>
    </w:p>
    <w:p w14:paraId="1C70C175" w14:textId="4ED257A5" w:rsidR="00FE6F37" w:rsidRDefault="00C608D1" w:rsidP="003A7958">
      <w:pPr>
        <w:rPr>
          <w:rFonts w:cs="Arial"/>
          <w:szCs w:val="20"/>
        </w:rPr>
      </w:pPr>
      <w:r w:rsidRPr="00A13592">
        <w:rPr>
          <w:rFonts w:cs="Arial"/>
          <w:szCs w:val="20"/>
        </w:rPr>
        <w:t xml:space="preserve">Carbon emission reductions have been achieved across all </w:t>
      </w:r>
      <w:r w:rsidR="001D02BD" w:rsidRPr="00A13592">
        <w:rPr>
          <w:rFonts w:cs="Arial"/>
          <w:szCs w:val="20"/>
        </w:rPr>
        <w:t xml:space="preserve">sources except for </w:t>
      </w:r>
      <w:r w:rsidR="00C150D8">
        <w:rPr>
          <w:rFonts w:cs="Arial"/>
          <w:szCs w:val="20"/>
        </w:rPr>
        <w:t xml:space="preserve">heating </w:t>
      </w:r>
      <w:r w:rsidR="0014375A">
        <w:rPr>
          <w:rFonts w:cs="Arial"/>
          <w:szCs w:val="20"/>
        </w:rPr>
        <w:t xml:space="preserve">and staff travel. </w:t>
      </w:r>
      <w:r w:rsidR="007F7BBA">
        <w:rPr>
          <w:rFonts w:cs="Arial"/>
          <w:szCs w:val="20"/>
        </w:rPr>
        <w:t>Th</w:t>
      </w:r>
      <w:r w:rsidR="00F81756">
        <w:rPr>
          <w:rFonts w:cs="Arial"/>
          <w:szCs w:val="20"/>
        </w:rPr>
        <w:t>e increase from these sources</w:t>
      </w:r>
      <w:r w:rsidR="007F7BBA">
        <w:rPr>
          <w:rFonts w:cs="Arial"/>
          <w:szCs w:val="20"/>
        </w:rPr>
        <w:t xml:space="preserve"> is likely to be due to buildings opening back </w:t>
      </w:r>
      <w:r w:rsidR="00D34105">
        <w:rPr>
          <w:rFonts w:cs="Arial"/>
          <w:szCs w:val="20"/>
        </w:rPr>
        <w:t xml:space="preserve">up </w:t>
      </w:r>
      <w:r w:rsidR="007F7BBA">
        <w:rPr>
          <w:rFonts w:cs="Arial"/>
          <w:szCs w:val="20"/>
        </w:rPr>
        <w:t xml:space="preserve">and </w:t>
      </w:r>
      <w:r w:rsidR="000277C9">
        <w:rPr>
          <w:rFonts w:cs="Arial"/>
          <w:szCs w:val="20"/>
        </w:rPr>
        <w:t>a return to staff travelling for business</w:t>
      </w:r>
      <w:r w:rsidR="00A5285D">
        <w:rPr>
          <w:rFonts w:cs="Arial"/>
          <w:szCs w:val="20"/>
        </w:rPr>
        <w:t xml:space="preserve"> </w:t>
      </w:r>
      <w:r w:rsidR="004D02B2">
        <w:rPr>
          <w:rFonts w:cs="Arial"/>
          <w:szCs w:val="20"/>
        </w:rPr>
        <w:t>as Covid restrictions lifted</w:t>
      </w:r>
      <w:r w:rsidR="002A6C37">
        <w:rPr>
          <w:rFonts w:cs="Arial"/>
          <w:szCs w:val="20"/>
        </w:rPr>
        <w:t>.</w:t>
      </w:r>
      <w:r w:rsidR="00D00DFE">
        <w:rPr>
          <w:rFonts w:cs="Arial"/>
          <w:szCs w:val="20"/>
        </w:rPr>
        <w:t xml:space="preserve">  </w:t>
      </w:r>
    </w:p>
    <w:p w14:paraId="39D0866A" w14:textId="4103F3A1" w:rsidR="00CF4DB5" w:rsidRDefault="0046316F" w:rsidP="003A7958">
      <w:pPr>
        <w:rPr>
          <w:rFonts w:cs="Arial"/>
          <w:szCs w:val="20"/>
        </w:rPr>
      </w:pPr>
      <w:r>
        <w:rPr>
          <w:rFonts w:cs="Arial"/>
          <w:szCs w:val="20"/>
        </w:rPr>
        <w:t xml:space="preserve">Scope 1 emissions </w:t>
      </w:r>
      <w:r w:rsidR="003746AC">
        <w:rPr>
          <w:rFonts w:cs="Arial"/>
          <w:szCs w:val="20"/>
        </w:rPr>
        <w:t xml:space="preserve">(heating and fleet) </w:t>
      </w:r>
      <w:r>
        <w:rPr>
          <w:rFonts w:cs="Arial"/>
          <w:szCs w:val="20"/>
        </w:rPr>
        <w:t>are the biggest overall contributor to our t</w:t>
      </w:r>
      <w:r w:rsidR="00FF2E30">
        <w:rPr>
          <w:rFonts w:cs="Arial"/>
          <w:szCs w:val="20"/>
        </w:rPr>
        <w:t>otal emissions</w:t>
      </w:r>
      <w:r w:rsidR="00EA070D">
        <w:rPr>
          <w:rFonts w:cs="Arial"/>
          <w:szCs w:val="20"/>
        </w:rPr>
        <w:t xml:space="preserve"> at 49%</w:t>
      </w:r>
      <w:r w:rsidR="00E05FC0">
        <w:rPr>
          <w:rFonts w:cs="Arial"/>
          <w:szCs w:val="20"/>
        </w:rPr>
        <w:t>.</w:t>
      </w:r>
      <w:r w:rsidR="009619D6">
        <w:rPr>
          <w:rFonts w:cs="Arial"/>
          <w:szCs w:val="20"/>
        </w:rPr>
        <w:t xml:space="preserve">  In the previous year, Scope 2 emissions </w:t>
      </w:r>
      <w:r w:rsidR="00CD07CE">
        <w:rPr>
          <w:rFonts w:cs="Arial"/>
          <w:szCs w:val="20"/>
        </w:rPr>
        <w:t xml:space="preserve">(electricity </w:t>
      </w:r>
      <w:r w:rsidR="00686620">
        <w:rPr>
          <w:rFonts w:cs="Arial"/>
          <w:szCs w:val="20"/>
        </w:rPr>
        <w:t xml:space="preserve">use within buildings and street lighting) </w:t>
      </w:r>
      <w:r w:rsidR="009619D6">
        <w:rPr>
          <w:rFonts w:cs="Arial"/>
          <w:szCs w:val="20"/>
        </w:rPr>
        <w:t>made the biggest contribution to total emissions</w:t>
      </w:r>
      <w:r w:rsidR="00C8485A">
        <w:rPr>
          <w:rFonts w:cs="Arial"/>
          <w:szCs w:val="20"/>
        </w:rPr>
        <w:t xml:space="preserve">.  </w:t>
      </w:r>
    </w:p>
    <w:p w14:paraId="2046EE16" w14:textId="65D1B9AE" w:rsidR="00DC137E" w:rsidRDefault="008A39A4" w:rsidP="00DC137E">
      <w:r>
        <w:lastRenderedPageBreak/>
        <w:t xml:space="preserve">The biggest reduction in </w:t>
      </w:r>
      <w:r>
        <w:t>emissions</w:t>
      </w:r>
      <w:r>
        <w:t xml:space="preserve"> continues to be from street lighting with a reduction</w:t>
      </w:r>
      <w:r w:rsidR="000813ED">
        <w:t xml:space="preserve"> o</w:t>
      </w:r>
      <w:r w:rsidR="0039309B">
        <w:t>f 291.91 tCO2e</w:t>
      </w:r>
      <w:r w:rsidR="0020283C">
        <w:t xml:space="preserve"> on</w:t>
      </w:r>
      <w:r w:rsidR="000813ED">
        <w:t xml:space="preserve"> the previous year</w:t>
      </w:r>
      <w:r w:rsidR="0020283C">
        <w:t xml:space="preserve"> (</w:t>
      </w:r>
      <w:r w:rsidR="0020283C">
        <w:t>16.8%</w:t>
      </w:r>
      <w:r w:rsidR="0020283C">
        <w:t>)</w:t>
      </w:r>
      <w:r>
        <w:t xml:space="preserve">.  </w:t>
      </w:r>
      <w:r w:rsidR="00DA7726" w:rsidRPr="00A13592">
        <w:rPr>
          <w:rFonts w:cs="Arial"/>
          <w:szCs w:val="20"/>
        </w:rPr>
        <w:t xml:space="preserve">Our LED </w:t>
      </w:r>
      <w:r w:rsidR="00DA7726">
        <w:rPr>
          <w:rFonts w:cs="Arial"/>
          <w:szCs w:val="20"/>
        </w:rPr>
        <w:t>s</w:t>
      </w:r>
      <w:r w:rsidR="00DA7726" w:rsidRPr="00A13592">
        <w:rPr>
          <w:rFonts w:cs="Arial"/>
          <w:szCs w:val="20"/>
        </w:rPr>
        <w:t>treet</w:t>
      </w:r>
      <w:r w:rsidR="00CF4DB5" w:rsidRPr="00A13592">
        <w:rPr>
          <w:rFonts w:cs="Arial"/>
          <w:szCs w:val="20"/>
        </w:rPr>
        <w:t xml:space="preserve"> lighting programme was underway in 2020/21 and is likely to have contributed to th</w:t>
      </w:r>
      <w:r w:rsidR="0020283C">
        <w:rPr>
          <w:rFonts w:cs="Arial"/>
          <w:szCs w:val="20"/>
        </w:rPr>
        <w:t>is</w:t>
      </w:r>
      <w:r w:rsidR="00CF4DB5" w:rsidRPr="00A13592">
        <w:rPr>
          <w:rFonts w:cs="Arial"/>
          <w:szCs w:val="20"/>
        </w:rPr>
        <w:t xml:space="preserve"> reduction.  </w:t>
      </w:r>
      <w:r w:rsidR="00DC137E">
        <w:t>It is expected that further reductions from street</w:t>
      </w:r>
      <w:r w:rsidR="002A34EE">
        <w:t xml:space="preserve"> </w:t>
      </w:r>
      <w:r w:rsidR="00DC137E">
        <w:t>lighting energy use will be observed as the roll out of the LED street</w:t>
      </w:r>
      <w:r w:rsidR="002A34EE">
        <w:t xml:space="preserve"> </w:t>
      </w:r>
      <w:r w:rsidR="00DC137E">
        <w:t>lighting programme is completed</w:t>
      </w:r>
      <w:r w:rsidR="002A34EE">
        <w:t xml:space="preserve"> in 2022/23</w:t>
      </w:r>
      <w:r w:rsidR="00DC137E">
        <w:t xml:space="preserve">.  </w:t>
      </w:r>
    </w:p>
    <w:p w14:paraId="7F2F3ABB" w14:textId="2BA4E2E9" w:rsidR="007955DE" w:rsidRDefault="007955DE" w:rsidP="007955DE">
      <w:r>
        <w:rPr>
          <w:rFonts w:cs="Arial"/>
          <w:szCs w:val="20"/>
        </w:rPr>
        <w:t xml:space="preserve">The reduction in transmissions and distribution related emissions </w:t>
      </w:r>
      <w:r>
        <w:rPr>
          <w:rFonts w:cs="Arial"/>
          <w:szCs w:val="20"/>
        </w:rPr>
        <w:t xml:space="preserve">continues to </w:t>
      </w:r>
      <w:r>
        <w:rPr>
          <w:rFonts w:cs="Arial"/>
          <w:szCs w:val="20"/>
        </w:rPr>
        <w:t>reflect the reduction in electricity consumption from the LED street lighting programme and energy reductions in buildings.</w:t>
      </w:r>
    </w:p>
    <w:p w14:paraId="6ECA9079" w14:textId="014FE39D" w:rsidR="003C50ED" w:rsidRDefault="00214155" w:rsidP="001720A9">
      <w:pPr>
        <w:rPr>
          <w:b/>
          <w:bCs/>
        </w:rPr>
      </w:pPr>
      <w:r>
        <w:rPr>
          <w:rFonts w:cs="Arial"/>
          <w:szCs w:val="20"/>
        </w:rPr>
        <w:t>The biggest percentage reduction in emissions</w:t>
      </w:r>
      <w:r w:rsidR="00207607">
        <w:rPr>
          <w:rFonts w:cs="Arial"/>
          <w:szCs w:val="20"/>
        </w:rPr>
        <w:t xml:space="preserve">, comes from water use.  </w:t>
      </w:r>
      <w:r w:rsidR="001F2B19">
        <w:rPr>
          <w:rFonts w:cs="Arial"/>
          <w:szCs w:val="20"/>
        </w:rPr>
        <w:t xml:space="preserve">Emissions have reduced by </w:t>
      </w:r>
      <w:r w:rsidR="00A35E48">
        <w:rPr>
          <w:rFonts w:cs="Arial"/>
          <w:szCs w:val="20"/>
        </w:rPr>
        <w:t>66.9% due t</w:t>
      </w:r>
      <w:r w:rsidR="00A35E48" w:rsidRPr="00CC3F2A">
        <w:rPr>
          <w:rFonts w:cs="Arial"/>
          <w:szCs w:val="20"/>
        </w:rPr>
        <w:t xml:space="preserve">o </w:t>
      </w:r>
      <w:hyperlink r:id="rId14" w:history="1">
        <w:r w:rsidR="007A075B" w:rsidRPr="00CC3F2A">
          <w:rPr>
            <w:rStyle w:val="Hyperlink"/>
            <w:rFonts w:cs="Arial"/>
            <w:color w:val="auto"/>
            <w:szCs w:val="20"/>
          </w:rPr>
          <w:t>changes</w:t>
        </w:r>
        <w:r w:rsidR="00A35E48" w:rsidRPr="00CC3F2A">
          <w:rPr>
            <w:rStyle w:val="Hyperlink"/>
            <w:rFonts w:cs="Arial"/>
            <w:color w:val="auto"/>
            <w:szCs w:val="20"/>
          </w:rPr>
          <w:t xml:space="preserve"> in the</w:t>
        </w:r>
        <w:r w:rsidR="00130279" w:rsidRPr="00CC3F2A">
          <w:rPr>
            <w:rStyle w:val="Hyperlink"/>
            <w:rFonts w:cs="Arial"/>
            <w:color w:val="auto"/>
            <w:szCs w:val="20"/>
          </w:rPr>
          <w:t xml:space="preserve"> 2021 government greenhouse gas conversion factors for company reporting</w:t>
        </w:r>
      </w:hyperlink>
      <w:r w:rsidR="00126DC0" w:rsidRPr="00CC3F2A">
        <w:rPr>
          <w:rFonts w:cs="Arial"/>
          <w:szCs w:val="20"/>
        </w:rPr>
        <w:t>.</w:t>
      </w:r>
    </w:p>
    <w:p w14:paraId="196A80B1" w14:textId="30037C15" w:rsidR="001720A9" w:rsidRPr="00201DE8" w:rsidRDefault="001720A9" w:rsidP="00096560">
      <w:pPr>
        <w:pStyle w:val="Heading1"/>
      </w:pPr>
      <w:r w:rsidRPr="00201DE8">
        <w:t xml:space="preserve">What rate of reduction </w:t>
      </w:r>
      <w:r>
        <w:t xml:space="preserve">have we achieved against the baseline year? </w:t>
      </w:r>
    </w:p>
    <w:p w14:paraId="36028FF4" w14:textId="23C15612" w:rsidR="007E0639" w:rsidRDefault="001720A9" w:rsidP="003A7958">
      <w:pPr>
        <w:rPr>
          <w:b/>
          <w:bCs/>
        </w:rPr>
      </w:pPr>
      <w:r w:rsidRPr="00A13592">
        <w:t>In 202</w:t>
      </w:r>
      <w:r w:rsidR="001D7E18">
        <w:t>1</w:t>
      </w:r>
      <w:r w:rsidRPr="00A13592">
        <w:t>/2</w:t>
      </w:r>
      <w:r w:rsidR="001D7E18">
        <w:t>2</w:t>
      </w:r>
      <w:r w:rsidR="004630E2" w:rsidRPr="00A13592">
        <w:t>, the Council’s carbon emissions fell by 31.</w:t>
      </w:r>
      <w:r w:rsidR="00727D70">
        <w:t>8</w:t>
      </w:r>
      <w:r w:rsidR="004630E2" w:rsidRPr="00A13592">
        <w:t>%</w:t>
      </w:r>
      <w:r w:rsidR="00AC5A95" w:rsidRPr="00A13592">
        <w:t xml:space="preserve"> against the baseline year (2018/19).</w:t>
      </w:r>
    </w:p>
    <w:p w14:paraId="6528FC5B" w14:textId="4B0FB120" w:rsidR="003A7958" w:rsidRDefault="003A7958" w:rsidP="00096560">
      <w:pPr>
        <w:pStyle w:val="Heading1"/>
        <w:rPr>
          <w:color w:val="FF0000"/>
        </w:rPr>
      </w:pPr>
      <w:r w:rsidRPr="000D29A4">
        <w:t>How are we performing against the First Carbon Budget?</w:t>
      </w:r>
      <w:r>
        <w:t xml:space="preserve"> </w:t>
      </w:r>
    </w:p>
    <w:p w14:paraId="48BCC07D" w14:textId="208D778A" w:rsidR="00C054FE" w:rsidRDefault="00526C7D" w:rsidP="003A7958">
      <w:r>
        <w:t xml:space="preserve">We have kept within the projected carbon budget for Year </w:t>
      </w:r>
      <w:r w:rsidR="006D5575">
        <w:t>2</w:t>
      </w:r>
      <w:r>
        <w:t xml:space="preserve"> </w:t>
      </w:r>
      <w:r w:rsidR="00813715">
        <w:t xml:space="preserve">(2020/21) </w:t>
      </w:r>
      <w:r>
        <w:t>of the First Carbon Budget.</w:t>
      </w:r>
      <w:r w:rsidR="00735FA0">
        <w:t xml:space="preserve"> </w:t>
      </w:r>
    </w:p>
    <w:tbl>
      <w:tblPr>
        <w:tblStyle w:val="TableGrid"/>
        <w:tblW w:w="9947" w:type="dxa"/>
        <w:tblLook w:val="04A0" w:firstRow="1" w:lastRow="0" w:firstColumn="1" w:lastColumn="0" w:noHBand="0" w:noVBand="1"/>
        <w:tblCaption w:val="Table 2 – Projected First Carbon Budget"/>
      </w:tblPr>
      <w:tblGrid>
        <w:gridCol w:w="1498"/>
        <w:gridCol w:w="911"/>
        <w:gridCol w:w="911"/>
        <w:gridCol w:w="911"/>
        <w:gridCol w:w="911"/>
        <w:gridCol w:w="911"/>
        <w:gridCol w:w="911"/>
        <w:gridCol w:w="911"/>
        <w:gridCol w:w="911"/>
        <w:gridCol w:w="1161"/>
      </w:tblGrid>
      <w:tr w:rsidR="00DA3DC1" w14:paraId="2E7BD681" w14:textId="77777777" w:rsidTr="00DA3DC1">
        <w:tc>
          <w:tcPr>
            <w:tcW w:w="1498" w:type="dxa"/>
          </w:tcPr>
          <w:p w14:paraId="7A4A10F6" w14:textId="74ECFB72" w:rsidR="00DA3DC1" w:rsidRPr="00543F65" w:rsidRDefault="00DA3DC1" w:rsidP="00DA3DC1">
            <w:pPr>
              <w:rPr>
                <w:b/>
                <w:bCs/>
                <w:sz w:val="20"/>
                <w:szCs w:val="20"/>
              </w:rPr>
            </w:pPr>
            <w:r w:rsidRPr="00543F65">
              <w:rPr>
                <w:b/>
                <w:bCs/>
                <w:sz w:val="20"/>
                <w:szCs w:val="20"/>
              </w:rPr>
              <w:t xml:space="preserve">Year </w:t>
            </w:r>
          </w:p>
        </w:tc>
        <w:tc>
          <w:tcPr>
            <w:tcW w:w="911" w:type="dxa"/>
          </w:tcPr>
          <w:p w14:paraId="0679A7E1" w14:textId="4526AA5B" w:rsidR="00DA3DC1" w:rsidRPr="00D02B42" w:rsidRDefault="00DA3DC1" w:rsidP="00DA3DC1">
            <w:pPr>
              <w:rPr>
                <w:b/>
                <w:bCs/>
                <w:sz w:val="20"/>
                <w:szCs w:val="20"/>
              </w:rPr>
            </w:pPr>
            <w:r w:rsidRPr="00D02B42">
              <w:rPr>
                <w:b/>
                <w:bCs/>
                <w:sz w:val="20"/>
                <w:szCs w:val="20"/>
              </w:rPr>
              <w:t>2020/21 (y</w:t>
            </w:r>
            <w:r>
              <w:rPr>
                <w:b/>
                <w:bCs/>
                <w:sz w:val="20"/>
                <w:szCs w:val="20"/>
              </w:rPr>
              <w:t>ea</w:t>
            </w:r>
            <w:r w:rsidRPr="00D02B42">
              <w:rPr>
                <w:b/>
                <w:bCs/>
                <w:sz w:val="20"/>
                <w:szCs w:val="20"/>
              </w:rPr>
              <w:t>r 1)</w:t>
            </w:r>
          </w:p>
        </w:tc>
        <w:tc>
          <w:tcPr>
            <w:tcW w:w="911" w:type="dxa"/>
          </w:tcPr>
          <w:p w14:paraId="72684BF9" w14:textId="77777777" w:rsidR="00DA3DC1" w:rsidRPr="00D02B42" w:rsidRDefault="00DA3DC1" w:rsidP="00DA3DC1">
            <w:pPr>
              <w:rPr>
                <w:b/>
                <w:bCs/>
                <w:sz w:val="20"/>
                <w:szCs w:val="20"/>
              </w:rPr>
            </w:pPr>
            <w:r w:rsidRPr="00D02B42">
              <w:rPr>
                <w:b/>
                <w:bCs/>
                <w:sz w:val="20"/>
                <w:szCs w:val="20"/>
              </w:rPr>
              <w:t>2021/22</w:t>
            </w:r>
          </w:p>
          <w:p w14:paraId="042A159E" w14:textId="10C5DBB4" w:rsidR="00DA3DC1" w:rsidRPr="00D02B42" w:rsidRDefault="00DA3DC1" w:rsidP="00DA3DC1">
            <w:pPr>
              <w:rPr>
                <w:b/>
                <w:bCs/>
                <w:sz w:val="20"/>
                <w:szCs w:val="20"/>
              </w:rPr>
            </w:pPr>
            <w:r w:rsidRPr="00D02B42">
              <w:rPr>
                <w:b/>
                <w:bCs/>
                <w:sz w:val="20"/>
                <w:szCs w:val="20"/>
              </w:rPr>
              <w:t>(y</w:t>
            </w:r>
            <w:r>
              <w:rPr>
                <w:b/>
                <w:bCs/>
                <w:sz w:val="20"/>
                <w:szCs w:val="20"/>
              </w:rPr>
              <w:t>ea</w:t>
            </w:r>
            <w:r w:rsidRPr="00D02B42">
              <w:rPr>
                <w:b/>
                <w:bCs/>
                <w:sz w:val="20"/>
                <w:szCs w:val="20"/>
              </w:rPr>
              <w:t>r 2)</w:t>
            </w:r>
          </w:p>
        </w:tc>
        <w:tc>
          <w:tcPr>
            <w:tcW w:w="911" w:type="dxa"/>
          </w:tcPr>
          <w:p w14:paraId="3B6145CC" w14:textId="77777777" w:rsidR="00DA3DC1" w:rsidRPr="00D02B42" w:rsidRDefault="00DA3DC1" w:rsidP="00DA3DC1">
            <w:pPr>
              <w:rPr>
                <w:b/>
                <w:bCs/>
                <w:sz w:val="20"/>
                <w:szCs w:val="20"/>
              </w:rPr>
            </w:pPr>
            <w:r w:rsidRPr="00D02B42">
              <w:rPr>
                <w:b/>
                <w:bCs/>
                <w:sz w:val="20"/>
                <w:szCs w:val="20"/>
              </w:rPr>
              <w:t>2022/23</w:t>
            </w:r>
          </w:p>
          <w:p w14:paraId="5D8C0EAF" w14:textId="7DD45494" w:rsidR="00DA3DC1" w:rsidRPr="00D02B42" w:rsidRDefault="00DA3DC1" w:rsidP="00DA3DC1">
            <w:pPr>
              <w:rPr>
                <w:b/>
                <w:bCs/>
                <w:sz w:val="20"/>
                <w:szCs w:val="20"/>
              </w:rPr>
            </w:pPr>
            <w:r w:rsidRPr="00D02B42">
              <w:rPr>
                <w:b/>
                <w:bCs/>
                <w:sz w:val="20"/>
                <w:szCs w:val="20"/>
              </w:rPr>
              <w:t>(y</w:t>
            </w:r>
            <w:r>
              <w:rPr>
                <w:b/>
                <w:bCs/>
                <w:sz w:val="20"/>
                <w:szCs w:val="20"/>
              </w:rPr>
              <w:t>ea</w:t>
            </w:r>
            <w:r w:rsidRPr="00D02B42">
              <w:rPr>
                <w:b/>
                <w:bCs/>
                <w:sz w:val="20"/>
                <w:szCs w:val="20"/>
              </w:rPr>
              <w:t>r 3)</w:t>
            </w:r>
          </w:p>
        </w:tc>
        <w:tc>
          <w:tcPr>
            <w:tcW w:w="911" w:type="dxa"/>
          </w:tcPr>
          <w:p w14:paraId="540A0064" w14:textId="77777777" w:rsidR="00DA3DC1" w:rsidRPr="00D02B42" w:rsidRDefault="00DA3DC1" w:rsidP="00DA3DC1">
            <w:pPr>
              <w:rPr>
                <w:b/>
                <w:bCs/>
                <w:sz w:val="20"/>
                <w:szCs w:val="20"/>
              </w:rPr>
            </w:pPr>
            <w:r w:rsidRPr="00D02B42">
              <w:rPr>
                <w:b/>
                <w:bCs/>
                <w:sz w:val="20"/>
                <w:szCs w:val="20"/>
              </w:rPr>
              <w:t>2023/24</w:t>
            </w:r>
          </w:p>
          <w:p w14:paraId="611C49EE" w14:textId="6772DF15" w:rsidR="00DA3DC1" w:rsidRPr="00D02B42" w:rsidRDefault="00DA3DC1" w:rsidP="00DA3DC1">
            <w:pPr>
              <w:rPr>
                <w:b/>
                <w:bCs/>
                <w:sz w:val="20"/>
                <w:szCs w:val="20"/>
              </w:rPr>
            </w:pPr>
            <w:r w:rsidRPr="00D02B42">
              <w:rPr>
                <w:b/>
                <w:bCs/>
                <w:sz w:val="20"/>
                <w:szCs w:val="20"/>
              </w:rPr>
              <w:t>(y</w:t>
            </w:r>
            <w:r>
              <w:rPr>
                <w:b/>
                <w:bCs/>
                <w:sz w:val="20"/>
                <w:szCs w:val="20"/>
              </w:rPr>
              <w:t>ea</w:t>
            </w:r>
            <w:r w:rsidRPr="00D02B42">
              <w:rPr>
                <w:b/>
                <w:bCs/>
                <w:sz w:val="20"/>
                <w:szCs w:val="20"/>
              </w:rPr>
              <w:t>r 4)</w:t>
            </w:r>
          </w:p>
        </w:tc>
        <w:tc>
          <w:tcPr>
            <w:tcW w:w="911" w:type="dxa"/>
          </w:tcPr>
          <w:p w14:paraId="757A4E05" w14:textId="77777777" w:rsidR="00DA3DC1" w:rsidRPr="00D02B42" w:rsidRDefault="00DA3DC1" w:rsidP="00DA3DC1">
            <w:pPr>
              <w:rPr>
                <w:b/>
                <w:bCs/>
                <w:sz w:val="20"/>
                <w:szCs w:val="20"/>
              </w:rPr>
            </w:pPr>
            <w:r w:rsidRPr="00D02B42">
              <w:rPr>
                <w:b/>
                <w:bCs/>
                <w:sz w:val="20"/>
                <w:szCs w:val="20"/>
              </w:rPr>
              <w:t>2024/25</w:t>
            </w:r>
          </w:p>
          <w:p w14:paraId="154D210E" w14:textId="3C53FC76" w:rsidR="00DA3DC1" w:rsidRPr="00D02B42" w:rsidRDefault="00DA3DC1" w:rsidP="00DA3DC1">
            <w:pPr>
              <w:rPr>
                <w:b/>
                <w:bCs/>
                <w:sz w:val="20"/>
                <w:szCs w:val="20"/>
              </w:rPr>
            </w:pPr>
            <w:r w:rsidRPr="00D02B42">
              <w:rPr>
                <w:b/>
                <w:bCs/>
                <w:sz w:val="20"/>
                <w:szCs w:val="20"/>
              </w:rPr>
              <w:t>(y</w:t>
            </w:r>
            <w:r>
              <w:rPr>
                <w:b/>
                <w:bCs/>
                <w:sz w:val="20"/>
                <w:szCs w:val="20"/>
              </w:rPr>
              <w:t>ea</w:t>
            </w:r>
            <w:r w:rsidRPr="00D02B42">
              <w:rPr>
                <w:b/>
                <w:bCs/>
                <w:sz w:val="20"/>
                <w:szCs w:val="20"/>
              </w:rPr>
              <w:t>r 5)</w:t>
            </w:r>
          </w:p>
        </w:tc>
        <w:tc>
          <w:tcPr>
            <w:tcW w:w="911" w:type="dxa"/>
          </w:tcPr>
          <w:p w14:paraId="340FB0CE" w14:textId="77777777" w:rsidR="00DA3DC1" w:rsidRPr="00D02B42" w:rsidRDefault="00DA3DC1" w:rsidP="00DA3DC1">
            <w:pPr>
              <w:rPr>
                <w:b/>
                <w:bCs/>
                <w:sz w:val="20"/>
                <w:szCs w:val="20"/>
              </w:rPr>
            </w:pPr>
            <w:r w:rsidRPr="00D02B42">
              <w:rPr>
                <w:b/>
                <w:bCs/>
                <w:sz w:val="20"/>
                <w:szCs w:val="20"/>
              </w:rPr>
              <w:t>2025/26</w:t>
            </w:r>
          </w:p>
          <w:p w14:paraId="4AF9D7A6" w14:textId="5D27BB0F" w:rsidR="00DA3DC1" w:rsidRPr="00D02B42" w:rsidRDefault="00DA3DC1" w:rsidP="00DA3DC1">
            <w:pPr>
              <w:rPr>
                <w:b/>
                <w:bCs/>
                <w:sz w:val="20"/>
                <w:szCs w:val="20"/>
              </w:rPr>
            </w:pPr>
            <w:r w:rsidRPr="00D02B42">
              <w:rPr>
                <w:b/>
                <w:bCs/>
                <w:sz w:val="20"/>
                <w:szCs w:val="20"/>
              </w:rPr>
              <w:t>(y</w:t>
            </w:r>
            <w:r>
              <w:rPr>
                <w:b/>
                <w:bCs/>
                <w:sz w:val="20"/>
                <w:szCs w:val="20"/>
              </w:rPr>
              <w:t>ea</w:t>
            </w:r>
            <w:r w:rsidRPr="00D02B42">
              <w:rPr>
                <w:b/>
                <w:bCs/>
                <w:sz w:val="20"/>
                <w:szCs w:val="20"/>
              </w:rPr>
              <w:t>r 6)</w:t>
            </w:r>
          </w:p>
        </w:tc>
        <w:tc>
          <w:tcPr>
            <w:tcW w:w="911" w:type="dxa"/>
          </w:tcPr>
          <w:p w14:paraId="38B17387" w14:textId="77777777" w:rsidR="00DA3DC1" w:rsidRPr="00D02B42" w:rsidRDefault="00DA3DC1" w:rsidP="00DA3DC1">
            <w:pPr>
              <w:rPr>
                <w:b/>
                <w:bCs/>
                <w:sz w:val="20"/>
                <w:szCs w:val="20"/>
              </w:rPr>
            </w:pPr>
            <w:r w:rsidRPr="00D02B42">
              <w:rPr>
                <w:b/>
                <w:bCs/>
                <w:sz w:val="20"/>
                <w:szCs w:val="20"/>
              </w:rPr>
              <w:t>2026/27</w:t>
            </w:r>
          </w:p>
          <w:p w14:paraId="6DD2D2AB" w14:textId="2CFAC001" w:rsidR="00DA3DC1" w:rsidRPr="00D02B42" w:rsidRDefault="00DA3DC1" w:rsidP="00DA3DC1">
            <w:pPr>
              <w:rPr>
                <w:b/>
                <w:bCs/>
                <w:sz w:val="20"/>
                <w:szCs w:val="20"/>
              </w:rPr>
            </w:pPr>
            <w:r w:rsidRPr="00D02B42">
              <w:rPr>
                <w:b/>
                <w:bCs/>
                <w:sz w:val="20"/>
                <w:szCs w:val="20"/>
              </w:rPr>
              <w:t>(y</w:t>
            </w:r>
            <w:r>
              <w:rPr>
                <w:b/>
                <w:bCs/>
                <w:sz w:val="20"/>
                <w:szCs w:val="20"/>
              </w:rPr>
              <w:t>ea</w:t>
            </w:r>
            <w:r w:rsidRPr="00D02B42">
              <w:rPr>
                <w:b/>
                <w:bCs/>
                <w:sz w:val="20"/>
                <w:szCs w:val="20"/>
              </w:rPr>
              <w:t>r 7)</w:t>
            </w:r>
          </w:p>
        </w:tc>
        <w:tc>
          <w:tcPr>
            <w:tcW w:w="911" w:type="dxa"/>
          </w:tcPr>
          <w:p w14:paraId="2DC7A86B" w14:textId="77777777" w:rsidR="00DA3DC1" w:rsidRPr="00D02B42" w:rsidRDefault="00DA3DC1" w:rsidP="00DA3DC1">
            <w:pPr>
              <w:rPr>
                <w:b/>
                <w:bCs/>
                <w:sz w:val="20"/>
                <w:szCs w:val="20"/>
              </w:rPr>
            </w:pPr>
            <w:r w:rsidRPr="00D02B42">
              <w:rPr>
                <w:b/>
                <w:bCs/>
                <w:sz w:val="20"/>
                <w:szCs w:val="20"/>
              </w:rPr>
              <w:t>2027/28</w:t>
            </w:r>
          </w:p>
          <w:p w14:paraId="4BE8E261" w14:textId="090D4F01" w:rsidR="00DA3DC1" w:rsidRPr="00D02B42" w:rsidRDefault="00DA3DC1" w:rsidP="00DA3DC1">
            <w:pPr>
              <w:rPr>
                <w:b/>
                <w:bCs/>
                <w:sz w:val="20"/>
                <w:szCs w:val="20"/>
              </w:rPr>
            </w:pPr>
            <w:r w:rsidRPr="00D02B42">
              <w:rPr>
                <w:b/>
                <w:bCs/>
                <w:sz w:val="20"/>
                <w:szCs w:val="20"/>
              </w:rPr>
              <w:t>(y</w:t>
            </w:r>
            <w:r>
              <w:rPr>
                <w:b/>
                <w:bCs/>
                <w:sz w:val="20"/>
                <w:szCs w:val="20"/>
              </w:rPr>
              <w:t>ea</w:t>
            </w:r>
            <w:r w:rsidRPr="00D02B42">
              <w:rPr>
                <w:b/>
                <w:bCs/>
                <w:sz w:val="20"/>
                <w:szCs w:val="20"/>
              </w:rPr>
              <w:t>r 8)</w:t>
            </w:r>
          </w:p>
        </w:tc>
        <w:tc>
          <w:tcPr>
            <w:tcW w:w="1161" w:type="dxa"/>
          </w:tcPr>
          <w:p w14:paraId="4041919C" w14:textId="6C9035B9" w:rsidR="00DA3DC1" w:rsidRPr="00D02B42" w:rsidRDefault="00DA3DC1" w:rsidP="00DA3DC1">
            <w:pPr>
              <w:rPr>
                <w:b/>
                <w:bCs/>
                <w:sz w:val="20"/>
                <w:szCs w:val="20"/>
              </w:rPr>
            </w:pPr>
            <w:r w:rsidRPr="00D02B42">
              <w:rPr>
                <w:b/>
                <w:bCs/>
                <w:sz w:val="20"/>
                <w:szCs w:val="20"/>
              </w:rPr>
              <w:t xml:space="preserve">Cumulative </w:t>
            </w:r>
          </w:p>
        </w:tc>
      </w:tr>
      <w:tr w:rsidR="00DA3DC1" w14:paraId="2F15C26D" w14:textId="77777777" w:rsidTr="00DA3DC1">
        <w:tc>
          <w:tcPr>
            <w:tcW w:w="1498" w:type="dxa"/>
          </w:tcPr>
          <w:p w14:paraId="438CECFC" w14:textId="15C86480" w:rsidR="00DA3DC1" w:rsidRPr="00D02B42" w:rsidRDefault="00DA3DC1" w:rsidP="00DA3DC1">
            <w:pPr>
              <w:rPr>
                <w:b/>
                <w:bCs/>
                <w:sz w:val="20"/>
                <w:szCs w:val="20"/>
              </w:rPr>
            </w:pPr>
            <w:r w:rsidRPr="00D02B42">
              <w:rPr>
                <w:b/>
                <w:bCs/>
                <w:sz w:val="20"/>
                <w:szCs w:val="20"/>
              </w:rPr>
              <w:t>First Carbon Budget (</w:t>
            </w:r>
            <w:r w:rsidRPr="00D02B42">
              <w:rPr>
                <w:rFonts w:cs="Arial"/>
                <w:b/>
                <w:bCs/>
                <w:sz w:val="20"/>
                <w:szCs w:val="20"/>
                <w:shd w:val="clear" w:color="auto" w:fill="FFFFFF"/>
              </w:rPr>
              <w:t>t</w:t>
            </w:r>
            <w:r w:rsidRPr="00D02B42">
              <w:rPr>
                <w:rFonts w:cs="Arial"/>
                <w:b/>
                <w:bCs/>
                <w:sz w:val="20"/>
                <w:szCs w:val="20"/>
              </w:rPr>
              <w:t>CO</w:t>
            </w:r>
            <w:r w:rsidRPr="00D02B42">
              <w:rPr>
                <w:rFonts w:cs="Arial"/>
                <w:b/>
                <w:bCs/>
                <w:sz w:val="20"/>
                <w:szCs w:val="20"/>
                <w:vertAlign w:val="subscript"/>
              </w:rPr>
              <w:t>2</w:t>
            </w:r>
            <w:r w:rsidRPr="00D02B42">
              <w:rPr>
                <w:rFonts w:cs="Arial"/>
                <w:b/>
                <w:bCs/>
                <w:sz w:val="20"/>
                <w:szCs w:val="20"/>
              </w:rPr>
              <w:t>e)</w:t>
            </w:r>
          </w:p>
        </w:tc>
        <w:tc>
          <w:tcPr>
            <w:tcW w:w="911" w:type="dxa"/>
          </w:tcPr>
          <w:p w14:paraId="106C4D7A" w14:textId="5EE2D624" w:rsidR="00DA3DC1" w:rsidRPr="00CB569B" w:rsidRDefault="00DA3DC1" w:rsidP="00DA3DC1">
            <w:pPr>
              <w:rPr>
                <w:sz w:val="20"/>
                <w:szCs w:val="20"/>
              </w:rPr>
            </w:pPr>
            <w:r>
              <w:rPr>
                <w:sz w:val="20"/>
                <w:szCs w:val="20"/>
              </w:rPr>
              <w:t>9,930</w:t>
            </w:r>
          </w:p>
        </w:tc>
        <w:tc>
          <w:tcPr>
            <w:tcW w:w="911" w:type="dxa"/>
          </w:tcPr>
          <w:p w14:paraId="25E4F134" w14:textId="501326F2" w:rsidR="00DA3DC1" w:rsidRPr="00CB569B" w:rsidRDefault="00DA3DC1" w:rsidP="00DA3DC1">
            <w:pPr>
              <w:rPr>
                <w:sz w:val="20"/>
                <w:szCs w:val="20"/>
              </w:rPr>
            </w:pPr>
            <w:r>
              <w:rPr>
                <w:sz w:val="20"/>
                <w:szCs w:val="20"/>
              </w:rPr>
              <w:t>8,994</w:t>
            </w:r>
          </w:p>
        </w:tc>
        <w:tc>
          <w:tcPr>
            <w:tcW w:w="911" w:type="dxa"/>
          </w:tcPr>
          <w:p w14:paraId="5B060DFD" w14:textId="42A530B3" w:rsidR="00DA3DC1" w:rsidRPr="00CB569B" w:rsidRDefault="00DA3DC1" w:rsidP="00DA3DC1">
            <w:pPr>
              <w:rPr>
                <w:sz w:val="20"/>
                <w:szCs w:val="20"/>
              </w:rPr>
            </w:pPr>
            <w:r>
              <w:rPr>
                <w:sz w:val="20"/>
                <w:szCs w:val="20"/>
              </w:rPr>
              <w:t>8,146</w:t>
            </w:r>
          </w:p>
        </w:tc>
        <w:tc>
          <w:tcPr>
            <w:tcW w:w="911" w:type="dxa"/>
          </w:tcPr>
          <w:p w14:paraId="1253824C" w14:textId="6ACB6FC0" w:rsidR="00DA3DC1" w:rsidRPr="00CB569B" w:rsidRDefault="00DA3DC1" w:rsidP="00DA3DC1">
            <w:pPr>
              <w:rPr>
                <w:sz w:val="20"/>
                <w:szCs w:val="20"/>
              </w:rPr>
            </w:pPr>
            <w:r>
              <w:rPr>
                <w:sz w:val="20"/>
                <w:szCs w:val="20"/>
              </w:rPr>
              <w:t>7,378</w:t>
            </w:r>
          </w:p>
        </w:tc>
        <w:tc>
          <w:tcPr>
            <w:tcW w:w="911" w:type="dxa"/>
          </w:tcPr>
          <w:p w14:paraId="28BA59DA" w14:textId="4D53970B" w:rsidR="00DA3DC1" w:rsidRPr="00CB569B" w:rsidRDefault="00DA3DC1" w:rsidP="00DA3DC1">
            <w:pPr>
              <w:rPr>
                <w:sz w:val="20"/>
                <w:szCs w:val="20"/>
              </w:rPr>
            </w:pPr>
            <w:r>
              <w:rPr>
                <w:sz w:val="20"/>
                <w:szCs w:val="20"/>
              </w:rPr>
              <w:t>6,683</w:t>
            </w:r>
          </w:p>
        </w:tc>
        <w:tc>
          <w:tcPr>
            <w:tcW w:w="911" w:type="dxa"/>
          </w:tcPr>
          <w:p w14:paraId="1015DB89" w14:textId="51388854" w:rsidR="00DA3DC1" w:rsidRPr="00CB569B" w:rsidRDefault="00DA3DC1" w:rsidP="00DA3DC1">
            <w:pPr>
              <w:rPr>
                <w:sz w:val="20"/>
                <w:szCs w:val="20"/>
              </w:rPr>
            </w:pPr>
            <w:r>
              <w:rPr>
                <w:sz w:val="20"/>
                <w:szCs w:val="20"/>
              </w:rPr>
              <w:t>6,053</w:t>
            </w:r>
          </w:p>
        </w:tc>
        <w:tc>
          <w:tcPr>
            <w:tcW w:w="911" w:type="dxa"/>
          </w:tcPr>
          <w:p w14:paraId="3193DA5B" w14:textId="60DCE907" w:rsidR="00DA3DC1" w:rsidRPr="00CB569B" w:rsidRDefault="00DA3DC1" w:rsidP="00DA3DC1">
            <w:pPr>
              <w:rPr>
                <w:sz w:val="20"/>
                <w:szCs w:val="20"/>
              </w:rPr>
            </w:pPr>
            <w:r>
              <w:rPr>
                <w:sz w:val="20"/>
                <w:szCs w:val="20"/>
              </w:rPr>
              <w:t>5,482</w:t>
            </w:r>
          </w:p>
        </w:tc>
        <w:tc>
          <w:tcPr>
            <w:tcW w:w="911" w:type="dxa"/>
          </w:tcPr>
          <w:p w14:paraId="102CA8C2" w14:textId="3A53B9D3" w:rsidR="00DA3DC1" w:rsidRPr="00CB569B" w:rsidRDefault="00DA3DC1" w:rsidP="00DA3DC1">
            <w:pPr>
              <w:rPr>
                <w:sz w:val="20"/>
                <w:szCs w:val="20"/>
              </w:rPr>
            </w:pPr>
            <w:r>
              <w:rPr>
                <w:sz w:val="20"/>
                <w:szCs w:val="20"/>
              </w:rPr>
              <w:t>4,965</w:t>
            </w:r>
          </w:p>
        </w:tc>
        <w:tc>
          <w:tcPr>
            <w:tcW w:w="1161" w:type="dxa"/>
          </w:tcPr>
          <w:p w14:paraId="1C52C9D5" w14:textId="1DF55AC6" w:rsidR="00DA3DC1" w:rsidRPr="00CB569B" w:rsidRDefault="00DA3DC1" w:rsidP="00DA3DC1">
            <w:pPr>
              <w:rPr>
                <w:sz w:val="20"/>
                <w:szCs w:val="20"/>
              </w:rPr>
            </w:pPr>
            <w:r>
              <w:rPr>
                <w:sz w:val="20"/>
                <w:szCs w:val="20"/>
              </w:rPr>
              <w:t>57,631</w:t>
            </w:r>
          </w:p>
        </w:tc>
      </w:tr>
      <w:tr w:rsidR="00DA3DC1" w14:paraId="5849923F" w14:textId="77777777" w:rsidTr="00DA3DC1">
        <w:tc>
          <w:tcPr>
            <w:tcW w:w="1498" w:type="dxa"/>
          </w:tcPr>
          <w:p w14:paraId="70D0A576" w14:textId="16136075" w:rsidR="00DA3DC1" w:rsidRPr="00D02B42" w:rsidRDefault="00DA3DC1" w:rsidP="00DA3DC1">
            <w:pPr>
              <w:rPr>
                <w:b/>
                <w:bCs/>
                <w:sz w:val="20"/>
                <w:szCs w:val="20"/>
              </w:rPr>
            </w:pPr>
            <w:r w:rsidRPr="00D02B42">
              <w:rPr>
                <w:b/>
                <w:bCs/>
                <w:sz w:val="20"/>
                <w:szCs w:val="20"/>
              </w:rPr>
              <w:t>Actual Emissions (</w:t>
            </w:r>
            <w:r w:rsidRPr="00D02B42">
              <w:rPr>
                <w:rFonts w:cs="Arial"/>
                <w:b/>
                <w:bCs/>
                <w:sz w:val="20"/>
                <w:szCs w:val="20"/>
                <w:shd w:val="clear" w:color="auto" w:fill="FFFFFF"/>
              </w:rPr>
              <w:t>t</w:t>
            </w:r>
            <w:r w:rsidRPr="00D02B42">
              <w:rPr>
                <w:rFonts w:cs="Arial"/>
                <w:b/>
                <w:bCs/>
                <w:sz w:val="20"/>
                <w:szCs w:val="20"/>
              </w:rPr>
              <w:t>CO</w:t>
            </w:r>
            <w:r w:rsidRPr="00D02B42">
              <w:rPr>
                <w:rFonts w:cs="Arial"/>
                <w:b/>
                <w:bCs/>
                <w:sz w:val="20"/>
                <w:szCs w:val="20"/>
                <w:vertAlign w:val="subscript"/>
              </w:rPr>
              <w:t>2</w:t>
            </w:r>
            <w:r w:rsidRPr="00D02B42">
              <w:rPr>
                <w:rFonts w:cs="Arial"/>
                <w:b/>
                <w:bCs/>
                <w:sz w:val="20"/>
                <w:szCs w:val="20"/>
              </w:rPr>
              <w:t>e)</w:t>
            </w:r>
          </w:p>
        </w:tc>
        <w:tc>
          <w:tcPr>
            <w:tcW w:w="911" w:type="dxa"/>
          </w:tcPr>
          <w:p w14:paraId="0F68A638" w14:textId="48FE7657" w:rsidR="00DA3DC1" w:rsidRPr="00CB569B" w:rsidRDefault="00DA3DC1" w:rsidP="00DA3DC1">
            <w:pPr>
              <w:rPr>
                <w:sz w:val="20"/>
                <w:szCs w:val="20"/>
              </w:rPr>
            </w:pPr>
            <w:r>
              <w:rPr>
                <w:sz w:val="20"/>
                <w:szCs w:val="20"/>
              </w:rPr>
              <w:t>8,303</w:t>
            </w:r>
          </w:p>
        </w:tc>
        <w:tc>
          <w:tcPr>
            <w:tcW w:w="911" w:type="dxa"/>
          </w:tcPr>
          <w:p w14:paraId="3CBD59AE" w14:textId="6D27814E" w:rsidR="00DA3DC1" w:rsidRPr="00CB569B" w:rsidRDefault="00DA3DC1" w:rsidP="00DA3DC1">
            <w:pPr>
              <w:rPr>
                <w:sz w:val="20"/>
                <w:szCs w:val="20"/>
              </w:rPr>
            </w:pPr>
            <w:r>
              <w:rPr>
                <w:sz w:val="20"/>
                <w:szCs w:val="20"/>
              </w:rPr>
              <w:t>8,257</w:t>
            </w:r>
          </w:p>
        </w:tc>
        <w:tc>
          <w:tcPr>
            <w:tcW w:w="911" w:type="dxa"/>
          </w:tcPr>
          <w:p w14:paraId="47264FE9" w14:textId="033117CE" w:rsidR="00DA3DC1" w:rsidRPr="00CB569B" w:rsidRDefault="00DA3DC1" w:rsidP="00DA3DC1">
            <w:pPr>
              <w:rPr>
                <w:sz w:val="20"/>
                <w:szCs w:val="20"/>
              </w:rPr>
            </w:pPr>
            <w:r>
              <w:rPr>
                <w:sz w:val="20"/>
                <w:szCs w:val="20"/>
              </w:rPr>
              <w:t>-</w:t>
            </w:r>
          </w:p>
        </w:tc>
        <w:tc>
          <w:tcPr>
            <w:tcW w:w="911" w:type="dxa"/>
          </w:tcPr>
          <w:p w14:paraId="23D48679" w14:textId="0D6AE500" w:rsidR="00DA3DC1" w:rsidRPr="00CB569B" w:rsidRDefault="00DA3DC1" w:rsidP="00DA3DC1">
            <w:pPr>
              <w:rPr>
                <w:sz w:val="20"/>
                <w:szCs w:val="20"/>
              </w:rPr>
            </w:pPr>
            <w:r>
              <w:rPr>
                <w:sz w:val="20"/>
                <w:szCs w:val="20"/>
              </w:rPr>
              <w:t>-</w:t>
            </w:r>
          </w:p>
        </w:tc>
        <w:tc>
          <w:tcPr>
            <w:tcW w:w="911" w:type="dxa"/>
          </w:tcPr>
          <w:p w14:paraId="2B3787DB" w14:textId="58DFD617" w:rsidR="00DA3DC1" w:rsidRPr="00CB569B" w:rsidRDefault="00DA3DC1" w:rsidP="00DA3DC1">
            <w:pPr>
              <w:rPr>
                <w:sz w:val="20"/>
                <w:szCs w:val="20"/>
              </w:rPr>
            </w:pPr>
            <w:r>
              <w:rPr>
                <w:sz w:val="20"/>
                <w:szCs w:val="20"/>
              </w:rPr>
              <w:t>-</w:t>
            </w:r>
          </w:p>
        </w:tc>
        <w:tc>
          <w:tcPr>
            <w:tcW w:w="911" w:type="dxa"/>
          </w:tcPr>
          <w:p w14:paraId="0C63A35F" w14:textId="1E251DD4" w:rsidR="00DA3DC1" w:rsidRPr="00CB569B" w:rsidRDefault="00DA3DC1" w:rsidP="00DA3DC1">
            <w:pPr>
              <w:rPr>
                <w:sz w:val="20"/>
                <w:szCs w:val="20"/>
              </w:rPr>
            </w:pPr>
            <w:r>
              <w:rPr>
                <w:sz w:val="20"/>
                <w:szCs w:val="20"/>
              </w:rPr>
              <w:t>-</w:t>
            </w:r>
          </w:p>
        </w:tc>
        <w:tc>
          <w:tcPr>
            <w:tcW w:w="911" w:type="dxa"/>
          </w:tcPr>
          <w:p w14:paraId="657F1993" w14:textId="10F60FF5" w:rsidR="00DA3DC1" w:rsidRPr="00CB569B" w:rsidRDefault="00DA3DC1" w:rsidP="00DA3DC1">
            <w:pPr>
              <w:rPr>
                <w:sz w:val="20"/>
                <w:szCs w:val="20"/>
              </w:rPr>
            </w:pPr>
            <w:r>
              <w:rPr>
                <w:sz w:val="20"/>
                <w:szCs w:val="20"/>
              </w:rPr>
              <w:t>-</w:t>
            </w:r>
          </w:p>
        </w:tc>
        <w:tc>
          <w:tcPr>
            <w:tcW w:w="911" w:type="dxa"/>
          </w:tcPr>
          <w:p w14:paraId="580500BB" w14:textId="4ACED77C" w:rsidR="00DA3DC1" w:rsidRPr="00CB569B" w:rsidRDefault="00DA3DC1" w:rsidP="00DA3DC1">
            <w:pPr>
              <w:rPr>
                <w:sz w:val="20"/>
                <w:szCs w:val="20"/>
              </w:rPr>
            </w:pPr>
            <w:r>
              <w:rPr>
                <w:sz w:val="20"/>
                <w:szCs w:val="20"/>
              </w:rPr>
              <w:t>-</w:t>
            </w:r>
          </w:p>
        </w:tc>
        <w:tc>
          <w:tcPr>
            <w:tcW w:w="1161" w:type="dxa"/>
          </w:tcPr>
          <w:p w14:paraId="52F9E817" w14:textId="7C2D93B3" w:rsidR="00DA3DC1" w:rsidRPr="00CB569B" w:rsidRDefault="00DA3DC1" w:rsidP="00DA3DC1">
            <w:pPr>
              <w:rPr>
                <w:sz w:val="20"/>
                <w:szCs w:val="20"/>
              </w:rPr>
            </w:pPr>
            <w:r>
              <w:rPr>
                <w:sz w:val="20"/>
                <w:szCs w:val="20"/>
              </w:rPr>
              <w:t>-</w:t>
            </w:r>
          </w:p>
        </w:tc>
      </w:tr>
      <w:tr w:rsidR="00DA3DC1" w14:paraId="1D4EFAA1" w14:textId="77777777" w:rsidTr="00DA3DC1">
        <w:tc>
          <w:tcPr>
            <w:tcW w:w="1498" w:type="dxa"/>
          </w:tcPr>
          <w:p w14:paraId="62F9C5D4" w14:textId="08666B3E" w:rsidR="00DA3DC1" w:rsidRPr="00D02B42" w:rsidRDefault="00DA3DC1" w:rsidP="00DA3DC1">
            <w:pPr>
              <w:rPr>
                <w:b/>
                <w:bCs/>
                <w:sz w:val="20"/>
                <w:szCs w:val="20"/>
              </w:rPr>
            </w:pPr>
            <w:r w:rsidRPr="00D02B42">
              <w:rPr>
                <w:b/>
                <w:bCs/>
                <w:sz w:val="20"/>
                <w:szCs w:val="20"/>
              </w:rPr>
              <w:t>Surplus (Staying Within Budget)/Deficit (Going Over Budget)</w:t>
            </w:r>
          </w:p>
        </w:tc>
        <w:tc>
          <w:tcPr>
            <w:tcW w:w="911" w:type="dxa"/>
          </w:tcPr>
          <w:p w14:paraId="23273D1E" w14:textId="4C0FBC5A" w:rsidR="00DA3DC1" w:rsidRDefault="00DA3DC1" w:rsidP="00DA3DC1">
            <w:pPr>
              <w:rPr>
                <w:sz w:val="20"/>
                <w:szCs w:val="20"/>
              </w:rPr>
            </w:pPr>
            <w:r>
              <w:rPr>
                <w:sz w:val="20"/>
                <w:szCs w:val="20"/>
              </w:rPr>
              <w:t>1,627 surplus</w:t>
            </w:r>
          </w:p>
        </w:tc>
        <w:tc>
          <w:tcPr>
            <w:tcW w:w="911" w:type="dxa"/>
          </w:tcPr>
          <w:p w14:paraId="1477D818" w14:textId="77777777" w:rsidR="00DA3DC1" w:rsidRDefault="00DA3DC1" w:rsidP="00DA3DC1">
            <w:pPr>
              <w:rPr>
                <w:sz w:val="20"/>
                <w:szCs w:val="20"/>
              </w:rPr>
            </w:pPr>
            <w:r>
              <w:rPr>
                <w:sz w:val="20"/>
                <w:szCs w:val="20"/>
              </w:rPr>
              <w:t>737</w:t>
            </w:r>
          </w:p>
          <w:p w14:paraId="790177E4" w14:textId="67D745D8" w:rsidR="00DA3DC1" w:rsidRDefault="00DA3DC1" w:rsidP="00DA3DC1">
            <w:pPr>
              <w:rPr>
                <w:sz w:val="20"/>
                <w:szCs w:val="20"/>
              </w:rPr>
            </w:pPr>
            <w:r>
              <w:rPr>
                <w:sz w:val="20"/>
                <w:szCs w:val="20"/>
              </w:rPr>
              <w:t>surplus</w:t>
            </w:r>
          </w:p>
          <w:p w14:paraId="33607F57" w14:textId="24A849BE" w:rsidR="00DA3DC1" w:rsidRDefault="00DA3DC1" w:rsidP="00DA3DC1">
            <w:pPr>
              <w:rPr>
                <w:sz w:val="20"/>
                <w:szCs w:val="20"/>
              </w:rPr>
            </w:pPr>
          </w:p>
        </w:tc>
        <w:tc>
          <w:tcPr>
            <w:tcW w:w="911" w:type="dxa"/>
          </w:tcPr>
          <w:p w14:paraId="18020579" w14:textId="41970A1E" w:rsidR="00DA3DC1" w:rsidRDefault="00DA3DC1" w:rsidP="00DA3DC1">
            <w:pPr>
              <w:rPr>
                <w:sz w:val="20"/>
                <w:szCs w:val="20"/>
              </w:rPr>
            </w:pPr>
            <w:r>
              <w:rPr>
                <w:sz w:val="20"/>
                <w:szCs w:val="20"/>
              </w:rPr>
              <w:t>-</w:t>
            </w:r>
          </w:p>
        </w:tc>
        <w:tc>
          <w:tcPr>
            <w:tcW w:w="911" w:type="dxa"/>
          </w:tcPr>
          <w:p w14:paraId="2098B6C5" w14:textId="5A6C03E1" w:rsidR="00DA3DC1" w:rsidRDefault="00DA3DC1" w:rsidP="00DA3DC1">
            <w:pPr>
              <w:rPr>
                <w:sz w:val="20"/>
                <w:szCs w:val="20"/>
              </w:rPr>
            </w:pPr>
            <w:r>
              <w:rPr>
                <w:sz w:val="20"/>
                <w:szCs w:val="20"/>
              </w:rPr>
              <w:t>-</w:t>
            </w:r>
          </w:p>
        </w:tc>
        <w:tc>
          <w:tcPr>
            <w:tcW w:w="911" w:type="dxa"/>
          </w:tcPr>
          <w:p w14:paraId="1DA865CE" w14:textId="7CDDA68D" w:rsidR="00DA3DC1" w:rsidRDefault="00DA3DC1" w:rsidP="00DA3DC1">
            <w:pPr>
              <w:rPr>
                <w:sz w:val="20"/>
                <w:szCs w:val="20"/>
              </w:rPr>
            </w:pPr>
            <w:r>
              <w:rPr>
                <w:sz w:val="20"/>
                <w:szCs w:val="20"/>
              </w:rPr>
              <w:t>-</w:t>
            </w:r>
          </w:p>
        </w:tc>
        <w:tc>
          <w:tcPr>
            <w:tcW w:w="911" w:type="dxa"/>
          </w:tcPr>
          <w:p w14:paraId="60565930" w14:textId="5E4B6AEE" w:rsidR="00DA3DC1" w:rsidRDefault="00DA3DC1" w:rsidP="00DA3DC1">
            <w:pPr>
              <w:rPr>
                <w:sz w:val="20"/>
                <w:szCs w:val="20"/>
              </w:rPr>
            </w:pPr>
            <w:r>
              <w:rPr>
                <w:sz w:val="20"/>
                <w:szCs w:val="20"/>
              </w:rPr>
              <w:t>-</w:t>
            </w:r>
          </w:p>
        </w:tc>
        <w:tc>
          <w:tcPr>
            <w:tcW w:w="911" w:type="dxa"/>
          </w:tcPr>
          <w:p w14:paraId="6BA87FF8" w14:textId="0E52021B" w:rsidR="00DA3DC1" w:rsidRDefault="00DA3DC1" w:rsidP="00DA3DC1">
            <w:pPr>
              <w:rPr>
                <w:sz w:val="20"/>
                <w:szCs w:val="20"/>
              </w:rPr>
            </w:pPr>
            <w:r>
              <w:rPr>
                <w:sz w:val="20"/>
                <w:szCs w:val="20"/>
              </w:rPr>
              <w:t>-</w:t>
            </w:r>
          </w:p>
        </w:tc>
        <w:tc>
          <w:tcPr>
            <w:tcW w:w="911" w:type="dxa"/>
          </w:tcPr>
          <w:p w14:paraId="3A423EC3" w14:textId="7B2790E2" w:rsidR="00DA3DC1" w:rsidRDefault="00DA3DC1" w:rsidP="00DA3DC1">
            <w:pPr>
              <w:rPr>
                <w:sz w:val="20"/>
                <w:szCs w:val="20"/>
              </w:rPr>
            </w:pPr>
            <w:r>
              <w:rPr>
                <w:sz w:val="20"/>
                <w:szCs w:val="20"/>
              </w:rPr>
              <w:t>-</w:t>
            </w:r>
          </w:p>
        </w:tc>
        <w:tc>
          <w:tcPr>
            <w:tcW w:w="1161" w:type="dxa"/>
          </w:tcPr>
          <w:p w14:paraId="1A6E8773" w14:textId="37EE2E74" w:rsidR="00DA3DC1" w:rsidRDefault="00DA3DC1" w:rsidP="00DA3DC1">
            <w:pPr>
              <w:rPr>
                <w:sz w:val="20"/>
                <w:szCs w:val="20"/>
              </w:rPr>
            </w:pPr>
            <w:r>
              <w:rPr>
                <w:sz w:val="20"/>
                <w:szCs w:val="20"/>
              </w:rPr>
              <w:t>-</w:t>
            </w:r>
          </w:p>
        </w:tc>
      </w:tr>
    </w:tbl>
    <w:p w14:paraId="6181C7C0" w14:textId="6FFEE946" w:rsidR="00DA36B6" w:rsidRDefault="00813715" w:rsidP="007E0639">
      <w:pPr>
        <w:rPr>
          <w:b/>
          <w:bCs/>
        </w:rPr>
      </w:pPr>
      <w:r w:rsidRPr="00D45583">
        <w:rPr>
          <w:sz w:val="20"/>
          <w:szCs w:val="20"/>
        </w:rPr>
        <w:t xml:space="preserve">Table </w:t>
      </w:r>
      <w:r w:rsidR="007E0639">
        <w:rPr>
          <w:sz w:val="20"/>
          <w:szCs w:val="20"/>
        </w:rPr>
        <w:t>2</w:t>
      </w:r>
      <w:r w:rsidRPr="00D45583">
        <w:rPr>
          <w:sz w:val="20"/>
          <w:szCs w:val="20"/>
        </w:rPr>
        <w:t xml:space="preserve"> – </w:t>
      </w:r>
      <w:r>
        <w:rPr>
          <w:sz w:val="20"/>
          <w:szCs w:val="20"/>
        </w:rPr>
        <w:t xml:space="preserve">Projected </w:t>
      </w:r>
      <w:r w:rsidR="00C309D5">
        <w:rPr>
          <w:sz w:val="20"/>
          <w:szCs w:val="20"/>
        </w:rPr>
        <w:t xml:space="preserve">First </w:t>
      </w:r>
      <w:r>
        <w:rPr>
          <w:sz w:val="20"/>
          <w:szCs w:val="20"/>
        </w:rPr>
        <w:t>Carbon Budget</w:t>
      </w:r>
    </w:p>
    <w:p w14:paraId="7EEE0D2C" w14:textId="67A028A8" w:rsidR="003A7958" w:rsidRPr="00A72E0D" w:rsidRDefault="003A7958" w:rsidP="00096560">
      <w:pPr>
        <w:pStyle w:val="Heading1"/>
      </w:pPr>
      <w:r w:rsidRPr="00A72E0D">
        <w:t>How have we achieved carbon reductions?</w:t>
      </w:r>
    </w:p>
    <w:p w14:paraId="0D7C4CD9" w14:textId="375586B6" w:rsidR="003A7958" w:rsidRDefault="003A7958" w:rsidP="003A7958">
      <w:r>
        <w:t xml:space="preserve">The reduction reported in our footprint has been achieved through a combination of </w:t>
      </w:r>
      <w:r w:rsidR="00235929">
        <w:t>factors including:</w:t>
      </w:r>
    </w:p>
    <w:p w14:paraId="240E43C7" w14:textId="3D2CF390" w:rsidR="00FC07B0" w:rsidRDefault="00794D23" w:rsidP="003A7958">
      <w:pPr>
        <w:pStyle w:val="ListParagraph"/>
        <w:numPr>
          <w:ilvl w:val="0"/>
          <w:numId w:val="1"/>
        </w:numPr>
      </w:pPr>
      <w:r>
        <w:t xml:space="preserve">continued </w:t>
      </w:r>
      <w:r w:rsidR="00FC07B0">
        <w:t xml:space="preserve">operational changes </w:t>
      </w:r>
      <w:r w:rsidR="0094760D">
        <w:t xml:space="preserve">and </w:t>
      </w:r>
      <w:r>
        <w:t>new ways of working</w:t>
      </w:r>
      <w:r w:rsidR="004A5798">
        <w:t xml:space="preserve">, following the </w:t>
      </w:r>
      <w:r w:rsidR="009F3C30">
        <w:t xml:space="preserve">Coronavirus (COVID-19) </w:t>
      </w:r>
      <w:r w:rsidR="002C73D6">
        <w:t>pandemic.</w:t>
      </w:r>
    </w:p>
    <w:p w14:paraId="6A44C658" w14:textId="00889F34" w:rsidR="005820C2" w:rsidRDefault="005820C2" w:rsidP="003A7958">
      <w:pPr>
        <w:pStyle w:val="ListParagraph"/>
        <w:numPr>
          <w:ilvl w:val="0"/>
          <w:numId w:val="1"/>
        </w:numPr>
      </w:pPr>
      <w:r>
        <w:t xml:space="preserve">carbon reduction </w:t>
      </w:r>
      <w:r w:rsidR="00AB0614">
        <w:t>initiatives</w:t>
      </w:r>
      <w:r>
        <w:t xml:space="preserve"> </w:t>
      </w:r>
      <w:r w:rsidR="00AB0614">
        <w:t>during this period</w:t>
      </w:r>
      <w:r w:rsidR="00B614B5">
        <w:t xml:space="preserve">; </w:t>
      </w:r>
      <w:r w:rsidR="00AB0614">
        <w:t>primarily the LED street lighting programme</w:t>
      </w:r>
      <w:r w:rsidR="002C73D6">
        <w:t>.</w:t>
      </w:r>
      <w:r w:rsidR="00AB0614">
        <w:t xml:space="preserve"> </w:t>
      </w:r>
      <w:r w:rsidR="003B2024">
        <w:t xml:space="preserve"> </w:t>
      </w:r>
    </w:p>
    <w:p w14:paraId="2D44F18C" w14:textId="145030BC" w:rsidR="00BC4E49" w:rsidRDefault="00BC4E49" w:rsidP="00BC4E49">
      <w:pPr>
        <w:pStyle w:val="ListParagraph"/>
        <w:numPr>
          <w:ilvl w:val="0"/>
          <w:numId w:val="1"/>
        </w:numPr>
      </w:pPr>
      <w:r>
        <w:t>decarbonisation of the UK electricity grid</w:t>
      </w:r>
      <w:r w:rsidR="002C73D6">
        <w:t>.</w:t>
      </w:r>
      <w:r>
        <w:t xml:space="preserve"> </w:t>
      </w:r>
    </w:p>
    <w:p w14:paraId="3FC796F6" w14:textId="47AF9E00" w:rsidR="003A7958" w:rsidRDefault="003A7958" w:rsidP="00096560">
      <w:pPr>
        <w:pStyle w:val="Heading1"/>
      </w:pPr>
      <w:r>
        <w:t>Next Steps</w:t>
      </w:r>
    </w:p>
    <w:p w14:paraId="428A9734" w14:textId="384C706B" w:rsidR="003A7958" w:rsidRPr="00585A9F" w:rsidRDefault="00DC137E" w:rsidP="0032252D">
      <w:pPr>
        <w:rPr>
          <w:i/>
          <w:iCs/>
        </w:rPr>
      </w:pPr>
      <w:r>
        <w:t>To deliver significant emission reductions before 2050, the Council recognises that a shift away from fossil fuel use across its vehicles and buildings is essential, as well as steps to improve the energy efficiency of our buildings.  Currently, 60.1% of emissions are linked to energy use in buildings.  We will focus our efforts on delivering projects that support this vision</w:t>
      </w:r>
      <w:r w:rsidR="009A64E0">
        <w:t xml:space="preserve">, </w:t>
      </w:r>
      <w:r w:rsidR="00A62BD5">
        <w:t xml:space="preserve">and </w:t>
      </w:r>
      <w:r w:rsidR="004300CE">
        <w:t xml:space="preserve">which we have committed </w:t>
      </w:r>
      <w:r w:rsidR="004300CE">
        <w:lastRenderedPageBreak/>
        <w:t>to</w:t>
      </w:r>
      <w:r w:rsidR="00841866">
        <w:t xml:space="preserve"> in our Climate Change Action Plan</w:t>
      </w:r>
      <w:r w:rsidR="00CB6443">
        <w:t xml:space="preserve">.  Examples of these projects include </w:t>
      </w:r>
      <w:r>
        <w:t xml:space="preserve">our </w:t>
      </w:r>
      <w:hyperlink r:id="rId15" w:history="1">
        <w:r w:rsidRPr="009537A9">
          <w:rPr>
            <w:rStyle w:val="Hyperlink"/>
            <w:color w:val="auto"/>
          </w:rPr>
          <w:t>Re:fit programme</w:t>
        </w:r>
      </w:hyperlink>
      <w:r w:rsidRPr="009537A9">
        <w:t xml:space="preserve"> </w:t>
      </w:r>
      <w:r>
        <w:t xml:space="preserve">and a phased approach to the electrification of the Council’s fleet.   </w:t>
      </w:r>
      <w:r w:rsidR="00083189">
        <w:t>We intend to work more robustly to analyse our emissions; further improving data accuracy and including additional sources of Scope 3 emissions.</w:t>
      </w:r>
    </w:p>
    <w:p w14:paraId="3A6018D0" w14:textId="77777777" w:rsidR="0032252D" w:rsidRDefault="0032252D" w:rsidP="00585A9F"/>
    <w:sectPr w:rsidR="0032252D" w:rsidSect="006939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4F41" w14:textId="77777777" w:rsidR="00756F6F" w:rsidRDefault="00756F6F" w:rsidP="00EC5319">
      <w:pPr>
        <w:spacing w:after="0" w:line="240" w:lineRule="auto"/>
      </w:pPr>
      <w:r>
        <w:separator/>
      </w:r>
    </w:p>
  </w:endnote>
  <w:endnote w:type="continuationSeparator" w:id="0">
    <w:p w14:paraId="1C637431" w14:textId="77777777" w:rsidR="00756F6F" w:rsidRDefault="00756F6F" w:rsidP="00EC5319">
      <w:pPr>
        <w:spacing w:after="0" w:line="240" w:lineRule="auto"/>
      </w:pPr>
      <w:r>
        <w:continuationSeparator/>
      </w:r>
    </w:p>
  </w:endnote>
  <w:endnote w:type="continuationNotice" w:id="1">
    <w:p w14:paraId="2E11C496" w14:textId="77777777" w:rsidR="00756F6F" w:rsidRDefault="00756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F7EE" w14:textId="77777777" w:rsidR="00756F6F" w:rsidRDefault="00756F6F" w:rsidP="00EC5319">
      <w:pPr>
        <w:spacing w:after="0" w:line="240" w:lineRule="auto"/>
      </w:pPr>
      <w:r>
        <w:separator/>
      </w:r>
    </w:p>
  </w:footnote>
  <w:footnote w:type="continuationSeparator" w:id="0">
    <w:p w14:paraId="2EDE6B3F" w14:textId="77777777" w:rsidR="00756F6F" w:rsidRDefault="00756F6F" w:rsidP="00EC5319">
      <w:pPr>
        <w:spacing w:after="0" w:line="240" w:lineRule="auto"/>
      </w:pPr>
      <w:r>
        <w:continuationSeparator/>
      </w:r>
    </w:p>
  </w:footnote>
  <w:footnote w:type="continuationNotice" w:id="1">
    <w:p w14:paraId="17269E86" w14:textId="77777777" w:rsidR="00756F6F" w:rsidRDefault="00756F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44CB3"/>
    <w:multiLevelType w:val="hybridMultilevel"/>
    <w:tmpl w:val="AB740B28"/>
    <w:lvl w:ilvl="0" w:tplc="120A614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64BC5B9F"/>
    <w:multiLevelType w:val="hybridMultilevel"/>
    <w:tmpl w:val="397A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004E4C"/>
    <w:multiLevelType w:val="hybridMultilevel"/>
    <w:tmpl w:val="3328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20617">
    <w:abstractNumId w:val="0"/>
  </w:num>
  <w:num w:numId="2" w16cid:durableId="451170617">
    <w:abstractNumId w:val="2"/>
  </w:num>
  <w:num w:numId="3" w16cid:durableId="1785734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64"/>
    <w:rsid w:val="00000832"/>
    <w:rsid w:val="00003534"/>
    <w:rsid w:val="00005DB1"/>
    <w:rsid w:val="000141E4"/>
    <w:rsid w:val="0002352C"/>
    <w:rsid w:val="000277C9"/>
    <w:rsid w:val="000356EF"/>
    <w:rsid w:val="00040B2B"/>
    <w:rsid w:val="00053091"/>
    <w:rsid w:val="000543DE"/>
    <w:rsid w:val="00061A54"/>
    <w:rsid w:val="00062750"/>
    <w:rsid w:val="000651A6"/>
    <w:rsid w:val="00072647"/>
    <w:rsid w:val="00072789"/>
    <w:rsid w:val="00074EAC"/>
    <w:rsid w:val="0007643B"/>
    <w:rsid w:val="000813ED"/>
    <w:rsid w:val="00082ECA"/>
    <w:rsid w:val="00083189"/>
    <w:rsid w:val="00083B0A"/>
    <w:rsid w:val="0008443D"/>
    <w:rsid w:val="000844ED"/>
    <w:rsid w:val="00096560"/>
    <w:rsid w:val="000A2634"/>
    <w:rsid w:val="000A74C9"/>
    <w:rsid w:val="000B3155"/>
    <w:rsid w:val="000D01B0"/>
    <w:rsid w:val="000D1341"/>
    <w:rsid w:val="000D29A4"/>
    <w:rsid w:val="000D2BC9"/>
    <w:rsid w:val="000D7EE1"/>
    <w:rsid w:val="000E11A0"/>
    <w:rsid w:val="000E21DB"/>
    <w:rsid w:val="000E3D87"/>
    <w:rsid w:val="000F0BAD"/>
    <w:rsid w:val="000F3F33"/>
    <w:rsid w:val="000F45C0"/>
    <w:rsid w:val="000F66A3"/>
    <w:rsid w:val="00100CF0"/>
    <w:rsid w:val="00104E45"/>
    <w:rsid w:val="00114477"/>
    <w:rsid w:val="00123EA5"/>
    <w:rsid w:val="00124BD0"/>
    <w:rsid w:val="001259C9"/>
    <w:rsid w:val="001260A9"/>
    <w:rsid w:val="00126DC0"/>
    <w:rsid w:val="00130279"/>
    <w:rsid w:val="0013043A"/>
    <w:rsid w:val="00133BBA"/>
    <w:rsid w:val="001411DE"/>
    <w:rsid w:val="001420E5"/>
    <w:rsid w:val="0014375A"/>
    <w:rsid w:val="00152D57"/>
    <w:rsid w:val="001533F9"/>
    <w:rsid w:val="00154EEB"/>
    <w:rsid w:val="00155B47"/>
    <w:rsid w:val="001567E6"/>
    <w:rsid w:val="00166593"/>
    <w:rsid w:val="00167D4E"/>
    <w:rsid w:val="001720A9"/>
    <w:rsid w:val="001734DD"/>
    <w:rsid w:val="00181E4B"/>
    <w:rsid w:val="00183C43"/>
    <w:rsid w:val="00184C4B"/>
    <w:rsid w:val="00185585"/>
    <w:rsid w:val="00190956"/>
    <w:rsid w:val="0019221B"/>
    <w:rsid w:val="00194B5E"/>
    <w:rsid w:val="00196984"/>
    <w:rsid w:val="001A4883"/>
    <w:rsid w:val="001A4CB9"/>
    <w:rsid w:val="001A7F99"/>
    <w:rsid w:val="001B0137"/>
    <w:rsid w:val="001B412D"/>
    <w:rsid w:val="001B479F"/>
    <w:rsid w:val="001B69B6"/>
    <w:rsid w:val="001C4359"/>
    <w:rsid w:val="001C61EB"/>
    <w:rsid w:val="001C674E"/>
    <w:rsid w:val="001C70AE"/>
    <w:rsid w:val="001D02BD"/>
    <w:rsid w:val="001D23D4"/>
    <w:rsid w:val="001D7E18"/>
    <w:rsid w:val="001F169F"/>
    <w:rsid w:val="001F2B19"/>
    <w:rsid w:val="001F4D70"/>
    <w:rsid w:val="001F5067"/>
    <w:rsid w:val="001F63D3"/>
    <w:rsid w:val="00201DE8"/>
    <w:rsid w:val="0020283C"/>
    <w:rsid w:val="002052BD"/>
    <w:rsid w:val="002058F1"/>
    <w:rsid w:val="00207607"/>
    <w:rsid w:val="0021189E"/>
    <w:rsid w:val="00211EEE"/>
    <w:rsid w:val="00214155"/>
    <w:rsid w:val="002240D6"/>
    <w:rsid w:val="00226B2E"/>
    <w:rsid w:val="00235929"/>
    <w:rsid w:val="00242850"/>
    <w:rsid w:val="00244476"/>
    <w:rsid w:val="00247D9F"/>
    <w:rsid w:val="002557FC"/>
    <w:rsid w:val="002559F0"/>
    <w:rsid w:val="002603CB"/>
    <w:rsid w:val="00262E73"/>
    <w:rsid w:val="00281D70"/>
    <w:rsid w:val="00282637"/>
    <w:rsid w:val="00286896"/>
    <w:rsid w:val="002901D9"/>
    <w:rsid w:val="00292056"/>
    <w:rsid w:val="0029533B"/>
    <w:rsid w:val="002A1054"/>
    <w:rsid w:val="002A34EE"/>
    <w:rsid w:val="002A6C37"/>
    <w:rsid w:val="002B246D"/>
    <w:rsid w:val="002C4131"/>
    <w:rsid w:val="002C73D6"/>
    <w:rsid w:val="002D22EA"/>
    <w:rsid w:val="002D2E71"/>
    <w:rsid w:val="002D5B44"/>
    <w:rsid w:val="002E193F"/>
    <w:rsid w:val="002E22ED"/>
    <w:rsid w:val="002F35EB"/>
    <w:rsid w:val="002F4143"/>
    <w:rsid w:val="002F4F67"/>
    <w:rsid w:val="002F6D12"/>
    <w:rsid w:val="0030148E"/>
    <w:rsid w:val="00306A52"/>
    <w:rsid w:val="00312727"/>
    <w:rsid w:val="00320ACD"/>
    <w:rsid w:val="0032252D"/>
    <w:rsid w:val="00330059"/>
    <w:rsid w:val="00332275"/>
    <w:rsid w:val="00333CB2"/>
    <w:rsid w:val="00342ED2"/>
    <w:rsid w:val="003445C9"/>
    <w:rsid w:val="00345EA1"/>
    <w:rsid w:val="003466D5"/>
    <w:rsid w:val="00351364"/>
    <w:rsid w:val="00351A01"/>
    <w:rsid w:val="00351BE0"/>
    <w:rsid w:val="00357E87"/>
    <w:rsid w:val="00361D03"/>
    <w:rsid w:val="003661A7"/>
    <w:rsid w:val="003676AD"/>
    <w:rsid w:val="003677B8"/>
    <w:rsid w:val="00371BE1"/>
    <w:rsid w:val="00373451"/>
    <w:rsid w:val="003746AC"/>
    <w:rsid w:val="0037646C"/>
    <w:rsid w:val="00377115"/>
    <w:rsid w:val="00383631"/>
    <w:rsid w:val="00384AA7"/>
    <w:rsid w:val="00385E83"/>
    <w:rsid w:val="00390EC0"/>
    <w:rsid w:val="0039309B"/>
    <w:rsid w:val="0039330F"/>
    <w:rsid w:val="0039454E"/>
    <w:rsid w:val="00395882"/>
    <w:rsid w:val="00395E7C"/>
    <w:rsid w:val="003A6608"/>
    <w:rsid w:val="003A7958"/>
    <w:rsid w:val="003B012B"/>
    <w:rsid w:val="003B2024"/>
    <w:rsid w:val="003B23E1"/>
    <w:rsid w:val="003B28A1"/>
    <w:rsid w:val="003B6428"/>
    <w:rsid w:val="003B70A0"/>
    <w:rsid w:val="003C3787"/>
    <w:rsid w:val="003C50ED"/>
    <w:rsid w:val="003C75A7"/>
    <w:rsid w:val="003D11A9"/>
    <w:rsid w:val="003D2425"/>
    <w:rsid w:val="003D53CB"/>
    <w:rsid w:val="003D6EC1"/>
    <w:rsid w:val="003D717F"/>
    <w:rsid w:val="003E1300"/>
    <w:rsid w:val="003E69CA"/>
    <w:rsid w:val="003F4314"/>
    <w:rsid w:val="003F6320"/>
    <w:rsid w:val="00406B11"/>
    <w:rsid w:val="00417FE6"/>
    <w:rsid w:val="004211BA"/>
    <w:rsid w:val="0042254C"/>
    <w:rsid w:val="00423BF0"/>
    <w:rsid w:val="004250CD"/>
    <w:rsid w:val="00426C35"/>
    <w:rsid w:val="004300CE"/>
    <w:rsid w:val="00444E83"/>
    <w:rsid w:val="00451993"/>
    <w:rsid w:val="00452770"/>
    <w:rsid w:val="00460B36"/>
    <w:rsid w:val="00460CAA"/>
    <w:rsid w:val="00461D50"/>
    <w:rsid w:val="00462C46"/>
    <w:rsid w:val="004630E2"/>
    <w:rsid w:val="0046316F"/>
    <w:rsid w:val="004675C7"/>
    <w:rsid w:val="00473D3B"/>
    <w:rsid w:val="0048138E"/>
    <w:rsid w:val="0048492A"/>
    <w:rsid w:val="004A1B35"/>
    <w:rsid w:val="004A3540"/>
    <w:rsid w:val="004A5147"/>
    <w:rsid w:val="004A5798"/>
    <w:rsid w:val="004B1CCD"/>
    <w:rsid w:val="004B7130"/>
    <w:rsid w:val="004C5CE6"/>
    <w:rsid w:val="004D0283"/>
    <w:rsid w:val="004D02B2"/>
    <w:rsid w:val="004D1B2F"/>
    <w:rsid w:val="004D2279"/>
    <w:rsid w:val="004D7BDC"/>
    <w:rsid w:val="004E24F1"/>
    <w:rsid w:val="004E51CA"/>
    <w:rsid w:val="004E706D"/>
    <w:rsid w:val="004E7431"/>
    <w:rsid w:val="004F2F4B"/>
    <w:rsid w:val="004F56CB"/>
    <w:rsid w:val="00503BAE"/>
    <w:rsid w:val="00506F07"/>
    <w:rsid w:val="00512FA6"/>
    <w:rsid w:val="0051339B"/>
    <w:rsid w:val="00513A00"/>
    <w:rsid w:val="0052639D"/>
    <w:rsid w:val="00526C7D"/>
    <w:rsid w:val="00537235"/>
    <w:rsid w:val="00542B55"/>
    <w:rsid w:val="0054379A"/>
    <w:rsid w:val="00543F65"/>
    <w:rsid w:val="00545C61"/>
    <w:rsid w:val="00550A8E"/>
    <w:rsid w:val="005534A2"/>
    <w:rsid w:val="005820C2"/>
    <w:rsid w:val="00584F05"/>
    <w:rsid w:val="00585A9F"/>
    <w:rsid w:val="00586951"/>
    <w:rsid w:val="00596050"/>
    <w:rsid w:val="005C2570"/>
    <w:rsid w:val="005C29A1"/>
    <w:rsid w:val="005C6D63"/>
    <w:rsid w:val="005D25A5"/>
    <w:rsid w:val="005D2837"/>
    <w:rsid w:val="005D302A"/>
    <w:rsid w:val="005E1778"/>
    <w:rsid w:val="005E1945"/>
    <w:rsid w:val="005E3E4B"/>
    <w:rsid w:val="005E5633"/>
    <w:rsid w:val="005E7ABB"/>
    <w:rsid w:val="005F31F3"/>
    <w:rsid w:val="005F383A"/>
    <w:rsid w:val="005F79A4"/>
    <w:rsid w:val="0060488D"/>
    <w:rsid w:val="0061235B"/>
    <w:rsid w:val="006155D7"/>
    <w:rsid w:val="00616174"/>
    <w:rsid w:val="00623562"/>
    <w:rsid w:val="006269CB"/>
    <w:rsid w:val="00632547"/>
    <w:rsid w:val="00632FE9"/>
    <w:rsid w:val="0063620D"/>
    <w:rsid w:val="00637ABE"/>
    <w:rsid w:val="006460C9"/>
    <w:rsid w:val="0065139F"/>
    <w:rsid w:val="00651458"/>
    <w:rsid w:val="00651699"/>
    <w:rsid w:val="0065535D"/>
    <w:rsid w:val="00655AD6"/>
    <w:rsid w:val="00670B3A"/>
    <w:rsid w:val="00681F68"/>
    <w:rsid w:val="00684F29"/>
    <w:rsid w:val="00685889"/>
    <w:rsid w:val="006861AF"/>
    <w:rsid w:val="00686620"/>
    <w:rsid w:val="00686CB7"/>
    <w:rsid w:val="006908A8"/>
    <w:rsid w:val="0069399A"/>
    <w:rsid w:val="006971FE"/>
    <w:rsid w:val="006A08A7"/>
    <w:rsid w:val="006B14A0"/>
    <w:rsid w:val="006B27C8"/>
    <w:rsid w:val="006B33E7"/>
    <w:rsid w:val="006B472B"/>
    <w:rsid w:val="006C0003"/>
    <w:rsid w:val="006C00DF"/>
    <w:rsid w:val="006D5575"/>
    <w:rsid w:val="006D6B36"/>
    <w:rsid w:val="006E4971"/>
    <w:rsid w:val="006E52B7"/>
    <w:rsid w:val="006E6921"/>
    <w:rsid w:val="006E7829"/>
    <w:rsid w:val="006E78B7"/>
    <w:rsid w:val="006E7D98"/>
    <w:rsid w:val="006F24D6"/>
    <w:rsid w:val="007037AC"/>
    <w:rsid w:val="0070637C"/>
    <w:rsid w:val="00706791"/>
    <w:rsid w:val="00713C39"/>
    <w:rsid w:val="007141B3"/>
    <w:rsid w:val="007232F7"/>
    <w:rsid w:val="0072574C"/>
    <w:rsid w:val="007261B9"/>
    <w:rsid w:val="00727D70"/>
    <w:rsid w:val="007335B3"/>
    <w:rsid w:val="00734927"/>
    <w:rsid w:val="00735FA0"/>
    <w:rsid w:val="007376F4"/>
    <w:rsid w:val="007403C5"/>
    <w:rsid w:val="00742AE7"/>
    <w:rsid w:val="007446F8"/>
    <w:rsid w:val="007517DE"/>
    <w:rsid w:val="00756F6F"/>
    <w:rsid w:val="00761B0D"/>
    <w:rsid w:val="007671B0"/>
    <w:rsid w:val="007722A3"/>
    <w:rsid w:val="00772E89"/>
    <w:rsid w:val="007776A1"/>
    <w:rsid w:val="0078154D"/>
    <w:rsid w:val="00785112"/>
    <w:rsid w:val="00794D23"/>
    <w:rsid w:val="007955DE"/>
    <w:rsid w:val="007A075B"/>
    <w:rsid w:val="007B13DE"/>
    <w:rsid w:val="007B2C7C"/>
    <w:rsid w:val="007C681E"/>
    <w:rsid w:val="007D3B9D"/>
    <w:rsid w:val="007D45A5"/>
    <w:rsid w:val="007D4EB5"/>
    <w:rsid w:val="007E0639"/>
    <w:rsid w:val="007E3B95"/>
    <w:rsid w:val="007F1ADC"/>
    <w:rsid w:val="007F543B"/>
    <w:rsid w:val="007F68F4"/>
    <w:rsid w:val="007F7664"/>
    <w:rsid w:val="007F7BBA"/>
    <w:rsid w:val="00802FD1"/>
    <w:rsid w:val="0080563F"/>
    <w:rsid w:val="00807B52"/>
    <w:rsid w:val="00811F96"/>
    <w:rsid w:val="00813715"/>
    <w:rsid w:val="00813DEA"/>
    <w:rsid w:val="00823E8D"/>
    <w:rsid w:val="00825997"/>
    <w:rsid w:val="00826B84"/>
    <w:rsid w:val="00826F89"/>
    <w:rsid w:val="00827DC8"/>
    <w:rsid w:val="00831733"/>
    <w:rsid w:val="00841711"/>
    <w:rsid w:val="00841866"/>
    <w:rsid w:val="00846CF5"/>
    <w:rsid w:val="0085171C"/>
    <w:rsid w:val="00851901"/>
    <w:rsid w:val="00852377"/>
    <w:rsid w:val="00853BF8"/>
    <w:rsid w:val="008557F9"/>
    <w:rsid w:val="008576E0"/>
    <w:rsid w:val="00866733"/>
    <w:rsid w:val="00873A76"/>
    <w:rsid w:val="00877909"/>
    <w:rsid w:val="00894100"/>
    <w:rsid w:val="00894860"/>
    <w:rsid w:val="0089782A"/>
    <w:rsid w:val="008A1BD4"/>
    <w:rsid w:val="008A2AEB"/>
    <w:rsid w:val="008A39A4"/>
    <w:rsid w:val="008A6A77"/>
    <w:rsid w:val="008A713D"/>
    <w:rsid w:val="008B07BC"/>
    <w:rsid w:val="008C2D26"/>
    <w:rsid w:val="008C4BDD"/>
    <w:rsid w:val="008D1201"/>
    <w:rsid w:val="008D339D"/>
    <w:rsid w:val="008D4D4C"/>
    <w:rsid w:val="008D581B"/>
    <w:rsid w:val="008D5AEB"/>
    <w:rsid w:val="008F55D1"/>
    <w:rsid w:val="008F5EEF"/>
    <w:rsid w:val="00903CCD"/>
    <w:rsid w:val="009055C0"/>
    <w:rsid w:val="009265FE"/>
    <w:rsid w:val="00931158"/>
    <w:rsid w:val="00935A2F"/>
    <w:rsid w:val="00937518"/>
    <w:rsid w:val="00937890"/>
    <w:rsid w:val="0094500F"/>
    <w:rsid w:val="009458AB"/>
    <w:rsid w:val="0094760D"/>
    <w:rsid w:val="00952754"/>
    <w:rsid w:val="009537A9"/>
    <w:rsid w:val="009539DC"/>
    <w:rsid w:val="009557A7"/>
    <w:rsid w:val="009619D6"/>
    <w:rsid w:val="00963244"/>
    <w:rsid w:val="009639C6"/>
    <w:rsid w:val="00964E62"/>
    <w:rsid w:val="00974B4D"/>
    <w:rsid w:val="00974D73"/>
    <w:rsid w:val="009754B9"/>
    <w:rsid w:val="0099218A"/>
    <w:rsid w:val="009930DB"/>
    <w:rsid w:val="009A526E"/>
    <w:rsid w:val="009A64E0"/>
    <w:rsid w:val="009B06CF"/>
    <w:rsid w:val="009B1522"/>
    <w:rsid w:val="009B3FC5"/>
    <w:rsid w:val="009B6B03"/>
    <w:rsid w:val="009B6DD5"/>
    <w:rsid w:val="009C0FB3"/>
    <w:rsid w:val="009C1233"/>
    <w:rsid w:val="009C12D7"/>
    <w:rsid w:val="009C4549"/>
    <w:rsid w:val="009D620A"/>
    <w:rsid w:val="009D7456"/>
    <w:rsid w:val="009E23B8"/>
    <w:rsid w:val="009E4C60"/>
    <w:rsid w:val="009F2084"/>
    <w:rsid w:val="009F3091"/>
    <w:rsid w:val="009F3C30"/>
    <w:rsid w:val="00A005D5"/>
    <w:rsid w:val="00A04329"/>
    <w:rsid w:val="00A06C87"/>
    <w:rsid w:val="00A06CA3"/>
    <w:rsid w:val="00A11B9F"/>
    <w:rsid w:val="00A13592"/>
    <w:rsid w:val="00A145FF"/>
    <w:rsid w:val="00A24832"/>
    <w:rsid w:val="00A25F26"/>
    <w:rsid w:val="00A27584"/>
    <w:rsid w:val="00A35E48"/>
    <w:rsid w:val="00A41906"/>
    <w:rsid w:val="00A446BE"/>
    <w:rsid w:val="00A452B5"/>
    <w:rsid w:val="00A5285D"/>
    <w:rsid w:val="00A52C30"/>
    <w:rsid w:val="00A5486D"/>
    <w:rsid w:val="00A61793"/>
    <w:rsid w:val="00A62397"/>
    <w:rsid w:val="00A62BD5"/>
    <w:rsid w:val="00A63CC5"/>
    <w:rsid w:val="00A64239"/>
    <w:rsid w:val="00A66E31"/>
    <w:rsid w:val="00A678DD"/>
    <w:rsid w:val="00A72AA2"/>
    <w:rsid w:val="00A72E0D"/>
    <w:rsid w:val="00A81188"/>
    <w:rsid w:val="00A81B46"/>
    <w:rsid w:val="00A95F1F"/>
    <w:rsid w:val="00AA0C1B"/>
    <w:rsid w:val="00AA0FB8"/>
    <w:rsid w:val="00AA15C8"/>
    <w:rsid w:val="00AB0614"/>
    <w:rsid w:val="00AB5C9B"/>
    <w:rsid w:val="00AB6E57"/>
    <w:rsid w:val="00AC5A95"/>
    <w:rsid w:val="00AC7173"/>
    <w:rsid w:val="00AD0863"/>
    <w:rsid w:val="00AD3ACE"/>
    <w:rsid w:val="00AF0391"/>
    <w:rsid w:val="00AF077F"/>
    <w:rsid w:val="00AF1185"/>
    <w:rsid w:val="00AF5C94"/>
    <w:rsid w:val="00B056E0"/>
    <w:rsid w:val="00B153DE"/>
    <w:rsid w:val="00B1607E"/>
    <w:rsid w:val="00B1704A"/>
    <w:rsid w:val="00B21BBD"/>
    <w:rsid w:val="00B21C8F"/>
    <w:rsid w:val="00B260D5"/>
    <w:rsid w:val="00B3103D"/>
    <w:rsid w:val="00B369AA"/>
    <w:rsid w:val="00B437D7"/>
    <w:rsid w:val="00B538CC"/>
    <w:rsid w:val="00B57843"/>
    <w:rsid w:val="00B57F81"/>
    <w:rsid w:val="00B614B5"/>
    <w:rsid w:val="00B70926"/>
    <w:rsid w:val="00B73B0D"/>
    <w:rsid w:val="00B745DF"/>
    <w:rsid w:val="00B750C5"/>
    <w:rsid w:val="00B7725C"/>
    <w:rsid w:val="00B81E2A"/>
    <w:rsid w:val="00B92EB0"/>
    <w:rsid w:val="00B95524"/>
    <w:rsid w:val="00B971D5"/>
    <w:rsid w:val="00BA1066"/>
    <w:rsid w:val="00BA13AB"/>
    <w:rsid w:val="00BB2C9B"/>
    <w:rsid w:val="00BB2F69"/>
    <w:rsid w:val="00BC109B"/>
    <w:rsid w:val="00BC4E49"/>
    <w:rsid w:val="00BC6315"/>
    <w:rsid w:val="00BD0CC0"/>
    <w:rsid w:val="00BD2D9A"/>
    <w:rsid w:val="00BD38FC"/>
    <w:rsid w:val="00BE1A82"/>
    <w:rsid w:val="00BE69F8"/>
    <w:rsid w:val="00BF19D9"/>
    <w:rsid w:val="00BF3707"/>
    <w:rsid w:val="00C012BB"/>
    <w:rsid w:val="00C054FE"/>
    <w:rsid w:val="00C111AD"/>
    <w:rsid w:val="00C150D8"/>
    <w:rsid w:val="00C152F3"/>
    <w:rsid w:val="00C2015C"/>
    <w:rsid w:val="00C2271E"/>
    <w:rsid w:val="00C309D5"/>
    <w:rsid w:val="00C32747"/>
    <w:rsid w:val="00C36A2C"/>
    <w:rsid w:val="00C371A5"/>
    <w:rsid w:val="00C4067F"/>
    <w:rsid w:val="00C41440"/>
    <w:rsid w:val="00C43934"/>
    <w:rsid w:val="00C60130"/>
    <w:rsid w:val="00C608D1"/>
    <w:rsid w:val="00C61085"/>
    <w:rsid w:val="00C61B6B"/>
    <w:rsid w:val="00C63DAA"/>
    <w:rsid w:val="00C6409B"/>
    <w:rsid w:val="00C74038"/>
    <w:rsid w:val="00C77B46"/>
    <w:rsid w:val="00C81CF2"/>
    <w:rsid w:val="00C8485A"/>
    <w:rsid w:val="00C9401D"/>
    <w:rsid w:val="00C96D39"/>
    <w:rsid w:val="00CA65F2"/>
    <w:rsid w:val="00CB53C2"/>
    <w:rsid w:val="00CB569B"/>
    <w:rsid w:val="00CB5D8F"/>
    <w:rsid w:val="00CB6443"/>
    <w:rsid w:val="00CB7E35"/>
    <w:rsid w:val="00CC2028"/>
    <w:rsid w:val="00CC2379"/>
    <w:rsid w:val="00CC3F2A"/>
    <w:rsid w:val="00CD07CE"/>
    <w:rsid w:val="00CD1BAC"/>
    <w:rsid w:val="00CD384A"/>
    <w:rsid w:val="00CD3EFC"/>
    <w:rsid w:val="00CD42AE"/>
    <w:rsid w:val="00CD4462"/>
    <w:rsid w:val="00CD6EF5"/>
    <w:rsid w:val="00CE45CB"/>
    <w:rsid w:val="00CF0013"/>
    <w:rsid w:val="00CF2C77"/>
    <w:rsid w:val="00CF4DB5"/>
    <w:rsid w:val="00CF5C93"/>
    <w:rsid w:val="00CF62D0"/>
    <w:rsid w:val="00CF765E"/>
    <w:rsid w:val="00D00388"/>
    <w:rsid w:val="00D00DFE"/>
    <w:rsid w:val="00D02B42"/>
    <w:rsid w:val="00D06ADC"/>
    <w:rsid w:val="00D06B24"/>
    <w:rsid w:val="00D15A3B"/>
    <w:rsid w:val="00D20153"/>
    <w:rsid w:val="00D21BDF"/>
    <w:rsid w:val="00D21EF3"/>
    <w:rsid w:val="00D225BF"/>
    <w:rsid w:val="00D26BE2"/>
    <w:rsid w:val="00D279F6"/>
    <w:rsid w:val="00D27CE0"/>
    <w:rsid w:val="00D3138E"/>
    <w:rsid w:val="00D336E0"/>
    <w:rsid w:val="00D34105"/>
    <w:rsid w:val="00D3787E"/>
    <w:rsid w:val="00D41867"/>
    <w:rsid w:val="00D438A2"/>
    <w:rsid w:val="00D445F2"/>
    <w:rsid w:val="00D4543A"/>
    <w:rsid w:val="00D45583"/>
    <w:rsid w:val="00D52E80"/>
    <w:rsid w:val="00D56391"/>
    <w:rsid w:val="00D6546E"/>
    <w:rsid w:val="00D77CE8"/>
    <w:rsid w:val="00D80DA3"/>
    <w:rsid w:val="00D86FCA"/>
    <w:rsid w:val="00D955CC"/>
    <w:rsid w:val="00DA0237"/>
    <w:rsid w:val="00DA1C4C"/>
    <w:rsid w:val="00DA36B6"/>
    <w:rsid w:val="00DA3DC1"/>
    <w:rsid w:val="00DA4ACB"/>
    <w:rsid w:val="00DA4F40"/>
    <w:rsid w:val="00DA732D"/>
    <w:rsid w:val="00DA7726"/>
    <w:rsid w:val="00DB05CA"/>
    <w:rsid w:val="00DB2CEC"/>
    <w:rsid w:val="00DB32D0"/>
    <w:rsid w:val="00DB4C48"/>
    <w:rsid w:val="00DB5CEC"/>
    <w:rsid w:val="00DC137E"/>
    <w:rsid w:val="00DC1E32"/>
    <w:rsid w:val="00DC7E2A"/>
    <w:rsid w:val="00DD066F"/>
    <w:rsid w:val="00DF2F66"/>
    <w:rsid w:val="00DF5B84"/>
    <w:rsid w:val="00E0010B"/>
    <w:rsid w:val="00E037FC"/>
    <w:rsid w:val="00E05FC0"/>
    <w:rsid w:val="00E07553"/>
    <w:rsid w:val="00E123EA"/>
    <w:rsid w:val="00E26E95"/>
    <w:rsid w:val="00E31607"/>
    <w:rsid w:val="00E3279F"/>
    <w:rsid w:val="00E33FC4"/>
    <w:rsid w:val="00E37484"/>
    <w:rsid w:val="00E378B1"/>
    <w:rsid w:val="00E423EB"/>
    <w:rsid w:val="00E45709"/>
    <w:rsid w:val="00E51B40"/>
    <w:rsid w:val="00E56F6A"/>
    <w:rsid w:val="00E61329"/>
    <w:rsid w:val="00E6486F"/>
    <w:rsid w:val="00E677BB"/>
    <w:rsid w:val="00E70C7E"/>
    <w:rsid w:val="00E712BA"/>
    <w:rsid w:val="00E748FA"/>
    <w:rsid w:val="00E771F1"/>
    <w:rsid w:val="00E81393"/>
    <w:rsid w:val="00E90059"/>
    <w:rsid w:val="00E91ABA"/>
    <w:rsid w:val="00E91C55"/>
    <w:rsid w:val="00E92F4F"/>
    <w:rsid w:val="00E93671"/>
    <w:rsid w:val="00E93F6C"/>
    <w:rsid w:val="00EA070D"/>
    <w:rsid w:val="00EB1BC6"/>
    <w:rsid w:val="00EB2D66"/>
    <w:rsid w:val="00EB4095"/>
    <w:rsid w:val="00EB457A"/>
    <w:rsid w:val="00EB4E5C"/>
    <w:rsid w:val="00EC1391"/>
    <w:rsid w:val="00EC1403"/>
    <w:rsid w:val="00EC5319"/>
    <w:rsid w:val="00EE3878"/>
    <w:rsid w:val="00EE5958"/>
    <w:rsid w:val="00EE65CD"/>
    <w:rsid w:val="00EE6ED1"/>
    <w:rsid w:val="00EF1436"/>
    <w:rsid w:val="00F0092C"/>
    <w:rsid w:val="00F07B43"/>
    <w:rsid w:val="00F10BE6"/>
    <w:rsid w:val="00F17019"/>
    <w:rsid w:val="00F1766C"/>
    <w:rsid w:val="00F245F4"/>
    <w:rsid w:val="00F31E6D"/>
    <w:rsid w:val="00F47370"/>
    <w:rsid w:val="00F525B4"/>
    <w:rsid w:val="00F53B16"/>
    <w:rsid w:val="00F53C5A"/>
    <w:rsid w:val="00F5504C"/>
    <w:rsid w:val="00F55CE6"/>
    <w:rsid w:val="00F5740E"/>
    <w:rsid w:val="00F63D2D"/>
    <w:rsid w:val="00F71574"/>
    <w:rsid w:val="00F71FAE"/>
    <w:rsid w:val="00F733C7"/>
    <w:rsid w:val="00F81756"/>
    <w:rsid w:val="00F8471E"/>
    <w:rsid w:val="00F86C26"/>
    <w:rsid w:val="00FA0C46"/>
    <w:rsid w:val="00FA1727"/>
    <w:rsid w:val="00FA5216"/>
    <w:rsid w:val="00FA7ADC"/>
    <w:rsid w:val="00FB1E29"/>
    <w:rsid w:val="00FB23AE"/>
    <w:rsid w:val="00FB321F"/>
    <w:rsid w:val="00FB5D91"/>
    <w:rsid w:val="00FC07B0"/>
    <w:rsid w:val="00FC1D35"/>
    <w:rsid w:val="00FC4051"/>
    <w:rsid w:val="00FD29D7"/>
    <w:rsid w:val="00FE2C04"/>
    <w:rsid w:val="00FE6F37"/>
    <w:rsid w:val="00FF17CC"/>
    <w:rsid w:val="00FF1D1B"/>
    <w:rsid w:val="00FF2197"/>
    <w:rsid w:val="00FF2652"/>
    <w:rsid w:val="00FF2E30"/>
    <w:rsid w:val="00FF7649"/>
    <w:rsid w:val="24B0A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D8112"/>
  <w15:chartTrackingRefBased/>
  <w15:docId w15:val="{B3D84201-BB73-41B2-9BE9-09832344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37E"/>
  </w:style>
  <w:style w:type="paragraph" w:styleId="Heading1">
    <w:name w:val="heading 1"/>
    <w:basedOn w:val="Normal"/>
    <w:next w:val="Normal"/>
    <w:link w:val="Heading1Char"/>
    <w:uiPriority w:val="9"/>
    <w:qFormat/>
    <w:rsid w:val="00426C35"/>
    <w:pPr>
      <w:spacing w:before="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364"/>
    <w:rPr>
      <w:color w:val="0563C1" w:themeColor="hyperlink"/>
      <w:u w:val="single"/>
    </w:rPr>
  </w:style>
  <w:style w:type="character" w:styleId="UnresolvedMention">
    <w:name w:val="Unresolved Mention"/>
    <w:basedOn w:val="DefaultParagraphFont"/>
    <w:uiPriority w:val="99"/>
    <w:semiHidden/>
    <w:unhideWhenUsed/>
    <w:rsid w:val="00351364"/>
    <w:rPr>
      <w:color w:val="605E5C"/>
      <w:shd w:val="clear" w:color="auto" w:fill="E1DFDD"/>
    </w:rPr>
  </w:style>
  <w:style w:type="table" w:styleId="TableGrid">
    <w:name w:val="Table Grid"/>
    <w:basedOn w:val="TableNormal"/>
    <w:uiPriority w:val="39"/>
    <w:rsid w:val="00853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201"/>
    <w:pPr>
      <w:ind w:left="720"/>
      <w:contextualSpacing/>
    </w:pPr>
  </w:style>
  <w:style w:type="character" w:styleId="CommentReference">
    <w:name w:val="annotation reference"/>
    <w:basedOn w:val="DefaultParagraphFont"/>
    <w:uiPriority w:val="99"/>
    <w:semiHidden/>
    <w:unhideWhenUsed/>
    <w:rsid w:val="00811F96"/>
    <w:rPr>
      <w:sz w:val="16"/>
      <w:szCs w:val="16"/>
    </w:rPr>
  </w:style>
  <w:style w:type="paragraph" w:styleId="CommentText">
    <w:name w:val="annotation text"/>
    <w:basedOn w:val="Normal"/>
    <w:link w:val="CommentTextChar"/>
    <w:uiPriority w:val="99"/>
    <w:unhideWhenUsed/>
    <w:rsid w:val="00811F96"/>
    <w:pPr>
      <w:spacing w:line="240" w:lineRule="auto"/>
    </w:pPr>
    <w:rPr>
      <w:sz w:val="20"/>
      <w:szCs w:val="20"/>
    </w:rPr>
  </w:style>
  <w:style w:type="character" w:customStyle="1" w:styleId="CommentTextChar">
    <w:name w:val="Comment Text Char"/>
    <w:basedOn w:val="DefaultParagraphFont"/>
    <w:link w:val="CommentText"/>
    <w:uiPriority w:val="99"/>
    <w:rsid w:val="00811F96"/>
    <w:rPr>
      <w:sz w:val="20"/>
      <w:szCs w:val="20"/>
    </w:rPr>
  </w:style>
  <w:style w:type="paragraph" w:styleId="CommentSubject">
    <w:name w:val="annotation subject"/>
    <w:basedOn w:val="CommentText"/>
    <w:next w:val="CommentText"/>
    <w:link w:val="CommentSubjectChar"/>
    <w:uiPriority w:val="99"/>
    <w:semiHidden/>
    <w:unhideWhenUsed/>
    <w:rsid w:val="00811F96"/>
    <w:rPr>
      <w:b/>
      <w:bCs/>
    </w:rPr>
  </w:style>
  <w:style w:type="character" w:customStyle="1" w:styleId="CommentSubjectChar">
    <w:name w:val="Comment Subject Char"/>
    <w:basedOn w:val="CommentTextChar"/>
    <w:link w:val="CommentSubject"/>
    <w:uiPriority w:val="99"/>
    <w:semiHidden/>
    <w:rsid w:val="00811F96"/>
    <w:rPr>
      <w:b/>
      <w:bCs/>
      <w:sz w:val="20"/>
      <w:szCs w:val="20"/>
    </w:rPr>
  </w:style>
  <w:style w:type="paragraph" w:styleId="Header">
    <w:name w:val="header"/>
    <w:basedOn w:val="Normal"/>
    <w:link w:val="HeaderChar"/>
    <w:uiPriority w:val="99"/>
    <w:semiHidden/>
    <w:unhideWhenUsed/>
    <w:rsid w:val="000D01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01B0"/>
  </w:style>
  <w:style w:type="paragraph" w:styleId="Footer">
    <w:name w:val="footer"/>
    <w:basedOn w:val="Normal"/>
    <w:link w:val="FooterChar"/>
    <w:uiPriority w:val="99"/>
    <w:semiHidden/>
    <w:unhideWhenUsed/>
    <w:rsid w:val="000D01B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01B0"/>
  </w:style>
  <w:style w:type="character" w:styleId="Strong">
    <w:name w:val="Strong"/>
    <w:basedOn w:val="DefaultParagraphFont"/>
    <w:uiPriority w:val="22"/>
    <w:qFormat/>
    <w:rsid w:val="0065535D"/>
    <w:rPr>
      <w:b/>
      <w:bCs/>
    </w:rPr>
  </w:style>
  <w:style w:type="character" w:customStyle="1" w:styleId="Heading1Char">
    <w:name w:val="Heading 1 Char"/>
    <w:basedOn w:val="DefaultParagraphFont"/>
    <w:link w:val="Heading1"/>
    <w:uiPriority w:val="9"/>
    <w:rsid w:val="00426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82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calpartnerships.org.uk/abou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dway.gov.uk/climatechangepl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government-conversion-factors-for-company-reporting" TargetMode="External"/><Relationship Id="rId5" Type="http://schemas.openxmlformats.org/officeDocument/2006/relationships/styles" Target="styles.xml"/><Relationship Id="rId15" Type="http://schemas.openxmlformats.org/officeDocument/2006/relationships/hyperlink" Target="https://www.medway.gov.uk/info/200348/climate_change/1697/making_our_council_buildings_more_energy_efficient" TargetMode="External"/><Relationship Id="rId10" Type="http://schemas.openxmlformats.org/officeDocument/2006/relationships/hyperlink" Target="https://localpartnerships.gov.uk/resources/greenhouse-gas-accounting-t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049348/2021-ghg-conversion-factors-major-chan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FECB56C8E41041B395CB59D6C7FC8C" ma:contentTypeVersion="10" ma:contentTypeDescription="Create a new document." ma:contentTypeScope="" ma:versionID="89e9624e39b8f28ddbeb920a7417e45a">
  <xsd:schema xmlns:xsd="http://www.w3.org/2001/XMLSchema" xmlns:xs="http://www.w3.org/2001/XMLSchema" xmlns:p="http://schemas.microsoft.com/office/2006/metadata/properties" xmlns:ns2="9d3df3c3-e941-41eb-b936-91b476aac3bf" xmlns:ns3="66ab19a6-2693-4ef1-8d38-91af59ea876c" targetNamespace="http://schemas.microsoft.com/office/2006/metadata/properties" ma:root="true" ma:fieldsID="90f92b3e7d5f9acbb678d3bb03c1c439" ns2:_="" ns3:_="">
    <xsd:import namespace="9d3df3c3-e941-41eb-b936-91b476aac3bf"/>
    <xsd:import namespace="66ab19a6-2693-4ef1-8d38-91af59ea87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df3c3-e941-41eb-b936-91b476aac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ab19a6-2693-4ef1-8d38-91af59ea87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890B3-F384-4000-9D50-7132C993F8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F55E82-75B0-41B0-8936-388FDCD0C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df3c3-e941-41eb-b936-91b476aac3bf"/>
    <ds:schemaRef ds:uri="66ab19a6-2693-4ef1-8d38-91af59ea8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9113E-53F7-4790-A13B-1CB709251A19}">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2760</TotalTime>
  <Pages>5</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emrit, vicki</dc:creator>
  <cp:keywords/>
  <dc:description/>
  <cp:lastModifiedBy>emrit, vicki</cp:lastModifiedBy>
  <cp:revision>250</cp:revision>
  <dcterms:created xsi:type="dcterms:W3CDTF">2023-09-01T11:31:00Z</dcterms:created>
  <dcterms:modified xsi:type="dcterms:W3CDTF">2023-12-13T12:28:00Z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0x010100BBFECB56C8E41041B395CB59D6C7FC8C</vt:lpwstr>
  </property>
</Properties>
</file>