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A432F" w14:textId="33896A30" w:rsidR="00962230" w:rsidRDefault="00EB790E" w:rsidP="004D736A">
      <w:pPr>
        <w:ind w:left="1417" w:right="1417"/>
        <w:rPr>
          <w:noProof/>
        </w:rPr>
      </w:pPr>
      <w:r>
        <w:rPr>
          <w:noProof/>
        </w:rPr>
        <w:drawing>
          <wp:anchor distT="0" distB="0" distL="114300" distR="114300" simplePos="0" relativeHeight="251658240" behindDoc="1" locked="0" layoutInCell="1" allowOverlap="1" wp14:anchorId="315985DD" wp14:editId="6F824929">
            <wp:simplePos x="0" y="0"/>
            <wp:positionH relativeFrom="margin">
              <wp:align>left</wp:align>
            </wp:positionH>
            <wp:positionV relativeFrom="paragraph">
              <wp:posOffset>-792480</wp:posOffset>
            </wp:positionV>
            <wp:extent cx="7592060" cy="10730865"/>
            <wp:effectExtent l="0" t="0" r="889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92060" cy="10730865"/>
                    </a:xfrm>
                    <a:prstGeom prst="rect">
                      <a:avLst/>
                    </a:prstGeom>
                  </pic:spPr>
                </pic:pic>
              </a:graphicData>
            </a:graphic>
            <wp14:sizeRelH relativeFrom="margin">
              <wp14:pctWidth>0</wp14:pctWidth>
            </wp14:sizeRelH>
            <wp14:sizeRelV relativeFrom="margin">
              <wp14:pctHeight>0</wp14:pctHeight>
            </wp14:sizeRelV>
          </wp:anchor>
        </w:drawing>
      </w:r>
    </w:p>
    <w:p w14:paraId="5770E170" w14:textId="3B61E9DE" w:rsidR="009E3E52" w:rsidRPr="009E3E52" w:rsidRDefault="009E3E52" w:rsidP="00C2581C">
      <w:pPr>
        <w:ind w:left="1417" w:right="1417"/>
      </w:pPr>
    </w:p>
    <w:p w14:paraId="20857927" w14:textId="21D20297" w:rsidR="00E81538" w:rsidRDefault="00962230" w:rsidP="00133795">
      <w:pPr>
        <w:pStyle w:val="PCHCovertitle"/>
        <w:spacing w:before="2040"/>
      </w:pPr>
      <w:r>
        <w:t>Finance review</w:t>
      </w:r>
    </w:p>
    <w:p w14:paraId="4145D9E5" w14:textId="2FC4F8C4" w:rsidR="0046522F" w:rsidRDefault="0046522F" w:rsidP="006950D0">
      <w:pPr>
        <w:pStyle w:val="PCHHeader1"/>
        <w:numPr>
          <w:ilvl w:val="0"/>
          <w:numId w:val="0"/>
        </w:numPr>
        <w:rPr>
          <w:lang w:val="en-US"/>
        </w:rPr>
      </w:pPr>
    </w:p>
    <w:p w14:paraId="32883120" w14:textId="78912E00" w:rsidR="0046522F" w:rsidRPr="0046522F" w:rsidRDefault="00C74432" w:rsidP="006950D0">
      <w:pPr>
        <w:pStyle w:val="PCHHeader1"/>
        <w:numPr>
          <w:ilvl w:val="0"/>
          <w:numId w:val="0"/>
        </w:numPr>
        <w:ind w:left="720" w:firstLine="720"/>
        <w:rPr>
          <w:color w:val="auto"/>
          <w:sz w:val="52"/>
          <w:szCs w:val="52"/>
          <w:lang w:val="en-US"/>
        </w:rPr>
      </w:pPr>
      <w:bookmarkStart w:id="0" w:name="_Toc152677505"/>
      <w:bookmarkStart w:id="1" w:name="_Toc152677924"/>
      <w:bookmarkStart w:id="2" w:name="_Toc152680067"/>
      <w:bookmarkStart w:id="3" w:name="_Toc152680165"/>
      <w:bookmarkStart w:id="4" w:name="_Toc152680287"/>
      <w:bookmarkStart w:id="5" w:name="_Toc154735988"/>
      <w:r>
        <w:rPr>
          <w:color w:val="auto"/>
          <w:sz w:val="52"/>
          <w:szCs w:val="52"/>
          <w:lang w:val="en-US"/>
        </w:rPr>
        <w:t>Draft report for discussion</w:t>
      </w:r>
      <w:bookmarkEnd w:id="0"/>
      <w:bookmarkEnd w:id="1"/>
      <w:bookmarkEnd w:id="2"/>
      <w:bookmarkEnd w:id="3"/>
      <w:bookmarkEnd w:id="4"/>
      <w:bookmarkEnd w:id="5"/>
    </w:p>
    <w:p w14:paraId="3B85A37C" w14:textId="77777777" w:rsidR="00E81538" w:rsidRDefault="00E81538" w:rsidP="00DB0800">
      <w:pPr>
        <w:pStyle w:val="PCHTitle"/>
      </w:pPr>
    </w:p>
    <w:p w14:paraId="10DDAF7B" w14:textId="4D891F2A" w:rsidR="00DB0800" w:rsidRDefault="00962230" w:rsidP="00A27EE5">
      <w:pPr>
        <w:pStyle w:val="PCHCoversubhead"/>
      </w:pPr>
      <w:r>
        <w:t xml:space="preserve">Medway </w:t>
      </w:r>
      <w:r w:rsidR="00CD5B0C">
        <w:t>Council</w:t>
      </w:r>
    </w:p>
    <w:p w14:paraId="4185409F" w14:textId="77777777" w:rsidR="00C826C6" w:rsidRDefault="00C826C6" w:rsidP="00A27EE5">
      <w:pPr>
        <w:pStyle w:val="PCHCoversubhead"/>
      </w:pPr>
    </w:p>
    <w:p w14:paraId="29C19CAF" w14:textId="77777777" w:rsidR="00C826C6" w:rsidRPr="00C826C6" w:rsidRDefault="00C826C6" w:rsidP="00C826C6">
      <w:pPr>
        <w:ind w:left="698" w:firstLine="720"/>
        <w:rPr>
          <w:rFonts w:ascii="Arial" w:hAnsi="Arial" w:cs="Arial"/>
          <w:b/>
          <w:sz w:val="28"/>
          <w:szCs w:val="28"/>
        </w:rPr>
      </w:pPr>
      <w:r w:rsidRPr="00C826C6">
        <w:rPr>
          <w:rFonts w:ascii="Arial" w:hAnsi="Arial" w:cs="Arial"/>
          <w:b/>
          <w:sz w:val="28"/>
          <w:szCs w:val="28"/>
        </w:rPr>
        <w:t>John Jackson</w:t>
      </w:r>
    </w:p>
    <w:p w14:paraId="03A4C051" w14:textId="26141B71" w:rsidR="00C826C6" w:rsidRPr="00C826C6" w:rsidRDefault="00C826C6" w:rsidP="00C826C6">
      <w:pPr>
        <w:ind w:left="698" w:firstLine="720"/>
        <w:rPr>
          <w:rFonts w:ascii="Arial" w:hAnsi="Arial" w:cs="Arial"/>
          <w:b/>
          <w:sz w:val="28"/>
          <w:szCs w:val="28"/>
        </w:rPr>
      </w:pPr>
      <w:r w:rsidRPr="00C826C6">
        <w:rPr>
          <w:rFonts w:ascii="Arial" w:hAnsi="Arial" w:cs="Arial"/>
          <w:b/>
          <w:sz w:val="28"/>
          <w:szCs w:val="28"/>
        </w:rPr>
        <w:t xml:space="preserve">National Care </w:t>
      </w:r>
      <w:r w:rsidR="00194E22">
        <w:rPr>
          <w:rFonts w:ascii="Arial" w:hAnsi="Arial" w:cs="Arial"/>
          <w:b/>
          <w:sz w:val="28"/>
          <w:szCs w:val="28"/>
        </w:rPr>
        <w:t>&amp;</w:t>
      </w:r>
      <w:r w:rsidRPr="00C826C6">
        <w:rPr>
          <w:rFonts w:ascii="Arial" w:hAnsi="Arial" w:cs="Arial"/>
          <w:b/>
          <w:sz w:val="28"/>
          <w:szCs w:val="28"/>
        </w:rPr>
        <w:t xml:space="preserve"> Health Improvement Adviser Finance</w:t>
      </w:r>
    </w:p>
    <w:p w14:paraId="6E627F65" w14:textId="77777777" w:rsidR="00C826C6" w:rsidRPr="00C826C6" w:rsidRDefault="00C826C6" w:rsidP="00C826C6">
      <w:pPr>
        <w:ind w:left="698" w:firstLine="720"/>
        <w:rPr>
          <w:rFonts w:ascii="Arial" w:hAnsi="Arial" w:cs="Arial"/>
          <w:b/>
          <w:sz w:val="28"/>
          <w:szCs w:val="28"/>
        </w:rPr>
      </w:pPr>
    </w:p>
    <w:p w14:paraId="165F7366" w14:textId="77777777" w:rsidR="00C826C6" w:rsidRPr="00C826C6" w:rsidRDefault="00C826C6" w:rsidP="00C826C6">
      <w:pPr>
        <w:ind w:left="1418"/>
        <w:rPr>
          <w:rFonts w:ascii="Arial" w:hAnsi="Arial" w:cs="Arial"/>
          <w:b/>
          <w:sz w:val="28"/>
          <w:szCs w:val="28"/>
        </w:rPr>
      </w:pPr>
      <w:r w:rsidRPr="00C826C6">
        <w:rPr>
          <w:rFonts w:ascii="Arial" w:hAnsi="Arial" w:cs="Arial"/>
          <w:b/>
          <w:sz w:val="28"/>
          <w:szCs w:val="28"/>
        </w:rPr>
        <w:t>Julie Gonda</w:t>
      </w:r>
    </w:p>
    <w:p w14:paraId="23A1B696" w14:textId="2EE9C22F" w:rsidR="007C5ADF" w:rsidRDefault="00C826C6" w:rsidP="00C2581C">
      <w:pPr>
        <w:ind w:left="1418"/>
      </w:pPr>
      <w:r w:rsidRPr="00C826C6">
        <w:rPr>
          <w:rFonts w:ascii="Arial" w:hAnsi="Arial" w:cs="Arial"/>
          <w:b/>
          <w:sz w:val="28"/>
          <w:szCs w:val="28"/>
        </w:rPr>
        <w:t>Partners in Care &amp; Health Associate</w:t>
      </w:r>
    </w:p>
    <w:p w14:paraId="0E9FE4FC" w14:textId="6132A068" w:rsidR="005E12AF" w:rsidRDefault="00C74432" w:rsidP="00276FAC">
      <w:pPr>
        <w:pStyle w:val="PCHHeader1"/>
        <w:numPr>
          <w:ilvl w:val="0"/>
          <w:numId w:val="0"/>
        </w:numPr>
        <w:spacing w:before="100" w:beforeAutospacing="1" w:after="100" w:afterAutospacing="1"/>
        <w:ind w:left="698" w:firstLine="720"/>
      </w:pPr>
      <w:bookmarkStart w:id="6" w:name="_Toc152677506"/>
      <w:bookmarkStart w:id="7" w:name="_Toc152677925"/>
      <w:bookmarkStart w:id="8" w:name="_Toc152680068"/>
      <w:bookmarkStart w:id="9" w:name="_Toc152680166"/>
      <w:bookmarkStart w:id="10" w:name="_Toc152680288"/>
      <w:bookmarkStart w:id="11" w:name="_Toc154735989"/>
      <w:r>
        <w:t>December</w:t>
      </w:r>
      <w:r w:rsidR="00CD5B0C">
        <w:t xml:space="preserve"> </w:t>
      </w:r>
      <w:r w:rsidR="006D5D5B">
        <w:t>2023</w:t>
      </w:r>
      <w:bookmarkEnd w:id="6"/>
      <w:bookmarkEnd w:id="7"/>
      <w:bookmarkEnd w:id="8"/>
      <w:bookmarkEnd w:id="9"/>
      <w:bookmarkEnd w:id="10"/>
      <w:bookmarkEnd w:id="11"/>
    </w:p>
    <w:p w14:paraId="6E408FD8" w14:textId="77777777" w:rsidR="005E12AF" w:rsidRDefault="005E12AF">
      <w:pPr>
        <w:rPr>
          <w:rFonts w:ascii="Arial" w:eastAsia="Times New Roman" w:hAnsi="Arial" w:cs="Times New Roman"/>
          <w:b/>
          <w:color w:val="74035E"/>
          <w:sz w:val="36"/>
          <w:szCs w:val="36"/>
        </w:rPr>
      </w:pPr>
      <w:r>
        <w:br w:type="page"/>
      </w:r>
    </w:p>
    <w:p w14:paraId="295C9E53" w14:textId="6620E4DF" w:rsidR="00685596" w:rsidRDefault="00685596" w:rsidP="00C2581C">
      <w:pPr>
        <w:pStyle w:val="PCHHeader1"/>
        <w:numPr>
          <w:ilvl w:val="0"/>
          <w:numId w:val="0"/>
        </w:numPr>
        <w:ind w:left="698" w:firstLine="720"/>
        <w:rPr>
          <w:rFonts w:cs="Arial"/>
          <w:b w:val="0"/>
          <w:bCs/>
        </w:rPr>
      </w:pPr>
    </w:p>
    <w:p w14:paraId="4F0DEA7B" w14:textId="744175CB" w:rsidR="00254BCB" w:rsidRDefault="00A00DFB" w:rsidP="00A00DFB">
      <w:pPr>
        <w:pStyle w:val="TOC1"/>
        <w:rPr>
          <w:rFonts w:cs="Arial"/>
          <w:b/>
          <w:bCs/>
          <w:sz w:val="36"/>
          <w:szCs w:val="36"/>
        </w:rPr>
      </w:pPr>
      <w:r>
        <w:rPr>
          <w:rFonts w:cs="Arial"/>
          <w:b/>
          <w:bCs/>
          <w:sz w:val="36"/>
          <w:szCs w:val="36"/>
        </w:rPr>
        <w:t>Table of contents</w:t>
      </w:r>
    </w:p>
    <w:p w14:paraId="71B5BD23" w14:textId="65A8F0CB" w:rsidR="00310A01" w:rsidRDefault="008A1B52" w:rsidP="00310A01">
      <w:pPr>
        <w:pStyle w:val="TOC1"/>
        <w:rPr>
          <w:rFonts w:asciiTheme="minorHAnsi" w:hAnsiTheme="minorHAnsi" w:cstheme="minorBidi"/>
          <w:noProof/>
          <w:kern w:val="2"/>
          <w:sz w:val="24"/>
          <w:szCs w:val="24"/>
          <w:lang w:val="en-GB" w:eastAsia="en-GB"/>
          <w14:ligatures w14:val="standardContextual"/>
        </w:rPr>
      </w:pPr>
      <w:r>
        <w:rPr>
          <w:b/>
          <w:sz w:val="24"/>
        </w:rPr>
        <w:fldChar w:fldCharType="begin"/>
      </w:r>
      <w:r>
        <w:rPr>
          <w:b/>
          <w:sz w:val="24"/>
        </w:rPr>
        <w:instrText xml:space="preserve"> TOC \h \z \t "PCH Header 1,1" </w:instrText>
      </w:r>
      <w:r>
        <w:rPr>
          <w:b/>
          <w:sz w:val="24"/>
        </w:rPr>
        <w:fldChar w:fldCharType="separate"/>
      </w:r>
    </w:p>
    <w:p w14:paraId="6425E00C" w14:textId="35DCACFD" w:rsidR="00310A01" w:rsidRDefault="00191942">
      <w:pPr>
        <w:pStyle w:val="TOC1"/>
        <w:tabs>
          <w:tab w:val="left" w:pos="1680"/>
        </w:tabs>
        <w:rPr>
          <w:rFonts w:asciiTheme="minorHAnsi" w:hAnsiTheme="minorHAnsi" w:cstheme="minorBidi"/>
          <w:noProof/>
          <w:kern w:val="2"/>
          <w:sz w:val="24"/>
          <w:szCs w:val="24"/>
          <w:lang w:val="en-GB" w:eastAsia="en-GB"/>
          <w14:ligatures w14:val="standardContextual"/>
        </w:rPr>
      </w:pPr>
      <w:hyperlink w:anchor="_Toc154735990" w:history="1">
        <w:r w:rsidR="00310A01" w:rsidRPr="0046771B">
          <w:rPr>
            <w:rStyle w:val="Hyperlink"/>
            <w:noProof/>
          </w:rPr>
          <w:t>1</w:t>
        </w:r>
        <w:r w:rsidR="00310A01">
          <w:rPr>
            <w:rFonts w:asciiTheme="minorHAnsi" w:hAnsiTheme="minorHAnsi" w:cstheme="minorBidi"/>
            <w:noProof/>
            <w:kern w:val="2"/>
            <w:sz w:val="24"/>
            <w:szCs w:val="24"/>
            <w:lang w:val="en-GB" w:eastAsia="en-GB"/>
            <w14:ligatures w14:val="standardContextual"/>
          </w:rPr>
          <w:tab/>
        </w:r>
        <w:r w:rsidR="00310A01" w:rsidRPr="0046771B">
          <w:rPr>
            <w:rStyle w:val="Hyperlink"/>
            <w:noProof/>
          </w:rPr>
          <w:t>Introduction</w:t>
        </w:r>
        <w:r w:rsidR="00310A01">
          <w:rPr>
            <w:noProof/>
            <w:webHidden/>
          </w:rPr>
          <w:tab/>
        </w:r>
        <w:r w:rsidR="00310A01">
          <w:rPr>
            <w:noProof/>
            <w:webHidden/>
          </w:rPr>
          <w:fldChar w:fldCharType="begin"/>
        </w:r>
        <w:r w:rsidR="00310A01">
          <w:rPr>
            <w:noProof/>
            <w:webHidden/>
          </w:rPr>
          <w:instrText xml:space="preserve"> PAGEREF _Toc154735990 \h </w:instrText>
        </w:r>
        <w:r w:rsidR="00310A01">
          <w:rPr>
            <w:noProof/>
            <w:webHidden/>
          </w:rPr>
        </w:r>
        <w:r w:rsidR="00310A01">
          <w:rPr>
            <w:noProof/>
            <w:webHidden/>
          </w:rPr>
          <w:fldChar w:fldCharType="separate"/>
        </w:r>
        <w:r w:rsidR="00310A01">
          <w:rPr>
            <w:noProof/>
            <w:webHidden/>
          </w:rPr>
          <w:t>3</w:t>
        </w:r>
        <w:r w:rsidR="00310A01">
          <w:rPr>
            <w:noProof/>
            <w:webHidden/>
          </w:rPr>
          <w:fldChar w:fldCharType="end"/>
        </w:r>
      </w:hyperlink>
    </w:p>
    <w:p w14:paraId="1C1121C6" w14:textId="11CB35E6" w:rsidR="00310A01" w:rsidRDefault="00191942">
      <w:pPr>
        <w:pStyle w:val="TOC1"/>
        <w:tabs>
          <w:tab w:val="left" w:pos="1680"/>
        </w:tabs>
        <w:rPr>
          <w:rFonts w:asciiTheme="minorHAnsi" w:hAnsiTheme="minorHAnsi" w:cstheme="minorBidi"/>
          <w:noProof/>
          <w:kern w:val="2"/>
          <w:sz w:val="24"/>
          <w:szCs w:val="24"/>
          <w:lang w:val="en-GB" w:eastAsia="en-GB"/>
          <w14:ligatures w14:val="standardContextual"/>
        </w:rPr>
      </w:pPr>
      <w:hyperlink w:anchor="_Toc154735991" w:history="1">
        <w:r w:rsidR="00310A01" w:rsidRPr="0046771B">
          <w:rPr>
            <w:rStyle w:val="Hyperlink"/>
            <w:noProof/>
          </w:rPr>
          <w:t>2</w:t>
        </w:r>
        <w:r w:rsidR="00310A01">
          <w:rPr>
            <w:rFonts w:asciiTheme="minorHAnsi" w:hAnsiTheme="minorHAnsi" w:cstheme="minorBidi"/>
            <w:noProof/>
            <w:kern w:val="2"/>
            <w:sz w:val="24"/>
            <w:szCs w:val="24"/>
            <w:lang w:val="en-GB" w:eastAsia="en-GB"/>
            <w14:ligatures w14:val="standardContextual"/>
          </w:rPr>
          <w:tab/>
        </w:r>
        <w:r w:rsidR="00310A01" w:rsidRPr="0046771B">
          <w:rPr>
            <w:rStyle w:val="Hyperlink"/>
            <w:noProof/>
          </w:rPr>
          <w:t>Executive summary</w:t>
        </w:r>
        <w:r w:rsidR="00310A01">
          <w:rPr>
            <w:noProof/>
            <w:webHidden/>
          </w:rPr>
          <w:tab/>
        </w:r>
        <w:r w:rsidR="00310A01">
          <w:rPr>
            <w:noProof/>
            <w:webHidden/>
          </w:rPr>
          <w:fldChar w:fldCharType="begin"/>
        </w:r>
        <w:r w:rsidR="00310A01">
          <w:rPr>
            <w:noProof/>
            <w:webHidden/>
          </w:rPr>
          <w:instrText xml:space="preserve"> PAGEREF _Toc154735991 \h </w:instrText>
        </w:r>
        <w:r w:rsidR="00310A01">
          <w:rPr>
            <w:noProof/>
            <w:webHidden/>
          </w:rPr>
        </w:r>
        <w:r w:rsidR="00310A01">
          <w:rPr>
            <w:noProof/>
            <w:webHidden/>
          </w:rPr>
          <w:fldChar w:fldCharType="separate"/>
        </w:r>
        <w:r w:rsidR="00310A01">
          <w:rPr>
            <w:noProof/>
            <w:webHidden/>
          </w:rPr>
          <w:t>4</w:t>
        </w:r>
        <w:r w:rsidR="00310A01">
          <w:rPr>
            <w:noProof/>
            <w:webHidden/>
          </w:rPr>
          <w:fldChar w:fldCharType="end"/>
        </w:r>
      </w:hyperlink>
    </w:p>
    <w:p w14:paraId="5849749B" w14:textId="5031F492" w:rsidR="00310A01" w:rsidRDefault="00191942">
      <w:pPr>
        <w:pStyle w:val="TOC1"/>
        <w:tabs>
          <w:tab w:val="left" w:pos="1680"/>
        </w:tabs>
        <w:rPr>
          <w:rFonts w:asciiTheme="minorHAnsi" w:hAnsiTheme="minorHAnsi" w:cstheme="minorBidi"/>
          <w:noProof/>
          <w:kern w:val="2"/>
          <w:sz w:val="24"/>
          <w:szCs w:val="24"/>
          <w:lang w:val="en-GB" w:eastAsia="en-GB"/>
          <w14:ligatures w14:val="standardContextual"/>
        </w:rPr>
      </w:pPr>
      <w:hyperlink w:anchor="_Toc154735992" w:history="1">
        <w:r w:rsidR="00310A01" w:rsidRPr="0046771B">
          <w:rPr>
            <w:rStyle w:val="Hyperlink"/>
            <w:noProof/>
          </w:rPr>
          <w:t>3</w:t>
        </w:r>
        <w:r w:rsidR="00310A01">
          <w:rPr>
            <w:rFonts w:asciiTheme="minorHAnsi" w:hAnsiTheme="minorHAnsi" w:cstheme="minorBidi"/>
            <w:noProof/>
            <w:kern w:val="2"/>
            <w:sz w:val="24"/>
            <w:szCs w:val="24"/>
            <w:lang w:val="en-GB" w:eastAsia="en-GB"/>
            <w14:ligatures w14:val="standardContextual"/>
          </w:rPr>
          <w:tab/>
        </w:r>
        <w:r w:rsidR="00310A01" w:rsidRPr="0046771B">
          <w:rPr>
            <w:rStyle w:val="Hyperlink"/>
            <w:noProof/>
          </w:rPr>
          <w:t>Recommendations</w:t>
        </w:r>
        <w:r w:rsidR="00310A01">
          <w:rPr>
            <w:noProof/>
            <w:webHidden/>
          </w:rPr>
          <w:tab/>
        </w:r>
        <w:r w:rsidR="00310A01">
          <w:rPr>
            <w:noProof/>
            <w:webHidden/>
          </w:rPr>
          <w:fldChar w:fldCharType="begin"/>
        </w:r>
        <w:r w:rsidR="00310A01">
          <w:rPr>
            <w:noProof/>
            <w:webHidden/>
          </w:rPr>
          <w:instrText xml:space="preserve"> PAGEREF _Toc154735992 \h </w:instrText>
        </w:r>
        <w:r w:rsidR="00310A01">
          <w:rPr>
            <w:noProof/>
            <w:webHidden/>
          </w:rPr>
        </w:r>
        <w:r w:rsidR="00310A01">
          <w:rPr>
            <w:noProof/>
            <w:webHidden/>
          </w:rPr>
          <w:fldChar w:fldCharType="separate"/>
        </w:r>
        <w:r w:rsidR="00310A01">
          <w:rPr>
            <w:noProof/>
            <w:webHidden/>
          </w:rPr>
          <w:t>4</w:t>
        </w:r>
        <w:r w:rsidR="00310A01">
          <w:rPr>
            <w:noProof/>
            <w:webHidden/>
          </w:rPr>
          <w:fldChar w:fldCharType="end"/>
        </w:r>
      </w:hyperlink>
    </w:p>
    <w:p w14:paraId="6D167D36" w14:textId="3451E3F6" w:rsidR="00310A01" w:rsidRDefault="00191942">
      <w:pPr>
        <w:pStyle w:val="TOC1"/>
        <w:tabs>
          <w:tab w:val="left" w:pos="1680"/>
        </w:tabs>
        <w:rPr>
          <w:rFonts w:asciiTheme="minorHAnsi" w:hAnsiTheme="minorHAnsi" w:cstheme="minorBidi"/>
          <w:noProof/>
          <w:kern w:val="2"/>
          <w:sz w:val="24"/>
          <w:szCs w:val="24"/>
          <w:lang w:val="en-GB" w:eastAsia="en-GB"/>
          <w14:ligatures w14:val="standardContextual"/>
        </w:rPr>
      </w:pPr>
      <w:hyperlink w:anchor="_Toc154735994" w:history="1">
        <w:r w:rsidR="00310A01" w:rsidRPr="0046771B">
          <w:rPr>
            <w:rStyle w:val="Hyperlink"/>
            <w:noProof/>
          </w:rPr>
          <w:t>4</w:t>
        </w:r>
        <w:r w:rsidR="00310A01">
          <w:rPr>
            <w:rFonts w:asciiTheme="minorHAnsi" w:hAnsiTheme="minorHAnsi" w:cstheme="minorBidi"/>
            <w:noProof/>
            <w:kern w:val="2"/>
            <w:sz w:val="24"/>
            <w:szCs w:val="24"/>
            <w:lang w:val="en-GB" w:eastAsia="en-GB"/>
            <w14:ligatures w14:val="standardContextual"/>
          </w:rPr>
          <w:tab/>
        </w:r>
        <w:r w:rsidR="00310A01" w:rsidRPr="0046771B">
          <w:rPr>
            <w:rStyle w:val="Hyperlink"/>
            <w:noProof/>
          </w:rPr>
          <w:t>Background to Medway Council</w:t>
        </w:r>
        <w:r w:rsidR="00310A01">
          <w:rPr>
            <w:noProof/>
            <w:webHidden/>
          </w:rPr>
          <w:tab/>
        </w:r>
        <w:r w:rsidR="00310A01">
          <w:rPr>
            <w:noProof/>
            <w:webHidden/>
          </w:rPr>
          <w:fldChar w:fldCharType="begin"/>
        </w:r>
        <w:r w:rsidR="00310A01">
          <w:rPr>
            <w:noProof/>
            <w:webHidden/>
          </w:rPr>
          <w:instrText xml:space="preserve"> PAGEREF _Toc154735994 \h </w:instrText>
        </w:r>
        <w:r w:rsidR="00310A01">
          <w:rPr>
            <w:noProof/>
            <w:webHidden/>
          </w:rPr>
        </w:r>
        <w:r w:rsidR="00310A01">
          <w:rPr>
            <w:noProof/>
            <w:webHidden/>
          </w:rPr>
          <w:fldChar w:fldCharType="separate"/>
        </w:r>
        <w:r w:rsidR="00310A01">
          <w:rPr>
            <w:noProof/>
            <w:webHidden/>
          </w:rPr>
          <w:t>5</w:t>
        </w:r>
        <w:r w:rsidR="00310A01">
          <w:rPr>
            <w:noProof/>
            <w:webHidden/>
          </w:rPr>
          <w:fldChar w:fldCharType="end"/>
        </w:r>
      </w:hyperlink>
    </w:p>
    <w:p w14:paraId="12CE7B21" w14:textId="6C907EC5" w:rsidR="00310A01" w:rsidRDefault="00191942">
      <w:pPr>
        <w:pStyle w:val="TOC1"/>
        <w:tabs>
          <w:tab w:val="left" w:pos="1680"/>
        </w:tabs>
        <w:rPr>
          <w:rFonts w:asciiTheme="minorHAnsi" w:hAnsiTheme="minorHAnsi" w:cstheme="minorBidi"/>
          <w:noProof/>
          <w:kern w:val="2"/>
          <w:sz w:val="24"/>
          <w:szCs w:val="24"/>
          <w:lang w:val="en-GB" w:eastAsia="en-GB"/>
          <w14:ligatures w14:val="standardContextual"/>
        </w:rPr>
      </w:pPr>
      <w:hyperlink w:anchor="_Toc154735995" w:history="1">
        <w:r w:rsidR="00310A01" w:rsidRPr="0046771B">
          <w:rPr>
            <w:rStyle w:val="Hyperlink"/>
            <w:noProof/>
          </w:rPr>
          <w:t>5</w:t>
        </w:r>
        <w:r w:rsidR="00310A01">
          <w:rPr>
            <w:rFonts w:asciiTheme="minorHAnsi" w:hAnsiTheme="minorHAnsi" w:cstheme="minorBidi"/>
            <w:noProof/>
            <w:kern w:val="2"/>
            <w:sz w:val="24"/>
            <w:szCs w:val="24"/>
            <w:lang w:val="en-GB" w:eastAsia="en-GB"/>
            <w14:ligatures w14:val="standardContextual"/>
          </w:rPr>
          <w:tab/>
        </w:r>
        <w:r w:rsidR="00310A01" w:rsidRPr="0046771B">
          <w:rPr>
            <w:rStyle w:val="Hyperlink"/>
            <w:noProof/>
          </w:rPr>
          <w:t>Approach to the review</w:t>
        </w:r>
        <w:r w:rsidR="00310A01">
          <w:rPr>
            <w:noProof/>
            <w:webHidden/>
          </w:rPr>
          <w:tab/>
        </w:r>
        <w:r w:rsidR="00310A01">
          <w:rPr>
            <w:noProof/>
            <w:webHidden/>
          </w:rPr>
          <w:fldChar w:fldCharType="begin"/>
        </w:r>
        <w:r w:rsidR="00310A01">
          <w:rPr>
            <w:noProof/>
            <w:webHidden/>
          </w:rPr>
          <w:instrText xml:space="preserve"> PAGEREF _Toc154735995 \h </w:instrText>
        </w:r>
        <w:r w:rsidR="00310A01">
          <w:rPr>
            <w:noProof/>
            <w:webHidden/>
          </w:rPr>
        </w:r>
        <w:r w:rsidR="00310A01">
          <w:rPr>
            <w:noProof/>
            <w:webHidden/>
          </w:rPr>
          <w:fldChar w:fldCharType="separate"/>
        </w:r>
        <w:r w:rsidR="00310A01">
          <w:rPr>
            <w:noProof/>
            <w:webHidden/>
          </w:rPr>
          <w:t>7</w:t>
        </w:r>
        <w:r w:rsidR="00310A01">
          <w:rPr>
            <w:noProof/>
            <w:webHidden/>
          </w:rPr>
          <w:fldChar w:fldCharType="end"/>
        </w:r>
      </w:hyperlink>
    </w:p>
    <w:p w14:paraId="165653DE" w14:textId="528E04B8" w:rsidR="00310A01" w:rsidRDefault="00191942">
      <w:pPr>
        <w:pStyle w:val="TOC1"/>
        <w:tabs>
          <w:tab w:val="left" w:pos="1680"/>
        </w:tabs>
        <w:rPr>
          <w:rFonts w:asciiTheme="minorHAnsi" w:hAnsiTheme="minorHAnsi" w:cstheme="minorBidi"/>
          <w:noProof/>
          <w:kern w:val="2"/>
          <w:sz w:val="24"/>
          <w:szCs w:val="24"/>
          <w:lang w:val="en-GB" w:eastAsia="en-GB"/>
          <w14:ligatures w14:val="standardContextual"/>
        </w:rPr>
      </w:pPr>
      <w:hyperlink w:anchor="_Toc154735996" w:history="1">
        <w:r w:rsidR="00310A01" w:rsidRPr="0046771B">
          <w:rPr>
            <w:rStyle w:val="Hyperlink"/>
            <w:noProof/>
          </w:rPr>
          <w:t>6</w:t>
        </w:r>
        <w:r w:rsidR="00310A01">
          <w:rPr>
            <w:rFonts w:asciiTheme="minorHAnsi" w:hAnsiTheme="minorHAnsi" w:cstheme="minorBidi"/>
            <w:noProof/>
            <w:kern w:val="2"/>
            <w:sz w:val="24"/>
            <w:szCs w:val="24"/>
            <w:lang w:val="en-GB" w:eastAsia="en-GB"/>
            <w14:ligatures w14:val="standardContextual"/>
          </w:rPr>
          <w:tab/>
        </w:r>
        <w:r w:rsidR="00310A01" w:rsidRPr="0046771B">
          <w:rPr>
            <w:rStyle w:val="Hyperlink"/>
            <w:noProof/>
          </w:rPr>
          <w:t>Detailed findings</w:t>
        </w:r>
        <w:r w:rsidR="00310A01">
          <w:rPr>
            <w:noProof/>
            <w:webHidden/>
          </w:rPr>
          <w:tab/>
        </w:r>
        <w:r w:rsidR="00310A01">
          <w:rPr>
            <w:noProof/>
            <w:webHidden/>
          </w:rPr>
          <w:fldChar w:fldCharType="begin"/>
        </w:r>
        <w:r w:rsidR="00310A01">
          <w:rPr>
            <w:noProof/>
            <w:webHidden/>
          </w:rPr>
          <w:instrText xml:space="preserve"> PAGEREF _Toc154735996 \h </w:instrText>
        </w:r>
        <w:r w:rsidR="00310A01">
          <w:rPr>
            <w:noProof/>
            <w:webHidden/>
          </w:rPr>
        </w:r>
        <w:r w:rsidR="00310A01">
          <w:rPr>
            <w:noProof/>
            <w:webHidden/>
          </w:rPr>
          <w:fldChar w:fldCharType="separate"/>
        </w:r>
        <w:r w:rsidR="00310A01">
          <w:rPr>
            <w:noProof/>
            <w:webHidden/>
          </w:rPr>
          <w:t>7</w:t>
        </w:r>
        <w:r w:rsidR="00310A01">
          <w:rPr>
            <w:noProof/>
            <w:webHidden/>
          </w:rPr>
          <w:fldChar w:fldCharType="end"/>
        </w:r>
      </w:hyperlink>
    </w:p>
    <w:p w14:paraId="744DF16E" w14:textId="08DC2BF1" w:rsidR="00A00DFB" w:rsidRDefault="008A1B52" w:rsidP="00A00DFB">
      <w:pPr>
        <w:pStyle w:val="PCHHeader1"/>
        <w:numPr>
          <w:ilvl w:val="0"/>
          <w:numId w:val="0"/>
        </w:numPr>
        <w:tabs>
          <w:tab w:val="left" w:pos="851"/>
        </w:tabs>
        <w:ind w:left="1276"/>
        <w:rPr>
          <w:rFonts w:eastAsiaTheme="minorEastAsia"/>
          <w:b w:val="0"/>
          <w:color w:val="auto"/>
          <w:sz w:val="24"/>
          <w:szCs w:val="22"/>
          <w:lang w:val="en-US"/>
        </w:rPr>
      </w:pPr>
      <w:r>
        <w:rPr>
          <w:rFonts w:eastAsiaTheme="minorEastAsia"/>
          <w:b w:val="0"/>
          <w:color w:val="auto"/>
          <w:sz w:val="24"/>
          <w:szCs w:val="22"/>
          <w:lang w:val="en-US"/>
        </w:rPr>
        <w:fldChar w:fldCharType="end"/>
      </w:r>
    </w:p>
    <w:p w14:paraId="3AE5A8AF" w14:textId="77777777" w:rsidR="00066C3F" w:rsidRDefault="00066C3F" w:rsidP="00A00DFB">
      <w:pPr>
        <w:pStyle w:val="PCHHeader1"/>
        <w:numPr>
          <w:ilvl w:val="0"/>
          <w:numId w:val="0"/>
        </w:numPr>
        <w:tabs>
          <w:tab w:val="left" w:pos="851"/>
        </w:tabs>
        <w:ind w:left="1276"/>
        <w:rPr>
          <w:rFonts w:eastAsiaTheme="minorEastAsia"/>
          <w:b w:val="0"/>
          <w:color w:val="auto"/>
          <w:sz w:val="24"/>
          <w:szCs w:val="22"/>
          <w:lang w:val="en-US"/>
        </w:rPr>
      </w:pPr>
    </w:p>
    <w:p w14:paraId="660F7EFC" w14:textId="0DB8A963" w:rsidR="00066C3F" w:rsidRPr="00EA006B" w:rsidRDefault="00066C3F" w:rsidP="00A00DFB">
      <w:pPr>
        <w:pStyle w:val="PCHHeader1"/>
        <w:numPr>
          <w:ilvl w:val="0"/>
          <w:numId w:val="0"/>
        </w:numPr>
        <w:tabs>
          <w:tab w:val="left" w:pos="851"/>
        </w:tabs>
        <w:ind w:left="1276"/>
        <w:rPr>
          <w:rFonts w:eastAsiaTheme="minorEastAsia"/>
          <w:b w:val="0"/>
          <w:color w:val="auto"/>
          <w:sz w:val="28"/>
          <w:szCs w:val="28"/>
          <w:lang w:val="en-US"/>
        </w:rPr>
      </w:pPr>
      <w:r w:rsidRPr="00EA006B">
        <w:rPr>
          <w:rFonts w:eastAsiaTheme="minorEastAsia"/>
          <w:b w:val="0"/>
          <w:color w:val="auto"/>
          <w:sz w:val="28"/>
          <w:szCs w:val="28"/>
          <w:lang w:val="en-US"/>
        </w:rPr>
        <w:t>Appendices</w:t>
      </w:r>
    </w:p>
    <w:p w14:paraId="3A254E85" w14:textId="2D3FB60A" w:rsidR="00066C3F" w:rsidRPr="00EA006B" w:rsidRDefault="00066C3F" w:rsidP="00A00DFB">
      <w:pPr>
        <w:pStyle w:val="PCHHeader1"/>
        <w:numPr>
          <w:ilvl w:val="0"/>
          <w:numId w:val="0"/>
        </w:numPr>
        <w:tabs>
          <w:tab w:val="left" w:pos="851"/>
        </w:tabs>
        <w:ind w:left="1276"/>
        <w:rPr>
          <w:rFonts w:eastAsiaTheme="minorEastAsia"/>
          <w:b w:val="0"/>
          <w:color w:val="auto"/>
          <w:sz w:val="28"/>
          <w:szCs w:val="28"/>
          <w:lang w:val="en-US"/>
        </w:rPr>
      </w:pPr>
      <w:r w:rsidRPr="00EA006B">
        <w:rPr>
          <w:rFonts w:eastAsiaTheme="minorEastAsia"/>
          <w:b w:val="0"/>
          <w:color w:val="auto"/>
          <w:sz w:val="28"/>
          <w:szCs w:val="28"/>
          <w:lang w:val="en-US"/>
        </w:rPr>
        <w:t>Appendix 1</w:t>
      </w:r>
      <w:r w:rsidRPr="00EA006B">
        <w:rPr>
          <w:rFonts w:eastAsiaTheme="minorEastAsia"/>
          <w:b w:val="0"/>
          <w:color w:val="auto"/>
          <w:sz w:val="28"/>
          <w:szCs w:val="28"/>
          <w:lang w:val="en-US"/>
        </w:rPr>
        <w:tab/>
      </w:r>
      <w:r w:rsidRPr="00EA006B">
        <w:rPr>
          <w:rFonts w:eastAsiaTheme="minorEastAsia"/>
          <w:b w:val="0"/>
          <w:color w:val="auto"/>
          <w:sz w:val="28"/>
          <w:szCs w:val="28"/>
          <w:lang w:val="en-US"/>
        </w:rPr>
        <w:tab/>
        <w:t>Agreed Terms of Reference</w:t>
      </w:r>
    </w:p>
    <w:p w14:paraId="69E6BA86" w14:textId="62FC11EF" w:rsidR="00066C3F" w:rsidRPr="00EA006B" w:rsidRDefault="00066C3F" w:rsidP="00A00DFB">
      <w:pPr>
        <w:pStyle w:val="PCHHeader1"/>
        <w:numPr>
          <w:ilvl w:val="0"/>
          <w:numId w:val="0"/>
        </w:numPr>
        <w:tabs>
          <w:tab w:val="left" w:pos="851"/>
        </w:tabs>
        <w:ind w:left="1276"/>
        <w:rPr>
          <w:rFonts w:eastAsiaTheme="minorEastAsia"/>
          <w:b w:val="0"/>
          <w:color w:val="auto"/>
          <w:sz w:val="28"/>
          <w:szCs w:val="28"/>
          <w:lang w:val="en-US"/>
        </w:rPr>
      </w:pPr>
      <w:r w:rsidRPr="00EA006B">
        <w:rPr>
          <w:rFonts w:eastAsiaTheme="minorEastAsia"/>
          <w:b w:val="0"/>
          <w:color w:val="auto"/>
          <w:sz w:val="28"/>
          <w:szCs w:val="28"/>
          <w:lang w:val="en-US"/>
        </w:rPr>
        <w:t>Appendix 2</w:t>
      </w:r>
      <w:r w:rsidRPr="00EA006B">
        <w:rPr>
          <w:rFonts w:eastAsiaTheme="minorEastAsia"/>
          <w:b w:val="0"/>
          <w:color w:val="auto"/>
          <w:sz w:val="28"/>
          <w:szCs w:val="28"/>
          <w:lang w:val="en-US"/>
        </w:rPr>
        <w:tab/>
      </w:r>
      <w:r w:rsidRPr="00EA006B">
        <w:rPr>
          <w:rFonts w:eastAsiaTheme="minorEastAsia"/>
          <w:b w:val="0"/>
          <w:color w:val="auto"/>
          <w:sz w:val="28"/>
          <w:szCs w:val="28"/>
          <w:lang w:val="en-US"/>
        </w:rPr>
        <w:tab/>
        <w:t>Why savings are not achieved</w:t>
      </w:r>
    </w:p>
    <w:p w14:paraId="37550619" w14:textId="77147573" w:rsidR="00066C3F" w:rsidRPr="00EA006B" w:rsidRDefault="00066C3F" w:rsidP="00A00DFB">
      <w:pPr>
        <w:pStyle w:val="PCHHeader1"/>
        <w:numPr>
          <w:ilvl w:val="0"/>
          <w:numId w:val="0"/>
        </w:numPr>
        <w:tabs>
          <w:tab w:val="left" w:pos="851"/>
        </w:tabs>
        <w:ind w:left="1276"/>
        <w:rPr>
          <w:sz w:val="28"/>
          <w:szCs w:val="28"/>
        </w:rPr>
      </w:pPr>
      <w:r w:rsidRPr="00EA006B">
        <w:rPr>
          <w:rFonts w:eastAsiaTheme="minorEastAsia"/>
          <w:b w:val="0"/>
          <w:color w:val="auto"/>
          <w:sz w:val="28"/>
          <w:szCs w:val="28"/>
          <w:lang w:val="en-US"/>
        </w:rPr>
        <w:t>Appendix 3</w:t>
      </w:r>
      <w:r w:rsidRPr="00EA006B">
        <w:rPr>
          <w:rFonts w:eastAsiaTheme="minorEastAsia"/>
          <w:b w:val="0"/>
          <w:color w:val="auto"/>
          <w:sz w:val="28"/>
          <w:szCs w:val="28"/>
          <w:lang w:val="en-US"/>
        </w:rPr>
        <w:tab/>
      </w:r>
      <w:r w:rsidRPr="00EA006B">
        <w:rPr>
          <w:rFonts w:eastAsiaTheme="minorEastAsia"/>
          <w:b w:val="0"/>
          <w:color w:val="auto"/>
          <w:sz w:val="28"/>
          <w:szCs w:val="28"/>
          <w:lang w:val="en-US"/>
        </w:rPr>
        <w:tab/>
        <w:t>Income maximisation</w:t>
      </w:r>
    </w:p>
    <w:p w14:paraId="3A7A00BB" w14:textId="770ACC56" w:rsidR="00A00DFB" w:rsidRPr="00EA006B" w:rsidRDefault="00A00DFB" w:rsidP="00254BCB">
      <w:pPr>
        <w:pStyle w:val="PCHHeader1"/>
        <w:numPr>
          <w:ilvl w:val="0"/>
          <w:numId w:val="0"/>
        </w:numPr>
        <w:tabs>
          <w:tab w:val="left" w:pos="851"/>
        </w:tabs>
        <w:ind w:left="1276"/>
        <w:outlineLvl w:val="0"/>
        <w:rPr>
          <w:sz w:val="28"/>
          <w:szCs w:val="28"/>
        </w:rPr>
      </w:pPr>
      <w:r w:rsidRPr="00EA006B">
        <w:rPr>
          <w:sz w:val="28"/>
          <w:szCs w:val="28"/>
        </w:rPr>
        <w:br w:type="page"/>
      </w:r>
    </w:p>
    <w:p w14:paraId="35B1F54A" w14:textId="0B50EBFD" w:rsidR="00C74432" w:rsidRPr="00C74432" w:rsidRDefault="006B5C1D" w:rsidP="00C74432">
      <w:pPr>
        <w:pStyle w:val="PCHHeader1"/>
        <w:tabs>
          <w:tab w:val="left" w:pos="851"/>
        </w:tabs>
        <w:ind w:left="1276" w:hanging="567"/>
      </w:pPr>
      <w:bookmarkStart w:id="12" w:name="_Toc152677507"/>
      <w:bookmarkStart w:id="13" w:name="_Toc154735990"/>
      <w:r>
        <w:lastRenderedPageBreak/>
        <w:t>Introduction</w:t>
      </w:r>
      <w:bookmarkEnd w:id="12"/>
      <w:bookmarkEnd w:id="13"/>
    </w:p>
    <w:p w14:paraId="7B338F51" w14:textId="0E666EEE" w:rsidR="00C74432" w:rsidRPr="006B5C1D" w:rsidRDefault="00C74432">
      <w:pPr>
        <w:pStyle w:val="Heading2"/>
        <w:numPr>
          <w:ilvl w:val="1"/>
          <w:numId w:val="10"/>
        </w:numPr>
        <w:tabs>
          <w:tab w:val="left" w:pos="851"/>
        </w:tabs>
        <w:spacing w:after="240" w:line="276" w:lineRule="auto"/>
        <w:ind w:left="1276"/>
        <w:rPr>
          <w:rFonts w:ascii="Arial" w:hAnsi="Arial" w:cs="Arial"/>
          <w:color w:val="auto"/>
          <w:sz w:val="24"/>
          <w:szCs w:val="24"/>
        </w:rPr>
      </w:pPr>
      <w:r w:rsidRPr="006B5C1D">
        <w:rPr>
          <w:rFonts w:ascii="Arial" w:hAnsi="Arial" w:cs="Arial"/>
          <w:color w:val="auto"/>
          <w:sz w:val="24"/>
          <w:szCs w:val="24"/>
        </w:rPr>
        <w:t>The Local Government Association and Association of Directors of Adult Social Services are Partners in Care and Health (PCH) working with well-respected organisations. PCH helps councils to improve the way they deliver adult social care and public health services and helps Government understand the challenges faced by the sector. The programme is a trusted network for developing and sharing best practice, developing tools and techniques, providing support, and building connections. It is funded by Government and offered to councils without charge</w:t>
      </w:r>
      <w:r w:rsidR="006B5C1D" w:rsidRPr="006B5C1D">
        <w:rPr>
          <w:rFonts w:ascii="Arial" w:hAnsi="Arial" w:cs="Arial"/>
          <w:color w:val="auto"/>
          <w:sz w:val="24"/>
          <w:szCs w:val="24"/>
        </w:rPr>
        <w:t xml:space="preserve"> </w:t>
      </w:r>
      <w:r w:rsidRPr="006B5C1D">
        <w:rPr>
          <w:color w:val="auto"/>
        </w:rPr>
        <w:t>.</w:t>
      </w:r>
      <w:r w:rsidRPr="006B5C1D">
        <w:rPr>
          <w:rFonts w:ascii="Arial" w:hAnsi="Arial" w:cs="Arial"/>
          <w:color w:val="auto"/>
          <w:sz w:val="24"/>
          <w:szCs w:val="24"/>
        </w:rPr>
        <w:t xml:space="preserve"> </w:t>
      </w:r>
    </w:p>
    <w:p w14:paraId="2CD2493D" w14:textId="577C3D25" w:rsidR="006B5C1D" w:rsidRPr="006B5C1D" w:rsidRDefault="006B5C1D">
      <w:pPr>
        <w:pStyle w:val="Heading2"/>
        <w:numPr>
          <w:ilvl w:val="1"/>
          <w:numId w:val="10"/>
        </w:numPr>
        <w:tabs>
          <w:tab w:val="left" w:pos="851"/>
        </w:tabs>
        <w:spacing w:after="240" w:line="276" w:lineRule="auto"/>
        <w:ind w:left="1276"/>
        <w:rPr>
          <w:rFonts w:ascii="Arial" w:hAnsi="Arial" w:cs="Arial"/>
          <w:color w:val="auto"/>
          <w:sz w:val="24"/>
          <w:szCs w:val="24"/>
        </w:rPr>
      </w:pPr>
      <w:r w:rsidRPr="006B5C1D">
        <w:rPr>
          <w:rFonts w:ascii="Arial" w:hAnsi="Arial" w:cs="Arial"/>
          <w:color w:val="auto"/>
          <w:sz w:val="24"/>
          <w:szCs w:val="24"/>
        </w:rPr>
        <w:t>In recognition of the financial challenges facing Medway, Medway have requested the LGA</w:t>
      </w:r>
      <w:r w:rsidR="00A00DFB">
        <w:rPr>
          <w:rFonts w:ascii="Arial" w:hAnsi="Arial" w:cs="Arial"/>
          <w:color w:val="auto"/>
          <w:sz w:val="24"/>
          <w:szCs w:val="24"/>
        </w:rPr>
        <w:t>, through</w:t>
      </w:r>
      <w:r w:rsidR="00F54983">
        <w:rPr>
          <w:rFonts w:ascii="Arial" w:hAnsi="Arial" w:cs="Arial"/>
          <w:color w:val="auto"/>
          <w:sz w:val="24"/>
          <w:szCs w:val="24"/>
        </w:rPr>
        <w:t xml:space="preserve"> the</w:t>
      </w:r>
      <w:r w:rsidR="00A00DFB">
        <w:rPr>
          <w:rFonts w:ascii="Arial" w:hAnsi="Arial" w:cs="Arial"/>
          <w:color w:val="auto"/>
          <w:sz w:val="24"/>
          <w:szCs w:val="24"/>
        </w:rPr>
        <w:t xml:space="preserve"> PCH</w:t>
      </w:r>
      <w:r w:rsidR="00F54983">
        <w:rPr>
          <w:rFonts w:ascii="Arial" w:hAnsi="Arial" w:cs="Arial"/>
          <w:color w:val="auto"/>
          <w:sz w:val="24"/>
          <w:szCs w:val="24"/>
        </w:rPr>
        <w:t xml:space="preserve"> programme</w:t>
      </w:r>
      <w:r w:rsidR="00A00DFB">
        <w:rPr>
          <w:rFonts w:ascii="Arial" w:hAnsi="Arial" w:cs="Arial"/>
          <w:color w:val="auto"/>
          <w:sz w:val="24"/>
          <w:szCs w:val="24"/>
        </w:rPr>
        <w:t>, to</w:t>
      </w:r>
      <w:r w:rsidRPr="006B5C1D">
        <w:rPr>
          <w:rFonts w:ascii="Arial" w:hAnsi="Arial" w:cs="Arial"/>
          <w:color w:val="auto"/>
          <w:sz w:val="24"/>
          <w:szCs w:val="24"/>
        </w:rPr>
        <w:t xml:space="preserve"> undertake an independent</w:t>
      </w:r>
      <w:r w:rsidR="00F54983">
        <w:rPr>
          <w:rFonts w:ascii="Arial" w:hAnsi="Arial" w:cs="Arial"/>
          <w:color w:val="auto"/>
          <w:sz w:val="24"/>
          <w:szCs w:val="24"/>
        </w:rPr>
        <w:t xml:space="preserve"> finance</w:t>
      </w:r>
      <w:r w:rsidRPr="006B5C1D">
        <w:rPr>
          <w:rFonts w:ascii="Arial" w:hAnsi="Arial" w:cs="Arial"/>
          <w:color w:val="auto"/>
          <w:sz w:val="24"/>
          <w:szCs w:val="24"/>
        </w:rPr>
        <w:t xml:space="preserve"> review </w:t>
      </w:r>
      <w:r w:rsidR="00F54983">
        <w:rPr>
          <w:rFonts w:ascii="Arial" w:hAnsi="Arial" w:cs="Arial"/>
          <w:color w:val="auto"/>
          <w:sz w:val="24"/>
          <w:szCs w:val="24"/>
        </w:rPr>
        <w:t>and</w:t>
      </w:r>
      <w:r w:rsidRPr="006B5C1D">
        <w:rPr>
          <w:rFonts w:ascii="Arial" w:hAnsi="Arial" w:cs="Arial"/>
          <w:color w:val="auto"/>
          <w:sz w:val="24"/>
          <w:szCs w:val="24"/>
        </w:rPr>
        <w:t xml:space="preserve"> its use of resources in Adult Social Care. </w:t>
      </w:r>
      <w:r w:rsidR="008A1B52">
        <w:rPr>
          <w:rFonts w:ascii="Arial" w:hAnsi="Arial" w:cs="Arial"/>
          <w:color w:val="auto"/>
          <w:sz w:val="24"/>
          <w:szCs w:val="24"/>
        </w:rPr>
        <w:t xml:space="preserve"> The joint request came from the Chief Operating Officer &amp; S151 Office</w:t>
      </w:r>
      <w:r w:rsidR="0004537C">
        <w:rPr>
          <w:rFonts w:ascii="Arial" w:hAnsi="Arial" w:cs="Arial"/>
          <w:color w:val="auto"/>
          <w:sz w:val="24"/>
          <w:szCs w:val="24"/>
        </w:rPr>
        <w:t>r</w:t>
      </w:r>
      <w:r w:rsidR="008A1B52">
        <w:rPr>
          <w:rFonts w:ascii="Arial" w:hAnsi="Arial" w:cs="Arial"/>
          <w:color w:val="auto"/>
          <w:sz w:val="24"/>
          <w:szCs w:val="24"/>
        </w:rPr>
        <w:t xml:space="preserve"> and the Assistant Director Adult Social Care.</w:t>
      </w:r>
    </w:p>
    <w:p w14:paraId="3B76CF9D" w14:textId="2B64FDB1" w:rsidR="006B5C1D" w:rsidRPr="006B5C1D" w:rsidRDefault="006B5C1D">
      <w:pPr>
        <w:pStyle w:val="Heading2"/>
        <w:numPr>
          <w:ilvl w:val="1"/>
          <w:numId w:val="10"/>
        </w:numPr>
        <w:tabs>
          <w:tab w:val="left" w:pos="851"/>
        </w:tabs>
        <w:spacing w:after="240" w:line="276" w:lineRule="auto"/>
        <w:ind w:left="1276" w:right="106"/>
        <w:rPr>
          <w:color w:val="auto"/>
        </w:rPr>
      </w:pPr>
      <w:r w:rsidRPr="006B5C1D">
        <w:rPr>
          <w:rFonts w:ascii="Arial" w:hAnsi="Arial" w:cs="Arial"/>
          <w:color w:val="auto"/>
          <w:sz w:val="24"/>
          <w:szCs w:val="24"/>
        </w:rPr>
        <w:t xml:space="preserve">Medway recognises that it has serious financial challenges in the wider council in addition to significant overspends in respect of Adult Social Care.  It has commissioned a CIPFA review in respect of wider council finances and </w:t>
      </w:r>
      <w:r w:rsidR="008A1B52">
        <w:rPr>
          <w:rFonts w:ascii="Arial" w:hAnsi="Arial" w:cs="Arial"/>
          <w:color w:val="auto"/>
          <w:sz w:val="24"/>
          <w:szCs w:val="24"/>
        </w:rPr>
        <w:t xml:space="preserve">wanted </w:t>
      </w:r>
      <w:r w:rsidRPr="006B5C1D">
        <w:rPr>
          <w:rFonts w:ascii="Arial" w:hAnsi="Arial" w:cs="Arial"/>
          <w:color w:val="auto"/>
          <w:sz w:val="24"/>
          <w:szCs w:val="24"/>
        </w:rPr>
        <w:t>this review to focus on adult social care, thus avoiding duplication</w:t>
      </w:r>
      <w:r w:rsidRPr="006B5C1D">
        <w:rPr>
          <w:color w:val="auto"/>
        </w:rPr>
        <w:t>.</w:t>
      </w:r>
    </w:p>
    <w:p w14:paraId="7919688A" w14:textId="7BA70EE3" w:rsidR="00325D01" w:rsidRPr="00325D01" w:rsidRDefault="006B5C1D">
      <w:pPr>
        <w:pStyle w:val="Heading2"/>
        <w:numPr>
          <w:ilvl w:val="1"/>
          <w:numId w:val="10"/>
        </w:numPr>
        <w:tabs>
          <w:tab w:val="left" w:pos="851"/>
        </w:tabs>
        <w:spacing w:after="240" w:line="276" w:lineRule="auto"/>
        <w:ind w:left="1276"/>
        <w:rPr>
          <w:rFonts w:ascii="Arial" w:hAnsi="Arial" w:cs="Arial"/>
          <w:color w:val="auto"/>
          <w:sz w:val="24"/>
          <w:szCs w:val="24"/>
        </w:rPr>
      </w:pPr>
      <w:r w:rsidRPr="006B5C1D">
        <w:rPr>
          <w:rFonts w:ascii="Arial" w:hAnsi="Arial" w:cs="Arial"/>
          <w:color w:val="auto"/>
          <w:sz w:val="24"/>
          <w:szCs w:val="24"/>
        </w:rPr>
        <w:t xml:space="preserve">Medway </w:t>
      </w:r>
      <w:r w:rsidR="008A1B52">
        <w:rPr>
          <w:rFonts w:ascii="Arial" w:hAnsi="Arial" w:cs="Arial"/>
          <w:color w:val="auto"/>
          <w:sz w:val="24"/>
          <w:szCs w:val="24"/>
        </w:rPr>
        <w:t xml:space="preserve">wanted </w:t>
      </w:r>
      <w:r w:rsidRPr="006B5C1D">
        <w:rPr>
          <w:rFonts w:ascii="Arial" w:hAnsi="Arial" w:cs="Arial"/>
          <w:color w:val="auto"/>
          <w:sz w:val="24"/>
          <w:szCs w:val="24"/>
        </w:rPr>
        <w:t xml:space="preserve">the review to focus on a better understanding of the budget pressures relating to adult social care and suggestions for potential areas to make savings to support longer term financial sustainability for the Council. This would support the </w:t>
      </w:r>
      <w:r w:rsidRPr="00325D01">
        <w:rPr>
          <w:rFonts w:ascii="Arial" w:hAnsi="Arial" w:cs="Arial"/>
          <w:color w:val="auto"/>
          <w:sz w:val="24"/>
          <w:szCs w:val="24"/>
        </w:rPr>
        <w:t>development of a realistic and achievable saving programme in respect of adult social care</w:t>
      </w:r>
      <w:r w:rsidRPr="00325D01">
        <w:rPr>
          <w:color w:val="auto"/>
        </w:rPr>
        <w:t>.</w:t>
      </w:r>
      <w:r w:rsidR="00325D01" w:rsidRPr="00325D01">
        <w:rPr>
          <w:color w:val="auto"/>
        </w:rPr>
        <w:t xml:space="preserve">  </w:t>
      </w:r>
      <w:r w:rsidR="00325D01" w:rsidRPr="00325D01">
        <w:rPr>
          <w:rFonts w:ascii="Arial" w:hAnsi="Arial" w:cs="Arial"/>
          <w:color w:val="auto"/>
          <w:sz w:val="24"/>
          <w:szCs w:val="24"/>
        </w:rPr>
        <w:t>The agreed scope can be found at Appendix 1</w:t>
      </w:r>
      <w:r w:rsidR="00325D01">
        <w:rPr>
          <w:rFonts w:ascii="Arial" w:hAnsi="Arial" w:cs="Arial"/>
          <w:color w:val="auto"/>
          <w:sz w:val="24"/>
          <w:szCs w:val="24"/>
        </w:rPr>
        <w:t>.</w:t>
      </w:r>
    </w:p>
    <w:p w14:paraId="56911FEB" w14:textId="7126511A" w:rsidR="00C74432" w:rsidRPr="00325D01" w:rsidRDefault="00325D01">
      <w:pPr>
        <w:pStyle w:val="Heading2"/>
        <w:numPr>
          <w:ilvl w:val="1"/>
          <w:numId w:val="10"/>
        </w:numPr>
        <w:tabs>
          <w:tab w:val="left" w:pos="851"/>
        </w:tabs>
        <w:spacing w:after="240" w:line="276" w:lineRule="auto"/>
        <w:ind w:left="1276"/>
        <w:rPr>
          <w:rFonts w:ascii="Arial" w:hAnsi="Arial" w:cs="Arial"/>
          <w:color w:val="auto"/>
          <w:sz w:val="24"/>
          <w:szCs w:val="24"/>
        </w:rPr>
      </w:pPr>
      <w:r w:rsidRPr="00325D01">
        <w:rPr>
          <w:rFonts w:ascii="Arial" w:hAnsi="Arial" w:cs="Arial"/>
          <w:color w:val="auto"/>
          <w:sz w:val="24"/>
          <w:szCs w:val="24"/>
        </w:rPr>
        <w:t>The work was undertaken remotely with a review of key documents provided by the Council alongside nationally available data and analysis.  The report takes the form of analysis with proposed questions, observations, comments and analysis for the Council to take forward internally, both in respect of shaping changes to services provision and of any changes to financial management procedures</w:t>
      </w:r>
      <w:r>
        <w:rPr>
          <w:rFonts w:ascii="Arial" w:hAnsi="Arial" w:cs="Arial"/>
          <w:color w:val="auto"/>
          <w:sz w:val="24"/>
          <w:szCs w:val="24"/>
        </w:rPr>
        <w:t>.</w:t>
      </w:r>
    </w:p>
    <w:p w14:paraId="17223EA3" w14:textId="624710EA" w:rsidR="00325D01" w:rsidRPr="00325D01" w:rsidRDefault="00C74432">
      <w:pPr>
        <w:pStyle w:val="Heading2"/>
        <w:numPr>
          <w:ilvl w:val="1"/>
          <w:numId w:val="10"/>
        </w:numPr>
        <w:tabs>
          <w:tab w:val="left" w:pos="851"/>
        </w:tabs>
        <w:spacing w:after="240" w:line="276" w:lineRule="auto"/>
        <w:ind w:left="1276"/>
        <w:rPr>
          <w:rFonts w:ascii="Arial" w:hAnsi="Arial" w:cs="Arial"/>
          <w:color w:val="auto"/>
          <w:sz w:val="24"/>
          <w:szCs w:val="24"/>
        </w:rPr>
      </w:pPr>
      <w:r w:rsidRPr="00C74432">
        <w:rPr>
          <w:rFonts w:ascii="Arial" w:hAnsi="Arial" w:cs="Arial"/>
          <w:color w:val="auto"/>
          <w:sz w:val="24"/>
          <w:szCs w:val="24"/>
        </w:rPr>
        <w:t xml:space="preserve">The </w:t>
      </w:r>
      <w:r w:rsidR="00325D01">
        <w:rPr>
          <w:rFonts w:ascii="Arial" w:hAnsi="Arial" w:cs="Arial"/>
          <w:color w:val="auto"/>
          <w:sz w:val="24"/>
          <w:szCs w:val="24"/>
        </w:rPr>
        <w:t>Use of Resources data for the year 2022/23 has been used for comparison purposes, as the latest set of data available</w:t>
      </w:r>
      <w:r w:rsidR="00FB31B2">
        <w:rPr>
          <w:rFonts w:ascii="Arial" w:hAnsi="Arial" w:cs="Arial"/>
          <w:color w:val="auto"/>
          <w:sz w:val="24"/>
          <w:szCs w:val="24"/>
        </w:rPr>
        <w:t xml:space="preserve">, published in </w:t>
      </w:r>
      <w:r w:rsidR="00241C3B">
        <w:rPr>
          <w:rFonts w:ascii="Arial" w:hAnsi="Arial" w:cs="Arial"/>
          <w:color w:val="auto"/>
          <w:sz w:val="24"/>
          <w:szCs w:val="24"/>
        </w:rPr>
        <w:t xml:space="preserve">December </w:t>
      </w:r>
      <w:r w:rsidR="00FB31B2">
        <w:rPr>
          <w:rFonts w:ascii="Arial" w:hAnsi="Arial" w:cs="Arial"/>
          <w:color w:val="auto"/>
          <w:sz w:val="24"/>
          <w:szCs w:val="24"/>
        </w:rPr>
        <w:t>2023</w:t>
      </w:r>
      <w:r w:rsidR="00325D01">
        <w:rPr>
          <w:rFonts w:ascii="Arial" w:hAnsi="Arial" w:cs="Arial"/>
          <w:color w:val="auto"/>
          <w:sz w:val="24"/>
          <w:szCs w:val="24"/>
        </w:rPr>
        <w:t>.</w:t>
      </w:r>
    </w:p>
    <w:p w14:paraId="241A9765" w14:textId="28514C4A" w:rsidR="00D54156" w:rsidRDefault="00325D01">
      <w:pPr>
        <w:pStyle w:val="Heading2"/>
        <w:numPr>
          <w:ilvl w:val="1"/>
          <w:numId w:val="10"/>
        </w:numPr>
        <w:tabs>
          <w:tab w:val="left" w:pos="851"/>
        </w:tabs>
        <w:spacing w:after="240"/>
        <w:ind w:left="1276"/>
        <w:rPr>
          <w:rFonts w:ascii="Arial" w:hAnsi="Arial" w:cs="Arial"/>
          <w:color w:val="auto"/>
          <w:sz w:val="24"/>
          <w:szCs w:val="24"/>
        </w:rPr>
      </w:pPr>
      <w:r w:rsidRPr="00C74432">
        <w:rPr>
          <w:rFonts w:ascii="Arial" w:hAnsi="Arial" w:cs="Arial"/>
          <w:color w:val="auto"/>
          <w:sz w:val="24"/>
          <w:szCs w:val="24"/>
        </w:rPr>
        <w:t>T</w:t>
      </w:r>
      <w:r>
        <w:rPr>
          <w:rFonts w:ascii="Arial" w:hAnsi="Arial" w:cs="Arial"/>
          <w:color w:val="auto"/>
          <w:sz w:val="24"/>
          <w:szCs w:val="24"/>
        </w:rPr>
        <w:t>his review is split into two parts:</w:t>
      </w:r>
    </w:p>
    <w:p w14:paraId="0EB267AD" w14:textId="77777777" w:rsidR="00325D01" w:rsidRPr="005129F5" w:rsidRDefault="00325D01">
      <w:pPr>
        <w:pStyle w:val="ListParagraph"/>
        <w:numPr>
          <w:ilvl w:val="1"/>
          <w:numId w:val="12"/>
        </w:numPr>
        <w:ind w:left="1701"/>
        <w:rPr>
          <w:rFonts w:cs="Arial"/>
          <w:szCs w:val="24"/>
        </w:rPr>
      </w:pPr>
      <w:r w:rsidRPr="005129F5">
        <w:rPr>
          <w:rFonts w:cs="Arial"/>
          <w:szCs w:val="24"/>
        </w:rPr>
        <w:t>Review of the council’s recent financial information and performance and</w:t>
      </w:r>
    </w:p>
    <w:p w14:paraId="1B5D7629" w14:textId="0ED5A0A0" w:rsidR="00C74432" w:rsidRPr="00113A70" w:rsidRDefault="00325D01">
      <w:pPr>
        <w:pStyle w:val="ListParagraph"/>
        <w:numPr>
          <w:ilvl w:val="1"/>
          <w:numId w:val="12"/>
        </w:numPr>
        <w:spacing w:line="276" w:lineRule="auto"/>
        <w:ind w:left="1701"/>
      </w:pPr>
      <w:r w:rsidRPr="008A1B52">
        <w:rPr>
          <w:rFonts w:cs="Arial"/>
        </w:rPr>
        <w:t xml:space="preserve">Diagnostic review of the Use of Resources information for </w:t>
      </w:r>
      <w:r w:rsidR="00241C3B" w:rsidRPr="008A1B52">
        <w:rPr>
          <w:rFonts w:cs="Arial"/>
        </w:rPr>
        <w:t>202</w:t>
      </w:r>
      <w:r w:rsidR="00241C3B">
        <w:rPr>
          <w:rFonts w:cs="Arial"/>
        </w:rPr>
        <w:t>2</w:t>
      </w:r>
      <w:r w:rsidRPr="008A1B52">
        <w:rPr>
          <w:rFonts w:cs="Arial"/>
        </w:rPr>
        <w:t>/</w:t>
      </w:r>
      <w:r w:rsidR="00241C3B" w:rsidRPr="008A1B52">
        <w:rPr>
          <w:rFonts w:cs="Arial"/>
        </w:rPr>
        <w:t>2</w:t>
      </w:r>
      <w:r w:rsidR="00241C3B">
        <w:rPr>
          <w:rFonts w:cs="Arial"/>
        </w:rPr>
        <w:t>3</w:t>
      </w:r>
      <w:r w:rsidR="00241C3B" w:rsidRPr="008A1B52">
        <w:rPr>
          <w:rFonts w:cs="Arial"/>
        </w:rPr>
        <w:t xml:space="preserve"> </w:t>
      </w:r>
      <w:r w:rsidRPr="008A1B52">
        <w:rPr>
          <w:rFonts w:cs="Arial"/>
        </w:rPr>
        <w:t xml:space="preserve">in a separate report, along with a review of key relevant performance measures. Highlights from the review report are included in the Executive Summary; the </w:t>
      </w:r>
      <w:r w:rsidR="00241C3B">
        <w:rPr>
          <w:rFonts w:cs="Arial"/>
        </w:rPr>
        <w:t xml:space="preserve">use of resources </w:t>
      </w:r>
      <w:r w:rsidRPr="008A1B52">
        <w:rPr>
          <w:rFonts w:cs="Arial"/>
        </w:rPr>
        <w:t>review report itself has been sent under separate cover rather than as an appendix to this report.</w:t>
      </w:r>
    </w:p>
    <w:p w14:paraId="55E9DC1A" w14:textId="77777777" w:rsidR="00113A70" w:rsidRDefault="00113A70" w:rsidP="00113A70">
      <w:pPr>
        <w:spacing w:line="276" w:lineRule="auto"/>
      </w:pPr>
    </w:p>
    <w:p w14:paraId="706C8A19" w14:textId="77777777" w:rsidR="00113A70" w:rsidRDefault="00113A70" w:rsidP="00113A70">
      <w:pPr>
        <w:spacing w:line="276" w:lineRule="auto"/>
      </w:pPr>
    </w:p>
    <w:p w14:paraId="47B8D540" w14:textId="77777777" w:rsidR="00113A70" w:rsidRDefault="00113A70" w:rsidP="00113A70">
      <w:pPr>
        <w:spacing w:line="276" w:lineRule="auto"/>
      </w:pPr>
    </w:p>
    <w:p w14:paraId="79D8D171" w14:textId="77777777" w:rsidR="00113A70" w:rsidRPr="00C74432" w:rsidRDefault="00113A70" w:rsidP="00113A70">
      <w:pPr>
        <w:spacing w:line="276" w:lineRule="auto"/>
      </w:pPr>
    </w:p>
    <w:p w14:paraId="466BF936" w14:textId="77777777" w:rsidR="00C74432" w:rsidRPr="00C74432" w:rsidRDefault="00C74432" w:rsidP="00C74432"/>
    <w:p w14:paraId="7F024343" w14:textId="4134F4DD" w:rsidR="00527D91" w:rsidRPr="0046522F" w:rsidRDefault="00C74432" w:rsidP="00527D91">
      <w:pPr>
        <w:pStyle w:val="PCHHeader1"/>
        <w:tabs>
          <w:tab w:val="left" w:pos="851"/>
        </w:tabs>
        <w:ind w:left="1276" w:hanging="567"/>
      </w:pPr>
      <w:bookmarkStart w:id="14" w:name="_Toc152677508"/>
      <w:bookmarkStart w:id="15" w:name="_Toc154735991"/>
      <w:r>
        <w:t>Executive summary</w:t>
      </w:r>
      <w:bookmarkEnd w:id="14"/>
      <w:bookmarkEnd w:id="15"/>
    </w:p>
    <w:p w14:paraId="14DB4DC4" w14:textId="6F155615" w:rsidR="00527D91" w:rsidRPr="009C4BF8" w:rsidRDefault="009C4BF8" w:rsidP="00860E9E">
      <w:pPr>
        <w:pStyle w:val="Heading2"/>
        <w:numPr>
          <w:ilvl w:val="1"/>
          <w:numId w:val="10"/>
        </w:numPr>
        <w:tabs>
          <w:tab w:val="left" w:pos="851"/>
        </w:tabs>
        <w:spacing w:after="240" w:line="276" w:lineRule="auto"/>
        <w:ind w:left="1276"/>
        <w:rPr>
          <w:rFonts w:ascii="Arial" w:hAnsi="Arial" w:cs="Arial"/>
          <w:color w:val="000000" w:themeColor="text1"/>
          <w:sz w:val="24"/>
          <w:szCs w:val="24"/>
        </w:rPr>
      </w:pPr>
      <w:r w:rsidRPr="009C4BF8">
        <w:rPr>
          <w:rFonts w:ascii="Arial" w:hAnsi="Arial" w:cs="Arial"/>
          <w:color w:val="000000" w:themeColor="text1"/>
          <w:sz w:val="24"/>
          <w:szCs w:val="24"/>
        </w:rPr>
        <w:t xml:space="preserve">Financial management within Adult Social Care on the face of it is mixed.  On the one hand, the financial reporting to senior managers is very clear, including </w:t>
      </w:r>
      <w:r w:rsidR="0046256C">
        <w:rPr>
          <w:rFonts w:ascii="Arial" w:hAnsi="Arial" w:cs="Arial"/>
          <w:color w:val="000000" w:themeColor="text1"/>
          <w:sz w:val="24"/>
          <w:szCs w:val="24"/>
        </w:rPr>
        <w:t xml:space="preserve">reporting </w:t>
      </w:r>
      <w:r w:rsidRPr="009C4BF8">
        <w:rPr>
          <w:rFonts w:ascii="Arial" w:hAnsi="Arial" w:cs="Arial"/>
          <w:color w:val="000000" w:themeColor="text1"/>
          <w:sz w:val="24"/>
          <w:szCs w:val="24"/>
        </w:rPr>
        <w:t xml:space="preserve">of the issues causing the budget pressures.  On the other hand, there is </w:t>
      </w:r>
      <w:r w:rsidR="0046256C">
        <w:rPr>
          <w:rFonts w:ascii="Arial" w:hAnsi="Arial" w:cs="Arial"/>
          <w:color w:val="000000" w:themeColor="text1"/>
          <w:sz w:val="24"/>
          <w:szCs w:val="24"/>
        </w:rPr>
        <w:t xml:space="preserve">currently </w:t>
      </w:r>
      <w:r w:rsidRPr="009C4BF8">
        <w:rPr>
          <w:rFonts w:ascii="Arial" w:hAnsi="Arial" w:cs="Arial"/>
          <w:color w:val="000000" w:themeColor="text1"/>
          <w:sz w:val="24"/>
          <w:szCs w:val="24"/>
        </w:rPr>
        <w:t xml:space="preserve">only a small savings programme in place which </w:t>
      </w:r>
      <w:r w:rsidR="00936D21">
        <w:rPr>
          <w:rFonts w:ascii="Arial" w:hAnsi="Arial" w:cs="Arial"/>
          <w:color w:val="000000" w:themeColor="text1"/>
          <w:sz w:val="24"/>
          <w:szCs w:val="24"/>
        </w:rPr>
        <w:t xml:space="preserve">is </w:t>
      </w:r>
      <w:r w:rsidRPr="009C4BF8">
        <w:rPr>
          <w:rFonts w:ascii="Arial" w:hAnsi="Arial" w:cs="Arial"/>
          <w:color w:val="000000" w:themeColor="text1"/>
          <w:sz w:val="24"/>
          <w:szCs w:val="24"/>
        </w:rPr>
        <w:t>specific to adult care</w:t>
      </w:r>
      <w:r w:rsidR="00936D21">
        <w:rPr>
          <w:rFonts w:ascii="Arial" w:hAnsi="Arial" w:cs="Arial"/>
          <w:color w:val="000000" w:themeColor="text1"/>
          <w:sz w:val="24"/>
          <w:szCs w:val="24"/>
        </w:rPr>
        <w:t xml:space="preserve"> and the scale of the saving required is small given the large overspends</w:t>
      </w:r>
      <w:r w:rsidRPr="009C4BF8">
        <w:rPr>
          <w:rFonts w:ascii="Arial" w:hAnsi="Arial" w:cs="Arial"/>
          <w:color w:val="000000" w:themeColor="text1"/>
          <w:sz w:val="24"/>
          <w:szCs w:val="24"/>
        </w:rPr>
        <w:t>.  There is little ownership of a council wide savings programme until now</w:t>
      </w:r>
      <w:r w:rsidR="00CB3790">
        <w:rPr>
          <w:rFonts w:ascii="Arial" w:hAnsi="Arial" w:cs="Arial"/>
          <w:color w:val="000000" w:themeColor="text1"/>
          <w:sz w:val="24"/>
          <w:szCs w:val="24"/>
        </w:rPr>
        <w:t>, which is a missed opportunity</w:t>
      </w:r>
      <w:r w:rsidR="004A7017">
        <w:rPr>
          <w:rFonts w:ascii="Arial" w:hAnsi="Arial" w:cs="Arial"/>
          <w:color w:val="000000" w:themeColor="text1"/>
          <w:sz w:val="24"/>
          <w:szCs w:val="24"/>
        </w:rPr>
        <w:t xml:space="preserve"> in terms of ensuring ongoing financial sustainability</w:t>
      </w:r>
      <w:r w:rsidRPr="009C4BF8">
        <w:rPr>
          <w:rFonts w:ascii="Arial" w:hAnsi="Arial" w:cs="Arial"/>
          <w:color w:val="000000" w:themeColor="text1"/>
          <w:sz w:val="24"/>
          <w:szCs w:val="24"/>
        </w:rPr>
        <w:t xml:space="preserve">. </w:t>
      </w:r>
    </w:p>
    <w:p w14:paraId="3C430563" w14:textId="453D23C2" w:rsidR="00527D91" w:rsidRDefault="009C4BF8" w:rsidP="00860E9E">
      <w:pPr>
        <w:pStyle w:val="Heading2"/>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 xml:space="preserve">The Use of Resources 2022/23 exercise concludes that overall, Medway </w:t>
      </w:r>
      <w:r w:rsidR="00087832">
        <w:rPr>
          <w:rFonts w:ascii="Arial" w:hAnsi="Arial" w:cs="Arial"/>
          <w:color w:val="auto"/>
          <w:sz w:val="24"/>
          <w:szCs w:val="24"/>
        </w:rPr>
        <w:t xml:space="preserve">spends below average on adult social care, </w:t>
      </w:r>
      <w:r w:rsidR="00803220">
        <w:rPr>
          <w:rFonts w:ascii="Arial" w:hAnsi="Arial" w:cs="Arial"/>
          <w:color w:val="auto"/>
          <w:sz w:val="24"/>
          <w:szCs w:val="24"/>
        </w:rPr>
        <w:t>due largely to its low spend in respect of older people</w:t>
      </w:r>
      <w:r w:rsidR="00CB3790">
        <w:rPr>
          <w:rFonts w:ascii="Arial" w:hAnsi="Arial" w:cs="Arial"/>
          <w:color w:val="auto"/>
          <w:sz w:val="24"/>
          <w:szCs w:val="24"/>
        </w:rPr>
        <w:t>, which is 9.17% below the national average.  However, Medway spends above average in respect of younger adults</w:t>
      </w:r>
      <w:r w:rsidR="0053604F">
        <w:rPr>
          <w:rFonts w:ascii="Arial" w:hAnsi="Arial" w:cs="Arial"/>
          <w:color w:val="auto"/>
          <w:sz w:val="24"/>
          <w:szCs w:val="24"/>
        </w:rPr>
        <w:t>,</w:t>
      </w:r>
      <w:r w:rsidR="004A7017">
        <w:rPr>
          <w:rFonts w:ascii="Arial" w:hAnsi="Arial" w:cs="Arial"/>
          <w:color w:val="auto"/>
          <w:sz w:val="24"/>
          <w:szCs w:val="24"/>
        </w:rPr>
        <w:t xml:space="preserve"> 8.24% more</w:t>
      </w:r>
      <w:r w:rsidR="0053604F">
        <w:rPr>
          <w:rFonts w:ascii="Arial" w:hAnsi="Arial" w:cs="Arial"/>
          <w:color w:val="auto"/>
          <w:sz w:val="24"/>
          <w:szCs w:val="24"/>
        </w:rPr>
        <w:t xml:space="preserve"> than Engla</w:t>
      </w:r>
      <w:r w:rsidR="00860E9E">
        <w:rPr>
          <w:rFonts w:ascii="Arial" w:hAnsi="Arial" w:cs="Arial"/>
          <w:color w:val="auto"/>
          <w:sz w:val="24"/>
          <w:szCs w:val="24"/>
        </w:rPr>
        <w:t>n</w:t>
      </w:r>
      <w:r w:rsidR="0053604F">
        <w:rPr>
          <w:rFonts w:ascii="Arial" w:hAnsi="Arial" w:cs="Arial"/>
          <w:color w:val="auto"/>
          <w:sz w:val="24"/>
          <w:szCs w:val="24"/>
        </w:rPr>
        <w:t>d</w:t>
      </w:r>
      <w:r w:rsidR="004A7017">
        <w:rPr>
          <w:rFonts w:ascii="Arial" w:hAnsi="Arial" w:cs="Arial"/>
          <w:color w:val="auto"/>
          <w:sz w:val="24"/>
          <w:szCs w:val="24"/>
        </w:rPr>
        <w:t>.  This is due to both higher spend per younger client</w:t>
      </w:r>
      <w:r w:rsidR="00E7124C">
        <w:rPr>
          <w:rFonts w:ascii="Arial" w:hAnsi="Arial" w:cs="Arial"/>
          <w:color w:val="auto"/>
          <w:sz w:val="24"/>
          <w:szCs w:val="24"/>
        </w:rPr>
        <w:t xml:space="preserve"> and</w:t>
      </w:r>
      <w:r w:rsidR="004A7017">
        <w:rPr>
          <w:rFonts w:ascii="Arial" w:hAnsi="Arial" w:cs="Arial"/>
          <w:color w:val="auto"/>
          <w:sz w:val="24"/>
          <w:szCs w:val="24"/>
        </w:rPr>
        <w:t xml:space="preserve"> the fact that you support</w:t>
      </w:r>
      <w:r w:rsidR="00E7124C">
        <w:rPr>
          <w:rFonts w:ascii="Arial" w:hAnsi="Arial" w:cs="Arial"/>
          <w:color w:val="auto"/>
          <w:sz w:val="24"/>
          <w:szCs w:val="24"/>
        </w:rPr>
        <w:t xml:space="preserve"> a higher than average number of younger adults.  The Use of Resources </w:t>
      </w:r>
      <w:r w:rsidR="00485A2C">
        <w:rPr>
          <w:rFonts w:ascii="Arial" w:hAnsi="Arial" w:cs="Arial"/>
          <w:color w:val="auto"/>
          <w:sz w:val="24"/>
          <w:szCs w:val="24"/>
        </w:rPr>
        <w:t xml:space="preserve">suggests looking at </w:t>
      </w:r>
      <w:r w:rsidR="00916122">
        <w:rPr>
          <w:rFonts w:ascii="Arial" w:hAnsi="Arial" w:cs="Arial"/>
          <w:color w:val="auto"/>
          <w:sz w:val="24"/>
          <w:szCs w:val="24"/>
        </w:rPr>
        <w:t>why you have a greater reliance on residential and nursing care for both younger adults and older people, and recommends reviewing your work with younger adults against the Better Lives work.</w:t>
      </w:r>
      <w:r w:rsidR="00E7124C">
        <w:rPr>
          <w:rFonts w:ascii="Arial" w:hAnsi="Arial" w:cs="Arial"/>
          <w:color w:val="auto"/>
          <w:sz w:val="24"/>
          <w:szCs w:val="24"/>
        </w:rPr>
        <w:t xml:space="preserve"> </w:t>
      </w:r>
    </w:p>
    <w:p w14:paraId="682CA374" w14:textId="4D8632C7" w:rsidR="00AE7BDC" w:rsidRPr="00F9150E" w:rsidRDefault="00BD3F66" w:rsidP="00860E9E">
      <w:pPr>
        <w:pStyle w:val="Heading2"/>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 xml:space="preserve">Reserves </w:t>
      </w:r>
      <w:r w:rsidR="00AE7BDC">
        <w:rPr>
          <w:rFonts w:ascii="Arial" w:hAnsi="Arial" w:cs="Arial"/>
          <w:color w:val="auto"/>
          <w:sz w:val="24"/>
          <w:szCs w:val="24"/>
        </w:rPr>
        <w:t>have been consistently</w:t>
      </w:r>
      <w:r>
        <w:rPr>
          <w:rFonts w:ascii="Arial" w:hAnsi="Arial" w:cs="Arial"/>
          <w:color w:val="auto"/>
          <w:sz w:val="24"/>
          <w:szCs w:val="24"/>
        </w:rPr>
        <w:t xml:space="preserve"> below average and the council recognises that it may be close to issuing a S114 notice.</w:t>
      </w:r>
      <w:r w:rsidR="00AE7BDC">
        <w:rPr>
          <w:rFonts w:ascii="Arial" w:hAnsi="Arial" w:cs="Arial"/>
          <w:color w:val="auto"/>
          <w:sz w:val="24"/>
          <w:szCs w:val="24"/>
        </w:rPr>
        <w:t xml:space="preserve"> </w:t>
      </w:r>
    </w:p>
    <w:p w14:paraId="176B03F5" w14:textId="4F657809" w:rsidR="00C74432" w:rsidRDefault="00AE7BDC" w:rsidP="00860E9E">
      <w:pPr>
        <w:pStyle w:val="Heading2"/>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 xml:space="preserve">There are issues with the social care market, with very few vacant placements across all service types.  This is leading to providers naming prices outside of contracted rates and </w:t>
      </w:r>
      <w:r w:rsidR="00F9150E">
        <w:rPr>
          <w:rFonts w:ascii="Arial" w:hAnsi="Arial" w:cs="Arial"/>
          <w:color w:val="auto"/>
          <w:sz w:val="24"/>
          <w:szCs w:val="24"/>
        </w:rPr>
        <w:t>council staff appearing to have no choice but to go with the named rate.</w:t>
      </w:r>
      <w:r w:rsidR="0074540A">
        <w:rPr>
          <w:rFonts w:ascii="Arial" w:hAnsi="Arial" w:cs="Arial"/>
          <w:color w:val="auto"/>
          <w:sz w:val="24"/>
          <w:szCs w:val="24"/>
        </w:rPr>
        <w:t xml:space="preserve">  The commissioning team is </w:t>
      </w:r>
      <w:proofErr w:type="gramStart"/>
      <w:r w:rsidR="0074540A">
        <w:rPr>
          <w:rFonts w:ascii="Arial" w:hAnsi="Arial" w:cs="Arial"/>
          <w:color w:val="auto"/>
          <w:sz w:val="24"/>
          <w:szCs w:val="24"/>
        </w:rPr>
        <w:t>small</w:t>
      </w:r>
      <w:proofErr w:type="gramEnd"/>
      <w:r w:rsidR="0074540A">
        <w:rPr>
          <w:rFonts w:ascii="Arial" w:hAnsi="Arial" w:cs="Arial"/>
          <w:color w:val="auto"/>
          <w:sz w:val="24"/>
          <w:szCs w:val="24"/>
        </w:rPr>
        <w:t xml:space="preserve"> and a current Market Position Statement has not yet been produced, although it is planned for early 2024.</w:t>
      </w:r>
    </w:p>
    <w:p w14:paraId="1B01C0E1" w14:textId="3C8B9227" w:rsidR="00C74432" w:rsidRPr="00C74432" w:rsidRDefault="00F9150E" w:rsidP="00860E9E">
      <w:pPr>
        <w:pStyle w:val="Heading2"/>
        <w:widowControl w:val="0"/>
        <w:numPr>
          <w:ilvl w:val="1"/>
          <w:numId w:val="10"/>
        </w:numPr>
        <w:tabs>
          <w:tab w:val="left" w:pos="851"/>
        </w:tabs>
        <w:spacing w:after="240" w:line="276" w:lineRule="auto"/>
        <w:ind w:left="1276"/>
      </w:pPr>
      <w:r w:rsidRPr="00E24B0B">
        <w:rPr>
          <w:rFonts w:ascii="Arial" w:hAnsi="Arial" w:cs="Arial"/>
          <w:color w:val="auto"/>
          <w:sz w:val="24"/>
          <w:szCs w:val="24"/>
        </w:rPr>
        <w:t>Medway would benefit from developing a clear 3 year plan focusing on delivering recurring budget savings to ensure financial stability.  For adult social care, this plan should focus on transformation of culture and practice, a focus on market management and engagement of providers as well as a review of the apparent disconnection between strategic commissioning and brokerage in how they work with providers and making placements</w:t>
      </w:r>
      <w:r w:rsidR="00E24B0B" w:rsidRPr="00E24B0B">
        <w:rPr>
          <w:rFonts w:ascii="Arial" w:hAnsi="Arial" w:cs="Arial"/>
          <w:color w:val="auto"/>
          <w:sz w:val="24"/>
          <w:szCs w:val="24"/>
        </w:rPr>
        <w:t>.</w:t>
      </w:r>
    </w:p>
    <w:p w14:paraId="1602DA71" w14:textId="4934810B" w:rsidR="00527D91" w:rsidRDefault="00A00DFB" w:rsidP="00860E9E">
      <w:pPr>
        <w:pStyle w:val="PCHHeader1"/>
        <w:tabs>
          <w:tab w:val="left" w:pos="851"/>
        </w:tabs>
        <w:spacing w:line="276" w:lineRule="auto"/>
        <w:ind w:left="1276" w:hanging="567"/>
      </w:pPr>
      <w:bookmarkStart w:id="16" w:name="_Toc152677509"/>
      <w:bookmarkStart w:id="17" w:name="_Toc154735992"/>
      <w:r>
        <w:t>Recommendations</w:t>
      </w:r>
      <w:bookmarkEnd w:id="16"/>
      <w:bookmarkEnd w:id="17"/>
    </w:p>
    <w:p w14:paraId="28D3C029" w14:textId="057738ED" w:rsidR="0053604F" w:rsidRPr="0053604F" w:rsidRDefault="0053604F" w:rsidP="00860E9E">
      <w:pPr>
        <w:pStyle w:val="PCHHeader1"/>
        <w:numPr>
          <w:ilvl w:val="0"/>
          <w:numId w:val="0"/>
        </w:numPr>
        <w:tabs>
          <w:tab w:val="left" w:pos="851"/>
        </w:tabs>
        <w:spacing w:line="276" w:lineRule="auto"/>
        <w:ind w:left="1276"/>
        <w:rPr>
          <w:b w:val="0"/>
          <w:bCs/>
          <w:i/>
          <w:iCs/>
          <w:color w:val="auto"/>
          <w:sz w:val="24"/>
          <w:szCs w:val="24"/>
        </w:rPr>
      </w:pPr>
      <w:bookmarkStart w:id="18" w:name="_Toc154735993"/>
      <w:r>
        <w:rPr>
          <w:b w:val="0"/>
          <w:bCs/>
          <w:i/>
          <w:iCs/>
          <w:color w:val="auto"/>
          <w:sz w:val="24"/>
          <w:szCs w:val="24"/>
        </w:rPr>
        <w:t>Financial planning</w:t>
      </w:r>
      <w:bookmarkEnd w:id="18"/>
    </w:p>
    <w:p w14:paraId="69D6AA9A" w14:textId="22CF47F7" w:rsidR="00BB677F" w:rsidRPr="00BB677F" w:rsidRDefault="00BB677F" w:rsidP="00860E9E">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sidRPr="00BB677F">
        <w:rPr>
          <w:rFonts w:ascii="Arial" w:hAnsi="Arial" w:cs="Arial"/>
          <w:color w:val="auto"/>
          <w:sz w:val="24"/>
          <w:szCs w:val="24"/>
        </w:rPr>
        <w:t>A savings plan needs to</w:t>
      </w:r>
      <w:r>
        <w:rPr>
          <w:rFonts w:ascii="Arial" w:hAnsi="Arial" w:cs="Arial"/>
          <w:color w:val="auto"/>
          <w:sz w:val="24"/>
          <w:szCs w:val="24"/>
        </w:rPr>
        <w:t xml:space="preserve"> be developed jointly between finance and adult social care senior management.  The plan should have clear and where possible evidence</w:t>
      </w:r>
      <w:r w:rsidR="00FE4E12">
        <w:rPr>
          <w:rFonts w:ascii="Arial" w:hAnsi="Arial" w:cs="Arial"/>
          <w:color w:val="auto"/>
          <w:sz w:val="24"/>
          <w:szCs w:val="24"/>
        </w:rPr>
        <w:t>-</w:t>
      </w:r>
      <w:r>
        <w:rPr>
          <w:rFonts w:ascii="Arial" w:hAnsi="Arial" w:cs="Arial"/>
          <w:color w:val="auto"/>
          <w:sz w:val="24"/>
          <w:szCs w:val="24"/>
        </w:rPr>
        <w:t>based savings targets, invest to save funding and performance information aligned to it in order to realise the benefits of longer term investment on service demand.  Ensure that options appraisals/business cases contain enough detailed information to monitor against, including rationale for the saving, calculations on how the saving figure</w:t>
      </w:r>
      <w:r w:rsidR="00FE4E12">
        <w:rPr>
          <w:rFonts w:ascii="Arial" w:hAnsi="Arial" w:cs="Arial"/>
          <w:color w:val="auto"/>
          <w:sz w:val="24"/>
          <w:szCs w:val="24"/>
        </w:rPr>
        <w:t xml:space="preserve"> was arrived at and any further information about the savings profile, including conditions for successful delivery</w:t>
      </w:r>
      <w:r w:rsidR="00A7266E">
        <w:rPr>
          <w:rFonts w:ascii="Arial" w:hAnsi="Arial" w:cs="Arial"/>
          <w:color w:val="auto"/>
          <w:sz w:val="24"/>
          <w:szCs w:val="24"/>
        </w:rPr>
        <w:t>.</w:t>
      </w:r>
    </w:p>
    <w:p w14:paraId="5EC6083A" w14:textId="45B15E67" w:rsidR="000A74C8" w:rsidRDefault="000A74C8" w:rsidP="00860E9E">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sidRPr="00BB677F">
        <w:rPr>
          <w:rFonts w:ascii="Arial" w:hAnsi="Arial" w:cs="Arial"/>
          <w:color w:val="auto"/>
          <w:sz w:val="24"/>
          <w:szCs w:val="24"/>
        </w:rPr>
        <w:lastRenderedPageBreak/>
        <w:t>Provide the necessary assurances that service demands and saving plans are evidence- based both from an activity/data point of view, to underpin the financial figures</w:t>
      </w:r>
      <w:r w:rsidR="00FE4E12">
        <w:rPr>
          <w:rFonts w:ascii="Arial" w:hAnsi="Arial" w:cs="Arial"/>
          <w:color w:val="auto"/>
          <w:sz w:val="24"/>
          <w:szCs w:val="24"/>
        </w:rPr>
        <w:t xml:space="preserve"> included in the MTFO</w:t>
      </w:r>
      <w:r w:rsidRPr="00BB677F">
        <w:rPr>
          <w:rFonts w:ascii="Arial" w:hAnsi="Arial" w:cs="Arial"/>
          <w:color w:val="auto"/>
          <w:sz w:val="24"/>
          <w:szCs w:val="24"/>
        </w:rPr>
        <w:t>.  These plans need to be suitably</w:t>
      </w:r>
      <w:r w:rsidRPr="00027A77">
        <w:rPr>
          <w:rFonts w:ascii="Arial" w:hAnsi="Arial" w:cs="Arial"/>
          <w:color w:val="auto"/>
          <w:sz w:val="24"/>
          <w:szCs w:val="24"/>
        </w:rPr>
        <w:t xml:space="preserve"> robust to mitigate budget risk. </w:t>
      </w:r>
      <w:r w:rsidR="0074540A">
        <w:rPr>
          <w:rFonts w:ascii="Arial" w:hAnsi="Arial" w:cs="Arial"/>
          <w:color w:val="auto"/>
          <w:sz w:val="24"/>
          <w:szCs w:val="24"/>
        </w:rPr>
        <w:t xml:space="preserve"> The scale of savings however, in relation to Children’s and Adults services seems high and may not be achievable within a one year period.</w:t>
      </w:r>
    </w:p>
    <w:p w14:paraId="01CEECCA" w14:textId="2B278479" w:rsidR="00FE4E12" w:rsidRPr="00FE4E12" w:rsidRDefault="00FE4E12" w:rsidP="00860E9E">
      <w:pPr>
        <w:pStyle w:val="Heading2"/>
        <w:keepNext w:val="0"/>
        <w:keepLines w:val="0"/>
        <w:widowControl w:val="0"/>
        <w:numPr>
          <w:ilvl w:val="1"/>
          <w:numId w:val="10"/>
        </w:numPr>
        <w:tabs>
          <w:tab w:val="left" w:pos="851"/>
        </w:tabs>
        <w:spacing w:after="240" w:line="276" w:lineRule="auto"/>
        <w:ind w:left="1276"/>
        <w:rPr>
          <w:color w:val="0070C0"/>
        </w:rPr>
      </w:pPr>
      <w:r w:rsidRPr="00FE4E12">
        <w:rPr>
          <w:rFonts w:ascii="Arial" w:hAnsi="Arial" w:cs="Arial"/>
          <w:color w:val="auto"/>
          <w:sz w:val="24"/>
          <w:szCs w:val="24"/>
        </w:rPr>
        <w:t>Given the fact that Medway is a small authority with apparently lean structures, consideration should be given to both capacity and skills within both the department and the corporate centre to ensure that savings and transformation programmes can be delivered at pace</w:t>
      </w:r>
      <w:r w:rsidR="00527D91" w:rsidRPr="00FE4E12">
        <w:rPr>
          <w:rFonts w:ascii="Arial" w:hAnsi="Arial" w:cs="Arial"/>
          <w:color w:val="auto"/>
          <w:sz w:val="24"/>
          <w:szCs w:val="24"/>
        </w:rPr>
        <w:t>.</w:t>
      </w:r>
      <w:r w:rsidR="0074540A">
        <w:rPr>
          <w:rFonts w:ascii="Arial" w:hAnsi="Arial" w:cs="Arial"/>
          <w:color w:val="auto"/>
          <w:sz w:val="24"/>
          <w:szCs w:val="24"/>
        </w:rPr>
        <w:t xml:space="preserve"> </w:t>
      </w:r>
    </w:p>
    <w:p w14:paraId="55BB5D2A" w14:textId="243AD527" w:rsidR="0074540A" w:rsidRPr="00FE4E12" w:rsidRDefault="00936D21" w:rsidP="0074540A">
      <w:pPr>
        <w:pStyle w:val="Heading2"/>
        <w:keepNext w:val="0"/>
        <w:keepLines w:val="0"/>
        <w:widowControl w:val="0"/>
        <w:numPr>
          <w:ilvl w:val="1"/>
          <w:numId w:val="10"/>
        </w:numPr>
        <w:tabs>
          <w:tab w:val="left" w:pos="851"/>
        </w:tabs>
        <w:spacing w:after="240" w:line="276" w:lineRule="auto"/>
        <w:ind w:left="1276"/>
        <w:rPr>
          <w:color w:val="0070C0"/>
        </w:rPr>
      </w:pPr>
      <w:r w:rsidRPr="00936D21">
        <w:rPr>
          <w:rFonts w:ascii="Arial" w:hAnsi="Arial" w:cs="Arial"/>
          <w:color w:val="000000" w:themeColor="text1"/>
          <w:sz w:val="24"/>
          <w:szCs w:val="24"/>
        </w:rPr>
        <w:t>Development of business cases as part of the budget setting process, including key performance and financial information/targets and an action plan for delivery, would ensure achievement of savings</w:t>
      </w:r>
      <w:r>
        <w:rPr>
          <w:rFonts w:ascii="Arial" w:hAnsi="Arial" w:cs="Arial"/>
          <w:color w:val="000000" w:themeColor="text1"/>
          <w:sz w:val="24"/>
          <w:szCs w:val="24"/>
        </w:rPr>
        <w:t>.  These should have just enough information to be meaningful</w:t>
      </w:r>
      <w:r w:rsidR="0074540A" w:rsidRPr="00FE4E12">
        <w:rPr>
          <w:rFonts w:ascii="Arial" w:hAnsi="Arial" w:cs="Arial"/>
          <w:color w:val="auto"/>
          <w:sz w:val="24"/>
          <w:szCs w:val="24"/>
        </w:rPr>
        <w:t>.</w:t>
      </w:r>
      <w:r w:rsidR="0074540A">
        <w:rPr>
          <w:rFonts w:ascii="Arial" w:hAnsi="Arial" w:cs="Arial"/>
          <w:color w:val="auto"/>
          <w:sz w:val="24"/>
          <w:szCs w:val="24"/>
        </w:rPr>
        <w:t xml:space="preserve"> </w:t>
      </w:r>
    </w:p>
    <w:p w14:paraId="0682D91A" w14:textId="138929DF" w:rsidR="00527D91" w:rsidRDefault="0074540A" w:rsidP="0074540A">
      <w:pPr>
        <w:pStyle w:val="Heading2"/>
        <w:keepNext w:val="0"/>
        <w:keepLines w:val="0"/>
        <w:widowControl w:val="0"/>
        <w:numPr>
          <w:ilvl w:val="1"/>
          <w:numId w:val="10"/>
        </w:numPr>
        <w:tabs>
          <w:tab w:val="left" w:pos="851"/>
        </w:tabs>
        <w:spacing w:after="240" w:line="276" w:lineRule="auto"/>
        <w:ind w:left="1276"/>
        <w:rPr>
          <w:rFonts w:ascii="Arial" w:hAnsi="Arial" w:cs="Arial"/>
          <w:color w:val="000000" w:themeColor="text1"/>
          <w:sz w:val="24"/>
          <w:szCs w:val="24"/>
        </w:rPr>
      </w:pPr>
      <w:r>
        <w:rPr>
          <w:rFonts w:ascii="Arial" w:hAnsi="Arial" w:cs="Arial"/>
          <w:color w:val="000000" w:themeColor="text1"/>
          <w:sz w:val="24"/>
          <w:szCs w:val="24"/>
        </w:rPr>
        <w:t>The impact of income on the adult social care budget should be included within the budget monitor so that it can be tracked to ensure that targets are being achieved and any deviation understood and reported.</w:t>
      </w:r>
    </w:p>
    <w:p w14:paraId="14CDE8F6" w14:textId="77777777" w:rsidR="0074540A" w:rsidRPr="0074540A" w:rsidRDefault="0074540A" w:rsidP="0074540A"/>
    <w:p w14:paraId="3B76295E" w14:textId="2DCB693B" w:rsidR="00936D21" w:rsidRPr="00936D21" w:rsidRDefault="00936D21" w:rsidP="00860E9E">
      <w:pPr>
        <w:spacing w:line="276" w:lineRule="auto"/>
        <w:ind w:left="1276"/>
        <w:rPr>
          <w:rFonts w:ascii="Arial" w:hAnsi="Arial" w:cs="Arial"/>
          <w:i/>
          <w:iCs/>
          <w:sz w:val="24"/>
        </w:rPr>
      </w:pPr>
      <w:r>
        <w:rPr>
          <w:rFonts w:ascii="Arial" w:hAnsi="Arial" w:cs="Arial"/>
          <w:i/>
          <w:iCs/>
          <w:sz w:val="24"/>
        </w:rPr>
        <w:t>Service Development</w:t>
      </w:r>
    </w:p>
    <w:p w14:paraId="7347C4B2" w14:textId="77777777" w:rsidR="00936D21" w:rsidRPr="00936D21" w:rsidRDefault="00936D21" w:rsidP="00860E9E">
      <w:pPr>
        <w:spacing w:line="276" w:lineRule="auto"/>
      </w:pPr>
    </w:p>
    <w:p w14:paraId="303C9162" w14:textId="26697183" w:rsidR="00860E9E" w:rsidRDefault="00936D21" w:rsidP="00860E9E">
      <w:pPr>
        <w:pStyle w:val="Heading2"/>
        <w:keepNext w:val="0"/>
        <w:keepLines w:val="0"/>
        <w:widowControl w:val="0"/>
        <w:numPr>
          <w:ilvl w:val="1"/>
          <w:numId w:val="10"/>
        </w:numPr>
        <w:tabs>
          <w:tab w:val="left" w:pos="851"/>
        </w:tabs>
        <w:spacing w:after="240" w:line="276" w:lineRule="auto"/>
        <w:ind w:left="1276"/>
        <w:rPr>
          <w:rFonts w:ascii="Arial" w:hAnsi="Arial" w:cs="Arial"/>
          <w:color w:val="000000" w:themeColor="text1"/>
          <w:sz w:val="24"/>
          <w:szCs w:val="24"/>
        </w:rPr>
      </w:pPr>
      <w:r w:rsidRPr="00936D21">
        <w:rPr>
          <w:rFonts w:ascii="Arial" w:hAnsi="Arial" w:cs="Arial"/>
          <w:color w:val="auto"/>
          <w:sz w:val="24"/>
          <w:szCs w:val="24"/>
        </w:rPr>
        <w:t>To achieve savings, a particular focus should be on both older people given the significant budget pressure in 2023/24 and younger adults given the</w:t>
      </w:r>
      <w:r>
        <w:rPr>
          <w:rFonts w:ascii="Arial" w:hAnsi="Arial" w:cs="Arial"/>
          <w:color w:val="auto"/>
          <w:sz w:val="24"/>
          <w:szCs w:val="24"/>
        </w:rPr>
        <w:t xml:space="preserve"> both the budget pressure and the</w:t>
      </w:r>
      <w:r w:rsidRPr="00936D21">
        <w:rPr>
          <w:rFonts w:ascii="Arial" w:hAnsi="Arial" w:cs="Arial"/>
          <w:color w:val="auto"/>
          <w:sz w:val="24"/>
          <w:szCs w:val="24"/>
        </w:rPr>
        <w:t xml:space="preserve"> higher than average spend demonstrated in the Use of Resources.  Prioritisation will be key to ensure biggest i</w:t>
      </w:r>
      <w:r w:rsidRPr="00936D21">
        <w:rPr>
          <w:rFonts w:ascii="Arial" w:hAnsi="Arial" w:cs="Arial"/>
          <w:color w:val="000000" w:themeColor="text1"/>
          <w:sz w:val="24"/>
          <w:szCs w:val="24"/>
        </w:rPr>
        <w:t>mpact on the budget</w:t>
      </w:r>
      <w:r w:rsidR="00860E9E" w:rsidRPr="00936D21">
        <w:rPr>
          <w:rFonts w:ascii="Arial" w:hAnsi="Arial" w:cs="Arial"/>
          <w:color w:val="000000" w:themeColor="text1"/>
          <w:sz w:val="24"/>
          <w:szCs w:val="24"/>
        </w:rPr>
        <w:t>.</w:t>
      </w:r>
      <w:r w:rsidR="00697344">
        <w:rPr>
          <w:rFonts w:ascii="Arial" w:hAnsi="Arial" w:cs="Arial"/>
          <w:color w:val="000000" w:themeColor="text1"/>
          <w:sz w:val="24"/>
          <w:szCs w:val="24"/>
        </w:rPr>
        <w:t xml:space="preserve">  A number of suggestions for focus are highlighted within the body of this report.</w:t>
      </w:r>
      <w:r w:rsidR="000026B6">
        <w:rPr>
          <w:rFonts w:ascii="Arial" w:hAnsi="Arial" w:cs="Arial"/>
          <w:color w:val="000000" w:themeColor="text1"/>
          <w:sz w:val="24"/>
          <w:szCs w:val="24"/>
        </w:rPr>
        <w:t xml:space="preserve">  It is recommended that a detailed Transformation Plan, highlighting the links to the savings plan is put in place. </w:t>
      </w:r>
    </w:p>
    <w:p w14:paraId="53A9D67A" w14:textId="297D768D" w:rsidR="00697344" w:rsidRDefault="00860E9E" w:rsidP="00697344">
      <w:pPr>
        <w:pStyle w:val="Heading2"/>
        <w:keepNext w:val="0"/>
        <w:keepLines w:val="0"/>
        <w:widowControl w:val="0"/>
        <w:numPr>
          <w:ilvl w:val="1"/>
          <w:numId w:val="10"/>
        </w:numPr>
        <w:tabs>
          <w:tab w:val="left" w:pos="851"/>
        </w:tabs>
        <w:spacing w:after="240" w:line="276" w:lineRule="auto"/>
        <w:ind w:left="1276"/>
        <w:rPr>
          <w:rFonts w:ascii="Arial" w:hAnsi="Arial" w:cs="Arial"/>
          <w:color w:val="000000" w:themeColor="text1"/>
          <w:sz w:val="24"/>
          <w:szCs w:val="24"/>
        </w:rPr>
      </w:pPr>
      <w:r>
        <w:rPr>
          <w:rFonts w:ascii="Arial" w:hAnsi="Arial" w:cs="Arial"/>
          <w:color w:val="000000" w:themeColor="text1"/>
          <w:sz w:val="24"/>
          <w:szCs w:val="24"/>
        </w:rPr>
        <w:t>Consideration should be given to reducing the reliance on care homes for customers of all ages with targets set on a monthly basis for reductions in numbers.  Deviation from the plan should be promptly addressed</w:t>
      </w:r>
      <w:r w:rsidR="00697344" w:rsidRPr="00936D21">
        <w:rPr>
          <w:rFonts w:ascii="Arial" w:hAnsi="Arial" w:cs="Arial"/>
          <w:color w:val="000000" w:themeColor="text1"/>
          <w:sz w:val="24"/>
          <w:szCs w:val="24"/>
        </w:rPr>
        <w:t>.</w:t>
      </w:r>
    </w:p>
    <w:p w14:paraId="427DA7A4" w14:textId="0B3240D1" w:rsidR="00936D21" w:rsidRDefault="00697344" w:rsidP="00697344">
      <w:pPr>
        <w:pStyle w:val="Heading2"/>
        <w:keepNext w:val="0"/>
        <w:keepLines w:val="0"/>
        <w:widowControl w:val="0"/>
        <w:numPr>
          <w:ilvl w:val="1"/>
          <w:numId w:val="10"/>
        </w:numPr>
        <w:tabs>
          <w:tab w:val="left" w:pos="851"/>
        </w:tabs>
        <w:spacing w:after="240" w:line="276" w:lineRule="auto"/>
        <w:ind w:left="1276"/>
        <w:rPr>
          <w:rFonts w:ascii="Arial" w:hAnsi="Arial" w:cs="Arial"/>
          <w:color w:val="000000" w:themeColor="text1"/>
          <w:sz w:val="24"/>
          <w:szCs w:val="24"/>
        </w:rPr>
      </w:pPr>
      <w:r>
        <w:rPr>
          <w:rFonts w:ascii="Arial" w:hAnsi="Arial" w:cs="Arial"/>
          <w:color w:val="000000" w:themeColor="text1"/>
          <w:sz w:val="24"/>
          <w:szCs w:val="24"/>
        </w:rPr>
        <w:t>The social work workforce is reliant on a significant proportion of agency staff.  This is both expensive and may prevent the effective strength based practice being embedded.  It is recommended that recruitment into permanent posts is undertaken.  I understand that some work joint with the LGA is planned for the near future.</w:t>
      </w:r>
    </w:p>
    <w:p w14:paraId="5EDFCCFD" w14:textId="534CD195" w:rsidR="0074540A" w:rsidRDefault="00936D21" w:rsidP="0074540A">
      <w:pPr>
        <w:pStyle w:val="Heading2"/>
        <w:keepNext w:val="0"/>
        <w:keepLines w:val="0"/>
        <w:widowControl w:val="0"/>
        <w:numPr>
          <w:ilvl w:val="1"/>
          <w:numId w:val="10"/>
        </w:numPr>
        <w:tabs>
          <w:tab w:val="left" w:pos="851"/>
        </w:tabs>
        <w:spacing w:after="240" w:line="276" w:lineRule="auto"/>
        <w:ind w:left="1276"/>
        <w:rPr>
          <w:rFonts w:ascii="Arial" w:hAnsi="Arial" w:cs="Arial"/>
          <w:color w:val="000000" w:themeColor="text1"/>
          <w:sz w:val="24"/>
          <w:szCs w:val="24"/>
        </w:rPr>
      </w:pPr>
      <w:r w:rsidRPr="00936D21">
        <w:rPr>
          <w:rFonts w:ascii="Arial" w:hAnsi="Arial" w:cs="Arial"/>
          <w:color w:val="000000" w:themeColor="text1"/>
          <w:sz w:val="24"/>
          <w:szCs w:val="24"/>
        </w:rPr>
        <w:t xml:space="preserve">The refresh of the Market Position Statement is planned for 2024/25.  It is recommended that this work is prioritised as much as possible.  It should focus on specific outcomes </w:t>
      </w:r>
      <w:r w:rsidRPr="00936D21">
        <w:rPr>
          <w:rStyle w:val="cf01"/>
          <w:rFonts w:ascii="Arial" w:hAnsi="Arial" w:cs="Arial"/>
          <w:color w:val="000000" w:themeColor="text1"/>
          <w:sz w:val="24"/>
          <w:szCs w:val="24"/>
        </w:rPr>
        <w:t>and changes the council wants to achieve</w:t>
      </w:r>
      <w:r w:rsidR="00A7266E">
        <w:rPr>
          <w:rStyle w:val="cf01"/>
          <w:rFonts w:ascii="Arial" w:hAnsi="Arial" w:cs="Arial"/>
          <w:color w:val="000000" w:themeColor="text1"/>
          <w:sz w:val="24"/>
          <w:szCs w:val="24"/>
        </w:rPr>
        <w:t xml:space="preserve"> including in the longer term (say by 2030)</w:t>
      </w:r>
      <w:r w:rsidRPr="00936D21">
        <w:rPr>
          <w:rStyle w:val="cf01"/>
          <w:rFonts w:ascii="Arial" w:hAnsi="Arial" w:cs="Arial"/>
          <w:color w:val="000000" w:themeColor="text1"/>
          <w:sz w:val="24"/>
          <w:szCs w:val="24"/>
        </w:rPr>
        <w:t>, to avoid the risk of creating a very wide and general document that lacks clarity or strategic direction.</w:t>
      </w:r>
      <w:r w:rsidRPr="00936D21">
        <w:rPr>
          <w:rFonts w:ascii="Arial" w:hAnsi="Arial" w:cs="Arial"/>
          <w:color w:val="000000" w:themeColor="text1"/>
          <w:sz w:val="24"/>
          <w:szCs w:val="24"/>
        </w:rPr>
        <w:t xml:space="preserve"> The Partners in Care &amp; Health programme can support with this work either on a formal or informal basis</w:t>
      </w:r>
      <w:r w:rsidR="0074540A" w:rsidRPr="00936D21">
        <w:rPr>
          <w:rFonts w:ascii="Arial" w:hAnsi="Arial" w:cs="Arial"/>
          <w:color w:val="000000" w:themeColor="text1"/>
          <w:sz w:val="24"/>
          <w:szCs w:val="24"/>
        </w:rPr>
        <w:t>.</w:t>
      </w:r>
    </w:p>
    <w:p w14:paraId="113A2D4C" w14:textId="160FD619" w:rsidR="00936D21" w:rsidRDefault="0074540A" w:rsidP="0074540A">
      <w:pPr>
        <w:pStyle w:val="Heading2"/>
        <w:keepNext w:val="0"/>
        <w:keepLines w:val="0"/>
        <w:widowControl w:val="0"/>
        <w:numPr>
          <w:ilvl w:val="1"/>
          <w:numId w:val="10"/>
        </w:numPr>
        <w:tabs>
          <w:tab w:val="left" w:pos="851"/>
        </w:tabs>
        <w:spacing w:after="240" w:line="276" w:lineRule="auto"/>
        <w:ind w:left="1276"/>
        <w:rPr>
          <w:rFonts w:ascii="Arial" w:hAnsi="Arial" w:cs="Arial"/>
          <w:color w:val="000000" w:themeColor="text1"/>
          <w:sz w:val="24"/>
          <w:szCs w:val="24"/>
        </w:rPr>
      </w:pPr>
      <w:r>
        <w:rPr>
          <w:rFonts w:ascii="Arial" w:hAnsi="Arial" w:cs="Arial"/>
          <w:color w:val="000000" w:themeColor="text1"/>
          <w:sz w:val="24"/>
          <w:szCs w:val="24"/>
        </w:rPr>
        <w:t xml:space="preserve">The commissioning team may be under resourced in terms of having the right capacity to </w:t>
      </w:r>
      <w:r>
        <w:rPr>
          <w:rFonts w:ascii="Arial" w:hAnsi="Arial" w:cs="Arial"/>
          <w:color w:val="000000" w:themeColor="text1"/>
          <w:sz w:val="24"/>
          <w:szCs w:val="24"/>
        </w:rPr>
        <w:lastRenderedPageBreak/>
        <w:t xml:space="preserve">deliver effective market management.  This should be reviewed as should the relationship between strategic commissioning and brokerage (service placement team) to ensure that the provider market is robust.  </w:t>
      </w:r>
      <w:r w:rsidR="00F72C66">
        <w:rPr>
          <w:rFonts w:ascii="Arial" w:hAnsi="Arial" w:cs="Arial"/>
          <w:color w:val="000000" w:themeColor="text1"/>
          <w:sz w:val="24"/>
          <w:szCs w:val="24"/>
        </w:rPr>
        <w:t>This may mean working on a wider footprint, for example with Kent County Council.</w:t>
      </w:r>
    </w:p>
    <w:p w14:paraId="16F221B2" w14:textId="679B9C34" w:rsidR="00936D21" w:rsidRDefault="00936D21" w:rsidP="00860E9E">
      <w:pPr>
        <w:pStyle w:val="Heading2"/>
        <w:keepNext w:val="0"/>
        <w:keepLines w:val="0"/>
        <w:widowControl w:val="0"/>
        <w:numPr>
          <w:ilvl w:val="1"/>
          <w:numId w:val="10"/>
        </w:numPr>
        <w:tabs>
          <w:tab w:val="left" w:pos="851"/>
        </w:tabs>
        <w:spacing w:after="240" w:line="276" w:lineRule="auto"/>
        <w:ind w:left="1276"/>
        <w:rPr>
          <w:rFonts w:ascii="Arial" w:hAnsi="Arial" w:cs="Arial"/>
          <w:color w:val="000000" w:themeColor="text1"/>
          <w:sz w:val="24"/>
          <w:szCs w:val="24"/>
        </w:rPr>
      </w:pPr>
      <w:r w:rsidRPr="00936D21">
        <w:rPr>
          <w:rFonts w:ascii="Arial" w:hAnsi="Arial" w:cs="Arial"/>
          <w:color w:val="000000" w:themeColor="text1"/>
          <w:sz w:val="24"/>
          <w:szCs w:val="24"/>
        </w:rPr>
        <w:t xml:space="preserve">Consider additional resource to support a strategic overview of adult social care from a commissioning (both strategic and micro commissioning) point of view and recognise the role of financial and </w:t>
      </w:r>
      <w:r w:rsidR="00914EEE">
        <w:rPr>
          <w:rFonts w:ascii="Arial" w:hAnsi="Arial" w:cs="Arial"/>
          <w:color w:val="000000" w:themeColor="text1"/>
          <w:sz w:val="24"/>
          <w:szCs w:val="24"/>
        </w:rPr>
        <w:t>business intelligence</w:t>
      </w:r>
      <w:r w:rsidRPr="00936D21">
        <w:rPr>
          <w:rFonts w:ascii="Arial" w:hAnsi="Arial" w:cs="Arial"/>
          <w:color w:val="000000" w:themeColor="text1"/>
          <w:sz w:val="24"/>
          <w:szCs w:val="24"/>
        </w:rPr>
        <w:t xml:space="preserve"> planning to support transformation.</w:t>
      </w:r>
    </w:p>
    <w:p w14:paraId="082CAF40" w14:textId="267501EA" w:rsidR="00527D91" w:rsidRPr="006E1D5F" w:rsidRDefault="00936D21" w:rsidP="00860E9E">
      <w:pPr>
        <w:pStyle w:val="Heading2"/>
        <w:keepNext w:val="0"/>
        <w:keepLines w:val="0"/>
        <w:widowControl w:val="0"/>
        <w:numPr>
          <w:ilvl w:val="1"/>
          <w:numId w:val="10"/>
        </w:numPr>
        <w:tabs>
          <w:tab w:val="left" w:pos="851"/>
        </w:tabs>
        <w:spacing w:after="240" w:line="276" w:lineRule="auto"/>
        <w:ind w:left="1276"/>
        <w:rPr>
          <w:rFonts w:ascii="Arial" w:hAnsi="Arial" w:cs="Arial"/>
          <w:color w:val="0070C0"/>
          <w:sz w:val="24"/>
          <w:szCs w:val="24"/>
        </w:rPr>
      </w:pPr>
      <w:r w:rsidRPr="00936D21">
        <w:rPr>
          <w:rFonts w:ascii="Arial" w:hAnsi="Arial" w:cs="Arial"/>
          <w:color w:val="auto"/>
          <w:sz w:val="24"/>
          <w:szCs w:val="24"/>
        </w:rPr>
        <w:t xml:space="preserve">The LGA have provided advice on why savings are not </w:t>
      </w:r>
      <w:proofErr w:type="gramStart"/>
      <w:r w:rsidRPr="00936D21">
        <w:rPr>
          <w:rFonts w:ascii="Arial" w:hAnsi="Arial" w:cs="Arial"/>
          <w:color w:val="auto"/>
          <w:sz w:val="24"/>
          <w:szCs w:val="24"/>
        </w:rPr>
        <w:t>delivered</w:t>
      </w:r>
      <w:proofErr w:type="gramEnd"/>
      <w:r w:rsidRPr="00936D21">
        <w:rPr>
          <w:rFonts w:ascii="Arial" w:hAnsi="Arial" w:cs="Arial"/>
          <w:color w:val="auto"/>
          <w:sz w:val="24"/>
          <w:szCs w:val="24"/>
        </w:rPr>
        <w:t xml:space="preserve"> and this is attached at Appendix 2; it will be useful in understanding the reality of savings to be delivered</w:t>
      </w:r>
      <w:r>
        <w:rPr>
          <w:rFonts w:ascii="Arial" w:hAnsi="Arial" w:cs="Arial"/>
          <w:sz w:val="24"/>
          <w:szCs w:val="24"/>
        </w:rPr>
        <w:t>.</w:t>
      </w:r>
    </w:p>
    <w:p w14:paraId="798C4D68" w14:textId="77777777" w:rsidR="004A2F9F" w:rsidRPr="004A2F9F" w:rsidRDefault="004A2F9F" w:rsidP="00614C36">
      <w:pPr>
        <w:widowControl w:val="0"/>
      </w:pPr>
    </w:p>
    <w:p w14:paraId="354BDB08" w14:textId="16BC0FBC" w:rsidR="00527D91" w:rsidRPr="0046522F" w:rsidRDefault="00527D91" w:rsidP="00614C36">
      <w:pPr>
        <w:pStyle w:val="PCHHeader1"/>
        <w:tabs>
          <w:tab w:val="left" w:pos="851"/>
        </w:tabs>
        <w:ind w:left="1276" w:hanging="567"/>
      </w:pPr>
      <w:bookmarkStart w:id="19" w:name="_Toc152677510"/>
      <w:bookmarkStart w:id="20" w:name="_Toc154735994"/>
      <w:r w:rsidRPr="00CD0B8D">
        <w:t>Background</w:t>
      </w:r>
      <w:bookmarkEnd w:id="19"/>
      <w:r w:rsidR="008A1B52">
        <w:t xml:space="preserve"> to Medway Council</w:t>
      </w:r>
      <w:bookmarkEnd w:id="20"/>
    </w:p>
    <w:p w14:paraId="5F932253" w14:textId="1C879B56" w:rsidR="00680990" w:rsidRPr="00680990" w:rsidRDefault="00135B7B" w:rsidP="00614C36">
      <w:pPr>
        <w:pStyle w:val="Heading2"/>
        <w:keepNext w:val="0"/>
        <w:keepLines w:val="0"/>
        <w:widowControl w:val="0"/>
        <w:numPr>
          <w:ilvl w:val="1"/>
          <w:numId w:val="10"/>
        </w:numPr>
        <w:tabs>
          <w:tab w:val="left" w:pos="851"/>
        </w:tabs>
        <w:spacing w:after="240" w:line="276" w:lineRule="auto"/>
        <w:ind w:left="1276"/>
      </w:pPr>
      <w:r w:rsidRPr="00680990">
        <w:rPr>
          <w:rFonts w:ascii="Arial" w:hAnsi="Arial" w:cs="Arial"/>
          <w:color w:val="auto"/>
          <w:sz w:val="24"/>
          <w:szCs w:val="24"/>
        </w:rPr>
        <w:t xml:space="preserve">Medway Council is a unitary authority with of population of </w:t>
      </w:r>
      <w:r w:rsidR="00680990" w:rsidRPr="00680990">
        <w:rPr>
          <w:rFonts w:ascii="Arial" w:hAnsi="Arial" w:cs="Arial"/>
          <w:color w:val="auto"/>
          <w:sz w:val="24"/>
          <w:szCs w:val="24"/>
        </w:rPr>
        <w:t>282,702 which is 0.5% of the population of England</w:t>
      </w:r>
      <w:r w:rsidR="00680990">
        <w:rPr>
          <w:rStyle w:val="FootnoteReference"/>
          <w:rFonts w:ascii="Arial" w:hAnsi="Arial" w:cs="Arial"/>
          <w:color w:val="auto"/>
          <w:sz w:val="24"/>
          <w:szCs w:val="24"/>
        </w:rPr>
        <w:footnoteReference w:id="2"/>
      </w:r>
      <w:r w:rsidR="00680990" w:rsidRPr="00680990">
        <w:rPr>
          <w:rFonts w:ascii="Arial" w:hAnsi="Arial" w:cs="Arial"/>
          <w:color w:val="auto"/>
          <w:sz w:val="24"/>
          <w:szCs w:val="24"/>
        </w:rPr>
        <w:t>.  217,413 are adults – 76.9% of the population.  This compares with the average of 79.</w:t>
      </w:r>
      <w:r w:rsidR="00AA0844">
        <w:rPr>
          <w:rFonts w:ascii="Arial" w:hAnsi="Arial" w:cs="Arial"/>
          <w:color w:val="auto"/>
          <w:sz w:val="24"/>
          <w:szCs w:val="24"/>
        </w:rPr>
        <w:t>1</w:t>
      </w:r>
      <w:r w:rsidR="00680990" w:rsidRPr="00680990">
        <w:rPr>
          <w:rFonts w:ascii="Arial" w:hAnsi="Arial" w:cs="Arial"/>
          <w:color w:val="auto"/>
          <w:sz w:val="24"/>
          <w:szCs w:val="24"/>
        </w:rPr>
        <w:t>% for England and 79.</w:t>
      </w:r>
      <w:r w:rsidR="00AA0844">
        <w:rPr>
          <w:rFonts w:ascii="Arial" w:hAnsi="Arial" w:cs="Arial"/>
          <w:color w:val="auto"/>
          <w:sz w:val="24"/>
          <w:szCs w:val="24"/>
        </w:rPr>
        <w:t>0</w:t>
      </w:r>
      <w:r w:rsidR="00680990" w:rsidRPr="00680990">
        <w:rPr>
          <w:rFonts w:ascii="Arial" w:hAnsi="Arial" w:cs="Arial"/>
          <w:color w:val="auto"/>
          <w:sz w:val="24"/>
          <w:szCs w:val="24"/>
        </w:rPr>
        <w:t xml:space="preserve">% for the </w:t>
      </w:r>
      <w:proofErr w:type="gramStart"/>
      <w:r w:rsidR="00680990" w:rsidRPr="00680990">
        <w:rPr>
          <w:rFonts w:ascii="Arial" w:hAnsi="Arial" w:cs="Arial"/>
          <w:color w:val="auto"/>
          <w:sz w:val="24"/>
          <w:szCs w:val="24"/>
        </w:rPr>
        <w:t>South East</w:t>
      </w:r>
      <w:proofErr w:type="gramEnd"/>
      <w:r w:rsidR="00680990" w:rsidRPr="00680990">
        <w:rPr>
          <w:rFonts w:ascii="Arial" w:hAnsi="Arial" w:cs="Arial"/>
          <w:color w:val="auto"/>
          <w:sz w:val="24"/>
          <w:szCs w:val="24"/>
        </w:rPr>
        <w:t xml:space="preserve"> region</w:t>
      </w:r>
      <w:r w:rsidR="00527D91" w:rsidRPr="00680990">
        <w:rPr>
          <w:rFonts w:ascii="Arial" w:hAnsi="Arial" w:cs="Arial"/>
          <w:color w:val="auto"/>
          <w:sz w:val="24"/>
          <w:szCs w:val="24"/>
        </w:rPr>
        <w:t xml:space="preserve">. </w:t>
      </w:r>
    </w:p>
    <w:p w14:paraId="652B31F5" w14:textId="7C90FEA7" w:rsidR="00680990" w:rsidRPr="004A2F9F" w:rsidRDefault="00680990" w:rsidP="00614C36">
      <w:pPr>
        <w:pStyle w:val="Heading2"/>
        <w:keepNext w:val="0"/>
        <w:keepLines w:val="0"/>
        <w:widowControl w:val="0"/>
        <w:numPr>
          <w:ilvl w:val="1"/>
          <w:numId w:val="10"/>
        </w:numPr>
        <w:tabs>
          <w:tab w:val="left" w:pos="851"/>
        </w:tabs>
        <w:spacing w:after="240" w:line="276" w:lineRule="auto"/>
        <w:rPr>
          <w:rFonts w:ascii="Arial" w:hAnsi="Arial" w:cs="Arial"/>
          <w:color w:val="auto"/>
          <w:sz w:val="24"/>
          <w:szCs w:val="24"/>
        </w:rPr>
      </w:pPr>
      <w:r w:rsidRPr="004A2F9F">
        <w:rPr>
          <w:rFonts w:ascii="Arial" w:hAnsi="Arial" w:cs="Arial"/>
          <w:color w:val="auto"/>
          <w:sz w:val="24"/>
          <w:szCs w:val="24"/>
        </w:rPr>
        <w:t xml:space="preserve">There are 170,435 younger adults in Medway (those aged 18 to 64 years) – </w:t>
      </w:r>
      <w:r w:rsidR="004A2F9F" w:rsidRPr="004A2F9F">
        <w:rPr>
          <w:rFonts w:ascii="Arial" w:hAnsi="Arial" w:cs="Arial"/>
          <w:color w:val="auto"/>
          <w:sz w:val="24"/>
          <w:szCs w:val="24"/>
        </w:rPr>
        <w:t>60</w:t>
      </w:r>
      <w:r w:rsidRPr="004A2F9F">
        <w:rPr>
          <w:rFonts w:ascii="Arial" w:hAnsi="Arial" w:cs="Arial"/>
          <w:color w:val="auto"/>
          <w:sz w:val="24"/>
          <w:szCs w:val="24"/>
        </w:rPr>
        <w:t>.3% compared to an England average of 6</w:t>
      </w:r>
      <w:r w:rsidR="00AA0844">
        <w:rPr>
          <w:rFonts w:ascii="Arial" w:hAnsi="Arial" w:cs="Arial"/>
          <w:color w:val="auto"/>
          <w:sz w:val="24"/>
          <w:szCs w:val="24"/>
        </w:rPr>
        <w:t>1.2</w:t>
      </w:r>
      <w:r w:rsidRPr="004A2F9F">
        <w:rPr>
          <w:rFonts w:ascii="Arial" w:hAnsi="Arial" w:cs="Arial"/>
          <w:color w:val="auto"/>
          <w:sz w:val="24"/>
          <w:szCs w:val="24"/>
        </w:rPr>
        <w:t xml:space="preserve">% and a </w:t>
      </w:r>
      <w:proofErr w:type="gramStart"/>
      <w:r w:rsidR="004A2F9F" w:rsidRPr="004A2F9F">
        <w:rPr>
          <w:rFonts w:ascii="Arial" w:hAnsi="Arial" w:cs="Arial"/>
          <w:color w:val="auto"/>
          <w:sz w:val="24"/>
          <w:szCs w:val="24"/>
        </w:rPr>
        <w:t>South East</w:t>
      </w:r>
      <w:proofErr w:type="gramEnd"/>
      <w:r w:rsidRPr="004A2F9F">
        <w:rPr>
          <w:rFonts w:ascii="Arial" w:hAnsi="Arial" w:cs="Arial"/>
          <w:color w:val="auto"/>
          <w:sz w:val="24"/>
          <w:szCs w:val="24"/>
        </w:rPr>
        <w:t xml:space="preserve"> Region average </w:t>
      </w:r>
      <w:r w:rsidR="00AA0844">
        <w:rPr>
          <w:rFonts w:ascii="Arial" w:hAnsi="Arial" w:cs="Arial"/>
          <w:color w:val="auto"/>
          <w:sz w:val="24"/>
          <w:szCs w:val="24"/>
        </w:rPr>
        <w:t>60.5</w:t>
      </w:r>
      <w:r w:rsidRPr="004A2F9F">
        <w:rPr>
          <w:rFonts w:ascii="Arial" w:hAnsi="Arial" w:cs="Arial"/>
          <w:color w:val="auto"/>
          <w:sz w:val="24"/>
          <w:szCs w:val="24"/>
        </w:rPr>
        <w:t xml:space="preserve">%.  </w:t>
      </w:r>
      <w:r w:rsidR="004A2F9F" w:rsidRPr="004A2F9F">
        <w:rPr>
          <w:rFonts w:ascii="Arial" w:hAnsi="Arial" w:cs="Arial"/>
          <w:color w:val="auto"/>
          <w:sz w:val="24"/>
          <w:szCs w:val="24"/>
        </w:rPr>
        <w:t xml:space="preserve">Medway </w:t>
      </w:r>
      <w:r w:rsidRPr="004A2F9F">
        <w:rPr>
          <w:rFonts w:ascii="Arial" w:hAnsi="Arial" w:cs="Arial"/>
          <w:color w:val="auto"/>
          <w:sz w:val="24"/>
          <w:szCs w:val="24"/>
        </w:rPr>
        <w:t xml:space="preserve">has a </w:t>
      </w:r>
      <w:r w:rsidR="004A2F9F" w:rsidRPr="004A2F9F">
        <w:rPr>
          <w:rFonts w:ascii="Arial" w:hAnsi="Arial" w:cs="Arial"/>
          <w:color w:val="auto"/>
          <w:sz w:val="24"/>
          <w:szCs w:val="24"/>
        </w:rPr>
        <w:t>lower</w:t>
      </w:r>
      <w:r w:rsidRPr="004A2F9F">
        <w:rPr>
          <w:rFonts w:ascii="Arial" w:hAnsi="Arial" w:cs="Arial"/>
          <w:color w:val="auto"/>
          <w:sz w:val="24"/>
          <w:szCs w:val="24"/>
        </w:rPr>
        <w:t xml:space="preserve"> proportion of its population as adults and </w:t>
      </w:r>
      <w:r w:rsidR="004A2F9F" w:rsidRPr="004A2F9F">
        <w:rPr>
          <w:rFonts w:ascii="Arial" w:hAnsi="Arial" w:cs="Arial"/>
          <w:color w:val="auto"/>
          <w:sz w:val="24"/>
          <w:szCs w:val="24"/>
        </w:rPr>
        <w:t>more</w:t>
      </w:r>
      <w:r w:rsidRPr="004A2F9F">
        <w:rPr>
          <w:rFonts w:ascii="Arial" w:hAnsi="Arial" w:cs="Arial"/>
          <w:color w:val="auto"/>
          <w:sz w:val="24"/>
          <w:szCs w:val="24"/>
        </w:rPr>
        <w:t xml:space="preserve"> children (</w:t>
      </w:r>
      <w:r w:rsidR="004A2F9F" w:rsidRPr="004A2F9F">
        <w:rPr>
          <w:rFonts w:ascii="Arial" w:hAnsi="Arial" w:cs="Arial"/>
          <w:color w:val="auto"/>
          <w:sz w:val="24"/>
          <w:szCs w:val="24"/>
        </w:rPr>
        <w:t>23</w:t>
      </w:r>
      <w:r w:rsidR="00AA0844">
        <w:rPr>
          <w:rFonts w:ascii="Arial" w:hAnsi="Arial" w:cs="Arial"/>
          <w:color w:val="auto"/>
          <w:sz w:val="24"/>
          <w:szCs w:val="24"/>
        </w:rPr>
        <w:t>.1</w:t>
      </w:r>
      <w:r w:rsidRPr="004A2F9F">
        <w:rPr>
          <w:rFonts w:ascii="Arial" w:hAnsi="Arial" w:cs="Arial"/>
          <w:color w:val="auto"/>
          <w:sz w:val="24"/>
          <w:szCs w:val="24"/>
        </w:rPr>
        <w:t>%) when compared to England (20.</w:t>
      </w:r>
      <w:r w:rsidR="00AA0844">
        <w:rPr>
          <w:rFonts w:ascii="Arial" w:hAnsi="Arial" w:cs="Arial"/>
          <w:color w:val="auto"/>
          <w:sz w:val="24"/>
          <w:szCs w:val="24"/>
        </w:rPr>
        <w:t>9</w:t>
      </w:r>
      <w:r w:rsidRPr="004A2F9F">
        <w:rPr>
          <w:rFonts w:ascii="Arial" w:hAnsi="Arial" w:cs="Arial"/>
          <w:color w:val="auto"/>
          <w:sz w:val="24"/>
          <w:szCs w:val="24"/>
        </w:rPr>
        <w:t>%)</w:t>
      </w:r>
      <w:r w:rsidR="00097AD1">
        <w:rPr>
          <w:rFonts w:ascii="Arial" w:hAnsi="Arial" w:cs="Arial"/>
          <w:color w:val="auto"/>
          <w:sz w:val="24"/>
          <w:szCs w:val="24"/>
        </w:rPr>
        <w:t xml:space="preserve"> and the </w:t>
      </w:r>
      <w:proofErr w:type="gramStart"/>
      <w:r w:rsidR="00097AD1">
        <w:rPr>
          <w:rFonts w:ascii="Arial" w:hAnsi="Arial" w:cs="Arial"/>
          <w:color w:val="auto"/>
          <w:sz w:val="24"/>
          <w:szCs w:val="24"/>
        </w:rPr>
        <w:t>South East</w:t>
      </w:r>
      <w:proofErr w:type="gramEnd"/>
      <w:r w:rsidR="00097AD1">
        <w:rPr>
          <w:rFonts w:ascii="Arial" w:hAnsi="Arial" w:cs="Arial"/>
          <w:color w:val="auto"/>
          <w:sz w:val="24"/>
          <w:szCs w:val="24"/>
        </w:rPr>
        <w:t xml:space="preserve"> (2</w:t>
      </w:r>
      <w:r w:rsidR="00453704">
        <w:rPr>
          <w:rFonts w:ascii="Arial" w:hAnsi="Arial" w:cs="Arial"/>
          <w:color w:val="auto"/>
          <w:sz w:val="24"/>
          <w:szCs w:val="24"/>
        </w:rPr>
        <w:t>1</w:t>
      </w:r>
      <w:r w:rsidR="00AA0844">
        <w:rPr>
          <w:rFonts w:ascii="Arial" w:hAnsi="Arial" w:cs="Arial"/>
          <w:color w:val="auto"/>
          <w:sz w:val="24"/>
          <w:szCs w:val="24"/>
        </w:rPr>
        <w:t>.1</w:t>
      </w:r>
      <w:r w:rsidR="00097AD1">
        <w:rPr>
          <w:rFonts w:ascii="Arial" w:hAnsi="Arial" w:cs="Arial"/>
          <w:color w:val="auto"/>
          <w:sz w:val="24"/>
          <w:szCs w:val="24"/>
        </w:rPr>
        <w:t>%)</w:t>
      </w:r>
      <w:r w:rsidRPr="004A2F9F">
        <w:rPr>
          <w:rFonts w:ascii="Arial" w:hAnsi="Arial" w:cs="Arial"/>
          <w:color w:val="auto"/>
          <w:sz w:val="24"/>
          <w:szCs w:val="24"/>
        </w:rPr>
        <w:t xml:space="preserve">.  Within this adult population, </w:t>
      </w:r>
      <w:r w:rsidR="004A2F9F" w:rsidRPr="004A2F9F">
        <w:rPr>
          <w:rFonts w:ascii="Arial" w:hAnsi="Arial" w:cs="Arial"/>
          <w:color w:val="auto"/>
          <w:sz w:val="24"/>
          <w:szCs w:val="24"/>
        </w:rPr>
        <w:t xml:space="preserve">Medway </w:t>
      </w:r>
      <w:r w:rsidRPr="004A2F9F">
        <w:rPr>
          <w:rFonts w:ascii="Arial" w:hAnsi="Arial" w:cs="Arial"/>
          <w:color w:val="auto"/>
          <w:sz w:val="24"/>
          <w:szCs w:val="24"/>
        </w:rPr>
        <w:t xml:space="preserve">has </w:t>
      </w:r>
      <w:r w:rsidR="00AA0844">
        <w:rPr>
          <w:rFonts w:ascii="Arial" w:hAnsi="Arial" w:cs="Arial"/>
          <w:color w:val="auto"/>
          <w:sz w:val="24"/>
          <w:szCs w:val="24"/>
        </w:rPr>
        <w:t xml:space="preserve">slightly fewer </w:t>
      </w:r>
      <w:r w:rsidRPr="004A2F9F">
        <w:rPr>
          <w:rFonts w:ascii="Arial" w:hAnsi="Arial" w:cs="Arial"/>
          <w:color w:val="auto"/>
          <w:sz w:val="24"/>
          <w:szCs w:val="24"/>
        </w:rPr>
        <w:t>younger adults</w:t>
      </w:r>
      <w:r w:rsidR="004A2F9F" w:rsidRPr="004A2F9F">
        <w:rPr>
          <w:rFonts w:ascii="Arial" w:hAnsi="Arial" w:cs="Arial"/>
          <w:color w:val="auto"/>
          <w:sz w:val="24"/>
          <w:szCs w:val="24"/>
        </w:rPr>
        <w:t xml:space="preserve"> (60.3%) when compared to England (6</w:t>
      </w:r>
      <w:r w:rsidR="00AA0844">
        <w:rPr>
          <w:rFonts w:ascii="Arial" w:hAnsi="Arial" w:cs="Arial"/>
          <w:color w:val="auto"/>
          <w:sz w:val="24"/>
          <w:szCs w:val="24"/>
        </w:rPr>
        <w:t>1.2</w:t>
      </w:r>
      <w:r w:rsidR="004A2F9F" w:rsidRPr="004A2F9F">
        <w:rPr>
          <w:rFonts w:ascii="Arial" w:hAnsi="Arial" w:cs="Arial"/>
          <w:color w:val="auto"/>
          <w:sz w:val="24"/>
          <w:szCs w:val="24"/>
        </w:rPr>
        <w:t xml:space="preserve">%) </w:t>
      </w:r>
      <w:r w:rsidRPr="004A2F9F">
        <w:rPr>
          <w:rFonts w:ascii="Arial" w:hAnsi="Arial" w:cs="Arial"/>
          <w:color w:val="auto"/>
          <w:sz w:val="24"/>
          <w:szCs w:val="24"/>
        </w:rPr>
        <w:t xml:space="preserve">, but significantly </w:t>
      </w:r>
      <w:r w:rsidR="004A2F9F" w:rsidRPr="004A2F9F">
        <w:rPr>
          <w:rFonts w:ascii="Arial" w:hAnsi="Arial" w:cs="Arial"/>
          <w:color w:val="auto"/>
          <w:sz w:val="24"/>
          <w:szCs w:val="24"/>
        </w:rPr>
        <w:t>fewer</w:t>
      </w:r>
      <w:r w:rsidRPr="004A2F9F">
        <w:rPr>
          <w:rFonts w:ascii="Arial" w:hAnsi="Arial" w:cs="Arial"/>
          <w:color w:val="auto"/>
          <w:sz w:val="24"/>
          <w:szCs w:val="24"/>
        </w:rPr>
        <w:t xml:space="preserve"> older people as detailed below: </w:t>
      </w:r>
    </w:p>
    <w:p w14:paraId="2DB9F132" w14:textId="77855EFF" w:rsidR="00680990" w:rsidRPr="004A2F9F" w:rsidRDefault="004A2F9F" w:rsidP="00614C36">
      <w:pPr>
        <w:pStyle w:val="Heading2"/>
        <w:keepNext w:val="0"/>
        <w:keepLines w:val="0"/>
        <w:widowControl w:val="0"/>
        <w:numPr>
          <w:ilvl w:val="1"/>
          <w:numId w:val="15"/>
        </w:numPr>
        <w:tabs>
          <w:tab w:val="left" w:pos="851"/>
        </w:tabs>
        <w:spacing w:after="240" w:line="276" w:lineRule="auto"/>
        <w:rPr>
          <w:rFonts w:ascii="Arial" w:hAnsi="Arial" w:cs="Arial"/>
          <w:color w:val="auto"/>
          <w:sz w:val="24"/>
          <w:szCs w:val="24"/>
        </w:rPr>
      </w:pPr>
      <w:r w:rsidRPr="004A2F9F">
        <w:rPr>
          <w:rFonts w:ascii="Arial" w:hAnsi="Arial" w:cs="Arial"/>
          <w:color w:val="auto"/>
          <w:sz w:val="24"/>
          <w:szCs w:val="24"/>
        </w:rPr>
        <w:t>16.6</w:t>
      </w:r>
      <w:r w:rsidR="00680990" w:rsidRPr="004A2F9F">
        <w:rPr>
          <w:rFonts w:ascii="Arial" w:hAnsi="Arial" w:cs="Arial"/>
          <w:color w:val="auto"/>
          <w:sz w:val="24"/>
          <w:szCs w:val="24"/>
        </w:rPr>
        <w:t>% of the population (</w:t>
      </w:r>
      <w:r w:rsidRPr="004A2F9F">
        <w:rPr>
          <w:rFonts w:ascii="Arial" w:hAnsi="Arial" w:cs="Arial"/>
          <w:color w:val="auto"/>
          <w:sz w:val="24"/>
          <w:szCs w:val="24"/>
        </w:rPr>
        <w:t>46,978</w:t>
      </w:r>
      <w:r w:rsidR="00680990" w:rsidRPr="004A2F9F">
        <w:rPr>
          <w:rFonts w:ascii="Arial" w:hAnsi="Arial" w:cs="Arial"/>
          <w:color w:val="auto"/>
          <w:sz w:val="24"/>
          <w:szCs w:val="24"/>
        </w:rPr>
        <w:t xml:space="preserve"> people) are aged 65 or over, compared to England average of 1</w:t>
      </w:r>
      <w:r w:rsidR="00AA0844">
        <w:rPr>
          <w:rFonts w:ascii="Arial" w:hAnsi="Arial" w:cs="Arial"/>
          <w:color w:val="auto"/>
          <w:sz w:val="24"/>
          <w:szCs w:val="24"/>
        </w:rPr>
        <w:t>7.9</w:t>
      </w:r>
      <w:r w:rsidR="00680990" w:rsidRPr="004A2F9F">
        <w:rPr>
          <w:rFonts w:ascii="Arial" w:hAnsi="Arial" w:cs="Arial"/>
          <w:color w:val="auto"/>
          <w:sz w:val="24"/>
          <w:szCs w:val="24"/>
        </w:rPr>
        <w:t xml:space="preserve">% and a </w:t>
      </w:r>
      <w:proofErr w:type="gramStart"/>
      <w:r w:rsidRPr="004A2F9F">
        <w:rPr>
          <w:rFonts w:ascii="Arial" w:hAnsi="Arial" w:cs="Arial"/>
          <w:color w:val="auto"/>
          <w:sz w:val="24"/>
          <w:szCs w:val="24"/>
        </w:rPr>
        <w:t>South East</w:t>
      </w:r>
      <w:proofErr w:type="gramEnd"/>
      <w:r w:rsidR="00680990" w:rsidRPr="004A2F9F">
        <w:rPr>
          <w:rFonts w:ascii="Arial" w:hAnsi="Arial" w:cs="Arial"/>
          <w:color w:val="auto"/>
          <w:sz w:val="24"/>
          <w:szCs w:val="24"/>
        </w:rPr>
        <w:t xml:space="preserve"> Region average of 1</w:t>
      </w:r>
      <w:r w:rsidR="00AA0844">
        <w:rPr>
          <w:rFonts w:ascii="Arial" w:hAnsi="Arial" w:cs="Arial"/>
          <w:color w:val="auto"/>
          <w:sz w:val="24"/>
          <w:szCs w:val="24"/>
        </w:rPr>
        <w:t>8.5</w:t>
      </w:r>
      <w:r w:rsidR="00680990" w:rsidRPr="004A2F9F">
        <w:rPr>
          <w:rFonts w:ascii="Arial" w:hAnsi="Arial" w:cs="Arial"/>
          <w:color w:val="auto"/>
          <w:sz w:val="24"/>
          <w:szCs w:val="24"/>
        </w:rPr>
        <w:t xml:space="preserve">%; </w:t>
      </w:r>
    </w:p>
    <w:p w14:paraId="5166DEDC" w14:textId="09D8A92A" w:rsidR="00680990" w:rsidRPr="0018328D" w:rsidRDefault="004A2F9F" w:rsidP="00614C36">
      <w:pPr>
        <w:pStyle w:val="Heading2"/>
        <w:keepNext w:val="0"/>
        <w:keepLines w:val="0"/>
        <w:widowControl w:val="0"/>
        <w:numPr>
          <w:ilvl w:val="1"/>
          <w:numId w:val="15"/>
        </w:numPr>
        <w:tabs>
          <w:tab w:val="left" w:pos="851"/>
        </w:tabs>
        <w:spacing w:after="240" w:line="276" w:lineRule="auto"/>
        <w:rPr>
          <w:rFonts w:ascii="Arial" w:hAnsi="Arial" w:cs="Arial"/>
          <w:color w:val="auto"/>
          <w:sz w:val="24"/>
          <w:szCs w:val="24"/>
        </w:rPr>
      </w:pPr>
      <w:r w:rsidRPr="004A2F9F">
        <w:rPr>
          <w:rFonts w:ascii="Arial" w:hAnsi="Arial" w:cs="Arial"/>
          <w:color w:val="auto"/>
          <w:sz w:val="24"/>
          <w:szCs w:val="24"/>
        </w:rPr>
        <w:t>7.</w:t>
      </w:r>
      <w:r w:rsidR="00AA0844">
        <w:rPr>
          <w:rFonts w:ascii="Arial" w:hAnsi="Arial" w:cs="Arial"/>
          <w:color w:val="auto"/>
          <w:sz w:val="24"/>
          <w:szCs w:val="24"/>
        </w:rPr>
        <w:t>6</w:t>
      </w:r>
      <w:r w:rsidR="00680990" w:rsidRPr="004A2F9F">
        <w:rPr>
          <w:rFonts w:ascii="Arial" w:hAnsi="Arial" w:cs="Arial"/>
          <w:color w:val="auto"/>
          <w:sz w:val="24"/>
          <w:szCs w:val="24"/>
        </w:rPr>
        <w:t>% of the population (2</w:t>
      </w:r>
      <w:r w:rsidRPr="004A2F9F">
        <w:rPr>
          <w:rFonts w:ascii="Arial" w:hAnsi="Arial" w:cs="Arial"/>
          <w:color w:val="auto"/>
          <w:sz w:val="24"/>
          <w:szCs w:val="24"/>
        </w:rPr>
        <w:t>1</w:t>
      </w:r>
      <w:r w:rsidR="00680990" w:rsidRPr="004A2F9F">
        <w:rPr>
          <w:rFonts w:ascii="Arial" w:hAnsi="Arial" w:cs="Arial"/>
          <w:color w:val="auto"/>
          <w:sz w:val="24"/>
          <w:szCs w:val="24"/>
        </w:rPr>
        <w:t>,</w:t>
      </w:r>
      <w:r w:rsidRPr="004A2F9F">
        <w:rPr>
          <w:rFonts w:ascii="Arial" w:hAnsi="Arial" w:cs="Arial"/>
          <w:color w:val="auto"/>
          <w:sz w:val="24"/>
          <w:szCs w:val="24"/>
        </w:rPr>
        <w:t>657</w:t>
      </w:r>
      <w:r w:rsidR="00680990" w:rsidRPr="004A2F9F">
        <w:rPr>
          <w:rFonts w:ascii="Arial" w:hAnsi="Arial" w:cs="Arial"/>
          <w:color w:val="auto"/>
          <w:sz w:val="24"/>
          <w:szCs w:val="24"/>
        </w:rPr>
        <w:t xml:space="preserve"> people) are aged 75 or over, compared to England </w:t>
      </w:r>
      <w:r w:rsidR="00680990" w:rsidRPr="0018328D">
        <w:rPr>
          <w:rFonts w:ascii="Arial" w:hAnsi="Arial" w:cs="Arial"/>
          <w:color w:val="auto"/>
          <w:sz w:val="24"/>
          <w:szCs w:val="24"/>
        </w:rPr>
        <w:t xml:space="preserve">average of </w:t>
      </w:r>
      <w:r w:rsidR="00AA0844">
        <w:rPr>
          <w:rFonts w:ascii="Arial" w:hAnsi="Arial" w:cs="Arial"/>
          <w:color w:val="auto"/>
          <w:sz w:val="24"/>
          <w:szCs w:val="24"/>
        </w:rPr>
        <w:t>8.6</w:t>
      </w:r>
      <w:r w:rsidR="00680990" w:rsidRPr="0018328D">
        <w:rPr>
          <w:rFonts w:ascii="Arial" w:hAnsi="Arial" w:cs="Arial"/>
          <w:color w:val="auto"/>
          <w:sz w:val="24"/>
          <w:szCs w:val="24"/>
        </w:rPr>
        <w:t xml:space="preserve">% and a </w:t>
      </w:r>
      <w:proofErr w:type="gramStart"/>
      <w:r w:rsidRPr="0018328D">
        <w:rPr>
          <w:rFonts w:ascii="Arial" w:hAnsi="Arial" w:cs="Arial"/>
          <w:color w:val="auto"/>
          <w:sz w:val="24"/>
          <w:szCs w:val="24"/>
        </w:rPr>
        <w:t>South East</w:t>
      </w:r>
      <w:proofErr w:type="gramEnd"/>
      <w:r w:rsidR="00680990" w:rsidRPr="0018328D">
        <w:rPr>
          <w:rFonts w:ascii="Arial" w:hAnsi="Arial" w:cs="Arial"/>
          <w:color w:val="auto"/>
          <w:sz w:val="24"/>
          <w:szCs w:val="24"/>
        </w:rPr>
        <w:t xml:space="preserve"> average of </w:t>
      </w:r>
      <w:r w:rsidR="00AA0844">
        <w:rPr>
          <w:rFonts w:ascii="Arial" w:hAnsi="Arial" w:cs="Arial"/>
          <w:color w:val="auto"/>
          <w:sz w:val="24"/>
          <w:szCs w:val="24"/>
        </w:rPr>
        <w:t>8.6</w:t>
      </w:r>
      <w:r w:rsidR="00680990" w:rsidRPr="0018328D">
        <w:rPr>
          <w:rFonts w:ascii="Arial" w:hAnsi="Arial" w:cs="Arial"/>
          <w:color w:val="auto"/>
          <w:sz w:val="24"/>
          <w:szCs w:val="24"/>
        </w:rPr>
        <w:t>%;</w:t>
      </w:r>
    </w:p>
    <w:p w14:paraId="2BDF897E" w14:textId="6A32EF5E" w:rsidR="00DC5749" w:rsidRPr="003E1A18" w:rsidRDefault="004A2F9F" w:rsidP="003E1A18">
      <w:pPr>
        <w:pStyle w:val="Heading2"/>
        <w:keepNext w:val="0"/>
        <w:keepLines w:val="0"/>
        <w:widowControl w:val="0"/>
        <w:numPr>
          <w:ilvl w:val="1"/>
          <w:numId w:val="15"/>
        </w:numPr>
        <w:tabs>
          <w:tab w:val="left" w:pos="851"/>
        </w:tabs>
        <w:spacing w:after="240" w:line="276" w:lineRule="auto"/>
        <w:rPr>
          <w:rFonts w:ascii="Arial" w:hAnsi="Arial" w:cs="Arial"/>
          <w:color w:val="auto"/>
          <w:sz w:val="24"/>
          <w:szCs w:val="24"/>
        </w:rPr>
      </w:pPr>
      <w:r w:rsidRPr="0018328D">
        <w:rPr>
          <w:rFonts w:ascii="Arial" w:hAnsi="Arial" w:cs="Arial"/>
          <w:color w:val="auto"/>
          <w:sz w:val="24"/>
          <w:szCs w:val="24"/>
        </w:rPr>
        <w:t>1.92</w:t>
      </w:r>
      <w:r w:rsidR="00680990" w:rsidRPr="0018328D">
        <w:rPr>
          <w:rFonts w:ascii="Arial" w:hAnsi="Arial" w:cs="Arial"/>
          <w:color w:val="auto"/>
          <w:sz w:val="24"/>
          <w:szCs w:val="24"/>
        </w:rPr>
        <w:t>% of the population (</w:t>
      </w:r>
      <w:r w:rsidRPr="0018328D">
        <w:rPr>
          <w:rFonts w:ascii="Arial" w:hAnsi="Arial" w:cs="Arial"/>
          <w:color w:val="auto"/>
          <w:sz w:val="24"/>
          <w:szCs w:val="24"/>
        </w:rPr>
        <w:t>5,442</w:t>
      </w:r>
      <w:r w:rsidR="00680990" w:rsidRPr="0018328D">
        <w:rPr>
          <w:rFonts w:ascii="Arial" w:hAnsi="Arial" w:cs="Arial"/>
          <w:color w:val="auto"/>
          <w:sz w:val="24"/>
          <w:szCs w:val="24"/>
        </w:rPr>
        <w:t xml:space="preserve"> people) are aged 85 or over, compared to England average of 2.</w:t>
      </w:r>
      <w:r w:rsidR="00AA0844">
        <w:rPr>
          <w:rFonts w:ascii="Arial" w:hAnsi="Arial" w:cs="Arial"/>
          <w:color w:val="auto"/>
          <w:sz w:val="24"/>
          <w:szCs w:val="24"/>
        </w:rPr>
        <w:t>4</w:t>
      </w:r>
      <w:r w:rsidR="00680990" w:rsidRPr="0018328D">
        <w:rPr>
          <w:rFonts w:ascii="Arial" w:hAnsi="Arial" w:cs="Arial"/>
          <w:color w:val="auto"/>
          <w:sz w:val="24"/>
          <w:szCs w:val="24"/>
        </w:rPr>
        <w:t xml:space="preserve">% and a </w:t>
      </w:r>
      <w:r w:rsidR="0018328D" w:rsidRPr="0018328D">
        <w:rPr>
          <w:rFonts w:ascii="Arial" w:hAnsi="Arial" w:cs="Arial"/>
          <w:color w:val="auto"/>
          <w:sz w:val="24"/>
          <w:szCs w:val="24"/>
        </w:rPr>
        <w:t>South East</w:t>
      </w:r>
      <w:r w:rsidR="00680990" w:rsidRPr="0018328D">
        <w:rPr>
          <w:rFonts w:ascii="Arial" w:hAnsi="Arial" w:cs="Arial"/>
          <w:color w:val="auto"/>
          <w:sz w:val="24"/>
          <w:szCs w:val="24"/>
        </w:rPr>
        <w:t xml:space="preserve"> average of 2.</w:t>
      </w:r>
      <w:r w:rsidR="00AA0844">
        <w:rPr>
          <w:rFonts w:ascii="Arial" w:hAnsi="Arial" w:cs="Arial"/>
          <w:color w:val="auto"/>
          <w:sz w:val="24"/>
          <w:szCs w:val="24"/>
        </w:rPr>
        <w:t>6</w:t>
      </w:r>
      <w:proofErr w:type="gramStart"/>
      <w:r w:rsidR="00680990" w:rsidRPr="0018328D">
        <w:rPr>
          <w:rFonts w:ascii="Arial" w:hAnsi="Arial" w:cs="Arial"/>
          <w:color w:val="auto"/>
          <w:sz w:val="24"/>
          <w:szCs w:val="24"/>
        </w:rPr>
        <w:t>%</w:t>
      </w:r>
      <w:r w:rsidR="0018328D" w:rsidRPr="0018328D">
        <w:rPr>
          <w:rFonts w:ascii="Arial" w:hAnsi="Arial" w:cs="Arial"/>
          <w:color w:val="auto"/>
          <w:sz w:val="24"/>
          <w:szCs w:val="24"/>
        </w:rPr>
        <w:t>.</w:t>
      </w:r>
      <w:r w:rsidR="00DC5749" w:rsidRPr="003E1A18">
        <w:rPr>
          <w:rFonts w:ascii="Arial" w:hAnsi="Arial" w:cs="Arial"/>
          <w:color w:val="auto"/>
          <w:sz w:val="24"/>
          <w:szCs w:val="24"/>
        </w:rPr>
        <w:t>.</w:t>
      </w:r>
      <w:proofErr w:type="gramEnd"/>
      <w:r w:rsidR="00DC5749" w:rsidRPr="003E1A18">
        <w:rPr>
          <w:rFonts w:ascii="Arial" w:hAnsi="Arial" w:cs="Arial"/>
          <w:color w:val="auto"/>
          <w:sz w:val="24"/>
          <w:szCs w:val="24"/>
        </w:rPr>
        <w:t xml:space="preserve"> </w:t>
      </w:r>
    </w:p>
    <w:p w14:paraId="32F89878" w14:textId="031F3748" w:rsidR="0084259B" w:rsidRPr="004D2B37" w:rsidRDefault="00DC5749" w:rsidP="00614C36">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 xml:space="preserve">Medway is </w:t>
      </w:r>
      <w:r w:rsidR="0084259B">
        <w:rPr>
          <w:rFonts w:ascii="Arial" w:hAnsi="Arial" w:cs="Arial"/>
          <w:color w:val="auto"/>
          <w:sz w:val="24"/>
          <w:szCs w:val="24"/>
        </w:rPr>
        <w:t xml:space="preserve">slightly more </w:t>
      </w:r>
      <w:r>
        <w:rPr>
          <w:rFonts w:ascii="Arial" w:hAnsi="Arial" w:cs="Arial"/>
          <w:color w:val="auto"/>
          <w:sz w:val="24"/>
          <w:szCs w:val="24"/>
        </w:rPr>
        <w:t>deprived</w:t>
      </w:r>
      <w:r w:rsidR="00097AD1">
        <w:rPr>
          <w:rFonts w:ascii="Arial" w:hAnsi="Arial" w:cs="Arial"/>
          <w:color w:val="auto"/>
          <w:sz w:val="24"/>
          <w:szCs w:val="24"/>
        </w:rPr>
        <w:t xml:space="preserve"> </w:t>
      </w:r>
      <w:r w:rsidR="0084259B">
        <w:rPr>
          <w:rFonts w:ascii="Arial" w:hAnsi="Arial" w:cs="Arial"/>
          <w:color w:val="auto"/>
          <w:sz w:val="24"/>
          <w:szCs w:val="24"/>
        </w:rPr>
        <w:t xml:space="preserve">than average </w:t>
      </w:r>
      <w:r w:rsidR="00097AD1">
        <w:rPr>
          <w:rFonts w:ascii="Arial" w:hAnsi="Arial" w:cs="Arial"/>
          <w:color w:val="auto"/>
          <w:sz w:val="24"/>
          <w:szCs w:val="24"/>
        </w:rPr>
        <w:t>when compared to all</w:t>
      </w:r>
      <w:r w:rsidR="0084259B">
        <w:rPr>
          <w:rFonts w:ascii="Arial" w:hAnsi="Arial" w:cs="Arial"/>
          <w:color w:val="auto"/>
          <w:sz w:val="24"/>
          <w:szCs w:val="24"/>
        </w:rPr>
        <w:t xml:space="preserve"> </w:t>
      </w:r>
      <w:r w:rsidR="00097AD1">
        <w:rPr>
          <w:rFonts w:ascii="Arial" w:hAnsi="Arial" w:cs="Arial"/>
          <w:color w:val="auto"/>
          <w:sz w:val="24"/>
          <w:szCs w:val="24"/>
        </w:rPr>
        <w:t>unitary authorities in England and is ranked</w:t>
      </w:r>
      <w:r w:rsidR="0084259B">
        <w:rPr>
          <w:rFonts w:ascii="Arial" w:hAnsi="Arial" w:cs="Arial"/>
          <w:color w:val="auto"/>
          <w:sz w:val="24"/>
          <w:szCs w:val="24"/>
        </w:rPr>
        <w:t xml:space="preserve"> 70</w:t>
      </w:r>
      <w:r w:rsidR="0084259B" w:rsidRPr="0084259B">
        <w:rPr>
          <w:rFonts w:ascii="Arial" w:hAnsi="Arial" w:cs="Arial"/>
          <w:color w:val="auto"/>
          <w:sz w:val="24"/>
          <w:szCs w:val="24"/>
          <w:vertAlign w:val="superscript"/>
        </w:rPr>
        <w:t>th</w:t>
      </w:r>
      <w:r w:rsidR="0084259B">
        <w:rPr>
          <w:rFonts w:ascii="Arial" w:hAnsi="Arial" w:cs="Arial"/>
          <w:color w:val="auto"/>
          <w:sz w:val="24"/>
          <w:szCs w:val="24"/>
        </w:rPr>
        <w:t xml:space="preserve"> out of 151 local authorities for average IMD ran</w:t>
      </w:r>
      <w:r w:rsidR="007407B0">
        <w:rPr>
          <w:rFonts w:ascii="Arial" w:hAnsi="Arial" w:cs="Arial"/>
          <w:color w:val="auto"/>
          <w:sz w:val="24"/>
          <w:szCs w:val="24"/>
        </w:rPr>
        <w:t>k</w:t>
      </w:r>
      <w:r w:rsidR="0084259B">
        <w:rPr>
          <w:rFonts w:ascii="Arial" w:hAnsi="Arial" w:cs="Arial"/>
          <w:color w:val="auto"/>
          <w:sz w:val="24"/>
          <w:szCs w:val="24"/>
        </w:rPr>
        <w:t xml:space="preserve"> (with 1= most deprived)</w:t>
      </w:r>
      <w:r w:rsidR="007407B0">
        <w:rPr>
          <w:rStyle w:val="FootnoteReference"/>
          <w:rFonts w:ascii="Arial" w:hAnsi="Arial" w:cs="Arial"/>
          <w:color w:val="auto"/>
          <w:sz w:val="24"/>
          <w:szCs w:val="24"/>
        </w:rPr>
        <w:footnoteReference w:id="3"/>
      </w:r>
      <w:r w:rsidR="007407B0">
        <w:rPr>
          <w:rFonts w:ascii="Arial" w:hAnsi="Arial" w:cs="Arial"/>
          <w:color w:val="auto"/>
          <w:sz w:val="24"/>
          <w:szCs w:val="24"/>
        </w:rPr>
        <w:t xml:space="preserve">.  There are a small number of areas in Medway that experience high levels of deprivation, with 14 neighbourhoods in the 10% most deprived areas </w:t>
      </w:r>
      <w:r w:rsidR="007407B0" w:rsidRPr="004D2B37">
        <w:rPr>
          <w:rFonts w:ascii="Arial" w:hAnsi="Arial" w:cs="Arial"/>
          <w:color w:val="auto"/>
          <w:sz w:val="24"/>
          <w:szCs w:val="24"/>
        </w:rPr>
        <w:t>nationally</w:t>
      </w:r>
      <w:r w:rsidR="007407B0" w:rsidRPr="004D2B37">
        <w:rPr>
          <w:rStyle w:val="FootnoteReference"/>
          <w:rFonts w:ascii="Arial" w:hAnsi="Arial" w:cs="Arial"/>
          <w:color w:val="auto"/>
          <w:sz w:val="24"/>
          <w:szCs w:val="24"/>
        </w:rPr>
        <w:footnoteReference w:id="4"/>
      </w:r>
      <w:r w:rsidR="007407B0" w:rsidRPr="004D2B37">
        <w:rPr>
          <w:rFonts w:ascii="Arial" w:hAnsi="Arial" w:cs="Arial"/>
          <w:color w:val="auto"/>
          <w:sz w:val="24"/>
          <w:szCs w:val="24"/>
        </w:rPr>
        <w:t>.</w:t>
      </w:r>
    </w:p>
    <w:p w14:paraId="435C99A6" w14:textId="4F745121" w:rsidR="004D2B37" w:rsidRPr="004D2B37" w:rsidRDefault="004D2B37" w:rsidP="00614C36">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sidRPr="004D2B37">
        <w:rPr>
          <w:rFonts w:ascii="Arial" w:hAnsi="Arial" w:cs="Arial"/>
          <w:color w:val="auto"/>
          <w:sz w:val="24"/>
          <w:szCs w:val="24"/>
        </w:rPr>
        <w:t xml:space="preserve">There does tend to be a correlation between an authority’s level of deprivation and demand for adult social care for older people, i.e. a higher deprivation tends to lead to a higher demand for social care for older people; however there is very little relationship </w:t>
      </w:r>
      <w:r w:rsidRPr="004D2B37">
        <w:rPr>
          <w:rFonts w:ascii="Arial" w:hAnsi="Arial" w:cs="Arial"/>
          <w:color w:val="auto"/>
          <w:sz w:val="24"/>
          <w:szCs w:val="24"/>
        </w:rPr>
        <w:lastRenderedPageBreak/>
        <w:t>between deprivation and spending on social care for younger adults</w:t>
      </w:r>
      <w:r w:rsidR="0084259B" w:rsidRPr="004D2B37">
        <w:rPr>
          <w:rFonts w:ascii="Arial" w:hAnsi="Arial" w:cs="Arial"/>
          <w:color w:val="auto"/>
          <w:sz w:val="24"/>
          <w:szCs w:val="24"/>
        </w:rPr>
        <w:t xml:space="preserve">. </w:t>
      </w:r>
    </w:p>
    <w:p w14:paraId="1677088E" w14:textId="0B3452BC" w:rsidR="00164B4E" w:rsidRPr="004D2B37" w:rsidRDefault="00092A53" w:rsidP="00614C36">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 xml:space="preserve">In terms of Income Deprivation Affecting Older People (IDAOPI), Medway ranks </w:t>
      </w:r>
      <w:r w:rsidR="00164B4E">
        <w:rPr>
          <w:rFonts w:ascii="Arial" w:hAnsi="Arial" w:cs="Arial"/>
          <w:color w:val="auto"/>
          <w:sz w:val="24"/>
          <w:szCs w:val="24"/>
        </w:rPr>
        <w:t>as less deprived than average: 93</w:t>
      </w:r>
      <w:r w:rsidR="00164B4E" w:rsidRPr="00164B4E">
        <w:rPr>
          <w:rFonts w:ascii="Arial" w:hAnsi="Arial" w:cs="Arial"/>
          <w:color w:val="auto"/>
          <w:sz w:val="24"/>
          <w:szCs w:val="24"/>
          <w:vertAlign w:val="superscript"/>
        </w:rPr>
        <w:t>rd</w:t>
      </w:r>
      <w:r w:rsidR="00164B4E">
        <w:rPr>
          <w:rFonts w:ascii="Arial" w:hAnsi="Arial" w:cs="Arial"/>
          <w:color w:val="auto"/>
          <w:sz w:val="24"/>
          <w:szCs w:val="24"/>
        </w:rPr>
        <w:t xml:space="preserve"> from 151 unitary authorities (with 1=most deprived)</w:t>
      </w:r>
      <w:r w:rsidR="00164B4E">
        <w:rPr>
          <w:rStyle w:val="FootnoteReference"/>
          <w:rFonts w:ascii="Arial" w:hAnsi="Arial" w:cs="Arial"/>
          <w:color w:val="auto"/>
          <w:sz w:val="24"/>
          <w:szCs w:val="24"/>
        </w:rPr>
        <w:footnoteReference w:id="5"/>
      </w:r>
      <w:r w:rsidRPr="004D2B37">
        <w:rPr>
          <w:rFonts w:ascii="Arial" w:hAnsi="Arial" w:cs="Arial"/>
          <w:color w:val="auto"/>
          <w:sz w:val="24"/>
          <w:szCs w:val="24"/>
        </w:rPr>
        <w:t>.</w:t>
      </w:r>
      <w:r w:rsidR="00164B4E" w:rsidRPr="004D2B37">
        <w:rPr>
          <w:rFonts w:ascii="Arial" w:hAnsi="Arial" w:cs="Arial"/>
          <w:color w:val="auto"/>
          <w:sz w:val="24"/>
          <w:szCs w:val="24"/>
        </w:rPr>
        <w:t xml:space="preserve"> </w:t>
      </w:r>
    </w:p>
    <w:p w14:paraId="216D33E7" w14:textId="32D387D5" w:rsidR="00164B4E" w:rsidRPr="004D2B37" w:rsidRDefault="00164B4E" w:rsidP="00614C36">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sidRPr="00164B4E">
        <w:rPr>
          <w:rFonts w:ascii="Arial" w:hAnsi="Arial" w:cs="Arial"/>
          <w:color w:val="auto"/>
          <w:sz w:val="24"/>
          <w:szCs w:val="24"/>
        </w:rPr>
        <w:t>The report will later consider the potential demand issues in respect of both population demographic and deprivation measures</w:t>
      </w:r>
      <w:r w:rsidRPr="004D2B37">
        <w:rPr>
          <w:rFonts w:ascii="Arial" w:hAnsi="Arial" w:cs="Arial"/>
          <w:color w:val="auto"/>
          <w:sz w:val="24"/>
          <w:szCs w:val="24"/>
        </w:rPr>
        <w:t xml:space="preserve">. </w:t>
      </w:r>
    </w:p>
    <w:p w14:paraId="7D7CC2E4" w14:textId="5D25A842" w:rsidR="00164B4E" w:rsidRPr="004D2B37" w:rsidRDefault="00164B4E" w:rsidP="00614C36">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 xml:space="preserve">Medway is a </w:t>
      </w:r>
      <w:r w:rsidR="00144228">
        <w:rPr>
          <w:rFonts w:ascii="Arial" w:hAnsi="Arial" w:cs="Arial"/>
          <w:color w:val="auto"/>
          <w:sz w:val="24"/>
          <w:szCs w:val="24"/>
        </w:rPr>
        <w:t xml:space="preserve">unitary authority with full Council composed of </w:t>
      </w:r>
      <w:r w:rsidR="00115984">
        <w:rPr>
          <w:rFonts w:ascii="Arial" w:hAnsi="Arial" w:cs="Arial"/>
          <w:color w:val="auto"/>
          <w:sz w:val="24"/>
          <w:szCs w:val="24"/>
        </w:rPr>
        <w:t>59 members elected for four year terms</w:t>
      </w:r>
      <w:r w:rsidRPr="004D2B37">
        <w:rPr>
          <w:rFonts w:ascii="Arial" w:hAnsi="Arial" w:cs="Arial"/>
          <w:color w:val="auto"/>
          <w:sz w:val="24"/>
          <w:szCs w:val="24"/>
        </w:rPr>
        <w:t>.</w:t>
      </w:r>
      <w:r w:rsidR="00115984">
        <w:rPr>
          <w:rFonts w:ascii="Arial" w:hAnsi="Arial" w:cs="Arial"/>
          <w:color w:val="auto"/>
          <w:sz w:val="24"/>
          <w:szCs w:val="24"/>
        </w:rPr>
        <w:t xml:space="preserve">  In May 2023 the Labour Party won control of the Council for the first time since 1998. Vince Maple is currently Leader of the Council, which operates a cabinet model of governance.</w:t>
      </w:r>
      <w:r w:rsidRPr="004D2B37">
        <w:rPr>
          <w:rFonts w:ascii="Arial" w:hAnsi="Arial" w:cs="Arial"/>
          <w:color w:val="auto"/>
          <w:sz w:val="24"/>
          <w:szCs w:val="24"/>
        </w:rPr>
        <w:t xml:space="preserve"> </w:t>
      </w:r>
    </w:p>
    <w:p w14:paraId="26A748CA" w14:textId="7D214849" w:rsidR="00D528A5" w:rsidRPr="003E11AE" w:rsidRDefault="00115984" w:rsidP="00614C36">
      <w:pPr>
        <w:pStyle w:val="Heading2"/>
        <w:keepNext w:val="0"/>
        <w:keepLines w:val="0"/>
        <w:widowControl w:val="0"/>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 xml:space="preserve">The Council set a council tax increase for 2023/24 of </w:t>
      </w:r>
      <w:r w:rsidR="00B97CAC">
        <w:rPr>
          <w:rFonts w:ascii="Arial" w:hAnsi="Arial" w:cs="Arial"/>
          <w:color w:val="auto"/>
          <w:sz w:val="24"/>
          <w:szCs w:val="24"/>
        </w:rPr>
        <w:t xml:space="preserve">4.994% including the social care precept of 2%, in line with Government expectations to maintain local spending power.  The Council has a net budget for 2023/24 of </w:t>
      </w:r>
      <w:r w:rsidR="00E80D92">
        <w:rPr>
          <w:rFonts w:ascii="Arial" w:hAnsi="Arial" w:cs="Arial"/>
          <w:color w:val="auto"/>
          <w:sz w:val="24"/>
          <w:szCs w:val="24"/>
        </w:rPr>
        <w:t>£390.2m.  Of this, Adults Social Care is £8</w:t>
      </w:r>
      <w:r w:rsidR="00B93B0F">
        <w:rPr>
          <w:rFonts w:ascii="Arial" w:hAnsi="Arial" w:cs="Arial"/>
          <w:color w:val="auto"/>
          <w:sz w:val="24"/>
          <w:szCs w:val="24"/>
        </w:rPr>
        <w:t>3</w:t>
      </w:r>
      <w:r w:rsidR="00E80D92">
        <w:rPr>
          <w:rFonts w:ascii="Arial" w:hAnsi="Arial" w:cs="Arial"/>
          <w:color w:val="auto"/>
          <w:sz w:val="24"/>
          <w:szCs w:val="24"/>
        </w:rPr>
        <w:t>.</w:t>
      </w:r>
      <w:r w:rsidR="00B93B0F">
        <w:rPr>
          <w:rFonts w:ascii="Arial" w:hAnsi="Arial" w:cs="Arial"/>
          <w:color w:val="auto"/>
          <w:sz w:val="24"/>
          <w:szCs w:val="24"/>
        </w:rPr>
        <w:t>0</w:t>
      </w:r>
      <w:r w:rsidR="00E80D92">
        <w:rPr>
          <w:rFonts w:ascii="Arial" w:hAnsi="Arial" w:cs="Arial"/>
          <w:color w:val="auto"/>
          <w:sz w:val="24"/>
          <w:szCs w:val="24"/>
        </w:rPr>
        <w:t>m</w:t>
      </w:r>
      <w:r w:rsidR="00DF5E65">
        <w:rPr>
          <w:rFonts w:ascii="Arial" w:hAnsi="Arial" w:cs="Arial"/>
          <w:color w:val="auto"/>
          <w:sz w:val="24"/>
          <w:szCs w:val="24"/>
        </w:rPr>
        <w:t xml:space="preserve"> </w:t>
      </w:r>
      <w:r w:rsidR="00B93B0F">
        <w:rPr>
          <w:rFonts w:ascii="Arial" w:hAnsi="Arial" w:cs="Arial"/>
          <w:color w:val="auto"/>
          <w:sz w:val="24"/>
          <w:szCs w:val="24"/>
        </w:rPr>
        <w:t>including £0.3m commissioning team costs</w:t>
      </w:r>
      <w:r w:rsidR="00707344">
        <w:rPr>
          <w:rStyle w:val="FootnoteReference"/>
          <w:rFonts w:ascii="Arial" w:hAnsi="Arial" w:cs="Arial"/>
          <w:color w:val="auto"/>
          <w:sz w:val="24"/>
          <w:szCs w:val="24"/>
        </w:rPr>
        <w:footnoteReference w:id="6"/>
      </w:r>
      <w:r w:rsidR="00B93B0F">
        <w:rPr>
          <w:rFonts w:ascii="Arial" w:hAnsi="Arial" w:cs="Arial"/>
          <w:color w:val="auto"/>
          <w:sz w:val="24"/>
          <w:szCs w:val="24"/>
        </w:rPr>
        <w:t xml:space="preserve">.  All figures quoted are net budgets.  Within the approved budget, savings to be delivered during 2023/24 </w:t>
      </w:r>
      <w:r w:rsidR="00F65D53">
        <w:rPr>
          <w:rFonts w:ascii="Arial" w:hAnsi="Arial" w:cs="Arial"/>
          <w:color w:val="auto"/>
          <w:sz w:val="24"/>
          <w:szCs w:val="24"/>
        </w:rPr>
        <w:t xml:space="preserve">for the whole Council </w:t>
      </w:r>
      <w:r w:rsidR="00F65D53" w:rsidRPr="00271660">
        <w:rPr>
          <w:rFonts w:ascii="Arial" w:hAnsi="Arial" w:cs="Arial"/>
          <w:color w:val="auto"/>
          <w:sz w:val="24"/>
          <w:szCs w:val="24"/>
        </w:rPr>
        <w:t>were £</w:t>
      </w:r>
      <w:r w:rsidR="00271660" w:rsidRPr="00271660">
        <w:rPr>
          <w:rFonts w:ascii="Arial" w:hAnsi="Arial" w:cs="Arial"/>
          <w:color w:val="auto"/>
          <w:sz w:val="24"/>
          <w:szCs w:val="24"/>
        </w:rPr>
        <w:t>1.950m</w:t>
      </w:r>
      <w:r w:rsidR="00707344" w:rsidRPr="00271660">
        <w:rPr>
          <w:rFonts w:ascii="Arial" w:hAnsi="Arial" w:cs="Arial"/>
          <w:color w:val="auto"/>
          <w:sz w:val="24"/>
          <w:szCs w:val="24"/>
        </w:rPr>
        <w:t>,</w:t>
      </w:r>
      <w:r w:rsidR="00271660">
        <w:rPr>
          <w:rFonts w:ascii="Arial" w:hAnsi="Arial" w:cs="Arial"/>
          <w:color w:val="auto"/>
          <w:sz w:val="24"/>
          <w:szCs w:val="24"/>
        </w:rPr>
        <w:t xml:space="preserve"> all</w:t>
      </w:r>
      <w:r w:rsidR="00F65D53">
        <w:rPr>
          <w:rFonts w:ascii="Arial" w:hAnsi="Arial" w:cs="Arial"/>
          <w:color w:val="auto"/>
          <w:sz w:val="24"/>
          <w:szCs w:val="24"/>
        </w:rPr>
        <w:t xml:space="preserve"> of which related to Adult Social Care.</w:t>
      </w:r>
      <w:r w:rsidR="00707344">
        <w:rPr>
          <w:rFonts w:ascii="Arial" w:hAnsi="Arial" w:cs="Arial"/>
          <w:color w:val="auto"/>
          <w:sz w:val="24"/>
          <w:szCs w:val="24"/>
        </w:rPr>
        <w:t xml:space="preserve">  The reported year-end outturn position for 2022/23 was an overspend of £</w:t>
      </w:r>
      <w:r w:rsidR="005812A4">
        <w:rPr>
          <w:rFonts w:ascii="Arial" w:hAnsi="Arial" w:cs="Arial"/>
          <w:color w:val="auto"/>
          <w:sz w:val="24"/>
          <w:szCs w:val="24"/>
        </w:rPr>
        <w:t>6.1m, an improvement of £6.2m on the position reported at Q3 in 2022/23.</w:t>
      </w:r>
    </w:p>
    <w:p w14:paraId="7AA040ED" w14:textId="221E1662" w:rsidR="00D528A5" w:rsidRDefault="008A1B52" w:rsidP="004B68B8">
      <w:pPr>
        <w:pStyle w:val="PCHHeader1"/>
        <w:keepLines/>
        <w:tabs>
          <w:tab w:val="left" w:pos="851"/>
        </w:tabs>
        <w:ind w:left="1276" w:hanging="567"/>
      </w:pPr>
      <w:bookmarkStart w:id="21" w:name="_Toc154735995"/>
      <w:r>
        <w:t>Approach to the review</w:t>
      </w:r>
      <w:bookmarkEnd w:id="21"/>
    </w:p>
    <w:p w14:paraId="1DFEBFCC" w14:textId="42D2318A" w:rsidR="009166B1" w:rsidRPr="009166B1" w:rsidRDefault="009166B1">
      <w:pPr>
        <w:pStyle w:val="Heading2"/>
        <w:numPr>
          <w:ilvl w:val="1"/>
          <w:numId w:val="10"/>
        </w:numPr>
        <w:tabs>
          <w:tab w:val="left" w:pos="851"/>
        </w:tabs>
        <w:spacing w:after="240" w:line="276" w:lineRule="auto"/>
        <w:ind w:left="1276"/>
        <w:rPr>
          <w:rFonts w:ascii="Arial" w:hAnsi="Arial" w:cs="Arial"/>
          <w:color w:val="auto"/>
          <w:sz w:val="24"/>
          <w:szCs w:val="24"/>
        </w:rPr>
      </w:pPr>
      <w:r w:rsidRPr="009166B1">
        <w:rPr>
          <w:rFonts w:ascii="Arial" w:hAnsi="Arial" w:cs="Arial"/>
          <w:color w:val="auto"/>
          <w:sz w:val="24"/>
          <w:szCs w:val="24"/>
        </w:rPr>
        <w:t>A desk top review desk top review was undertaken of key financial documents provided by the Council and publicly available online.  This included the</w:t>
      </w:r>
    </w:p>
    <w:p w14:paraId="0B0B8708" w14:textId="0786FCDD" w:rsidR="009166B1" w:rsidRPr="006120F7" w:rsidRDefault="009166B1">
      <w:pPr>
        <w:pStyle w:val="ListParagraph"/>
        <w:numPr>
          <w:ilvl w:val="0"/>
          <w:numId w:val="14"/>
        </w:numPr>
        <w:spacing w:after="0"/>
        <w:rPr>
          <w:rFonts w:cs="Arial"/>
          <w:color w:val="000000" w:themeColor="text1"/>
          <w:szCs w:val="24"/>
        </w:rPr>
      </w:pPr>
      <w:r w:rsidRPr="006120F7">
        <w:rPr>
          <w:rFonts w:cs="Arial"/>
          <w:b/>
          <w:bCs/>
          <w:color w:val="000000" w:themeColor="text1"/>
          <w:szCs w:val="24"/>
        </w:rPr>
        <w:t xml:space="preserve">Capital </w:t>
      </w:r>
      <w:r w:rsidR="009252A6" w:rsidRPr="006120F7">
        <w:rPr>
          <w:rFonts w:cs="Arial"/>
          <w:b/>
          <w:bCs/>
          <w:color w:val="000000" w:themeColor="text1"/>
          <w:szCs w:val="24"/>
        </w:rPr>
        <w:t xml:space="preserve">and Revenue Budget Report </w:t>
      </w:r>
      <w:r w:rsidRPr="006120F7">
        <w:rPr>
          <w:rFonts w:cs="Arial"/>
          <w:b/>
          <w:bCs/>
          <w:color w:val="000000" w:themeColor="text1"/>
          <w:szCs w:val="24"/>
        </w:rPr>
        <w:t>2023/24</w:t>
      </w:r>
      <w:r w:rsidRPr="006120F7">
        <w:rPr>
          <w:rFonts w:cs="Arial"/>
          <w:color w:val="000000" w:themeColor="text1"/>
          <w:szCs w:val="24"/>
        </w:rPr>
        <w:t xml:space="preserve">,  approved at Council on </w:t>
      </w:r>
      <w:r w:rsidR="009252A6" w:rsidRPr="006120F7">
        <w:rPr>
          <w:rFonts w:cs="Arial"/>
          <w:color w:val="000000" w:themeColor="text1"/>
          <w:szCs w:val="24"/>
        </w:rPr>
        <w:t>23</w:t>
      </w:r>
      <w:r w:rsidRPr="006120F7">
        <w:rPr>
          <w:rFonts w:cs="Arial"/>
          <w:color w:val="000000" w:themeColor="text1"/>
          <w:szCs w:val="24"/>
        </w:rPr>
        <w:t xml:space="preserve"> February 2023</w:t>
      </w:r>
    </w:p>
    <w:p w14:paraId="5448047D" w14:textId="67C2154C" w:rsidR="009166B1" w:rsidRPr="006120F7" w:rsidRDefault="009166B1">
      <w:pPr>
        <w:pStyle w:val="ListParagraph"/>
        <w:numPr>
          <w:ilvl w:val="0"/>
          <w:numId w:val="14"/>
        </w:numPr>
        <w:spacing w:after="0"/>
        <w:rPr>
          <w:rFonts w:cs="Arial"/>
          <w:color w:val="000000" w:themeColor="text1"/>
          <w:szCs w:val="24"/>
        </w:rPr>
      </w:pPr>
      <w:r w:rsidRPr="006120F7">
        <w:rPr>
          <w:rFonts w:cs="Arial"/>
          <w:b/>
          <w:bCs/>
          <w:color w:val="000000" w:themeColor="text1"/>
          <w:szCs w:val="24"/>
        </w:rPr>
        <w:t>M</w:t>
      </w:r>
      <w:r w:rsidR="006120F7">
        <w:rPr>
          <w:rFonts w:cs="Arial"/>
          <w:b/>
          <w:bCs/>
          <w:color w:val="000000" w:themeColor="text1"/>
          <w:szCs w:val="24"/>
        </w:rPr>
        <w:t>edium Term Financial Outlook</w:t>
      </w:r>
      <w:r w:rsidRPr="006120F7">
        <w:rPr>
          <w:rFonts w:cs="Arial"/>
          <w:b/>
          <w:bCs/>
          <w:color w:val="000000" w:themeColor="text1"/>
          <w:szCs w:val="24"/>
        </w:rPr>
        <w:t xml:space="preserve"> for 202</w:t>
      </w:r>
      <w:r w:rsidR="00BF2455">
        <w:rPr>
          <w:rFonts w:cs="Arial"/>
          <w:b/>
          <w:bCs/>
          <w:color w:val="000000" w:themeColor="text1"/>
          <w:szCs w:val="24"/>
        </w:rPr>
        <w:t>3 to 2028</w:t>
      </w:r>
      <w:r w:rsidR="00BF2455">
        <w:rPr>
          <w:rFonts w:cs="Arial"/>
          <w:color w:val="000000" w:themeColor="text1"/>
          <w:szCs w:val="24"/>
        </w:rPr>
        <w:t xml:space="preserve"> presented to Cabinet on 26 September 2023</w:t>
      </w:r>
    </w:p>
    <w:p w14:paraId="04F36639" w14:textId="1BD4CE53" w:rsidR="009166B1" w:rsidRPr="006120F7" w:rsidRDefault="009166B1">
      <w:pPr>
        <w:pStyle w:val="ListParagraph"/>
        <w:numPr>
          <w:ilvl w:val="0"/>
          <w:numId w:val="14"/>
        </w:numPr>
        <w:spacing w:after="0"/>
        <w:rPr>
          <w:rFonts w:cs="Arial"/>
          <w:color w:val="000000" w:themeColor="text1"/>
          <w:szCs w:val="24"/>
        </w:rPr>
      </w:pPr>
      <w:r w:rsidRPr="006120F7">
        <w:rPr>
          <w:rFonts w:cs="Arial"/>
          <w:b/>
          <w:bCs/>
          <w:color w:val="000000" w:themeColor="text1"/>
          <w:szCs w:val="24"/>
        </w:rPr>
        <w:t xml:space="preserve">Revenue outturn report </w:t>
      </w:r>
      <w:r w:rsidRPr="006120F7">
        <w:rPr>
          <w:rFonts w:cs="Arial"/>
          <w:color w:val="000000" w:themeColor="text1"/>
          <w:szCs w:val="24"/>
        </w:rPr>
        <w:t>for 202</w:t>
      </w:r>
      <w:r w:rsidR="009252A6" w:rsidRPr="006120F7">
        <w:rPr>
          <w:rFonts w:cs="Arial"/>
          <w:color w:val="000000" w:themeColor="text1"/>
          <w:szCs w:val="24"/>
        </w:rPr>
        <w:t>2</w:t>
      </w:r>
      <w:r w:rsidRPr="006120F7">
        <w:rPr>
          <w:rFonts w:cs="Arial"/>
          <w:color w:val="000000" w:themeColor="text1"/>
          <w:szCs w:val="24"/>
        </w:rPr>
        <w:t>/2</w:t>
      </w:r>
      <w:r w:rsidR="009252A6" w:rsidRPr="006120F7">
        <w:rPr>
          <w:rFonts w:cs="Arial"/>
          <w:color w:val="000000" w:themeColor="text1"/>
          <w:szCs w:val="24"/>
        </w:rPr>
        <w:t>3</w:t>
      </w:r>
      <w:r w:rsidRPr="006120F7">
        <w:rPr>
          <w:rFonts w:cs="Arial"/>
          <w:b/>
          <w:bCs/>
          <w:color w:val="000000" w:themeColor="text1"/>
          <w:szCs w:val="24"/>
        </w:rPr>
        <w:t xml:space="preserve"> </w:t>
      </w:r>
    </w:p>
    <w:p w14:paraId="08A554E1" w14:textId="77777777" w:rsidR="009166B1" w:rsidRPr="006120F7" w:rsidRDefault="009166B1">
      <w:pPr>
        <w:pStyle w:val="ListParagraph"/>
        <w:numPr>
          <w:ilvl w:val="0"/>
          <w:numId w:val="14"/>
        </w:numPr>
        <w:spacing w:after="0"/>
        <w:rPr>
          <w:rFonts w:cs="Arial"/>
          <w:color w:val="000000" w:themeColor="text1"/>
          <w:szCs w:val="24"/>
        </w:rPr>
      </w:pPr>
      <w:r w:rsidRPr="006120F7">
        <w:rPr>
          <w:rFonts w:cs="Arial"/>
          <w:b/>
          <w:bCs/>
          <w:color w:val="000000" w:themeColor="text1"/>
          <w:szCs w:val="24"/>
        </w:rPr>
        <w:t>Budget savings proposals</w:t>
      </w:r>
      <w:r w:rsidRPr="006120F7">
        <w:rPr>
          <w:rFonts w:cs="Arial"/>
          <w:color w:val="000000" w:themeColor="text1"/>
          <w:szCs w:val="24"/>
        </w:rPr>
        <w:t xml:space="preserve"> for 2023/24 </w:t>
      </w:r>
    </w:p>
    <w:p w14:paraId="49B5E9BE" w14:textId="2116CE15" w:rsidR="009166B1" w:rsidRPr="006120F7" w:rsidRDefault="009166B1">
      <w:pPr>
        <w:pStyle w:val="ListParagraph"/>
        <w:numPr>
          <w:ilvl w:val="0"/>
          <w:numId w:val="14"/>
        </w:numPr>
        <w:spacing w:after="0"/>
        <w:rPr>
          <w:rFonts w:cs="Arial"/>
          <w:color w:val="000000" w:themeColor="text1"/>
          <w:szCs w:val="24"/>
        </w:rPr>
      </w:pPr>
      <w:r w:rsidRPr="006120F7">
        <w:rPr>
          <w:rFonts w:cs="Arial"/>
          <w:b/>
          <w:bCs/>
          <w:color w:val="000000" w:themeColor="text1"/>
          <w:szCs w:val="24"/>
        </w:rPr>
        <w:t>Quarterly Review reports</w:t>
      </w:r>
      <w:r w:rsidRPr="006120F7">
        <w:rPr>
          <w:rFonts w:cs="Arial"/>
          <w:color w:val="000000" w:themeColor="text1"/>
          <w:szCs w:val="24"/>
        </w:rPr>
        <w:t xml:space="preserve"> </w:t>
      </w:r>
      <w:r w:rsidR="00BF2455">
        <w:rPr>
          <w:rFonts w:cs="Arial"/>
          <w:color w:val="000000" w:themeColor="text1"/>
          <w:szCs w:val="24"/>
        </w:rPr>
        <w:t xml:space="preserve">Round 2 report </w:t>
      </w:r>
      <w:r w:rsidRPr="006120F7">
        <w:rPr>
          <w:rFonts w:cs="Arial"/>
          <w:color w:val="000000" w:themeColor="text1"/>
          <w:szCs w:val="24"/>
        </w:rPr>
        <w:t>202</w:t>
      </w:r>
      <w:r w:rsidR="006120F7">
        <w:rPr>
          <w:rFonts w:cs="Arial"/>
          <w:color w:val="000000" w:themeColor="text1"/>
          <w:szCs w:val="24"/>
        </w:rPr>
        <w:t>3</w:t>
      </w:r>
      <w:r w:rsidRPr="006120F7">
        <w:rPr>
          <w:rFonts w:cs="Arial"/>
          <w:color w:val="000000" w:themeColor="text1"/>
          <w:szCs w:val="24"/>
        </w:rPr>
        <w:t>/2</w:t>
      </w:r>
      <w:r w:rsidR="006120F7">
        <w:rPr>
          <w:rFonts w:cs="Arial"/>
          <w:color w:val="000000" w:themeColor="text1"/>
          <w:szCs w:val="24"/>
        </w:rPr>
        <w:t>4</w:t>
      </w:r>
    </w:p>
    <w:p w14:paraId="62D50C17" w14:textId="2AC8838F" w:rsidR="009166B1" w:rsidRDefault="009166B1">
      <w:pPr>
        <w:pStyle w:val="ListParagraph"/>
        <w:numPr>
          <w:ilvl w:val="0"/>
          <w:numId w:val="14"/>
        </w:numPr>
        <w:spacing w:after="0"/>
        <w:rPr>
          <w:rFonts w:cs="Arial"/>
          <w:color w:val="000000" w:themeColor="text1"/>
          <w:szCs w:val="24"/>
        </w:rPr>
      </w:pPr>
      <w:r w:rsidRPr="006120F7">
        <w:rPr>
          <w:rFonts w:cs="Arial"/>
          <w:color w:val="000000" w:themeColor="text1"/>
          <w:szCs w:val="24"/>
        </w:rPr>
        <w:t>Various working papers</w:t>
      </w:r>
      <w:r w:rsidR="009252A6" w:rsidRPr="006120F7">
        <w:rPr>
          <w:rFonts w:cs="Arial"/>
          <w:color w:val="000000" w:themeColor="text1"/>
          <w:szCs w:val="24"/>
        </w:rPr>
        <w:t xml:space="preserve"> provided by Council colleagues.</w:t>
      </w:r>
    </w:p>
    <w:p w14:paraId="432D4CDF" w14:textId="6388F895" w:rsidR="00C72856" w:rsidRDefault="00C72856">
      <w:pPr>
        <w:pStyle w:val="ListParagraph"/>
        <w:numPr>
          <w:ilvl w:val="0"/>
          <w:numId w:val="14"/>
        </w:numPr>
        <w:spacing w:after="0"/>
        <w:rPr>
          <w:rFonts w:cs="Arial"/>
          <w:color w:val="000000" w:themeColor="text1"/>
          <w:szCs w:val="24"/>
        </w:rPr>
      </w:pPr>
      <w:r>
        <w:rPr>
          <w:rFonts w:cs="Arial"/>
          <w:color w:val="000000" w:themeColor="text1"/>
          <w:szCs w:val="24"/>
        </w:rPr>
        <w:t>LGA Key Financial Indicator Report</w:t>
      </w:r>
    </w:p>
    <w:p w14:paraId="000A4D16" w14:textId="159FA468" w:rsidR="00C72856" w:rsidRPr="006120F7" w:rsidRDefault="00C72856">
      <w:pPr>
        <w:pStyle w:val="ListParagraph"/>
        <w:numPr>
          <w:ilvl w:val="0"/>
          <w:numId w:val="14"/>
        </w:numPr>
        <w:spacing w:after="0"/>
        <w:rPr>
          <w:rFonts w:cs="Arial"/>
          <w:color w:val="000000" w:themeColor="text1"/>
          <w:szCs w:val="24"/>
        </w:rPr>
      </w:pPr>
      <w:r>
        <w:rPr>
          <w:rFonts w:cs="Arial"/>
          <w:color w:val="000000" w:themeColor="text1"/>
          <w:szCs w:val="24"/>
        </w:rPr>
        <w:t>LGA Use of Resources Report 2022/23</w:t>
      </w:r>
    </w:p>
    <w:p w14:paraId="01205A01" w14:textId="77777777" w:rsidR="009252A6" w:rsidRDefault="009252A6" w:rsidP="009252A6">
      <w:pPr>
        <w:pStyle w:val="ListParagraph"/>
        <w:spacing w:after="0"/>
        <w:ind w:left="1431"/>
        <w:rPr>
          <w:rFonts w:cs="Arial"/>
          <w:szCs w:val="24"/>
        </w:rPr>
      </w:pPr>
    </w:p>
    <w:p w14:paraId="7ED4257A" w14:textId="75440EAE" w:rsidR="005F4556" w:rsidRPr="00614C36" w:rsidRDefault="00FC2DA1" w:rsidP="005F4556">
      <w:pPr>
        <w:pStyle w:val="Heading2"/>
        <w:numPr>
          <w:ilvl w:val="1"/>
          <w:numId w:val="10"/>
        </w:numPr>
        <w:tabs>
          <w:tab w:val="left" w:pos="851"/>
        </w:tabs>
        <w:spacing w:after="240" w:line="276" w:lineRule="auto"/>
        <w:ind w:left="1276"/>
        <w:rPr>
          <w:rFonts w:ascii="Arial" w:hAnsi="Arial" w:cs="Arial"/>
          <w:color w:val="auto"/>
          <w:sz w:val="24"/>
          <w:szCs w:val="24"/>
        </w:rPr>
      </w:pPr>
      <w:r>
        <w:rPr>
          <w:rFonts w:ascii="Arial" w:hAnsi="Arial" w:cs="Arial"/>
          <w:color w:val="auto"/>
          <w:sz w:val="24"/>
          <w:szCs w:val="24"/>
        </w:rPr>
        <w:t>In</w:t>
      </w:r>
      <w:r w:rsidRPr="009252A6">
        <w:rPr>
          <w:rFonts w:ascii="Arial" w:hAnsi="Arial" w:cs="Arial"/>
          <w:color w:val="auto"/>
          <w:sz w:val="24"/>
          <w:szCs w:val="24"/>
        </w:rPr>
        <w:t xml:space="preserve"> addition, a number of follow up conversations and emails have taken place with Council staff.</w:t>
      </w:r>
    </w:p>
    <w:p w14:paraId="7B28FBE6" w14:textId="77777777" w:rsidR="00D528A5" w:rsidRDefault="00A109FD" w:rsidP="00D528A5">
      <w:pPr>
        <w:pStyle w:val="PCHHeader1"/>
        <w:tabs>
          <w:tab w:val="left" w:pos="851"/>
        </w:tabs>
        <w:ind w:left="1276" w:hanging="567"/>
      </w:pPr>
      <w:bookmarkStart w:id="22" w:name="_Toc154735996"/>
      <w:r>
        <w:t>Detailed findings</w:t>
      </w:r>
      <w:bookmarkEnd w:id="22"/>
    </w:p>
    <w:p w14:paraId="76674A09" w14:textId="77777777" w:rsidR="003A593A" w:rsidRPr="003A593A" w:rsidRDefault="003A593A">
      <w:pPr>
        <w:pStyle w:val="ListParagraph"/>
        <w:numPr>
          <w:ilvl w:val="1"/>
          <w:numId w:val="10"/>
        </w:numPr>
        <w:rPr>
          <w:rFonts w:eastAsiaTheme="majorEastAsia" w:cs="Arial"/>
          <w:b/>
          <w:bCs/>
          <w:szCs w:val="24"/>
        </w:rPr>
      </w:pPr>
      <w:r w:rsidRPr="003A593A">
        <w:rPr>
          <w:rFonts w:eastAsiaTheme="majorEastAsia" w:cs="Arial"/>
          <w:b/>
          <w:bCs/>
          <w:szCs w:val="24"/>
        </w:rPr>
        <w:t>Base budget comparison – relative spending on Adult Social Care</w:t>
      </w:r>
    </w:p>
    <w:p w14:paraId="7989AD64" w14:textId="1E424A63" w:rsidR="005F4556" w:rsidRPr="00984867" w:rsidRDefault="00220665">
      <w:pPr>
        <w:pStyle w:val="Heading3"/>
        <w:numPr>
          <w:ilvl w:val="2"/>
          <w:numId w:val="10"/>
        </w:numPr>
        <w:tabs>
          <w:tab w:val="left" w:pos="1276"/>
        </w:tabs>
        <w:spacing w:after="240" w:line="276" w:lineRule="auto"/>
        <w:rPr>
          <w:rFonts w:ascii="Arial" w:hAnsi="Arial" w:cs="Arial"/>
          <w:color w:val="auto"/>
        </w:rPr>
      </w:pPr>
      <w:r w:rsidRPr="00984867">
        <w:rPr>
          <w:rFonts w:ascii="Arial" w:hAnsi="Arial" w:cs="Arial"/>
          <w:color w:val="auto"/>
        </w:rPr>
        <w:lastRenderedPageBreak/>
        <w:t>Before focusing on Adult Social Care, it is worth understanding the financial context in which it operates:</w:t>
      </w:r>
    </w:p>
    <w:p w14:paraId="5A421A60" w14:textId="446097F2" w:rsidR="003B640E" w:rsidRDefault="009D62DE" w:rsidP="00860E9E">
      <w:pPr>
        <w:widowControl w:val="0"/>
        <w:ind w:left="1276"/>
        <w:rPr>
          <w:rFonts w:ascii="Arial" w:hAnsi="Arial" w:cs="Arial"/>
          <w:b/>
          <w:bCs/>
          <w:sz w:val="24"/>
        </w:rPr>
      </w:pPr>
      <w:r w:rsidRPr="009D62DE">
        <w:rPr>
          <w:rFonts w:ascii="Arial" w:hAnsi="Arial" w:cs="Arial"/>
          <w:b/>
          <w:bCs/>
          <w:sz w:val="24"/>
        </w:rPr>
        <w:t>Table 1: Proportion of net revenue expenditure on Adult Social Care and Children's Social Care 2021/22</w:t>
      </w:r>
      <w:r>
        <w:rPr>
          <w:rFonts w:ascii="Arial" w:hAnsi="Arial" w:cs="Arial"/>
          <w:b/>
          <w:bCs/>
          <w:sz w:val="24"/>
        </w:rPr>
        <w:t xml:space="preserve"> to 2023/24</w:t>
      </w:r>
    </w:p>
    <w:p w14:paraId="6DB24084" w14:textId="77777777" w:rsidR="009D62DE" w:rsidRDefault="009D62DE" w:rsidP="00860E9E">
      <w:pPr>
        <w:widowControl w:val="0"/>
        <w:ind w:left="1276"/>
        <w:rPr>
          <w:rFonts w:ascii="Arial" w:hAnsi="Arial" w:cs="Arial"/>
          <w:b/>
          <w:bCs/>
          <w:sz w:val="24"/>
        </w:rPr>
      </w:pPr>
    </w:p>
    <w:p w14:paraId="4D52DEB0" w14:textId="39C33E6E" w:rsidR="009D62DE" w:rsidRPr="009D62DE" w:rsidRDefault="007E70EF" w:rsidP="00860E9E">
      <w:pPr>
        <w:widowControl w:val="0"/>
        <w:ind w:left="1276"/>
        <w:rPr>
          <w:rFonts w:ascii="Arial" w:hAnsi="Arial" w:cs="Arial"/>
          <w:b/>
          <w:bCs/>
          <w:sz w:val="24"/>
        </w:rPr>
      </w:pPr>
      <w:r w:rsidRPr="007E70EF">
        <w:rPr>
          <w:noProof/>
        </w:rPr>
        <w:drawing>
          <wp:inline distT="0" distB="0" distL="0" distR="0" wp14:anchorId="7B37CD82" wp14:editId="4EA78954">
            <wp:extent cx="6300018" cy="1428750"/>
            <wp:effectExtent l="0" t="0" r="5715" b="0"/>
            <wp:docPr id="23316019" name="Picture 233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018" cy="1428750"/>
                    </a:xfrm>
                    <a:prstGeom prst="rect">
                      <a:avLst/>
                    </a:prstGeom>
                    <a:noFill/>
                    <a:ln>
                      <a:noFill/>
                    </a:ln>
                  </pic:spPr>
                </pic:pic>
              </a:graphicData>
            </a:graphic>
          </wp:inline>
        </w:drawing>
      </w:r>
    </w:p>
    <w:p w14:paraId="0FE535F7" w14:textId="77777777" w:rsidR="003B640E" w:rsidRPr="009D62DE" w:rsidRDefault="003B640E" w:rsidP="00860E9E">
      <w:pPr>
        <w:widowControl w:val="0"/>
        <w:ind w:left="1276"/>
        <w:rPr>
          <w:sz w:val="24"/>
        </w:rPr>
      </w:pPr>
    </w:p>
    <w:p w14:paraId="78E9A85F" w14:textId="77777777" w:rsidR="003B640E" w:rsidRPr="003B640E" w:rsidRDefault="003B640E" w:rsidP="00860E9E">
      <w:pPr>
        <w:widowControl w:val="0"/>
        <w:ind w:left="1276"/>
      </w:pPr>
    </w:p>
    <w:p w14:paraId="677A96D4" w14:textId="037DD91D" w:rsidR="0031552D" w:rsidRDefault="00047AE5" w:rsidP="00860E9E">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984867">
        <w:rPr>
          <w:rFonts w:ascii="Arial" w:hAnsi="Arial" w:cs="Arial"/>
          <w:color w:val="auto"/>
        </w:rPr>
        <w:t>Based on outturn 2022/23 for adult social care, Medway</w:t>
      </w:r>
      <w:r w:rsidR="007E70EF" w:rsidRPr="00984867">
        <w:rPr>
          <w:rFonts w:ascii="Arial" w:hAnsi="Arial" w:cs="Arial"/>
          <w:color w:val="auto"/>
        </w:rPr>
        <w:t>, at 40.9%,</w:t>
      </w:r>
      <w:r w:rsidRPr="00984867">
        <w:rPr>
          <w:rFonts w:ascii="Arial" w:hAnsi="Arial" w:cs="Arial"/>
          <w:color w:val="auto"/>
        </w:rPr>
        <w:t xml:space="preserve"> </w:t>
      </w:r>
      <w:r w:rsidR="00A8648D">
        <w:rPr>
          <w:rFonts w:ascii="Arial" w:hAnsi="Arial" w:cs="Arial"/>
          <w:color w:val="auto"/>
        </w:rPr>
        <w:t xml:space="preserve">is </w:t>
      </w:r>
      <w:r w:rsidRPr="00984867">
        <w:rPr>
          <w:rFonts w:ascii="Arial" w:hAnsi="Arial" w:cs="Arial"/>
          <w:color w:val="auto"/>
        </w:rPr>
        <w:t>below the average for unitary</w:t>
      </w:r>
      <w:r w:rsidR="007E70EF" w:rsidRPr="00984867">
        <w:rPr>
          <w:rFonts w:ascii="Arial" w:hAnsi="Arial" w:cs="Arial"/>
          <w:color w:val="auto"/>
        </w:rPr>
        <w:t xml:space="preserve"> authorities</w:t>
      </w:r>
      <w:r w:rsidRPr="00984867">
        <w:rPr>
          <w:rFonts w:ascii="Arial" w:hAnsi="Arial" w:cs="Arial"/>
          <w:color w:val="auto"/>
        </w:rPr>
        <w:t>.</w:t>
      </w:r>
      <w:r w:rsidR="007E70EF" w:rsidRPr="00984867">
        <w:rPr>
          <w:rFonts w:ascii="Arial" w:hAnsi="Arial" w:cs="Arial"/>
          <w:color w:val="auto"/>
        </w:rPr>
        <w:t xml:space="preserve">  </w:t>
      </w:r>
    </w:p>
    <w:p w14:paraId="31CDD203" w14:textId="27A72096" w:rsidR="005F4556" w:rsidRDefault="0031552D" w:rsidP="00860E9E">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984867">
        <w:rPr>
          <w:rFonts w:ascii="Arial" w:hAnsi="Arial" w:cs="Arial"/>
          <w:color w:val="auto"/>
        </w:rPr>
        <w:t xml:space="preserve">The average for the </w:t>
      </w:r>
      <w:proofErr w:type="gramStart"/>
      <w:r w:rsidRPr="00984867">
        <w:rPr>
          <w:rFonts w:ascii="Arial" w:hAnsi="Arial" w:cs="Arial"/>
          <w:color w:val="auto"/>
        </w:rPr>
        <w:t>South East</w:t>
      </w:r>
      <w:proofErr w:type="gramEnd"/>
      <w:r w:rsidRPr="00984867">
        <w:rPr>
          <w:rFonts w:ascii="Arial" w:hAnsi="Arial" w:cs="Arial"/>
          <w:color w:val="auto"/>
        </w:rPr>
        <w:t xml:space="preserve"> Region </w:t>
      </w:r>
      <w:r>
        <w:rPr>
          <w:rFonts w:ascii="Arial" w:hAnsi="Arial" w:cs="Arial"/>
          <w:color w:val="auto"/>
        </w:rPr>
        <w:t>was</w:t>
      </w:r>
      <w:r w:rsidRPr="00984867">
        <w:rPr>
          <w:rFonts w:ascii="Arial" w:hAnsi="Arial" w:cs="Arial"/>
          <w:color w:val="auto"/>
        </w:rPr>
        <w:t xml:space="preserve"> 45.93%</w:t>
      </w:r>
      <w:r>
        <w:rPr>
          <w:rFonts w:ascii="Arial" w:hAnsi="Arial" w:cs="Arial"/>
          <w:color w:val="auto"/>
        </w:rPr>
        <w:t xml:space="preserve"> in 2021/22</w:t>
      </w:r>
      <w:r w:rsidRPr="00984867">
        <w:rPr>
          <w:rFonts w:ascii="Arial" w:hAnsi="Arial" w:cs="Arial"/>
          <w:color w:val="auto"/>
        </w:rPr>
        <w:t xml:space="preserve">. </w:t>
      </w:r>
      <w:r w:rsidR="00AC3F04">
        <w:rPr>
          <w:rFonts w:ascii="Arial" w:hAnsi="Arial" w:cs="Arial"/>
          <w:color w:val="auto"/>
        </w:rPr>
        <w:t>The graph below illustrates Medway’s position</w:t>
      </w:r>
      <w:r w:rsidR="00F761BB">
        <w:rPr>
          <w:rFonts w:ascii="Arial" w:hAnsi="Arial" w:cs="Arial"/>
          <w:color w:val="auto"/>
        </w:rPr>
        <w:t xml:space="preserve"> for 2021/22</w:t>
      </w:r>
      <w:r>
        <w:rPr>
          <w:rFonts w:ascii="Arial" w:hAnsi="Arial" w:cs="Arial"/>
          <w:color w:val="auto"/>
        </w:rPr>
        <w:t xml:space="preserve"> compared to unitary authorities</w:t>
      </w:r>
      <w:r w:rsidR="00AC664D">
        <w:rPr>
          <w:rFonts w:ascii="Arial" w:hAnsi="Arial" w:cs="Arial"/>
          <w:color w:val="auto"/>
        </w:rPr>
        <w:t xml:space="preserve"> for 2021/22</w:t>
      </w:r>
      <w:r w:rsidR="00F761BB">
        <w:rPr>
          <w:rFonts w:ascii="Arial" w:hAnsi="Arial" w:cs="Arial"/>
          <w:color w:val="auto"/>
        </w:rPr>
        <w:t>:</w:t>
      </w:r>
    </w:p>
    <w:p w14:paraId="11D2FE6A" w14:textId="77E47802" w:rsidR="00F761BB" w:rsidRDefault="00F761BB" w:rsidP="00860E9E">
      <w:pPr>
        <w:widowControl w:val="0"/>
        <w:ind w:left="1304" w:firstLine="136"/>
      </w:pPr>
      <w:r>
        <w:rPr>
          <w:noProof/>
        </w:rPr>
        <w:drawing>
          <wp:inline distT="0" distB="0" distL="0" distR="0" wp14:anchorId="12DCDCB1" wp14:editId="67982B13">
            <wp:extent cx="5232400" cy="3529352"/>
            <wp:effectExtent l="19050" t="19050" r="25400" b="13970"/>
            <wp:docPr id="287075944" name="Picture 28707594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75944" name="Picture 1" descr="A graph of a number of people&#10;&#10;Description automatically generated with medium confidence"/>
                    <pic:cNvPicPr/>
                  </pic:nvPicPr>
                  <pic:blipFill>
                    <a:blip r:embed="rId13"/>
                    <a:stretch>
                      <a:fillRect/>
                    </a:stretch>
                  </pic:blipFill>
                  <pic:spPr>
                    <a:xfrm>
                      <a:off x="0" y="0"/>
                      <a:ext cx="5242520" cy="3536178"/>
                    </a:xfrm>
                    <a:prstGeom prst="rect">
                      <a:avLst/>
                    </a:prstGeom>
                    <a:ln w="12700">
                      <a:solidFill>
                        <a:schemeClr val="accent1"/>
                      </a:solidFill>
                    </a:ln>
                  </pic:spPr>
                </pic:pic>
              </a:graphicData>
            </a:graphic>
          </wp:inline>
        </w:drawing>
      </w:r>
    </w:p>
    <w:p w14:paraId="158C5D46" w14:textId="77777777" w:rsidR="00F761BB" w:rsidRDefault="00F761BB" w:rsidP="00860E9E">
      <w:pPr>
        <w:widowControl w:val="0"/>
        <w:ind w:left="1304"/>
      </w:pPr>
    </w:p>
    <w:p w14:paraId="55012F47" w14:textId="77777777" w:rsidR="00F761BB" w:rsidRDefault="00F761BB" w:rsidP="00860E9E">
      <w:pPr>
        <w:widowControl w:val="0"/>
        <w:ind w:left="1304"/>
      </w:pPr>
    </w:p>
    <w:p w14:paraId="016955AB" w14:textId="77777777" w:rsidR="00AC3F04" w:rsidRPr="00AC3F04" w:rsidRDefault="00AC3F04" w:rsidP="00860E9E">
      <w:pPr>
        <w:widowControl w:val="0"/>
      </w:pPr>
    </w:p>
    <w:p w14:paraId="13CD0952" w14:textId="1D7CCC51" w:rsidR="00074F12" w:rsidRDefault="00F761BB" w:rsidP="00860E9E">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In terms of Adult Social Care funding</w:t>
      </w:r>
      <w:r w:rsidR="008F526F">
        <w:rPr>
          <w:rFonts w:ascii="Arial" w:hAnsi="Arial" w:cs="Arial"/>
          <w:color w:val="auto"/>
        </w:rPr>
        <w:t xml:space="preserve"> as a proportion of Net Revenue Expenditure</w:t>
      </w:r>
      <w:r>
        <w:rPr>
          <w:rFonts w:ascii="Arial" w:hAnsi="Arial" w:cs="Arial"/>
          <w:color w:val="auto"/>
        </w:rPr>
        <w:t>,</w:t>
      </w:r>
      <w:r w:rsidR="00A55ACA">
        <w:rPr>
          <w:rFonts w:ascii="Arial" w:hAnsi="Arial" w:cs="Arial"/>
          <w:color w:val="auto"/>
        </w:rPr>
        <w:t xml:space="preserve"> the position for Medway</w:t>
      </w:r>
      <w:r>
        <w:rPr>
          <w:rFonts w:ascii="Arial" w:hAnsi="Arial" w:cs="Arial"/>
          <w:color w:val="auto"/>
        </w:rPr>
        <w:t xml:space="preserve"> </w:t>
      </w:r>
      <w:r w:rsidR="005F2CDA">
        <w:rPr>
          <w:rFonts w:ascii="Arial" w:hAnsi="Arial" w:cs="Arial"/>
          <w:color w:val="auto"/>
        </w:rPr>
        <w:t xml:space="preserve">over 5 years </w:t>
      </w:r>
      <w:r w:rsidR="008F526F">
        <w:rPr>
          <w:rFonts w:ascii="Arial" w:hAnsi="Arial" w:cs="Arial"/>
          <w:color w:val="auto"/>
        </w:rPr>
        <w:t xml:space="preserve">to 2022/23 </w:t>
      </w:r>
      <w:r w:rsidR="00A55ACA">
        <w:rPr>
          <w:rFonts w:ascii="Arial" w:hAnsi="Arial" w:cs="Arial"/>
          <w:color w:val="auto"/>
        </w:rPr>
        <w:t xml:space="preserve">has fluctuated, at below average </w:t>
      </w:r>
      <w:r w:rsidR="005F2CDA">
        <w:rPr>
          <w:rFonts w:ascii="Arial" w:hAnsi="Arial" w:cs="Arial"/>
          <w:color w:val="auto"/>
        </w:rPr>
        <w:t>until 20</w:t>
      </w:r>
      <w:r w:rsidR="00A55ACA">
        <w:rPr>
          <w:rFonts w:ascii="Arial" w:hAnsi="Arial" w:cs="Arial"/>
          <w:color w:val="auto"/>
        </w:rPr>
        <w:t xml:space="preserve">20/21, then with an increase to bring </w:t>
      </w:r>
      <w:r w:rsidR="00F90667">
        <w:rPr>
          <w:rFonts w:ascii="Arial" w:hAnsi="Arial" w:cs="Arial"/>
          <w:color w:val="auto"/>
        </w:rPr>
        <w:t xml:space="preserve">the Medway </w:t>
      </w:r>
      <w:r w:rsidR="00A55ACA">
        <w:rPr>
          <w:rFonts w:ascii="Arial" w:hAnsi="Arial" w:cs="Arial"/>
          <w:color w:val="auto"/>
        </w:rPr>
        <w:t>funding</w:t>
      </w:r>
      <w:r w:rsidR="00F90667">
        <w:rPr>
          <w:rFonts w:ascii="Arial" w:hAnsi="Arial" w:cs="Arial"/>
          <w:color w:val="auto"/>
        </w:rPr>
        <w:t xml:space="preserve"> position </w:t>
      </w:r>
      <w:r w:rsidR="008F526F">
        <w:rPr>
          <w:rFonts w:ascii="Arial" w:hAnsi="Arial" w:cs="Arial"/>
          <w:color w:val="auto"/>
        </w:rPr>
        <w:t xml:space="preserve">(43.32%) </w:t>
      </w:r>
      <w:r w:rsidR="00F90667">
        <w:rPr>
          <w:rFonts w:ascii="Arial" w:hAnsi="Arial" w:cs="Arial"/>
          <w:color w:val="auto"/>
        </w:rPr>
        <w:t xml:space="preserve">to </w:t>
      </w:r>
      <w:r w:rsidR="008F526F">
        <w:rPr>
          <w:rFonts w:ascii="Arial" w:hAnsi="Arial" w:cs="Arial"/>
          <w:color w:val="auto"/>
        </w:rPr>
        <w:t xml:space="preserve">just </w:t>
      </w:r>
      <w:r w:rsidR="00A55ACA">
        <w:rPr>
          <w:rFonts w:ascii="Arial" w:hAnsi="Arial" w:cs="Arial"/>
          <w:color w:val="auto"/>
        </w:rPr>
        <w:t>above the England average</w:t>
      </w:r>
      <w:r w:rsidR="008F526F">
        <w:rPr>
          <w:rFonts w:ascii="Arial" w:hAnsi="Arial" w:cs="Arial"/>
          <w:color w:val="auto"/>
        </w:rPr>
        <w:t xml:space="preserve"> of 42.15%</w:t>
      </w:r>
      <w:r w:rsidR="00A55ACA">
        <w:rPr>
          <w:rFonts w:ascii="Arial" w:hAnsi="Arial" w:cs="Arial"/>
          <w:color w:val="auto"/>
        </w:rPr>
        <w:t xml:space="preserve"> </w:t>
      </w:r>
      <w:r w:rsidR="008F526F">
        <w:rPr>
          <w:rFonts w:ascii="Arial" w:hAnsi="Arial" w:cs="Arial"/>
          <w:color w:val="auto"/>
        </w:rPr>
        <w:t>for that year</w:t>
      </w:r>
      <w:r w:rsidR="00A55ACA">
        <w:rPr>
          <w:rFonts w:ascii="Arial" w:hAnsi="Arial" w:cs="Arial"/>
          <w:color w:val="auto"/>
        </w:rPr>
        <w:t xml:space="preserve">.  </w:t>
      </w:r>
      <w:r w:rsidR="008F526F">
        <w:rPr>
          <w:rFonts w:ascii="Arial" w:hAnsi="Arial" w:cs="Arial"/>
          <w:color w:val="auto"/>
        </w:rPr>
        <w:t xml:space="preserve">In the two years since then, the </w:t>
      </w:r>
      <w:r>
        <w:rPr>
          <w:rFonts w:ascii="Arial" w:hAnsi="Arial" w:cs="Arial"/>
          <w:color w:val="auto"/>
        </w:rPr>
        <w:t xml:space="preserve">position has been consistent for Medway </w:t>
      </w:r>
      <w:r w:rsidR="0031552D">
        <w:rPr>
          <w:rFonts w:ascii="Arial" w:hAnsi="Arial" w:cs="Arial"/>
          <w:color w:val="auto"/>
        </w:rPr>
        <w:t xml:space="preserve">at </w:t>
      </w:r>
      <w:r w:rsidR="008F526F">
        <w:rPr>
          <w:rFonts w:ascii="Arial" w:hAnsi="Arial" w:cs="Arial"/>
          <w:color w:val="auto"/>
        </w:rPr>
        <w:t xml:space="preserve">significantly </w:t>
      </w:r>
      <w:r w:rsidR="0031552D">
        <w:rPr>
          <w:rFonts w:ascii="Arial" w:hAnsi="Arial" w:cs="Arial"/>
          <w:color w:val="auto"/>
        </w:rPr>
        <w:t xml:space="preserve">below </w:t>
      </w:r>
      <w:r w:rsidR="008F526F">
        <w:rPr>
          <w:rFonts w:ascii="Arial" w:hAnsi="Arial" w:cs="Arial"/>
          <w:color w:val="auto"/>
        </w:rPr>
        <w:t xml:space="preserve">the </w:t>
      </w:r>
      <w:r w:rsidR="0031552D">
        <w:rPr>
          <w:rFonts w:ascii="Arial" w:hAnsi="Arial" w:cs="Arial"/>
          <w:color w:val="auto"/>
        </w:rPr>
        <w:t>average of all unitary authorities</w:t>
      </w:r>
      <w:r w:rsidR="008B71DD">
        <w:rPr>
          <w:rFonts w:ascii="Arial" w:hAnsi="Arial" w:cs="Arial"/>
          <w:color w:val="auto"/>
        </w:rPr>
        <w:t xml:space="preserve"> </w:t>
      </w:r>
      <w:r w:rsidR="008F526F">
        <w:rPr>
          <w:rFonts w:ascii="Arial" w:hAnsi="Arial" w:cs="Arial"/>
          <w:color w:val="auto"/>
        </w:rPr>
        <w:t>- 2021/22 Medway 39.85% and England average 42.43</w:t>
      </w:r>
      <w:r w:rsidR="008B71DD">
        <w:rPr>
          <w:rFonts w:ascii="Arial" w:hAnsi="Arial" w:cs="Arial"/>
          <w:color w:val="auto"/>
        </w:rPr>
        <w:t xml:space="preserve">%, in 2022/23 </w:t>
      </w:r>
      <w:r w:rsidR="008B71DD">
        <w:rPr>
          <w:rFonts w:ascii="Arial" w:hAnsi="Arial" w:cs="Arial"/>
          <w:color w:val="auto"/>
        </w:rPr>
        <w:lastRenderedPageBreak/>
        <w:t xml:space="preserve">Medway 39.93% and England average 43.48% - </w:t>
      </w:r>
      <w:r w:rsidR="0031552D">
        <w:rPr>
          <w:rFonts w:ascii="Arial" w:hAnsi="Arial" w:cs="Arial"/>
          <w:color w:val="auto"/>
        </w:rPr>
        <w:t>as demonstrated by the chart below</w:t>
      </w:r>
      <w:r>
        <w:rPr>
          <w:rFonts w:ascii="Arial" w:hAnsi="Arial" w:cs="Arial"/>
          <w:color w:val="auto"/>
        </w:rPr>
        <w:t>:</w:t>
      </w:r>
    </w:p>
    <w:p w14:paraId="7391BF59" w14:textId="77777777" w:rsidR="00D87A12" w:rsidRPr="00D87A12" w:rsidRDefault="00D87A12" w:rsidP="00D87A12"/>
    <w:p w14:paraId="66C6383D" w14:textId="4E1A0BC6" w:rsidR="00D87A12" w:rsidRPr="00D87A12" w:rsidRDefault="00D87A12" w:rsidP="008F526F">
      <w:pPr>
        <w:spacing w:before="100" w:beforeAutospacing="1" w:after="100" w:afterAutospacing="1"/>
        <w:ind w:left="2024" w:firstLine="136"/>
        <w:rPr>
          <w:rFonts w:ascii="Times New Roman" w:eastAsia="Times New Roman" w:hAnsi="Times New Roman" w:cs="Times New Roman"/>
          <w:sz w:val="24"/>
          <w:lang w:eastAsia="en-GB"/>
        </w:rPr>
      </w:pPr>
      <w:r w:rsidRPr="00D87A12">
        <w:rPr>
          <w:rFonts w:ascii="Times New Roman" w:eastAsia="Times New Roman" w:hAnsi="Times New Roman" w:cs="Times New Roman"/>
          <w:noProof/>
          <w:sz w:val="24"/>
          <w:lang w:eastAsia="en-GB"/>
        </w:rPr>
        <w:drawing>
          <wp:inline distT="0" distB="0" distL="0" distR="0" wp14:anchorId="5842957A" wp14:editId="13118CA3">
            <wp:extent cx="4019550" cy="2785839"/>
            <wp:effectExtent l="19050" t="19050" r="19050" b="14605"/>
            <wp:docPr id="506729515" name="Picture 506729515" descr="A graph of a graph showing the amount of income per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29515" name="Picture 1" descr="A graph of a graph showing the amount of income per perso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0882" cy="2800623"/>
                    </a:xfrm>
                    <a:prstGeom prst="rect">
                      <a:avLst/>
                    </a:prstGeom>
                    <a:noFill/>
                    <a:ln>
                      <a:solidFill>
                        <a:schemeClr val="accent1"/>
                      </a:solidFill>
                    </a:ln>
                  </pic:spPr>
                </pic:pic>
              </a:graphicData>
            </a:graphic>
          </wp:inline>
        </w:drawing>
      </w:r>
    </w:p>
    <w:p w14:paraId="5FCB45AB" w14:textId="77777777" w:rsidR="00F761BB" w:rsidRPr="00F761BB" w:rsidRDefault="00F761BB" w:rsidP="00860E9E">
      <w:pPr>
        <w:widowControl w:val="0"/>
      </w:pPr>
    </w:p>
    <w:p w14:paraId="341880D4" w14:textId="67858949" w:rsidR="00074F12" w:rsidRDefault="00F761BB" w:rsidP="00860E9E">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In respect of Children’s Social Care funding as a proportion of Net Revenue Expenditure</w:t>
      </w:r>
      <w:r w:rsidR="007459C9">
        <w:rPr>
          <w:rFonts w:ascii="Arial" w:hAnsi="Arial" w:cs="Arial"/>
          <w:color w:val="auto"/>
        </w:rPr>
        <w:t>,</w:t>
      </w:r>
      <w:r>
        <w:rPr>
          <w:rFonts w:ascii="Arial" w:hAnsi="Arial" w:cs="Arial"/>
          <w:color w:val="auto"/>
        </w:rPr>
        <w:t xml:space="preserve"> it increased significantly between 2021/22 and 2022/23, from 26.8% to 3</w:t>
      </w:r>
      <w:r w:rsidR="008B71DD">
        <w:rPr>
          <w:rFonts w:ascii="Arial" w:hAnsi="Arial" w:cs="Arial"/>
          <w:color w:val="auto"/>
        </w:rPr>
        <w:t>1.9</w:t>
      </w:r>
      <w:r>
        <w:rPr>
          <w:rFonts w:ascii="Arial" w:hAnsi="Arial" w:cs="Arial"/>
          <w:color w:val="auto"/>
        </w:rPr>
        <w:t>%.</w:t>
      </w:r>
      <w:r w:rsidR="007459C9">
        <w:rPr>
          <w:rFonts w:ascii="Arial" w:hAnsi="Arial" w:cs="Arial"/>
          <w:color w:val="auto"/>
        </w:rPr>
        <w:t xml:space="preserve"> </w:t>
      </w:r>
      <w:r w:rsidR="009E4B07">
        <w:rPr>
          <w:rFonts w:ascii="Arial" w:hAnsi="Arial" w:cs="Arial"/>
          <w:color w:val="auto"/>
        </w:rPr>
        <w:t xml:space="preserve"> The average for unitary authorities is 31.58% and for England 27.9% in 2022/23, so Medway continues to fund Children’s Social Care at a</w:t>
      </w:r>
      <w:r w:rsidR="008B71DD">
        <w:rPr>
          <w:rFonts w:ascii="Arial" w:hAnsi="Arial" w:cs="Arial"/>
          <w:color w:val="auto"/>
        </w:rPr>
        <w:t>n</w:t>
      </w:r>
      <w:r w:rsidR="009E4B07">
        <w:rPr>
          <w:rFonts w:ascii="Arial" w:hAnsi="Arial" w:cs="Arial"/>
          <w:color w:val="auto"/>
        </w:rPr>
        <w:t xml:space="preserve"> above average rate compared to unitary authoritie</w:t>
      </w:r>
      <w:r w:rsidR="001B2DDF">
        <w:rPr>
          <w:rFonts w:ascii="Arial" w:hAnsi="Arial" w:cs="Arial"/>
          <w:color w:val="auto"/>
        </w:rPr>
        <w:t xml:space="preserve">s, which </w:t>
      </w:r>
      <w:r w:rsidR="007459C9">
        <w:rPr>
          <w:rFonts w:ascii="Arial" w:hAnsi="Arial" w:cs="Arial"/>
          <w:color w:val="auto"/>
        </w:rPr>
        <w:t>has been</w:t>
      </w:r>
      <w:r w:rsidR="001B2DDF">
        <w:rPr>
          <w:rFonts w:ascii="Arial" w:hAnsi="Arial" w:cs="Arial"/>
          <w:color w:val="auto"/>
        </w:rPr>
        <w:t xml:space="preserve"> the consistent position</w:t>
      </w:r>
      <w:r w:rsidR="00D46207">
        <w:rPr>
          <w:rFonts w:ascii="Arial" w:hAnsi="Arial" w:cs="Arial"/>
          <w:color w:val="auto"/>
        </w:rPr>
        <w:t xml:space="preserve"> since 2017/18,</w:t>
      </w:r>
      <w:r w:rsidR="009E4B07">
        <w:rPr>
          <w:rFonts w:ascii="Arial" w:hAnsi="Arial" w:cs="Arial"/>
          <w:color w:val="auto"/>
        </w:rPr>
        <w:t xml:space="preserve"> as demonstrated by the chart below</w:t>
      </w:r>
      <w:r w:rsidR="0031552D">
        <w:rPr>
          <w:rFonts w:ascii="Arial" w:hAnsi="Arial" w:cs="Arial"/>
          <w:color w:val="auto"/>
        </w:rPr>
        <w:t>:</w:t>
      </w:r>
    </w:p>
    <w:p w14:paraId="0BE698D9" w14:textId="77777777" w:rsidR="00FA432D" w:rsidRDefault="008B71DD" w:rsidP="00FA432D">
      <w:pPr>
        <w:pStyle w:val="Heading3"/>
        <w:keepNext w:val="0"/>
        <w:keepLines w:val="0"/>
        <w:widowControl w:val="0"/>
        <w:numPr>
          <w:ilvl w:val="0"/>
          <w:numId w:val="0"/>
        </w:numPr>
        <w:tabs>
          <w:tab w:val="left" w:pos="851"/>
        </w:tabs>
        <w:spacing w:after="240" w:line="276" w:lineRule="auto"/>
        <w:ind w:left="1304"/>
        <w:rPr>
          <w:rFonts w:ascii="Arial" w:hAnsi="Arial" w:cs="Arial"/>
          <w:color w:val="auto"/>
        </w:rPr>
      </w:pPr>
      <w:r w:rsidRPr="008B71DD">
        <w:rPr>
          <w:rFonts w:ascii="Times New Roman" w:eastAsia="Times New Roman" w:hAnsi="Times New Roman" w:cs="Times New Roman"/>
          <w:noProof/>
          <w:lang w:eastAsia="en-GB"/>
        </w:rPr>
        <w:drawing>
          <wp:inline distT="0" distB="0" distL="0" distR="0" wp14:anchorId="4B98D2C1" wp14:editId="59FFA283">
            <wp:extent cx="3861025" cy="2971800"/>
            <wp:effectExtent l="19050" t="19050" r="25400" b="19050"/>
            <wp:docPr id="1870395746" name="Picture 1870395746" descr="A graph showing the amount of income per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95746" name="Picture 1" descr="A graph showing the amount of income per yea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4181" cy="2981926"/>
                    </a:xfrm>
                    <a:prstGeom prst="rect">
                      <a:avLst/>
                    </a:prstGeom>
                    <a:noFill/>
                    <a:ln>
                      <a:solidFill>
                        <a:schemeClr val="accent1"/>
                      </a:solidFill>
                    </a:ln>
                  </pic:spPr>
                </pic:pic>
              </a:graphicData>
            </a:graphic>
          </wp:inline>
        </w:drawing>
      </w:r>
    </w:p>
    <w:p w14:paraId="426AE7A4" w14:textId="40FAD701" w:rsidR="00892C2E" w:rsidRPr="00892C2E" w:rsidRDefault="00892C2E" w:rsidP="00AE417B">
      <w:pPr>
        <w:pStyle w:val="Heading3"/>
        <w:keepNext w:val="0"/>
        <w:keepLines w:val="0"/>
        <w:widowControl w:val="0"/>
        <w:numPr>
          <w:ilvl w:val="2"/>
          <w:numId w:val="10"/>
        </w:numPr>
        <w:tabs>
          <w:tab w:val="left" w:pos="851"/>
        </w:tabs>
        <w:spacing w:after="240" w:line="276" w:lineRule="auto"/>
      </w:pPr>
      <w:r w:rsidRPr="00E275AE">
        <w:rPr>
          <w:rFonts w:ascii="Arial" w:hAnsi="Arial" w:cs="Arial"/>
          <w:color w:val="auto"/>
        </w:rPr>
        <w:t>It should be noted that</w:t>
      </w:r>
      <w:r w:rsidRPr="00E275AE">
        <w:rPr>
          <w:rFonts w:ascii="Arial" w:hAnsi="Arial" w:cs="Arial"/>
          <w:color w:val="222222"/>
          <w:shd w:val="clear" w:color="auto" w:fill="FFFFFF"/>
        </w:rPr>
        <w:t xml:space="preserve"> the context for this is the fact that  Medway’s Children's Services were rated inadequate by </w:t>
      </w:r>
      <w:r w:rsidR="00E275AE" w:rsidRPr="00E275AE">
        <w:rPr>
          <w:rFonts w:ascii="Arial" w:hAnsi="Arial" w:cs="Arial"/>
          <w:color w:val="222222"/>
          <w:shd w:val="clear" w:color="auto" w:fill="FFFFFF"/>
        </w:rPr>
        <w:t>Ofsted</w:t>
      </w:r>
      <w:r w:rsidRPr="00E275AE">
        <w:rPr>
          <w:rFonts w:ascii="Arial" w:hAnsi="Arial" w:cs="Arial"/>
          <w:color w:val="222222"/>
          <w:shd w:val="clear" w:color="auto" w:fill="FFFFFF"/>
        </w:rPr>
        <w:t xml:space="preserve"> in 2019.  This increase in funding therefore relates to Medway improving its Children's Services from inadequate under statutory notice from the Minister.</w:t>
      </w:r>
      <w:r w:rsidRPr="00E275AE">
        <w:rPr>
          <w:rFonts w:ascii="Arial" w:hAnsi="Arial" w:cs="Arial"/>
          <w:color w:val="auto"/>
        </w:rPr>
        <w:t xml:space="preserve"> In September 2023 Children's Services were rated as good by </w:t>
      </w:r>
      <w:r w:rsidR="00E275AE" w:rsidRPr="00E275AE">
        <w:rPr>
          <w:rFonts w:ascii="Arial" w:hAnsi="Arial" w:cs="Arial"/>
          <w:color w:val="auto"/>
        </w:rPr>
        <w:t>Ofsted</w:t>
      </w:r>
      <w:r w:rsidRPr="00E275AE">
        <w:rPr>
          <w:rFonts w:ascii="Arial" w:hAnsi="Arial" w:cs="Arial"/>
          <w:color w:val="auto"/>
        </w:rPr>
        <w:t>.</w:t>
      </w:r>
    </w:p>
    <w:p w14:paraId="7FFE1D0C" w14:textId="6B15098A" w:rsidR="00475303" w:rsidRPr="0091151F" w:rsidRDefault="00FA432D" w:rsidP="00FA432D">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91151F">
        <w:rPr>
          <w:rFonts w:ascii="Arial" w:hAnsi="Arial" w:cs="Arial"/>
          <w:color w:val="auto"/>
        </w:rPr>
        <w:lastRenderedPageBreak/>
        <w:t>In terms of adult social care, the LGA estimated</w:t>
      </w:r>
      <w:r w:rsidR="00F42BB8" w:rsidRPr="0091151F">
        <w:rPr>
          <w:rFonts w:ascii="Arial" w:hAnsi="Arial" w:cs="Arial"/>
          <w:color w:val="auto"/>
        </w:rPr>
        <w:t xml:space="preserve"> that</w:t>
      </w:r>
      <w:r w:rsidRPr="0091151F">
        <w:rPr>
          <w:rFonts w:ascii="Arial" w:hAnsi="Arial" w:cs="Arial"/>
          <w:color w:val="auto"/>
        </w:rPr>
        <w:t xml:space="preserve"> increases of </w:t>
      </w:r>
      <w:r w:rsidR="00F42BB8" w:rsidRPr="0091151F">
        <w:rPr>
          <w:rFonts w:ascii="Arial" w:hAnsi="Arial" w:cs="Arial"/>
          <w:color w:val="auto"/>
        </w:rPr>
        <w:t xml:space="preserve">around </w:t>
      </w:r>
      <w:r w:rsidRPr="0091151F">
        <w:rPr>
          <w:rFonts w:ascii="Arial" w:hAnsi="Arial" w:cs="Arial"/>
          <w:color w:val="auto"/>
        </w:rPr>
        <w:t>7.65% in 2022/23 and 8.62%</w:t>
      </w:r>
      <w:r w:rsidR="00F42BB8" w:rsidRPr="0091151F">
        <w:rPr>
          <w:rFonts w:ascii="Arial" w:hAnsi="Arial" w:cs="Arial"/>
          <w:color w:val="auto"/>
        </w:rPr>
        <w:t xml:space="preserve"> in 2023/24 would be necessary to budgets to ensure that councils could fund the necessary pressures. Based on the 2021/22 outturn position per the RS return, Medway’s budget for these years could be estimated as follows:</w:t>
      </w:r>
    </w:p>
    <w:p w14:paraId="265CC43A" w14:textId="21C1C390" w:rsidR="00F42BB8" w:rsidRPr="0091151F" w:rsidRDefault="00F42BB8" w:rsidP="00F42BB8">
      <w:pPr>
        <w:ind w:left="1220"/>
      </w:pPr>
      <w:r w:rsidRPr="0091151F">
        <w:rPr>
          <w:noProof/>
        </w:rPr>
        <w:drawing>
          <wp:inline distT="0" distB="0" distL="0" distR="0" wp14:anchorId="18AD73FF" wp14:editId="095BCC85">
            <wp:extent cx="4718050" cy="1301750"/>
            <wp:effectExtent l="0" t="0" r="6350" b="0"/>
            <wp:docPr id="813722713" name="Picture 81372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301750"/>
                    </a:xfrm>
                    <a:prstGeom prst="rect">
                      <a:avLst/>
                    </a:prstGeom>
                    <a:noFill/>
                    <a:ln>
                      <a:noFill/>
                    </a:ln>
                  </pic:spPr>
                </pic:pic>
              </a:graphicData>
            </a:graphic>
          </wp:inline>
        </w:drawing>
      </w:r>
    </w:p>
    <w:p w14:paraId="1CB9B27F" w14:textId="77777777" w:rsidR="00163F0B" w:rsidRPr="0091151F" w:rsidRDefault="00163F0B" w:rsidP="00F42BB8">
      <w:pPr>
        <w:ind w:left="1220"/>
      </w:pPr>
    </w:p>
    <w:p w14:paraId="70300821" w14:textId="31984430" w:rsidR="00163F0B" w:rsidRPr="0091151F" w:rsidRDefault="00163F0B" w:rsidP="00163F0B">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91151F">
        <w:rPr>
          <w:rFonts w:ascii="Arial" w:hAnsi="Arial" w:cs="Arial"/>
          <w:color w:val="auto"/>
        </w:rPr>
        <w:t>The current budget of £86.5m is therefore potentially some £9m under the budget required to meet the necessary demands and pressures within the service.</w:t>
      </w:r>
      <w:r w:rsidR="0091151F">
        <w:rPr>
          <w:rFonts w:ascii="Arial" w:hAnsi="Arial" w:cs="Arial"/>
          <w:color w:val="auto"/>
        </w:rPr>
        <w:t xml:space="preserve">  This analysis does not factor in any savings required from adult social care (which most councils have been making).  Such savings would reduce the gap from £9m.</w:t>
      </w:r>
    </w:p>
    <w:p w14:paraId="28473B17" w14:textId="06654DB7" w:rsidR="00E62FA2" w:rsidRDefault="00163F0B" w:rsidP="00860E9E">
      <w:pPr>
        <w:pStyle w:val="ListParagraph"/>
        <w:widowControl w:val="0"/>
        <w:numPr>
          <w:ilvl w:val="1"/>
          <w:numId w:val="10"/>
        </w:numPr>
        <w:rPr>
          <w:rFonts w:eastAsiaTheme="majorEastAsia" w:cs="Arial"/>
          <w:b/>
          <w:bCs/>
          <w:szCs w:val="24"/>
        </w:rPr>
      </w:pPr>
      <w:r>
        <w:rPr>
          <w:rFonts w:eastAsiaTheme="majorEastAsia" w:cs="Arial"/>
          <w:b/>
          <w:bCs/>
          <w:szCs w:val="24"/>
        </w:rPr>
        <w:t>R</w:t>
      </w:r>
      <w:r w:rsidR="00E62FA2">
        <w:rPr>
          <w:rFonts w:eastAsiaTheme="majorEastAsia" w:cs="Arial"/>
          <w:b/>
          <w:bCs/>
          <w:szCs w:val="24"/>
        </w:rPr>
        <w:t>eserves</w:t>
      </w:r>
    </w:p>
    <w:p w14:paraId="3FFE7A28" w14:textId="75C2542E" w:rsidR="005F4556" w:rsidRPr="00544E27" w:rsidRDefault="00074F12" w:rsidP="00860E9E">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544E27">
        <w:rPr>
          <w:rFonts w:ascii="Arial" w:hAnsi="Arial" w:cs="Arial"/>
          <w:color w:val="auto"/>
        </w:rPr>
        <w:t>Medway</w:t>
      </w:r>
      <w:r w:rsidR="00E62FA2" w:rsidRPr="00544E27">
        <w:rPr>
          <w:rFonts w:ascii="Arial" w:hAnsi="Arial" w:cs="Arial"/>
          <w:color w:val="auto"/>
        </w:rPr>
        <w:t>’s overall reserves (expressed as a % of Net Revenue Expenditure) increased s</w:t>
      </w:r>
      <w:r w:rsidR="008461D7" w:rsidRPr="00544E27">
        <w:rPr>
          <w:rFonts w:ascii="Arial" w:hAnsi="Arial" w:cs="Arial"/>
          <w:color w:val="auto"/>
        </w:rPr>
        <w:t>lightly</w:t>
      </w:r>
      <w:r w:rsidR="00E62FA2" w:rsidRPr="00544E27">
        <w:rPr>
          <w:rFonts w:ascii="Arial" w:hAnsi="Arial" w:cs="Arial"/>
          <w:color w:val="auto"/>
        </w:rPr>
        <w:t xml:space="preserve"> between 2017/18 and 202</w:t>
      </w:r>
      <w:r w:rsidR="008461D7" w:rsidRPr="00544E27">
        <w:rPr>
          <w:rFonts w:ascii="Arial" w:hAnsi="Arial" w:cs="Arial"/>
          <w:color w:val="auto"/>
        </w:rPr>
        <w:t>1/22</w:t>
      </w:r>
      <w:r w:rsidR="001A405C" w:rsidRPr="00544E27">
        <w:rPr>
          <w:rFonts w:ascii="Arial" w:hAnsi="Arial" w:cs="Arial"/>
          <w:color w:val="auto"/>
        </w:rPr>
        <w:t xml:space="preserve"> to reach 36.7%,</w:t>
      </w:r>
      <w:r w:rsidR="00E62FA2" w:rsidRPr="00544E27">
        <w:rPr>
          <w:rFonts w:ascii="Arial" w:hAnsi="Arial" w:cs="Arial"/>
          <w:color w:val="auto"/>
        </w:rPr>
        <w:t xml:space="preserve"> </w:t>
      </w:r>
      <w:r w:rsidR="008461D7" w:rsidRPr="00544E27">
        <w:rPr>
          <w:rFonts w:ascii="Arial" w:hAnsi="Arial" w:cs="Arial"/>
          <w:color w:val="auto"/>
        </w:rPr>
        <w:t xml:space="preserve">but </w:t>
      </w:r>
      <w:r w:rsidR="00E62FA2" w:rsidRPr="00544E27">
        <w:rPr>
          <w:rFonts w:ascii="Arial" w:hAnsi="Arial" w:cs="Arial"/>
          <w:color w:val="auto"/>
        </w:rPr>
        <w:t xml:space="preserve">maintaining a </w:t>
      </w:r>
      <w:r w:rsidR="008461D7" w:rsidRPr="00544E27">
        <w:rPr>
          <w:rFonts w:ascii="Arial" w:hAnsi="Arial" w:cs="Arial"/>
          <w:color w:val="auto"/>
        </w:rPr>
        <w:t xml:space="preserve">below </w:t>
      </w:r>
      <w:r w:rsidR="00E62FA2" w:rsidRPr="00544E27">
        <w:rPr>
          <w:rFonts w:ascii="Arial" w:hAnsi="Arial" w:cs="Arial"/>
          <w:color w:val="auto"/>
        </w:rPr>
        <w:t xml:space="preserve">average position over time when compared to other unitary authorities.  The figure for </w:t>
      </w:r>
      <w:r w:rsidR="001A405C" w:rsidRPr="00544E27">
        <w:rPr>
          <w:rFonts w:ascii="Arial" w:hAnsi="Arial" w:cs="Arial"/>
          <w:color w:val="auto"/>
        </w:rPr>
        <w:t xml:space="preserve">the year end position for </w:t>
      </w:r>
      <w:r w:rsidR="00E62FA2" w:rsidRPr="00544E27">
        <w:rPr>
          <w:rFonts w:ascii="Arial" w:hAnsi="Arial" w:cs="Arial"/>
          <w:color w:val="auto"/>
        </w:rPr>
        <w:t>20</w:t>
      </w:r>
      <w:r w:rsidR="001A405C" w:rsidRPr="00544E27">
        <w:rPr>
          <w:rFonts w:ascii="Arial" w:hAnsi="Arial" w:cs="Arial"/>
          <w:color w:val="auto"/>
        </w:rPr>
        <w:t>22/23</w:t>
      </w:r>
      <w:r w:rsidR="00E62FA2" w:rsidRPr="00544E27">
        <w:rPr>
          <w:rFonts w:ascii="Arial" w:hAnsi="Arial" w:cs="Arial"/>
          <w:color w:val="auto"/>
        </w:rPr>
        <w:t xml:space="preserve"> </w:t>
      </w:r>
      <w:r w:rsidR="001A405C" w:rsidRPr="00544E27">
        <w:rPr>
          <w:rFonts w:ascii="Arial" w:hAnsi="Arial" w:cs="Arial"/>
          <w:color w:val="auto"/>
        </w:rPr>
        <w:t>reduced further to 28.2%</w:t>
      </w:r>
      <w:r w:rsidR="001A405C" w:rsidRPr="00544E27">
        <w:rPr>
          <w:rStyle w:val="FootnoteReference"/>
          <w:rFonts w:ascii="Arial" w:hAnsi="Arial" w:cs="Arial"/>
          <w:color w:val="auto"/>
        </w:rPr>
        <w:footnoteReference w:id="7"/>
      </w:r>
      <w:r w:rsidR="001A405C" w:rsidRPr="00544E27">
        <w:rPr>
          <w:rFonts w:ascii="Arial" w:hAnsi="Arial" w:cs="Arial"/>
          <w:color w:val="auto"/>
        </w:rPr>
        <w:t>.</w:t>
      </w:r>
    </w:p>
    <w:p w14:paraId="34969E42" w14:textId="33A14D36" w:rsidR="000503B9" w:rsidRPr="000503B9" w:rsidRDefault="000503B9" w:rsidP="000503B9">
      <w:pPr>
        <w:spacing w:before="100" w:beforeAutospacing="1" w:after="100" w:afterAutospacing="1"/>
        <w:ind w:left="1440"/>
        <w:rPr>
          <w:rFonts w:ascii="Times New Roman" w:eastAsia="Times New Roman" w:hAnsi="Times New Roman" w:cs="Times New Roman"/>
          <w:sz w:val="24"/>
          <w:lang w:eastAsia="en-GB"/>
        </w:rPr>
      </w:pPr>
      <w:r w:rsidRPr="000503B9">
        <w:rPr>
          <w:rFonts w:ascii="Times New Roman" w:eastAsia="Times New Roman" w:hAnsi="Times New Roman" w:cs="Times New Roman"/>
          <w:noProof/>
          <w:sz w:val="24"/>
          <w:lang w:eastAsia="en-GB"/>
        </w:rPr>
        <w:drawing>
          <wp:inline distT="0" distB="0" distL="0" distR="0" wp14:anchorId="4E1BD207" wp14:editId="3DC6C15A">
            <wp:extent cx="4025900" cy="2887345"/>
            <wp:effectExtent l="19050" t="19050" r="12700" b="27305"/>
            <wp:docPr id="1430600828" name="Picture 1430600828" descr="A graph with blue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00828" name="Picture 2" descr="A graph with blue and yellow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3374" cy="2892705"/>
                    </a:xfrm>
                    <a:prstGeom prst="rect">
                      <a:avLst/>
                    </a:prstGeom>
                    <a:noFill/>
                    <a:ln>
                      <a:solidFill>
                        <a:schemeClr val="accent1"/>
                      </a:solidFill>
                    </a:ln>
                  </pic:spPr>
                </pic:pic>
              </a:graphicData>
            </a:graphic>
          </wp:inline>
        </w:drawing>
      </w:r>
    </w:p>
    <w:p w14:paraId="15E80403" w14:textId="0E46E872" w:rsidR="00DE45A5" w:rsidRDefault="00DE45A5" w:rsidP="00860E9E">
      <w:pPr>
        <w:widowControl w:val="0"/>
        <w:ind w:left="2024" w:firstLine="136"/>
      </w:pPr>
    </w:p>
    <w:p w14:paraId="3EE25724" w14:textId="77777777" w:rsidR="00DE45A5" w:rsidRPr="00DE45A5" w:rsidRDefault="00DE45A5" w:rsidP="00860E9E">
      <w:pPr>
        <w:widowControl w:val="0"/>
        <w:ind w:left="1304"/>
      </w:pPr>
    </w:p>
    <w:p w14:paraId="773194A7" w14:textId="5E8DCC5B" w:rsidR="00544E27" w:rsidRDefault="00544E27" w:rsidP="00860E9E">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The 2022/23 outturn report outlines the use of £10.947m of reserves - £4.853m planned and factored into the budget setting process for 2022/23 and unplanned use of £6.094m reserves to offset overspends.  This has brought the level of General Fund reserves to </w:t>
      </w:r>
      <w:r>
        <w:rPr>
          <w:rFonts w:ascii="Arial" w:hAnsi="Arial" w:cs="Arial"/>
          <w:color w:val="auto"/>
        </w:rPr>
        <w:lastRenderedPageBreak/>
        <w:t>£10.03m, just above the required minimum set by the S151 Officer of £10m.</w:t>
      </w:r>
      <w:r w:rsidR="00497E34">
        <w:rPr>
          <w:rFonts w:ascii="Arial" w:hAnsi="Arial" w:cs="Arial"/>
          <w:color w:val="auto"/>
        </w:rPr>
        <w:t xml:space="preserve">  It is acknowledged that the Council has insufficient reserves to both offset this year’s overspends and contribute to balancing the budget for 2024/24; the Council’s financial resilience is therefore poor.</w:t>
      </w:r>
    </w:p>
    <w:p w14:paraId="26C897AB" w14:textId="399D8F63" w:rsidR="00E62FA2" w:rsidRDefault="00475303" w:rsidP="00860E9E">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S</w:t>
      </w:r>
      <w:r w:rsidR="00E82100">
        <w:rPr>
          <w:rFonts w:ascii="Arial" w:hAnsi="Arial" w:cs="Arial"/>
          <w:color w:val="auto"/>
        </w:rPr>
        <w:t>ignificant ear-marked reserves in respect of Adult Social Care</w:t>
      </w:r>
      <w:r>
        <w:rPr>
          <w:rFonts w:ascii="Arial" w:hAnsi="Arial" w:cs="Arial"/>
          <w:color w:val="auto"/>
        </w:rPr>
        <w:t xml:space="preserve"> are not held</w:t>
      </w:r>
      <w:r w:rsidR="00497E34">
        <w:rPr>
          <w:rFonts w:ascii="Arial" w:hAnsi="Arial" w:cs="Arial"/>
          <w:color w:val="auto"/>
        </w:rPr>
        <w:t xml:space="preserve"> to support transformation, </w:t>
      </w:r>
      <w:r w:rsidR="00E82100">
        <w:rPr>
          <w:rFonts w:ascii="Arial" w:hAnsi="Arial" w:cs="Arial"/>
          <w:color w:val="auto"/>
        </w:rPr>
        <w:t xml:space="preserve"> which could be </w:t>
      </w:r>
      <w:r w:rsidR="00D2272F">
        <w:rPr>
          <w:rFonts w:ascii="Arial" w:hAnsi="Arial" w:cs="Arial"/>
          <w:color w:val="auto"/>
        </w:rPr>
        <w:t xml:space="preserve">a missed opportunity; other areas have created reserves which are </w:t>
      </w:r>
      <w:r w:rsidR="00E82100">
        <w:rPr>
          <w:rFonts w:ascii="Arial" w:hAnsi="Arial" w:cs="Arial"/>
          <w:color w:val="auto"/>
        </w:rPr>
        <w:t>used to support</w:t>
      </w:r>
      <w:r w:rsidR="00D2272F">
        <w:rPr>
          <w:rFonts w:ascii="Arial" w:hAnsi="Arial" w:cs="Arial"/>
          <w:color w:val="auto"/>
        </w:rPr>
        <w:t xml:space="preserve"> ASC</w:t>
      </w:r>
      <w:r w:rsidR="00E82100">
        <w:rPr>
          <w:rFonts w:ascii="Arial" w:hAnsi="Arial" w:cs="Arial"/>
          <w:color w:val="auto"/>
        </w:rPr>
        <w:t xml:space="preserve"> overspend</w:t>
      </w:r>
      <w:r w:rsidR="00D2272F">
        <w:rPr>
          <w:rFonts w:ascii="Arial" w:hAnsi="Arial" w:cs="Arial"/>
          <w:color w:val="auto"/>
        </w:rPr>
        <w:t>s</w:t>
      </w:r>
      <w:r w:rsidR="00E82100">
        <w:rPr>
          <w:rFonts w:ascii="Arial" w:hAnsi="Arial" w:cs="Arial"/>
          <w:color w:val="auto"/>
        </w:rPr>
        <w:t xml:space="preserve"> or invest in transformation of services and commissioning practices.</w:t>
      </w:r>
      <w:r>
        <w:rPr>
          <w:rFonts w:ascii="Arial" w:hAnsi="Arial" w:cs="Arial"/>
          <w:color w:val="auto"/>
        </w:rPr>
        <w:t xml:space="preserve">  The current position</w:t>
      </w:r>
      <w:r w:rsidR="00C826C6">
        <w:rPr>
          <w:rFonts w:ascii="Arial" w:hAnsi="Arial" w:cs="Arial"/>
          <w:color w:val="auto"/>
        </w:rPr>
        <w:t>, totalling £354.7k</w:t>
      </w:r>
      <w:r w:rsidR="00AD5001">
        <w:rPr>
          <w:rFonts w:ascii="Arial" w:hAnsi="Arial" w:cs="Arial"/>
          <w:color w:val="auto"/>
        </w:rPr>
        <w:t xml:space="preserve"> in respect of Adult Social Care specific reserves</w:t>
      </w:r>
      <w:r>
        <w:rPr>
          <w:rFonts w:ascii="Arial" w:hAnsi="Arial" w:cs="Arial"/>
          <w:color w:val="auto"/>
        </w:rPr>
        <w:t xml:space="preserve"> is set out below:</w:t>
      </w:r>
    </w:p>
    <w:p w14:paraId="07BF7F66" w14:textId="50F86F66" w:rsidR="00475303" w:rsidRPr="00475303" w:rsidRDefault="00475303" w:rsidP="00475303">
      <w:pPr>
        <w:ind w:left="1304"/>
      </w:pPr>
      <w:r w:rsidRPr="009D62DE">
        <w:rPr>
          <w:rFonts w:ascii="Arial" w:hAnsi="Arial" w:cs="Arial"/>
          <w:b/>
          <w:bCs/>
          <w:sz w:val="24"/>
        </w:rPr>
        <w:t xml:space="preserve">Table </w:t>
      </w:r>
      <w:r>
        <w:rPr>
          <w:rFonts w:ascii="Arial" w:hAnsi="Arial" w:cs="Arial"/>
          <w:b/>
          <w:bCs/>
          <w:sz w:val="24"/>
        </w:rPr>
        <w:t>2</w:t>
      </w:r>
      <w:r w:rsidRPr="009D62DE">
        <w:rPr>
          <w:rFonts w:ascii="Arial" w:hAnsi="Arial" w:cs="Arial"/>
          <w:b/>
          <w:bCs/>
          <w:sz w:val="24"/>
        </w:rPr>
        <w:t xml:space="preserve">: </w:t>
      </w:r>
      <w:r>
        <w:rPr>
          <w:rFonts w:ascii="Arial" w:hAnsi="Arial" w:cs="Arial"/>
          <w:b/>
          <w:bCs/>
          <w:sz w:val="24"/>
        </w:rPr>
        <w:t>Adult Social Care</w:t>
      </w:r>
      <w:r w:rsidR="00D2272F">
        <w:rPr>
          <w:rFonts w:ascii="Arial" w:hAnsi="Arial" w:cs="Arial"/>
          <w:b/>
          <w:bCs/>
          <w:sz w:val="24"/>
        </w:rPr>
        <w:t xml:space="preserve"> ear-marked reserves</w:t>
      </w:r>
      <w:r>
        <w:rPr>
          <w:rFonts w:ascii="Arial" w:hAnsi="Arial" w:cs="Arial"/>
          <w:b/>
          <w:bCs/>
          <w:sz w:val="24"/>
        </w:rPr>
        <w:t xml:space="preserve"> 2023/24</w:t>
      </w:r>
    </w:p>
    <w:p w14:paraId="6ADE6D6B" w14:textId="77777777" w:rsidR="00E62FA2" w:rsidRDefault="00E62FA2" w:rsidP="00E62FA2">
      <w:pPr>
        <w:ind w:left="1304"/>
      </w:pPr>
    </w:p>
    <w:p w14:paraId="3BA284D8" w14:textId="1C492274" w:rsidR="00D2272F" w:rsidRDefault="00D2272F" w:rsidP="00E62FA2">
      <w:pPr>
        <w:ind w:left="1304"/>
      </w:pPr>
      <w:r w:rsidRPr="00D2272F">
        <w:rPr>
          <w:noProof/>
        </w:rPr>
        <w:drawing>
          <wp:inline distT="0" distB="0" distL="0" distR="0" wp14:anchorId="25A30FBF" wp14:editId="5A8083DE">
            <wp:extent cx="5556222" cy="1142483"/>
            <wp:effectExtent l="19050" t="19050" r="26035" b="19685"/>
            <wp:docPr id="1874801031" name="Picture 18748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0021" cy="1143264"/>
                    </a:xfrm>
                    <a:prstGeom prst="rect">
                      <a:avLst/>
                    </a:prstGeom>
                    <a:noFill/>
                    <a:ln w="15875">
                      <a:solidFill>
                        <a:schemeClr val="accent1"/>
                      </a:solidFill>
                    </a:ln>
                  </pic:spPr>
                </pic:pic>
              </a:graphicData>
            </a:graphic>
          </wp:inline>
        </w:drawing>
      </w:r>
    </w:p>
    <w:p w14:paraId="794E569A" w14:textId="77777777" w:rsidR="00D2272F" w:rsidRPr="007459C9" w:rsidRDefault="00D2272F" w:rsidP="00E62FA2">
      <w:pPr>
        <w:ind w:left="1304"/>
      </w:pPr>
    </w:p>
    <w:p w14:paraId="48A631AF" w14:textId="4869369A" w:rsidR="00E62FA2" w:rsidRDefault="001A405C">
      <w:pPr>
        <w:pStyle w:val="ListParagraph"/>
        <w:numPr>
          <w:ilvl w:val="1"/>
          <w:numId w:val="10"/>
        </w:numPr>
        <w:rPr>
          <w:rFonts w:eastAsiaTheme="majorEastAsia" w:cs="Arial"/>
          <w:b/>
          <w:bCs/>
          <w:szCs w:val="24"/>
        </w:rPr>
      </w:pPr>
      <w:r>
        <w:rPr>
          <w:rFonts w:eastAsiaTheme="majorEastAsia" w:cs="Arial"/>
          <w:b/>
          <w:bCs/>
          <w:szCs w:val="24"/>
        </w:rPr>
        <w:t>Capital</w:t>
      </w:r>
    </w:p>
    <w:p w14:paraId="1C91FEE4" w14:textId="2CEE2B55" w:rsidR="000D3DCD" w:rsidRPr="00497E34" w:rsidRDefault="00305630" w:rsidP="000D3DCD">
      <w:pPr>
        <w:pStyle w:val="Heading3"/>
        <w:numPr>
          <w:ilvl w:val="2"/>
          <w:numId w:val="10"/>
        </w:numPr>
        <w:tabs>
          <w:tab w:val="left" w:pos="851"/>
        </w:tabs>
        <w:spacing w:after="240" w:line="276" w:lineRule="auto"/>
        <w:rPr>
          <w:rFonts w:ascii="Arial" w:hAnsi="Arial" w:cs="Arial"/>
          <w:color w:val="auto"/>
        </w:rPr>
      </w:pPr>
      <w:r w:rsidRPr="00497E34">
        <w:rPr>
          <w:rFonts w:ascii="Arial" w:hAnsi="Arial" w:cs="Arial"/>
          <w:color w:val="auto"/>
        </w:rPr>
        <w:t>The</w:t>
      </w:r>
      <w:r w:rsidR="00D2272F" w:rsidRPr="00497E34">
        <w:rPr>
          <w:rFonts w:ascii="Arial" w:hAnsi="Arial" w:cs="Arial"/>
          <w:color w:val="auto"/>
        </w:rPr>
        <w:t xml:space="preserve"> council’s capital programme</w:t>
      </w:r>
      <w:r w:rsidRPr="00497E34">
        <w:rPr>
          <w:rFonts w:ascii="Arial" w:hAnsi="Arial" w:cs="Arial"/>
          <w:color w:val="auto"/>
        </w:rPr>
        <w:t xml:space="preserve"> for the four years 2022/23 to 2025/26</w:t>
      </w:r>
      <w:r w:rsidR="00D2272F" w:rsidRPr="00497E34">
        <w:rPr>
          <w:rFonts w:ascii="Arial" w:hAnsi="Arial" w:cs="Arial"/>
          <w:color w:val="auto"/>
        </w:rPr>
        <w:t xml:space="preserve"> </w:t>
      </w:r>
      <w:r w:rsidRPr="00497E34">
        <w:rPr>
          <w:rFonts w:ascii="Arial" w:hAnsi="Arial" w:cs="Arial"/>
          <w:color w:val="auto"/>
        </w:rPr>
        <w:t>was</w:t>
      </w:r>
      <w:r w:rsidR="00D2272F" w:rsidRPr="00497E34">
        <w:rPr>
          <w:rFonts w:ascii="Arial" w:hAnsi="Arial" w:cs="Arial"/>
          <w:color w:val="auto"/>
        </w:rPr>
        <w:t xml:space="preserve"> se</w:t>
      </w:r>
      <w:r w:rsidRPr="00497E34">
        <w:rPr>
          <w:rFonts w:ascii="Arial" w:hAnsi="Arial" w:cs="Arial"/>
          <w:color w:val="auto"/>
        </w:rPr>
        <w:t xml:space="preserve">t out </w:t>
      </w:r>
      <w:r w:rsidR="002857F7" w:rsidRPr="00497E34">
        <w:rPr>
          <w:rFonts w:ascii="Arial" w:hAnsi="Arial" w:cs="Arial"/>
          <w:color w:val="auto"/>
        </w:rPr>
        <w:t>as part of the suite of papers for the Council’s budget setting meeting on 23 February 2023</w:t>
      </w:r>
      <w:r w:rsidR="00475303" w:rsidRPr="00497E34">
        <w:rPr>
          <w:rFonts w:ascii="Arial" w:hAnsi="Arial" w:cs="Arial"/>
          <w:color w:val="auto"/>
        </w:rPr>
        <w:t>.</w:t>
      </w:r>
      <w:r w:rsidR="00702166" w:rsidRPr="00497E34">
        <w:rPr>
          <w:rFonts w:ascii="Arial" w:hAnsi="Arial" w:cs="Arial"/>
          <w:color w:val="auto"/>
        </w:rPr>
        <w:t xml:space="preserve">  The proposed programme over th</w:t>
      </w:r>
      <w:r w:rsidR="00775FC5" w:rsidRPr="00497E34">
        <w:rPr>
          <w:rFonts w:ascii="Arial" w:hAnsi="Arial" w:cs="Arial"/>
          <w:color w:val="auto"/>
        </w:rPr>
        <w:t>e four years totals £473.517m, of which £21.534 relates to Children and Adult Services</w:t>
      </w:r>
      <w:r w:rsidR="007A1FB5" w:rsidRPr="00497E34">
        <w:rPr>
          <w:rFonts w:ascii="Arial" w:hAnsi="Arial" w:cs="Arial"/>
          <w:color w:val="auto"/>
        </w:rPr>
        <w:t>.</w:t>
      </w:r>
      <w:r w:rsidR="000D3DCD" w:rsidRPr="000D3DCD">
        <w:rPr>
          <w:rFonts w:ascii="Arial" w:hAnsi="Arial" w:cs="Arial"/>
          <w:color w:val="auto"/>
        </w:rPr>
        <w:t xml:space="preserve"> </w:t>
      </w:r>
      <w:r w:rsidR="000D3DCD" w:rsidRPr="00497E34">
        <w:rPr>
          <w:rFonts w:ascii="Arial" w:hAnsi="Arial" w:cs="Arial"/>
          <w:color w:val="auto"/>
        </w:rPr>
        <w:t>relates to Children and Adult Services.</w:t>
      </w:r>
    </w:p>
    <w:p w14:paraId="178C69CA" w14:textId="7299A2A1" w:rsidR="007A1FB5" w:rsidRPr="000D3DCD" w:rsidRDefault="000D3DCD" w:rsidP="000D3DCD">
      <w:pPr>
        <w:pStyle w:val="Heading3"/>
        <w:numPr>
          <w:ilvl w:val="2"/>
          <w:numId w:val="10"/>
        </w:numPr>
        <w:tabs>
          <w:tab w:val="left" w:pos="851"/>
        </w:tabs>
        <w:spacing w:after="240" w:line="276" w:lineRule="auto"/>
        <w:rPr>
          <w:rFonts w:ascii="Arial" w:hAnsi="Arial" w:cs="Arial"/>
          <w:i/>
          <w:iCs/>
          <w:color w:val="auto"/>
        </w:rPr>
      </w:pPr>
      <w:proofErr w:type="gramStart"/>
      <w:r w:rsidRPr="000D3DCD">
        <w:rPr>
          <w:rFonts w:ascii="Arial" w:hAnsi="Arial" w:cs="Arial"/>
          <w:color w:val="auto"/>
        </w:rPr>
        <w:t>This excluded schemes</w:t>
      </w:r>
      <w:proofErr w:type="gramEnd"/>
      <w:r w:rsidRPr="000D3DCD">
        <w:rPr>
          <w:rFonts w:ascii="Arial" w:hAnsi="Arial" w:cs="Arial"/>
          <w:color w:val="auto"/>
        </w:rPr>
        <w:t xml:space="preserve"> </w:t>
      </w:r>
      <w:r>
        <w:rPr>
          <w:rFonts w:ascii="Arial" w:hAnsi="Arial" w:cs="Arial"/>
          <w:color w:val="auto"/>
        </w:rPr>
        <w:t xml:space="preserve">funded </w:t>
      </w:r>
      <w:r w:rsidR="00270743">
        <w:rPr>
          <w:rFonts w:ascii="Arial" w:hAnsi="Arial" w:cs="Arial"/>
          <w:color w:val="auto"/>
        </w:rPr>
        <w:t>in respect of</w:t>
      </w:r>
      <w:r w:rsidRPr="000D3DCD">
        <w:rPr>
          <w:rFonts w:ascii="Arial" w:hAnsi="Arial" w:cs="Arial"/>
          <w:color w:val="auto"/>
        </w:rPr>
        <w:t xml:space="preserve"> the coun</w:t>
      </w:r>
      <w:r>
        <w:rPr>
          <w:rFonts w:ascii="Arial" w:hAnsi="Arial" w:cs="Arial"/>
          <w:color w:val="auto"/>
        </w:rPr>
        <w:t>c</w:t>
      </w:r>
      <w:r w:rsidRPr="000D3DCD">
        <w:rPr>
          <w:rFonts w:ascii="Arial" w:hAnsi="Arial" w:cs="Arial"/>
          <w:color w:val="auto"/>
        </w:rPr>
        <w:t>il’s own Medway Development Company, considered under the relevant guidance from the Chartered Institute of Public Finance and Accountancy (CIPFA)</w:t>
      </w:r>
      <w:r>
        <w:rPr>
          <w:rFonts w:ascii="Arial" w:hAnsi="Arial" w:cs="Arial"/>
          <w:color w:val="auto"/>
        </w:rPr>
        <w:t>.</w:t>
      </w:r>
      <w:r w:rsidRPr="000D3DCD">
        <w:rPr>
          <w:rFonts w:ascii="Arial" w:hAnsi="Arial" w:cs="Arial"/>
          <w:color w:val="auto"/>
        </w:rPr>
        <w:t xml:space="preserve">  </w:t>
      </w:r>
      <w:r>
        <w:rPr>
          <w:rFonts w:ascii="Arial" w:hAnsi="Arial" w:cs="Arial"/>
          <w:color w:val="auto"/>
        </w:rPr>
        <w:t xml:space="preserve">The council </w:t>
      </w:r>
      <w:r w:rsidRPr="000D3DCD">
        <w:rPr>
          <w:rFonts w:ascii="Arial" w:hAnsi="Arial" w:cs="Arial"/>
          <w:color w:val="auto"/>
        </w:rPr>
        <w:t xml:space="preserve">concluded </w:t>
      </w:r>
      <w:r w:rsidRPr="000D3DCD">
        <w:rPr>
          <w:rFonts w:ascii="Arial" w:hAnsi="Arial" w:cs="Arial"/>
          <w:i/>
          <w:iCs/>
          <w:color w:val="auto"/>
        </w:rPr>
        <w:t>that though these loans are capital in nature, as they are not schemes delivered by the Council to deliver or improve Council owned assets, they should not feature in the Council’s capital programme. As such, the Capital Programme for 2023/24 onwards will not feature these schemes, representing a reduction of £65.386million (approved)/£44.631million (remaining) budget compared to the 2022/23 programme</w:t>
      </w:r>
      <w:r>
        <w:rPr>
          <w:rFonts w:ascii="Arial" w:hAnsi="Arial" w:cs="Arial"/>
          <w:i/>
          <w:iCs/>
          <w:color w:val="auto"/>
        </w:rPr>
        <w:t>.</w:t>
      </w:r>
      <w:r>
        <w:rPr>
          <w:rStyle w:val="FootnoteReference"/>
          <w:rFonts w:ascii="Arial" w:hAnsi="Arial" w:cs="Arial"/>
          <w:i/>
          <w:iCs/>
          <w:color w:val="auto"/>
        </w:rPr>
        <w:footnoteReference w:id="8"/>
      </w:r>
    </w:p>
    <w:p w14:paraId="37CB313D" w14:textId="77777777" w:rsidR="00BE37A6" w:rsidRDefault="00475303" w:rsidP="0057736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Th</w:t>
      </w:r>
      <w:r w:rsidR="007A1FB5">
        <w:rPr>
          <w:rFonts w:ascii="Arial" w:hAnsi="Arial" w:cs="Arial"/>
          <w:color w:val="auto"/>
        </w:rPr>
        <w:t xml:space="preserve">e Round 1 and Round 2 </w:t>
      </w:r>
      <w:r w:rsidR="00911919">
        <w:rPr>
          <w:rFonts w:ascii="Arial" w:hAnsi="Arial" w:cs="Arial"/>
          <w:color w:val="auto"/>
        </w:rPr>
        <w:t xml:space="preserve">Capital </w:t>
      </w:r>
      <w:r w:rsidR="007A1FB5">
        <w:rPr>
          <w:rFonts w:ascii="Arial" w:hAnsi="Arial" w:cs="Arial"/>
          <w:color w:val="auto"/>
        </w:rPr>
        <w:t>monitors</w:t>
      </w:r>
      <w:r w:rsidR="00911919">
        <w:rPr>
          <w:rFonts w:ascii="Arial" w:hAnsi="Arial" w:cs="Arial"/>
          <w:color w:val="auto"/>
        </w:rPr>
        <w:t xml:space="preserve"> for 2023/24</w:t>
      </w:r>
      <w:r w:rsidR="007A1FB5">
        <w:rPr>
          <w:rFonts w:ascii="Arial" w:hAnsi="Arial" w:cs="Arial"/>
          <w:color w:val="auto"/>
        </w:rPr>
        <w:t xml:space="preserve"> presented to Cabinet reflect the changes in the programme</w:t>
      </w:r>
      <w:r w:rsidR="00DC6885">
        <w:rPr>
          <w:rFonts w:ascii="Arial" w:hAnsi="Arial" w:cs="Arial"/>
          <w:color w:val="auto"/>
        </w:rPr>
        <w:t xml:space="preserve"> and are summarised in the table below</w:t>
      </w:r>
      <w:r w:rsidR="007A1FB5">
        <w:rPr>
          <w:rFonts w:ascii="Arial" w:hAnsi="Arial" w:cs="Arial"/>
          <w:color w:val="auto"/>
        </w:rPr>
        <w:t>.</w:t>
      </w:r>
      <w:r w:rsidR="00497E34">
        <w:rPr>
          <w:rFonts w:ascii="Arial" w:hAnsi="Arial" w:cs="Arial"/>
          <w:color w:val="auto"/>
        </w:rPr>
        <w:t xml:space="preserve">  The approved capital programme has increased to £547.8m </w:t>
      </w:r>
      <w:proofErr w:type="gramStart"/>
      <w:r w:rsidR="00497E34">
        <w:rPr>
          <w:rFonts w:ascii="Arial" w:hAnsi="Arial" w:cs="Arial"/>
          <w:color w:val="auto"/>
        </w:rPr>
        <w:t>at</w:t>
      </w:r>
      <w:proofErr w:type="gramEnd"/>
      <w:r w:rsidR="00497E34">
        <w:rPr>
          <w:rFonts w:ascii="Arial" w:hAnsi="Arial" w:cs="Arial"/>
          <w:color w:val="auto"/>
        </w:rPr>
        <w:t xml:space="preserve"> 30 June 2023</w:t>
      </w:r>
      <w:r w:rsidR="001D78C2">
        <w:rPr>
          <w:rFonts w:ascii="Arial" w:hAnsi="Arial" w:cs="Arial"/>
          <w:color w:val="auto"/>
        </w:rPr>
        <w:t xml:space="preserve"> with a remaining budget of £267.7m</w:t>
      </w:r>
      <w:r w:rsidR="00270743">
        <w:rPr>
          <w:rFonts w:ascii="Arial" w:hAnsi="Arial" w:cs="Arial"/>
          <w:color w:val="auto"/>
        </w:rPr>
        <w:t xml:space="preserve"> to be spent in the coming years</w:t>
      </w:r>
      <w:r w:rsidR="001D78C2">
        <w:rPr>
          <w:rFonts w:ascii="Arial" w:hAnsi="Arial" w:cs="Arial"/>
          <w:color w:val="auto"/>
        </w:rPr>
        <w:t>.</w:t>
      </w:r>
    </w:p>
    <w:p w14:paraId="176EA56C" w14:textId="77777777" w:rsidR="00BE37A6" w:rsidRDefault="00BE37A6">
      <w:pPr>
        <w:rPr>
          <w:rFonts w:ascii="Arial" w:eastAsiaTheme="majorEastAsia" w:hAnsi="Arial" w:cs="Arial"/>
          <w:sz w:val="24"/>
        </w:rPr>
      </w:pPr>
      <w:r>
        <w:rPr>
          <w:rFonts w:ascii="Arial" w:hAnsi="Arial" w:cs="Arial"/>
        </w:rPr>
        <w:br w:type="page"/>
      </w:r>
    </w:p>
    <w:p w14:paraId="277DC11B" w14:textId="092CD186" w:rsidR="00270743" w:rsidRDefault="007F2CC1" w:rsidP="00BE37A6">
      <w:pPr>
        <w:pStyle w:val="Heading3"/>
        <w:keepNext w:val="0"/>
        <w:keepLines w:val="0"/>
        <w:widowControl w:val="0"/>
        <w:numPr>
          <w:ilvl w:val="0"/>
          <w:numId w:val="0"/>
        </w:numPr>
        <w:tabs>
          <w:tab w:val="left" w:pos="851"/>
        </w:tabs>
        <w:spacing w:after="240" w:line="276" w:lineRule="auto"/>
        <w:ind w:left="1304"/>
        <w:rPr>
          <w:rFonts w:ascii="Arial" w:hAnsi="Arial" w:cs="Arial"/>
          <w:b/>
          <w:bCs/>
        </w:rPr>
      </w:pPr>
      <w:r w:rsidRPr="007F2CC1">
        <w:rPr>
          <w:rFonts w:ascii="Arial" w:hAnsi="Arial" w:cs="Arial"/>
          <w:b/>
          <w:bCs/>
        </w:rPr>
        <w:lastRenderedPageBreak/>
        <w:t>Table 3: Summary of the council’s capital programme and forecast for 2023/24</w:t>
      </w:r>
    </w:p>
    <w:p w14:paraId="099E5A75" w14:textId="77777777" w:rsidR="00270743" w:rsidRDefault="00270743" w:rsidP="00746A4F">
      <w:pPr>
        <w:widowControl w:val="0"/>
        <w:ind w:left="1304"/>
        <w:rPr>
          <w:rFonts w:ascii="Arial" w:hAnsi="Arial" w:cs="Arial"/>
          <w:b/>
          <w:bCs/>
          <w:sz w:val="24"/>
        </w:rPr>
      </w:pPr>
    </w:p>
    <w:p w14:paraId="79F10F72" w14:textId="07E6660F" w:rsidR="00497E34" w:rsidRDefault="00497E34" w:rsidP="00746A4F">
      <w:pPr>
        <w:widowControl w:val="0"/>
        <w:ind w:left="584" w:firstLine="720"/>
        <w:rPr>
          <w:rFonts w:ascii="Arial" w:hAnsi="Arial" w:cs="Arial"/>
          <w:b/>
          <w:bCs/>
          <w:sz w:val="24"/>
        </w:rPr>
      </w:pPr>
      <w:r w:rsidRPr="00DC6885">
        <w:rPr>
          <w:noProof/>
        </w:rPr>
        <w:drawing>
          <wp:inline distT="0" distB="0" distL="0" distR="0" wp14:anchorId="62011E47" wp14:editId="1BA77930">
            <wp:extent cx="5934319" cy="1867989"/>
            <wp:effectExtent l="0" t="0" r="0" b="0"/>
            <wp:docPr id="1642478838" name="Picture 164247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710" cy="1885110"/>
                    </a:xfrm>
                    <a:prstGeom prst="rect">
                      <a:avLst/>
                    </a:prstGeom>
                    <a:noFill/>
                    <a:ln>
                      <a:noFill/>
                    </a:ln>
                  </pic:spPr>
                </pic:pic>
              </a:graphicData>
            </a:graphic>
          </wp:inline>
        </w:drawing>
      </w:r>
    </w:p>
    <w:p w14:paraId="3A710F38" w14:textId="77777777" w:rsidR="00270743" w:rsidRDefault="00270743" w:rsidP="00746A4F">
      <w:pPr>
        <w:widowControl w:val="0"/>
        <w:ind w:left="584" w:firstLine="720"/>
        <w:rPr>
          <w:rFonts w:ascii="Arial" w:hAnsi="Arial" w:cs="Arial"/>
          <w:b/>
          <w:bCs/>
          <w:sz w:val="24"/>
        </w:rPr>
      </w:pPr>
    </w:p>
    <w:p w14:paraId="5E0E712C" w14:textId="5AA1478F" w:rsidR="00475303" w:rsidRPr="00600512" w:rsidRDefault="00270743" w:rsidP="00746A4F">
      <w:pPr>
        <w:pStyle w:val="Heading3"/>
        <w:keepNext w:val="0"/>
        <w:keepLines w:val="0"/>
        <w:widowControl w:val="0"/>
        <w:numPr>
          <w:ilvl w:val="2"/>
          <w:numId w:val="10"/>
        </w:numPr>
        <w:tabs>
          <w:tab w:val="left" w:pos="851"/>
        </w:tabs>
        <w:spacing w:after="240" w:line="276" w:lineRule="auto"/>
        <w:rPr>
          <w:rFonts w:ascii="Arial" w:hAnsi="Arial" w:cs="Arial"/>
          <w:i/>
          <w:iCs/>
          <w:color w:val="000000" w:themeColor="text1"/>
        </w:rPr>
      </w:pPr>
      <w:r w:rsidRPr="00600512">
        <w:rPr>
          <w:rFonts w:ascii="Arial" w:hAnsi="Arial" w:cs="Arial"/>
          <w:color w:val="000000" w:themeColor="text1"/>
        </w:rPr>
        <w:t>Only £1.5m of the 2022/23 and 2023/24 programme related to adult social care, covering two schemes:  Introduction of an Electronic Social Care Record and Internal Accessibility Works to family hubs as part of the Start for Life Programme, which relates to both Children’s Social Care and Public Health.  According to the R2 monitor, there remained only £181k left to spend on these schemes during 2023/24</w:t>
      </w:r>
      <w:r w:rsidRPr="00600512">
        <w:rPr>
          <w:rStyle w:val="FootnoteReference"/>
          <w:rFonts w:ascii="Arial" w:hAnsi="Arial" w:cs="Arial"/>
          <w:color w:val="000000" w:themeColor="text1"/>
        </w:rPr>
        <w:footnoteReference w:id="9"/>
      </w:r>
      <w:r w:rsidRPr="00600512">
        <w:rPr>
          <w:rFonts w:ascii="Arial" w:hAnsi="Arial" w:cs="Arial"/>
          <w:i/>
          <w:iCs/>
          <w:color w:val="000000" w:themeColor="text1"/>
        </w:rPr>
        <w:t>.</w:t>
      </w:r>
    </w:p>
    <w:p w14:paraId="32EC0E73" w14:textId="2A5CA1A9" w:rsidR="008D721C" w:rsidRDefault="0094460D"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94460D">
        <w:rPr>
          <w:rFonts w:ascii="Arial" w:hAnsi="Arial" w:cs="Arial"/>
          <w:color w:val="000000" w:themeColor="text1"/>
        </w:rPr>
        <w:t>The capital programme on the face of it appears to be lacking any specific</w:t>
      </w:r>
      <w:r w:rsidR="00467411">
        <w:rPr>
          <w:rFonts w:ascii="Arial" w:hAnsi="Arial" w:cs="Arial"/>
          <w:color w:val="000000" w:themeColor="text1"/>
        </w:rPr>
        <w:t xml:space="preserve"> ongoing</w:t>
      </w:r>
      <w:r w:rsidRPr="0094460D">
        <w:rPr>
          <w:rFonts w:ascii="Arial" w:hAnsi="Arial" w:cs="Arial"/>
          <w:color w:val="000000" w:themeColor="text1"/>
        </w:rPr>
        <w:t xml:space="preserve"> schemes related to social care other than DFGs,</w:t>
      </w:r>
      <w:r>
        <w:rPr>
          <w:rFonts w:ascii="Arial" w:hAnsi="Arial" w:cs="Arial"/>
          <w:color w:val="000000" w:themeColor="text1"/>
        </w:rPr>
        <w:t xml:space="preserve"> and these are managed within the </w:t>
      </w:r>
      <w:r>
        <w:rPr>
          <w:rFonts w:ascii="Arial" w:hAnsi="Arial" w:cs="Arial"/>
          <w:color w:val="auto"/>
        </w:rPr>
        <w:t>department for Regeneration, Culture &amp; Environment</w:t>
      </w:r>
      <w:r w:rsidRPr="0094460D">
        <w:rPr>
          <w:rFonts w:ascii="Arial" w:hAnsi="Arial" w:cs="Arial"/>
          <w:color w:val="000000" w:themeColor="text1"/>
        </w:rPr>
        <w:t>.   After ensuring that statutory DFG requirements are met initially,  many other areas use social care capital to support providers innovatively, pump prime new services where capital spend is required, or to create innovative ways in which to support people to remain independent in their own homes.</w:t>
      </w:r>
      <w:r>
        <w:rPr>
          <w:rFonts w:ascii="Arial" w:hAnsi="Arial" w:cs="Arial"/>
          <w:color w:val="000000" w:themeColor="text1"/>
        </w:rPr>
        <w:t xml:space="preserve">  This does not appear to be the case for Medway, which could be a missed opportunity.</w:t>
      </w:r>
      <w:r w:rsidR="008D721C" w:rsidRPr="008D721C">
        <w:rPr>
          <w:rFonts w:ascii="Arial" w:hAnsi="Arial" w:cs="Arial"/>
          <w:color w:val="auto"/>
        </w:rPr>
        <w:t xml:space="preserve"> </w:t>
      </w:r>
      <w:r w:rsidR="008D721C">
        <w:rPr>
          <w:rFonts w:ascii="Arial" w:hAnsi="Arial" w:cs="Arial"/>
          <w:color w:val="auto"/>
        </w:rPr>
        <w:t>only £181k left to spend on these schemes during 2023/24</w:t>
      </w:r>
      <w:r w:rsidR="008D721C">
        <w:rPr>
          <w:rStyle w:val="FootnoteReference"/>
          <w:rFonts w:ascii="Arial" w:hAnsi="Arial" w:cs="Arial"/>
          <w:color w:val="auto"/>
        </w:rPr>
        <w:footnoteReference w:id="10"/>
      </w:r>
      <w:r w:rsidR="008D721C">
        <w:rPr>
          <w:rFonts w:ascii="Arial" w:hAnsi="Arial" w:cs="Arial"/>
          <w:color w:val="auto"/>
        </w:rPr>
        <w:t>.</w:t>
      </w:r>
    </w:p>
    <w:p w14:paraId="22CB6F11" w14:textId="35E2A2A6" w:rsidR="00E82100" w:rsidRDefault="008D721C" w:rsidP="00746A4F">
      <w:pPr>
        <w:pStyle w:val="Heading3"/>
        <w:keepNext w:val="0"/>
        <w:keepLines w:val="0"/>
        <w:widowControl w:val="0"/>
        <w:numPr>
          <w:ilvl w:val="2"/>
          <w:numId w:val="10"/>
        </w:numPr>
        <w:tabs>
          <w:tab w:val="left" w:pos="851"/>
        </w:tabs>
        <w:spacing w:after="240" w:line="276" w:lineRule="auto"/>
        <w:rPr>
          <w:rFonts w:ascii="Arial" w:hAnsi="Arial" w:cs="Arial"/>
          <w:color w:val="000000" w:themeColor="text1"/>
        </w:rPr>
      </w:pPr>
      <w:r w:rsidRPr="0094460D">
        <w:rPr>
          <w:rFonts w:ascii="Arial" w:hAnsi="Arial" w:cs="Arial"/>
          <w:color w:val="000000" w:themeColor="text1"/>
        </w:rPr>
        <w:t>Th</w:t>
      </w:r>
      <w:r>
        <w:rPr>
          <w:rFonts w:ascii="Arial" w:hAnsi="Arial" w:cs="Arial"/>
          <w:color w:val="000000" w:themeColor="text1"/>
        </w:rPr>
        <w:t>at said, the need for accommodation for younger adults with social care needs has been recognised by the acquisition of 7 new units of accommodation through the council’s HRA</w:t>
      </w:r>
      <w:r w:rsidR="008E6444">
        <w:rPr>
          <w:rFonts w:ascii="Arial" w:hAnsi="Arial" w:cs="Arial"/>
          <w:color w:val="000000" w:themeColor="text1"/>
        </w:rPr>
        <w:t xml:space="preserve"> for the Adult Social Services Flight Team, an in-house supported living service.  It is unclear whether wider housing needs for adults with social care needs have been identified.</w:t>
      </w:r>
    </w:p>
    <w:p w14:paraId="4197EE8A" w14:textId="4C2A6D6A" w:rsidR="005F2CDA" w:rsidRDefault="00270743">
      <w:pPr>
        <w:pStyle w:val="ListParagraph"/>
        <w:numPr>
          <w:ilvl w:val="1"/>
          <w:numId w:val="10"/>
        </w:numPr>
        <w:rPr>
          <w:rFonts w:eastAsiaTheme="majorEastAsia" w:cs="Arial"/>
          <w:b/>
          <w:bCs/>
          <w:szCs w:val="24"/>
        </w:rPr>
      </w:pPr>
      <w:r>
        <w:rPr>
          <w:rFonts w:eastAsiaTheme="majorEastAsia" w:cs="Arial"/>
          <w:b/>
          <w:bCs/>
          <w:szCs w:val="24"/>
        </w:rPr>
        <w:t>F</w:t>
      </w:r>
      <w:r w:rsidR="00497E34">
        <w:rPr>
          <w:rFonts w:eastAsiaTheme="majorEastAsia" w:cs="Arial"/>
          <w:b/>
          <w:bCs/>
          <w:szCs w:val="24"/>
        </w:rPr>
        <w:t>inancing costs</w:t>
      </w:r>
    </w:p>
    <w:p w14:paraId="39F8954D" w14:textId="6270457E" w:rsidR="007F2CC1" w:rsidRPr="00600512" w:rsidRDefault="00094E9B" w:rsidP="00746A4F">
      <w:pPr>
        <w:pStyle w:val="Heading3"/>
        <w:keepNext w:val="0"/>
        <w:keepLines w:val="0"/>
        <w:widowControl w:val="0"/>
        <w:numPr>
          <w:ilvl w:val="2"/>
          <w:numId w:val="10"/>
        </w:numPr>
        <w:tabs>
          <w:tab w:val="left" w:pos="851"/>
        </w:tabs>
        <w:spacing w:after="240" w:line="276" w:lineRule="auto"/>
        <w:rPr>
          <w:rFonts w:ascii="Arial" w:hAnsi="Arial" w:cs="Arial"/>
          <w:color w:val="000000" w:themeColor="text1"/>
        </w:rPr>
      </w:pPr>
      <w:r w:rsidRPr="00600512">
        <w:rPr>
          <w:rFonts w:ascii="Arial" w:hAnsi="Arial" w:cs="Arial"/>
          <w:color w:val="000000" w:themeColor="text1"/>
        </w:rPr>
        <w:t xml:space="preserve">The council’s financing costs </w:t>
      </w:r>
      <w:r w:rsidR="007F2CC1" w:rsidRPr="00600512">
        <w:rPr>
          <w:rFonts w:ascii="Arial" w:hAnsi="Arial" w:cs="Arial"/>
          <w:color w:val="000000" w:themeColor="text1"/>
        </w:rPr>
        <w:t>have been significantly below average compared to all English Unitary Councils between 2018/19 and 2022/23 with a significant decrease between 2021/22 and 2022/23.</w:t>
      </w:r>
    </w:p>
    <w:p w14:paraId="32CECDF9" w14:textId="7C98E414" w:rsidR="007F2CC1" w:rsidRPr="007F2CC1" w:rsidRDefault="007F2CC1" w:rsidP="00746A4F">
      <w:pPr>
        <w:pStyle w:val="NormalWeb"/>
        <w:widowControl w:val="0"/>
        <w:rPr>
          <w:rFonts w:eastAsia="Times New Roman"/>
          <w:sz w:val="24"/>
          <w:szCs w:val="24"/>
          <w:lang w:eastAsia="en-GB"/>
        </w:rPr>
      </w:pPr>
      <w:r>
        <w:rPr>
          <w:rFonts w:ascii="Arial" w:hAnsi="Arial" w:cs="Arial"/>
        </w:rPr>
        <w:lastRenderedPageBreak/>
        <w:tab/>
      </w:r>
      <w:r>
        <w:rPr>
          <w:rFonts w:ascii="Arial" w:hAnsi="Arial" w:cs="Arial"/>
        </w:rPr>
        <w:tab/>
      </w:r>
      <w:r w:rsidRPr="007F2CC1">
        <w:rPr>
          <w:rFonts w:eastAsia="Times New Roman"/>
          <w:noProof/>
          <w:sz w:val="24"/>
          <w:szCs w:val="24"/>
          <w:lang w:eastAsia="en-GB"/>
        </w:rPr>
        <w:drawing>
          <wp:inline distT="0" distB="0" distL="0" distR="0" wp14:anchorId="6E4A4891" wp14:editId="63CB3F6A">
            <wp:extent cx="4837872" cy="3262753"/>
            <wp:effectExtent l="19050" t="19050" r="1270" b="0"/>
            <wp:docPr id="505776146" name="Picture 505776146" descr="A graph showing the amount of money in the 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6146" name="Picture 3" descr="A graph showing the amount of money in the ne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8046" cy="3276359"/>
                    </a:xfrm>
                    <a:prstGeom prst="rect">
                      <a:avLst/>
                    </a:prstGeom>
                    <a:noFill/>
                    <a:ln w="12700">
                      <a:solidFill>
                        <a:schemeClr val="accent1"/>
                      </a:solidFill>
                    </a:ln>
                  </pic:spPr>
                </pic:pic>
              </a:graphicData>
            </a:graphic>
          </wp:inline>
        </w:drawing>
      </w:r>
    </w:p>
    <w:p w14:paraId="1E87E2B8" w14:textId="77777777" w:rsidR="007F2CC1" w:rsidRPr="007F2CC1" w:rsidRDefault="007F2CC1" w:rsidP="00746A4F">
      <w:pPr>
        <w:widowControl w:val="0"/>
      </w:pPr>
    </w:p>
    <w:p w14:paraId="739AD1C6" w14:textId="6DAC6414" w:rsidR="00614C42" w:rsidRPr="00597F56" w:rsidRDefault="001E3355"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CB2FCB">
        <w:rPr>
          <w:rFonts w:ascii="Arial" w:hAnsi="Arial" w:cs="Arial"/>
          <w:color w:val="auto"/>
        </w:rPr>
        <w:t>The Treasury Management Strategy for 2023/24</w:t>
      </w:r>
      <w:r w:rsidR="00F200DB" w:rsidRPr="00CB2FCB">
        <w:rPr>
          <w:rStyle w:val="FootnoteReference"/>
          <w:rFonts w:ascii="Arial" w:hAnsi="Arial" w:cs="Arial"/>
          <w:color w:val="auto"/>
        </w:rPr>
        <w:footnoteReference w:id="11"/>
      </w:r>
      <w:r w:rsidRPr="00CB2FCB">
        <w:rPr>
          <w:rFonts w:ascii="Arial" w:hAnsi="Arial" w:cs="Arial"/>
          <w:color w:val="auto"/>
        </w:rPr>
        <w:t xml:space="preserve"> </w:t>
      </w:r>
      <w:r w:rsidR="00E84B4F" w:rsidRPr="00CB2FCB">
        <w:rPr>
          <w:rFonts w:ascii="Arial" w:hAnsi="Arial" w:cs="Arial"/>
          <w:color w:val="auto"/>
        </w:rPr>
        <w:t xml:space="preserve">re-iterates the </w:t>
      </w:r>
      <w:r w:rsidRPr="00CB2FCB">
        <w:rPr>
          <w:rFonts w:ascii="Arial" w:hAnsi="Arial" w:cs="Arial"/>
          <w:color w:val="auto"/>
        </w:rPr>
        <w:t>intention to keep borrowing as low as possible</w:t>
      </w:r>
      <w:r w:rsidR="00E84B4F" w:rsidRPr="00CB2FCB">
        <w:rPr>
          <w:rFonts w:ascii="Arial" w:hAnsi="Arial" w:cs="Arial"/>
          <w:color w:val="auto"/>
        </w:rPr>
        <w:t xml:space="preserve"> which has been the case over recent years; </w:t>
      </w:r>
      <w:r w:rsidR="00CB2FCB" w:rsidRPr="00CB2FCB">
        <w:rPr>
          <w:rFonts w:ascii="Arial" w:hAnsi="Arial" w:cs="Arial"/>
          <w:color w:val="auto"/>
        </w:rPr>
        <w:t xml:space="preserve">it states that </w:t>
      </w:r>
      <w:r w:rsidR="00F200DB" w:rsidRPr="00CB2FCB">
        <w:rPr>
          <w:rFonts w:ascii="Arial" w:hAnsi="Arial" w:cs="Arial"/>
          <w:i/>
          <w:iCs/>
          <w:color w:val="auto"/>
        </w:rPr>
        <w:t xml:space="preserve">The Council is currently maintaining an under-borrowed position. This means that the capital borrowing need (the Capital Financing Requirement), has not been fully funded with loan debt as cash supporting the Council’s reserves, balances and cash flow has </w:t>
      </w:r>
      <w:r w:rsidR="00F200DB" w:rsidRPr="00597F56">
        <w:rPr>
          <w:rFonts w:ascii="Arial" w:hAnsi="Arial" w:cs="Arial"/>
          <w:i/>
          <w:iCs/>
          <w:color w:val="auto"/>
        </w:rPr>
        <w:t>been used as a temporary measure</w:t>
      </w:r>
      <w:r w:rsidR="00CB2FCB" w:rsidRPr="00597F56">
        <w:rPr>
          <w:rStyle w:val="FootnoteReference"/>
          <w:rFonts w:ascii="Arial" w:hAnsi="Arial" w:cs="Arial"/>
          <w:i/>
          <w:iCs/>
          <w:color w:val="auto"/>
        </w:rPr>
        <w:footnoteReference w:id="12"/>
      </w:r>
      <w:r w:rsidR="00F200DB" w:rsidRPr="00597F56">
        <w:rPr>
          <w:rFonts w:ascii="Arial" w:hAnsi="Arial" w:cs="Arial"/>
          <w:color w:val="auto"/>
        </w:rPr>
        <w:t>.</w:t>
      </w:r>
    </w:p>
    <w:p w14:paraId="2CBE6D5B" w14:textId="3DC9694D" w:rsidR="006C1322" w:rsidRPr="00597F56" w:rsidRDefault="0094460D" w:rsidP="00746A4F">
      <w:pPr>
        <w:pStyle w:val="Heading3"/>
        <w:keepNext w:val="0"/>
        <w:keepLines w:val="0"/>
        <w:widowControl w:val="0"/>
        <w:numPr>
          <w:ilvl w:val="2"/>
          <w:numId w:val="10"/>
        </w:numPr>
        <w:tabs>
          <w:tab w:val="left" w:pos="851"/>
        </w:tabs>
        <w:spacing w:after="240" w:line="276" w:lineRule="auto"/>
        <w:rPr>
          <w:color w:val="auto"/>
        </w:rPr>
      </w:pPr>
      <w:r w:rsidRPr="00597F56">
        <w:rPr>
          <w:rFonts w:ascii="Arial" w:hAnsi="Arial" w:cs="Arial"/>
          <w:color w:val="auto"/>
        </w:rPr>
        <w:t>Whilst this is positive in terms of avoiding high capital financing costs</w:t>
      </w:r>
      <w:r w:rsidR="004860CA" w:rsidRPr="00597F56">
        <w:rPr>
          <w:rFonts w:ascii="Arial" w:hAnsi="Arial" w:cs="Arial"/>
          <w:color w:val="auto"/>
        </w:rPr>
        <w:t xml:space="preserve"> which may lead to revenue budget pressure</w:t>
      </w:r>
      <w:r w:rsidRPr="00597F56">
        <w:rPr>
          <w:rFonts w:ascii="Arial" w:hAnsi="Arial" w:cs="Arial"/>
          <w:color w:val="auto"/>
        </w:rPr>
        <w:t xml:space="preserve">, </w:t>
      </w:r>
      <w:r w:rsidR="00597F56">
        <w:rPr>
          <w:rFonts w:ascii="Arial" w:hAnsi="Arial" w:cs="Arial"/>
          <w:color w:val="auto"/>
        </w:rPr>
        <w:t xml:space="preserve">the approach needs to be effectively risk managed as part of the wider treasury management approach; the council has appointed external consultants to provide </w:t>
      </w:r>
      <w:r w:rsidR="00490D41">
        <w:rPr>
          <w:rFonts w:ascii="Arial" w:hAnsi="Arial" w:cs="Arial"/>
          <w:color w:val="auto"/>
        </w:rPr>
        <w:t>specialist skills and resources to support them in this.</w:t>
      </w:r>
    </w:p>
    <w:p w14:paraId="1A33BE1D" w14:textId="258BC181" w:rsidR="006C1322" w:rsidRDefault="00DC6751" w:rsidP="00746A4F">
      <w:pPr>
        <w:pStyle w:val="ListParagraph"/>
        <w:widowControl w:val="0"/>
        <w:numPr>
          <w:ilvl w:val="1"/>
          <w:numId w:val="10"/>
        </w:numPr>
        <w:rPr>
          <w:rFonts w:eastAsiaTheme="majorEastAsia" w:cs="Arial"/>
          <w:b/>
          <w:bCs/>
          <w:szCs w:val="24"/>
        </w:rPr>
      </w:pPr>
      <w:r>
        <w:rPr>
          <w:rFonts w:eastAsiaTheme="majorEastAsia" w:cs="Arial"/>
          <w:b/>
          <w:bCs/>
          <w:szCs w:val="24"/>
        </w:rPr>
        <w:t>M</w:t>
      </w:r>
      <w:r w:rsidR="00AE2F55">
        <w:rPr>
          <w:rFonts w:eastAsiaTheme="majorEastAsia" w:cs="Arial"/>
          <w:b/>
          <w:bCs/>
          <w:szCs w:val="24"/>
        </w:rPr>
        <w:t xml:space="preserve">edium </w:t>
      </w:r>
      <w:r>
        <w:rPr>
          <w:rFonts w:eastAsiaTheme="majorEastAsia" w:cs="Arial"/>
          <w:b/>
          <w:bCs/>
          <w:szCs w:val="24"/>
        </w:rPr>
        <w:t>T</w:t>
      </w:r>
      <w:r w:rsidR="00AE2F55">
        <w:rPr>
          <w:rFonts w:eastAsiaTheme="majorEastAsia" w:cs="Arial"/>
          <w:b/>
          <w:bCs/>
          <w:szCs w:val="24"/>
        </w:rPr>
        <w:t xml:space="preserve">erm </w:t>
      </w:r>
      <w:r>
        <w:rPr>
          <w:rFonts w:eastAsiaTheme="majorEastAsia" w:cs="Arial"/>
          <w:b/>
          <w:bCs/>
          <w:szCs w:val="24"/>
        </w:rPr>
        <w:t>F</w:t>
      </w:r>
      <w:r w:rsidR="00AE2F55">
        <w:rPr>
          <w:rFonts w:eastAsiaTheme="majorEastAsia" w:cs="Arial"/>
          <w:b/>
          <w:bCs/>
          <w:szCs w:val="24"/>
        </w:rPr>
        <w:t>inancial Outlook</w:t>
      </w:r>
      <w:r w:rsidR="00444E32">
        <w:rPr>
          <w:rFonts w:eastAsiaTheme="majorEastAsia" w:cs="Arial"/>
          <w:b/>
          <w:bCs/>
          <w:szCs w:val="24"/>
        </w:rPr>
        <w:t xml:space="preserve"> (MTFO)</w:t>
      </w:r>
    </w:p>
    <w:p w14:paraId="513B7A48" w14:textId="764A88A4" w:rsidR="00F923DA" w:rsidRPr="00F923DA" w:rsidRDefault="00444E32"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rPr>
        <w:t xml:space="preserve">The </w:t>
      </w:r>
      <w:r>
        <w:rPr>
          <w:rFonts w:ascii="Arial" w:hAnsi="Arial" w:cs="Arial"/>
          <w:color w:val="auto"/>
        </w:rPr>
        <w:t>MTFO 2023 to 2028 was presented to Cabinet on 26 September 2023, effectively covering the four years from 2024/2</w:t>
      </w:r>
      <w:r w:rsidR="00936055">
        <w:rPr>
          <w:rFonts w:ascii="Arial" w:hAnsi="Arial" w:cs="Arial"/>
          <w:color w:val="auto"/>
        </w:rPr>
        <w:t>5</w:t>
      </w:r>
      <w:r>
        <w:rPr>
          <w:rFonts w:ascii="Arial" w:hAnsi="Arial" w:cs="Arial"/>
          <w:color w:val="auto"/>
        </w:rPr>
        <w:t xml:space="preserve"> to 2027/28.  The cumulative budget gap for 2024/25 was projected as £38.745m for 2024/25, </w:t>
      </w:r>
      <w:r w:rsidRPr="00F923DA">
        <w:rPr>
          <w:rFonts w:ascii="Arial" w:hAnsi="Arial" w:cs="Arial"/>
          <w:color w:val="auto"/>
        </w:rPr>
        <w:t xml:space="preserve">rising to £71.840m for 2027/28. </w:t>
      </w:r>
      <w:r w:rsidR="00F923DA" w:rsidRPr="00F923DA">
        <w:rPr>
          <w:rFonts w:ascii="Arial" w:hAnsi="Arial" w:cs="Arial"/>
          <w:color w:val="auto"/>
        </w:rPr>
        <w:t xml:space="preserve">A number of key assumptions are set out in detail within an accompanying </w:t>
      </w:r>
      <w:r w:rsidR="00F923DA">
        <w:rPr>
          <w:rFonts w:ascii="Arial" w:hAnsi="Arial" w:cs="Arial"/>
          <w:color w:val="auto"/>
        </w:rPr>
        <w:t>table</w:t>
      </w:r>
      <w:r w:rsidR="00F923DA" w:rsidRPr="00F923DA">
        <w:rPr>
          <w:rFonts w:ascii="Arial" w:hAnsi="Arial" w:cs="Arial"/>
          <w:color w:val="auto"/>
        </w:rPr>
        <w:t xml:space="preserve"> including:</w:t>
      </w:r>
    </w:p>
    <w:p w14:paraId="71CEF8EA" w14:textId="77777777" w:rsidR="00F923DA" w:rsidRPr="003527A6" w:rsidRDefault="00F923DA" w:rsidP="00746A4F">
      <w:pPr>
        <w:pStyle w:val="ListParagraph"/>
        <w:widowControl w:val="0"/>
        <w:numPr>
          <w:ilvl w:val="0"/>
          <w:numId w:val="16"/>
        </w:numPr>
        <w:spacing w:after="0"/>
        <w:rPr>
          <w:rFonts w:cs="Arial"/>
          <w:szCs w:val="24"/>
        </w:rPr>
      </w:pPr>
      <w:r w:rsidRPr="003527A6">
        <w:rPr>
          <w:rFonts w:cs="Arial"/>
          <w:szCs w:val="24"/>
        </w:rPr>
        <w:t>Council tax strategy in line with Government assumptions;</w:t>
      </w:r>
    </w:p>
    <w:p w14:paraId="2C302444" w14:textId="4A737BBF" w:rsidR="00F923DA" w:rsidRDefault="00F923DA" w:rsidP="00746A4F">
      <w:pPr>
        <w:pStyle w:val="ListParagraph"/>
        <w:widowControl w:val="0"/>
        <w:numPr>
          <w:ilvl w:val="0"/>
          <w:numId w:val="16"/>
        </w:numPr>
        <w:spacing w:after="0"/>
        <w:rPr>
          <w:rFonts w:cs="Arial"/>
          <w:szCs w:val="24"/>
        </w:rPr>
      </w:pPr>
      <w:r w:rsidRPr="003527A6">
        <w:rPr>
          <w:rFonts w:cs="Arial"/>
          <w:szCs w:val="24"/>
        </w:rPr>
        <w:t xml:space="preserve">Increased </w:t>
      </w:r>
      <w:r w:rsidR="00936055">
        <w:rPr>
          <w:rFonts w:cs="Arial"/>
          <w:szCs w:val="24"/>
        </w:rPr>
        <w:t>bad debt provision relating to council tax due to the cost of l</w:t>
      </w:r>
      <w:r w:rsidR="00132E37">
        <w:rPr>
          <w:rFonts w:cs="Arial"/>
          <w:szCs w:val="24"/>
        </w:rPr>
        <w:t>i</w:t>
      </w:r>
      <w:r w:rsidR="00936055">
        <w:rPr>
          <w:rFonts w:cs="Arial"/>
          <w:szCs w:val="24"/>
        </w:rPr>
        <w:t>ving crisi</w:t>
      </w:r>
      <w:r w:rsidRPr="003527A6">
        <w:rPr>
          <w:rFonts w:cs="Arial"/>
          <w:szCs w:val="24"/>
        </w:rPr>
        <w:t>s;</w:t>
      </w:r>
    </w:p>
    <w:p w14:paraId="2B092595" w14:textId="10470FC0" w:rsidR="00936055" w:rsidRDefault="00936055" w:rsidP="00746A4F">
      <w:pPr>
        <w:pStyle w:val="ListParagraph"/>
        <w:widowControl w:val="0"/>
        <w:numPr>
          <w:ilvl w:val="0"/>
          <w:numId w:val="16"/>
        </w:numPr>
        <w:spacing w:after="0"/>
        <w:rPr>
          <w:rFonts w:cs="Arial"/>
          <w:szCs w:val="24"/>
        </w:rPr>
      </w:pPr>
      <w:r>
        <w:rPr>
          <w:rFonts w:cs="Arial"/>
          <w:szCs w:val="24"/>
        </w:rPr>
        <w:t>Increased income from retained business rates;</w:t>
      </w:r>
    </w:p>
    <w:p w14:paraId="14D42090" w14:textId="3EC77950" w:rsidR="002E243E" w:rsidRPr="003527A6" w:rsidRDefault="002E243E" w:rsidP="00746A4F">
      <w:pPr>
        <w:pStyle w:val="ListParagraph"/>
        <w:widowControl w:val="0"/>
        <w:numPr>
          <w:ilvl w:val="0"/>
          <w:numId w:val="16"/>
        </w:numPr>
        <w:spacing w:after="0"/>
        <w:rPr>
          <w:rFonts w:cs="Arial"/>
          <w:szCs w:val="24"/>
        </w:rPr>
      </w:pPr>
      <w:r>
        <w:rPr>
          <w:rFonts w:cs="Arial"/>
          <w:szCs w:val="24"/>
        </w:rPr>
        <w:t>Income from interest rates surplus of £5.5m;</w:t>
      </w:r>
    </w:p>
    <w:p w14:paraId="4DEC16E6" w14:textId="19611310" w:rsidR="00F923DA" w:rsidRDefault="00F923DA" w:rsidP="00746A4F">
      <w:pPr>
        <w:pStyle w:val="ListParagraph"/>
        <w:widowControl w:val="0"/>
        <w:numPr>
          <w:ilvl w:val="0"/>
          <w:numId w:val="16"/>
        </w:numPr>
        <w:spacing w:after="0"/>
        <w:rPr>
          <w:rFonts w:cs="Arial"/>
          <w:szCs w:val="24"/>
        </w:rPr>
      </w:pPr>
      <w:r w:rsidRPr="003527A6">
        <w:rPr>
          <w:rFonts w:cs="Arial"/>
          <w:szCs w:val="24"/>
        </w:rPr>
        <w:t xml:space="preserve">Provision for pay inflation </w:t>
      </w:r>
      <w:r w:rsidR="00936055">
        <w:rPr>
          <w:rFonts w:cs="Arial"/>
          <w:szCs w:val="24"/>
        </w:rPr>
        <w:t>to be finalised but recognising the Government</w:t>
      </w:r>
      <w:r w:rsidR="00132E37">
        <w:rPr>
          <w:rFonts w:cs="Arial"/>
          <w:szCs w:val="24"/>
        </w:rPr>
        <w:t>’s announcement that other public sector bodies may uplift pay between 5% and 7% in 2023/24;</w:t>
      </w:r>
    </w:p>
    <w:p w14:paraId="72ED8407" w14:textId="01A0A67D" w:rsidR="00132E37" w:rsidRDefault="00132E37" w:rsidP="00746A4F">
      <w:pPr>
        <w:pStyle w:val="ListParagraph"/>
        <w:widowControl w:val="0"/>
        <w:numPr>
          <w:ilvl w:val="0"/>
          <w:numId w:val="16"/>
        </w:numPr>
        <w:spacing w:after="0"/>
        <w:rPr>
          <w:rFonts w:cs="Arial"/>
          <w:szCs w:val="24"/>
        </w:rPr>
      </w:pPr>
      <w:r>
        <w:rPr>
          <w:rFonts w:cs="Arial"/>
          <w:szCs w:val="24"/>
        </w:rPr>
        <w:lastRenderedPageBreak/>
        <w:t xml:space="preserve">A review of </w:t>
      </w:r>
      <w:proofErr w:type="spellStart"/>
      <w:r>
        <w:rPr>
          <w:rFonts w:cs="Arial"/>
          <w:szCs w:val="24"/>
        </w:rPr>
        <w:t>MedPay</w:t>
      </w:r>
      <w:proofErr w:type="spellEnd"/>
      <w:r>
        <w:rPr>
          <w:rFonts w:cs="Arial"/>
          <w:szCs w:val="24"/>
        </w:rPr>
        <w:t xml:space="preserve"> to be implemented and pay inflation above estimated to cost the council £10m in 2024/25;</w:t>
      </w:r>
    </w:p>
    <w:p w14:paraId="5D6CED51" w14:textId="4193878B" w:rsidR="00132E37" w:rsidRPr="003527A6" w:rsidRDefault="00132E37" w:rsidP="00746A4F">
      <w:pPr>
        <w:pStyle w:val="ListParagraph"/>
        <w:widowControl w:val="0"/>
        <w:numPr>
          <w:ilvl w:val="0"/>
          <w:numId w:val="16"/>
        </w:numPr>
        <w:spacing w:after="0"/>
        <w:rPr>
          <w:rFonts w:cs="Arial"/>
          <w:szCs w:val="24"/>
        </w:rPr>
      </w:pPr>
      <w:r>
        <w:rPr>
          <w:rFonts w:cs="Arial"/>
          <w:szCs w:val="24"/>
        </w:rPr>
        <w:t>Adult social care pressures, including provider fee uplifts, pressures around national living wage, demographic pressures,</w:t>
      </w:r>
      <w:r w:rsidR="004B561C">
        <w:rPr>
          <w:rFonts w:cs="Arial"/>
          <w:szCs w:val="24"/>
        </w:rPr>
        <w:t xml:space="preserve"> reductions in waiting lists and increases in non-contracted package costs </w:t>
      </w:r>
      <w:r w:rsidR="002E243E">
        <w:rPr>
          <w:rFonts w:cs="Arial"/>
          <w:szCs w:val="24"/>
        </w:rPr>
        <w:t>totalling £16.446m in 2024/25;</w:t>
      </w:r>
    </w:p>
    <w:p w14:paraId="49D16D16" w14:textId="0585B4D4" w:rsidR="002E243E" w:rsidRDefault="002E243E" w:rsidP="00746A4F">
      <w:pPr>
        <w:pStyle w:val="ListParagraph"/>
        <w:widowControl w:val="0"/>
        <w:numPr>
          <w:ilvl w:val="0"/>
          <w:numId w:val="16"/>
        </w:numPr>
        <w:spacing w:after="0"/>
        <w:rPr>
          <w:rFonts w:cs="Arial"/>
          <w:szCs w:val="24"/>
        </w:rPr>
      </w:pPr>
      <w:r>
        <w:rPr>
          <w:rFonts w:cs="Arial"/>
          <w:szCs w:val="24"/>
        </w:rPr>
        <w:t>Children’s social care and education pressures totalling £14.667m;</w:t>
      </w:r>
    </w:p>
    <w:p w14:paraId="6B0CC9EB" w14:textId="5CD84170" w:rsidR="002E243E" w:rsidRDefault="002E243E" w:rsidP="00746A4F">
      <w:pPr>
        <w:pStyle w:val="ListParagraph"/>
        <w:widowControl w:val="0"/>
        <w:numPr>
          <w:ilvl w:val="0"/>
          <w:numId w:val="16"/>
        </w:numPr>
        <w:spacing w:after="0"/>
        <w:rPr>
          <w:rFonts w:cs="Arial"/>
          <w:szCs w:val="24"/>
        </w:rPr>
      </w:pPr>
      <w:r>
        <w:rPr>
          <w:rFonts w:cs="Arial"/>
          <w:szCs w:val="24"/>
        </w:rPr>
        <w:t xml:space="preserve">Contractual inflation, homelessness pressures and other issues causing a £7.6m pressure in </w:t>
      </w:r>
      <w:r w:rsidR="008F014E">
        <w:rPr>
          <w:rFonts w:cs="Arial"/>
          <w:szCs w:val="24"/>
        </w:rPr>
        <w:t>the dept of Regeneration, Culture and Environment;</w:t>
      </w:r>
    </w:p>
    <w:p w14:paraId="68FAE13A" w14:textId="436A085D" w:rsidR="008F014E" w:rsidRDefault="008F014E" w:rsidP="00746A4F">
      <w:pPr>
        <w:pStyle w:val="ListParagraph"/>
        <w:widowControl w:val="0"/>
        <w:numPr>
          <w:ilvl w:val="0"/>
          <w:numId w:val="16"/>
        </w:numPr>
        <w:spacing w:after="0"/>
        <w:rPr>
          <w:rFonts w:cs="Arial"/>
          <w:szCs w:val="24"/>
        </w:rPr>
      </w:pPr>
      <w:r>
        <w:rPr>
          <w:rFonts w:cs="Arial"/>
          <w:szCs w:val="24"/>
        </w:rPr>
        <w:t>£1m pressures in the dept of Business Support.</w:t>
      </w:r>
    </w:p>
    <w:p w14:paraId="10D0D7FF" w14:textId="77777777" w:rsidR="008F014E" w:rsidRDefault="008F014E" w:rsidP="00746A4F">
      <w:pPr>
        <w:pStyle w:val="ListParagraph"/>
        <w:widowControl w:val="0"/>
        <w:spacing w:after="0"/>
        <w:ind w:left="1647"/>
        <w:rPr>
          <w:rFonts w:cs="Arial"/>
          <w:szCs w:val="24"/>
        </w:rPr>
      </w:pPr>
    </w:p>
    <w:p w14:paraId="45432086" w14:textId="595E11E5" w:rsidR="00614C42" w:rsidRDefault="005B57CE"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A number of significant risks are identified, not </w:t>
      </w:r>
      <w:r w:rsidR="00A21D0C">
        <w:rPr>
          <w:rFonts w:ascii="Arial" w:hAnsi="Arial" w:cs="Arial"/>
          <w:color w:val="auto"/>
        </w:rPr>
        <w:t xml:space="preserve">least the potential need to issue a S114 notice, but also including Adult Social Care Reform, demographic growth and </w:t>
      </w:r>
      <w:r w:rsidR="00334469">
        <w:rPr>
          <w:rFonts w:ascii="Arial" w:hAnsi="Arial" w:cs="Arial"/>
          <w:color w:val="auto"/>
        </w:rPr>
        <w:t>inadequate Government funding.</w:t>
      </w:r>
    </w:p>
    <w:p w14:paraId="157DDC8C" w14:textId="633F9ECC" w:rsidR="0031401D" w:rsidRPr="00C86851" w:rsidRDefault="00614C42"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334469">
        <w:rPr>
          <w:rFonts w:ascii="Arial" w:hAnsi="Arial" w:cs="Arial"/>
          <w:color w:val="auto"/>
        </w:rPr>
        <w:t>Th</w:t>
      </w:r>
      <w:r w:rsidR="00334469" w:rsidRPr="00334469">
        <w:rPr>
          <w:rFonts w:ascii="Arial" w:hAnsi="Arial" w:cs="Arial"/>
          <w:color w:val="auto"/>
        </w:rPr>
        <w:t xml:space="preserve">e MTFO </w:t>
      </w:r>
      <w:r w:rsidR="009E53EC">
        <w:rPr>
          <w:rFonts w:ascii="Arial" w:hAnsi="Arial" w:cs="Arial"/>
          <w:color w:val="auto"/>
        </w:rPr>
        <w:t>identified</w:t>
      </w:r>
      <w:r w:rsidR="00334469" w:rsidRPr="00334469">
        <w:rPr>
          <w:rFonts w:ascii="Arial" w:hAnsi="Arial" w:cs="Arial"/>
          <w:color w:val="auto"/>
        </w:rPr>
        <w:t xml:space="preserve"> the requirement to put a savings plan in place</w:t>
      </w:r>
      <w:r w:rsidR="00F82BD9">
        <w:rPr>
          <w:rFonts w:ascii="Arial" w:hAnsi="Arial" w:cs="Arial"/>
          <w:color w:val="auto"/>
        </w:rPr>
        <w:t xml:space="preserve"> in order to balance the budget for 2023/24 and set a balanced budget for 2024/25</w:t>
      </w:r>
      <w:r w:rsidR="00444E32" w:rsidRPr="00334469">
        <w:rPr>
          <w:rFonts w:ascii="Arial" w:hAnsi="Arial" w:cs="Arial"/>
          <w:color w:val="auto"/>
        </w:rPr>
        <w:t>.</w:t>
      </w:r>
      <w:r w:rsidR="00F82BD9">
        <w:rPr>
          <w:rFonts w:ascii="Arial" w:hAnsi="Arial" w:cs="Arial"/>
          <w:color w:val="auto"/>
        </w:rPr>
        <w:t xml:space="preserve">  Savings targets have been identified for each department and the detail of the savings plans are currently being worked through by directors.</w:t>
      </w:r>
    </w:p>
    <w:p w14:paraId="6AB1E710" w14:textId="10AFD7FC" w:rsidR="006C1322" w:rsidRDefault="00AA528F" w:rsidP="00746A4F">
      <w:pPr>
        <w:pStyle w:val="ListParagraph"/>
        <w:widowControl w:val="0"/>
        <w:numPr>
          <w:ilvl w:val="1"/>
          <w:numId w:val="10"/>
        </w:numPr>
        <w:ind w:left="1219"/>
        <w:rPr>
          <w:rFonts w:eastAsiaTheme="majorEastAsia" w:cs="Arial"/>
          <w:b/>
          <w:bCs/>
          <w:szCs w:val="24"/>
        </w:rPr>
      </w:pPr>
      <w:r>
        <w:rPr>
          <w:rFonts w:eastAsiaTheme="majorEastAsia" w:cs="Arial"/>
          <w:b/>
          <w:bCs/>
          <w:szCs w:val="24"/>
        </w:rPr>
        <w:t>Use of resources</w:t>
      </w:r>
    </w:p>
    <w:p w14:paraId="28C5B3CC" w14:textId="31CB7DE7" w:rsidR="00475303" w:rsidRDefault="0031401D"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The detailed report on the review of your 2022/23 Use of Resources has been sent to the council separately.  It identified a number of issues which are worth exploring further</w:t>
      </w:r>
      <w:r w:rsidR="00475303">
        <w:rPr>
          <w:rFonts w:ascii="Arial" w:hAnsi="Arial" w:cs="Arial"/>
          <w:color w:val="auto"/>
        </w:rPr>
        <w:t>.</w:t>
      </w:r>
    </w:p>
    <w:p w14:paraId="17701672" w14:textId="36422D22" w:rsidR="00E62FA2" w:rsidRDefault="00C36871"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Overall, Medway is a relatively low spender on adult social care, 9.17% less than the national average </w:t>
      </w:r>
      <w:proofErr w:type="gramStart"/>
      <w:r>
        <w:rPr>
          <w:rFonts w:ascii="Arial" w:hAnsi="Arial" w:cs="Arial"/>
          <w:color w:val="auto"/>
        </w:rPr>
        <w:t>spend</w:t>
      </w:r>
      <w:proofErr w:type="gramEnd"/>
      <w:r>
        <w:rPr>
          <w:rFonts w:ascii="Arial" w:hAnsi="Arial" w:cs="Arial"/>
          <w:color w:val="auto"/>
        </w:rPr>
        <w:t xml:space="preserve"> per adult for 2022/23, which is ranked as 114</w:t>
      </w:r>
      <w:r w:rsidRPr="00C36871">
        <w:rPr>
          <w:rFonts w:ascii="Arial" w:hAnsi="Arial" w:cs="Arial"/>
          <w:color w:val="auto"/>
          <w:vertAlign w:val="superscript"/>
        </w:rPr>
        <w:t>th</w:t>
      </w:r>
      <w:r>
        <w:rPr>
          <w:rFonts w:ascii="Arial" w:hAnsi="Arial" w:cs="Arial"/>
          <w:color w:val="auto"/>
        </w:rPr>
        <w:t xml:space="preserve"> highest spender in England from 152 local authorities which spend on adult social care</w:t>
      </w:r>
      <w:r>
        <w:rPr>
          <w:rStyle w:val="FootnoteReference"/>
          <w:rFonts w:ascii="Arial" w:hAnsi="Arial" w:cs="Arial"/>
          <w:color w:val="auto"/>
        </w:rPr>
        <w:footnoteReference w:id="13"/>
      </w:r>
      <w:r>
        <w:rPr>
          <w:rFonts w:ascii="Arial" w:hAnsi="Arial" w:cs="Arial"/>
          <w:color w:val="auto"/>
        </w:rPr>
        <w:t>.  You have a lower than</w:t>
      </w:r>
      <w:r w:rsidR="00FB3486">
        <w:rPr>
          <w:rFonts w:ascii="Arial" w:hAnsi="Arial" w:cs="Arial"/>
          <w:color w:val="auto"/>
        </w:rPr>
        <w:t xml:space="preserve"> average</w:t>
      </w:r>
      <w:r>
        <w:rPr>
          <w:rFonts w:ascii="Arial" w:hAnsi="Arial" w:cs="Arial"/>
          <w:color w:val="auto"/>
        </w:rPr>
        <w:t xml:space="preserve"> older population but higher than average deprivation levels.</w:t>
      </w:r>
    </w:p>
    <w:p w14:paraId="5F59F0DC" w14:textId="6FD1AA0E" w:rsidR="00C36871" w:rsidRPr="00B958F2" w:rsidRDefault="00C36871" w:rsidP="00746A4F">
      <w:pPr>
        <w:pStyle w:val="Heading3"/>
        <w:keepNext w:val="0"/>
        <w:keepLines w:val="0"/>
        <w:widowControl w:val="0"/>
        <w:numPr>
          <w:ilvl w:val="2"/>
          <w:numId w:val="10"/>
        </w:numPr>
        <w:tabs>
          <w:tab w:val="left" w:pos="851"/>
        </w:tabs>
        <w:spacing w:after="240" w:line="276" w:lineRule="auto"/>
        <w:rPr>
          <w:rFonts w:ascii="Arial" w:hAnsi="Arial" w:cs="Arial"/>
          <w:color w:val="000000" w:themeColor="text1"/>
        </w:rPr>
      </w:pPr>
      <w:r>
        <w:rPr>
          <w:rFonts w:ascii="Arial" w:hAnsi="Arial" w:cs="Arial"/>
          <w:color w:val="auto"/>
        </w:rPr>
        <w:t xml:space="preserve">For older people, spending in Medway is </w:t>
      </w:r>
      <w:r w:rsidR="005F6344">
        <w:rPr>
          <w:rFonts w:ascii="Arial" w:hAnsi="Arial" w:cs="Arial"/>
          <w:color w:val="auto"/>
        </w:rPr>
        <w:t xml:space="preserve">lower than the average in England, at 12.34% less, ranked </w:t>
      </w:r>
      <w:r w:rsidR="00EE6569">
        <w:rPr>
          <w:rFonts w:ascii="Arial" w:hAnsi="Arial" w:cs="Arial"/>
          <w:color w:val="auto"/>
        </w:rPr>
        <w:t>115</w:t>
      </w:r>
      <w:r w:rsidR="00EE6569" w:rsidRPr="00EE6569">
        <w:rPr>
          <w:rFonts w:ascii="Arial" w:hAnsi="Arial" w:cs="Arial"/>
          <w:color w:val="auto"/>
          <w:vertAlign w:val="superscript"/>
        </w:rPr>
        <w:t>th</w:t>
      </w:r>
      <w:r w:rsidR="00EE6569">
        <w:rPr>
          <w:rFonts w:ascii="Arial" w:hAnsi="Arial" w:cs="Arial"/>
          <w:color w:val="auto"/>
        </w:rPr>
        <w:t xml:space="preserve"> in the country</w:t>
      </w:r>
      <w:r w:rsidR="00EE6569">
        <w:rPr>
          <w:rStyle w:val="FootnoteReference"/>
          <w:rFonts w:ascii="Arial" w:hAnsi="Arial" w:cs="Arial"/>
          <w:color w:val="auto"/>
        </w:rPr>
        <w:footnoteReference w:id="14"/>
      </w:r>
      <w:r w:rsidR="00EE6569">
        <w:rPr>
          <w:rFonts w:ascii="Arial" w:hAnsi="Arial" w:cs="Arial"/>
          <w:color w:val="auto"/>
        </w:rPr>
        <w:t xml:space="preserve"> (where 152</w:t>
      </w:r>
      <w:r w:rsidR="00EE6569" w:rsidRPr="00EE6569">
        <w:rPr>
          <w:rFonts w:ascii="Arial" w:hAnsi="Arial" w:cs="Arial"/>
          <w:color w:val="auto"/>
          <w:vertAlign w:val="superscript"/>
        </w:rPr>
        <w:t>nd</w:t>
      </w:r>
      <w:r w:rsidR="00EE6569">
        <w:rPr>
          <w:rFonts w:ascii="Arial" w:hAnsi="Arial" w:cs="Arial"/>
          <w:color w:val="auto"/>
        </w:rPr>
        <w:t xml:space="preserve"> is the lowest)</w:t>
      </w:r>
      <w:r w:rsidR="00AA528F" w:rsidRPr="00334469">
        <w:rPr>
          <w:rFonts w:ascii="Arial" w:hAnsi="Arial" w:cs="Arial"/>
          <w:color w:val="auto"/>
        </w:rPr>
        <w:t>.</w:t>
      </w:r>
      <w:r w:rsidR="00551015">
        <w:rPr>
          <w:rFonts w:ascii="Arial" w:hAnsi="Arial" w:cs="Arial"/>
          <w:color w:val="auto"/>
        </w:rPr>
        <w:t xml:space="preserve">  You provide less support to older people representing </w:t>
      </w:r>
      <w:r w:rsidR="005A16B1">
        <w:rPr>
          <w:rFonts w:ascii="Arial" w:hAnsi="Arial" w:cs="Arial"/>
          <w:color w:val="auto"/>
        </w:rPr>
        <w:t>4.43% of your adult population compared to 5.10% nationally, which is surprising, given your above average deprivation.  Spend on long and short term</w:t>
      </w:r>
      <w:r w:rsidR="00F574C1">
        <w:rPr>
          <w:rFonts w:ascii="Arial" w:hAnsi="Arial" w:cs="Arial"/>
          <w:color w:val="auto"/>
        </w:rPr>
        <w:t xml:space="preserve"> care</w:t>
      </w:r>
      <w:r w:rsidR="005A16B1">
        <w:rPr>
          <w:rFonts w:ascii="Arial" w:hAnsi="Arial" w:cs="Arial"/>
          <w:color w:val="auto"/>
        </w:rPr>
        <w:t xml:space="preserve"> per older </w:t>
      </w:r>
      <w:r w:rsidR="00F574C1">
        <w:rPr>
          <w:rFonts w:ascii="Arial" w:hAnsi="Arial" w:cs="Arial"/>
          <w:color w:val="auto"/>
        </w:rPr>
        <w:t>client</w:t>
      </w:r>
      <w:r w:rsidR="005A16B1" w:rsidRPr="00F574C1">
        <w:rPr>
          <w:rFonts w:ascii="Arial" w:hAnsi="Arial" w:cs="Arial"/>
          <w:color w:val="auto"/>
        </w:rPr>
        <w:t xml:space="preserve"> is £18,655 in 2022/23 which is 1.05% more than the England average of  </w:t>
      </w:r>
      <w:r w:rsidR="00F574C1" w:rsidRPr="00F574C1">
        <w:rPr>
          <w:rFonts w:ascii="Arial" w:hAnsi="Arial" w:cs="Arial"/>
          <w:color w:val="auto"/>
        </w:rPr>
        <w:t>£18,461</w:t>
      </w:r>
      <w:r w:rsidR="00FB3486">
        <w:rPr>
          <w:rFonts w:ascii="Arial" w:hAnsi="Arial" w:cs="Arial"/>
          <w:color w:val="auto"/>
        </w:rPr>
        <w:t>,</w:t>
      </w:r>
      <w:r w:rsidR="00F574C1">
        <w:rPr>
          <w:rFonts w:ascii="Arial" w:hAnsi="Arial" w:cs="Arial"/>
          <w:color w:val="auto"/>
        </w:rPr>
        <w:t xml:space="preserve"> ranked 82</w:t>
      </w:r>
      <w:r w:rsidR="00F574C1" w:rsidRPr="00F574C1">
        <w:rPr>
          <w:rFonts w:ascii="Arial" w:hAnsi="Arial" w:cs="Arial"/>
          <w:color w:val="auto"/>
          <w:vertAlign w:val="superscript"/>
        </w:rPr>
        <w:t>nd</w:t>
      </w:r>
      <w:r w:rsidR="00F574C1">
        <w:rPr>
          <w:rFonts w:ascii="Arial" w:hAnsi="Arial" w:cs="Arial"/>
          <w:color w:val="auto"/>
        </w:rPr>
        <w:t xml:space="preserve"> in England</w:t>
      </w:r>
      <w:r w:rsidR="00F574C1">
        <w:rPr>
          <w:rStyle w:val="FootnoteReference"/>
          <w:rFonts w:ascii="Arial" w:hAnsi="Arial" w:cs="Arial"/>
          <w:color w:val="auto"/>
        </w:rPr>
        <w:footnoteReference w:id="15"/>
      </w:r>
      <w:r w:rsidR="00F574C1">
        <w:rPr>
          <w:rFonts w:ascii="Arial" w:hAnsi="Arial" w:cs="Arial"/>
          <w:color w:val="auto"/>
        </w:rPr>
        <w:t>.</w:t>
      </w:r>
      <w:r w:rsidR="00F574C1" w:rsidRPr="00F574C1">
        <w:rPr>
          <w:rFonts w:ascii="Arial" w:hAnsi="Arial" w:cs="Arial"/>
          <w:color w:val="auto"/>
        </w:rPr>
        <w:t xml:space="preserve"> </w:t>
      </w:r>
      <w:r w:rsidR="00402F74">
        <w:rPr>
          <w:rFonts w:ascii="Arial" w:hAnsi="Arial" w:cs="Arial"/>
          <w:color w:val="auto"/>
        </w:rPr>
        <w:t>Medway is above average for the use of care homes for older people</w:t>
      </w:r>
      <w:r w:rsidR="00FB3486">
        <w:rPr>
          <w:rFonts w:ascii="Arial" w:hAnsi="Arial" w:cs="Arial"/>
          <w:color w:val="auto"/>
        </w:rPr>
        <w:t xml:space="preserve"> at 24.3% above average compared to England.</w:t>
      </w:r>
      <w:r w:rsidR="00056CEC" w:rsidRPr="00B958F2">
        <w:rPr>
          <w:rFonts w:ascii="Arial" w:hAnsi="Arial" w:cs="Arial"/>
          <w:color w:val="000000" w:themeColor="text1"/>
        </w:rPr>
        <w:t xml:space="preserve"> This could be due to effective front door services, providing good information, advice </w:t>
      </w:r>
      <w:r w:rsidR="00D872C4" w:rsidRPr="00B958F2">
        <w:rPr>
          <w:rFonts w:ascii="Arial" w:hAnsi="Arial" w:cs="Arial"/>
          <w:color w:val="000000" w:themeColor="text1"/>
        </w:rPr>
        <w:t xml:space="preserve">&amp; </w:t>
      </w:r>
      <w:r w:rsidR="00056CEC" w:rsidRPr="00B958F2">
        <w:rPr>
          <w:rFonts w:ascii="Arial" w:hAnsi="Arial" w:cs="Arial"/>
          <w:color w:val="000000" w:themeColor="text1"/>
        </w:rPr>
        <w:t>guidance</w:t>
      </w:r>
      <w:r w:rsidR="00D872C4" w:rsidRPr="00B958F2">
        <w:rPr>
          <w:rFonts w:ascii="Arial" w:hAnsi="Arial" w:cs="Arial"/>
          <w:color w:val="000000" w:themeColor="text1"/>
        </w:rPr>
        <w:t xml:space="preserve"> and preventative</w:t>
      </w:r>
      <w:r w:rsidR="008C6B55" w:rsidRPr="00B958F2">
        <w:rPr>
          <w:rFonts w:ascii="Arial" w:hAnsi="Arial" w:cs="Arial"/>
          <w:color w:val="000000" w:themeColor="text1"/>
        </w:rPr>
        <w:t xml:space="preserve"> services to prevent people </w:t>
      </w:r>
      <w:r w:rsidR="00D872C4" w:rsidRPr="00B958F2">
        <w:rPr>
          <w:rFonts w:ascii="Arial" w:hAnsi="Arial" w:cs="Arial"/>
          <w:color w:val="000000" w:themeColor="text1"/>
        </w:rPr>
        <w:t xml:space="preserve">with low levels of need from accessing large packages of care. </w:t>
      </w:r>
      <w:r w:rsidR="006B0EC9" w:rsidRPr="00B958F2">
        <w:rPr>
          <w:rFonts w:ascii="Arial" w:hAnsi="Arial" w:cs="Arial"/>
          <w:color w:val="000000" w:themeColor="text1"/>
        </w:rPr>
        <w:t xml:space="preserve"> However, this does not seem well evidenced or understood within the </w:t>
      </w:r>
      <w:r w:rsidR="00B958F2" w:rsidRPr="00B958F2">
        <w:rPr>
          <w:rFonts w:ascii="Arial" w:hAnsi="Arial" w:cs="Arial"/>
          <w:color w:val="000000" w:themeColor="text1"/>
        </w:rPr>
        <w:t>directorate.  A review of front door services is planned for early in 2024.</w:t>
      </w:r>
    </w:p>
    <w:p w14:paraId="3622A2B8" w14:textId="41231BF3" w:rsidR="00163F0B" w:rsidRPr="005B359B" w:rsidRDefault="004C1823" w:rsidP="005B359B">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Medway’s spending on younger adults is 8.24% above average and </w:t>
      </w:r>
      <w:r w:rsidR="009A3895">
        <w:rPr>
          <w:rFonts w:ascii="Arial" w:hAnsi="Arial" w:cs="Arial"/>
          <w:color w:val="auto"/>
        </w:rPr>
        <w:t xml:space="preserve">you support more younger adults than average, about 2.4% more.  Your cost per younger client of £33,613 </w:t>
      </w:r>
      <w:r w:rsidR="009A3895">
        <w:rPr>
          <w:rFonts w:ascii="Arial" w:hAnsi="Arial" w:cs="Arial"/>
          <w:color w:val="auto"/>
        </w:rPr>
        <w:lastRenderedPageBreak/>
        <w:t>is 5.16% above the national average of £31,964</w:t>
      </w:r>
      <w:r w:rsidR="00C44495">
        <w:rPr>
          <w:rFonts w:ascii="Arial" w:hAnsi="Arial" w:cs="Arial"/>
          <w:color w:val="auto"/>
        </w:rPr>
        <w:t xml:space="preserve"> and 2.4% above the </w:t>
      </w:r>
      <w:proofErr w:type="gramStart"/>
      <w:r w:rsidR="00C44495">
        <w:rPr>
          <w:rFonts w:ascii="Arial" w:hAnsi="Arial" w:cs="Arial"/>
          <w:color w:val="auto"/>
        </w:rPr>
        <w:t>South East</w:t>
      </w:r>
      <w:proofErr w:type="gramEnd"/>
      <w:r w:rsidR="00C44495">
        <w:rPr>
          <w:rFonts w:ascii="Arial" w:hAnsi="Arial" w:cs="Arial"/>
          <w:color w:val="auto"/>
        </w:rPr>
        <w:t xml:space="preserve"> Region average of £32,824</w:t>
      </w:r>
      <w:r w:rsidR="00C44495">
        <w:rPr>
          <w:rStyle w:val="FootnoteReference"/>
          <w:rFonts w:ascii="Arial" w:hAnsi="Arial" w:cs="Arial"/>
          <w:color w:val="auto"/>
        </w:rPr>
        <w:footnoteReference w:id="16"/>
      </w:r>
      <w:r w:rsidR="00C44495">
        <w:rPr>
          <w:rFonts w:ascii="Arial" w:hAnsi="Arial" w:cs="Arial"/>
          <w:color w:val="auto"/>
        </w:rPr>
        <w:t>.  You placed an above average number of younger adults in care homes: in 2021/22 this was 15.4 per 100,000 population compared with 13.9 for England as a whole, which is 10.7% more.</w:t>
      </w:r>
      <w:r w:rsidR="00163F0B" w:rsidRPr="00163F0B">
        <w:rPr>
          <w:rFonts w:ascii="Arial" w:hAnsi="Arial" w:cs="Arial"/>
          <w:color w:val="auto"/>
        </w:rPr>
        <w:t xml:space="preserve"> </w:t>
      </w:r>
    </w:p>
    <w:p w14:paraId="2059B132" w14:textId="70245FC7" w:rsidR="00C36871" w:rsidRPr="00163F0B" w:rsidRDefault="008D4974"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Style w:val="cf01"/>
          <w:rFonts w:ascii="Arial" w:hAnsi="Arial" w:cs="Arial"/>
          <w:color w:val="auto"/>
          <w:sz w:val="24"/>
          <w:szCs w:val="24"/>
        </w:rPr>
        <w:t>Your spending of £293 per younger adult is £93 more than the 90</w:t>
      </w:r>
      <w:r w:rsidRPr="008D4974">
        <w:rPr>
          <w:rStyle w:val="cf01"/>
          <w:rFonts w:ascii="Arial" w:hAnsi="Arial" w:cs="Arial"/>
          <w:color w:val="auto"/>
          <w:sz w:val="24"/>
          <w:szCs w:val="24"/>
          <w:vertAlign w:val="superscript"/>
        </w:rPr>
        <w:t>th</w:t>
      </w:r>
      <w:r>
        <w:rPr>
          <w:rStyle w:val="cf01"/>
          <w:rFonts w:ascii="Arial" w:hAnsi="Arial" w:cs="Arial"/>
          <w:color w:val="auto"/>
          <w:sz w:val="24"/>
          <w:szCs w:val="24"/>
        </w:rPr>
        <w:t xml:space="preserve"> percentile (the 15</w:t>
      </w:r>
      <w:r w:rsidRPr="008D4974">
        <w:rPr>
          <w:rStyle w:val="cf01"/>
          <w:rFonts w:ascii="Arial" w:hAnsi="Arial" w:cs="Arial"/>
          <w:color w:val="auto"/>
          <w:sz w:val="24"/>
          <w:szCs w:val="24"/>
          <w:vertAlign w:val="superscript"/>
        </w:rPr>
        <w:t>th</w:t>
      </w:r>
      <w:r>
        <w:rPr>
          <w:rStyle w:val="cf01"/>
          <w:rFonts w:ascii="Arial" w:hAnsi="Arial" w:cs="Arial"/>
          <w:color w:val="auto"/>
          <w:sz w:val="24"/>
          <w:szCs w:val="24"/>
        </w:rPr>
        <w:t xml:space="preserve"> lowest percentile).  </w:t>
      </w:r>
      <w:r w:rsidR="00163F0B" w:rsidRPr="00163F0B">
        <w:rPr>
          <w:rStyle w:val="cf01"/>
          <w:rFonts w:ascii="Arial" w:hAnsi="Arial" w:cs="Arial"/>
          <w:color w:val="auto"/>
          <w:sz w:val="24"/>
          <w:szCs w:val="24"/>
        </w:rPr>
        <w:t>Whilst the 90th percentile should not be seen as an absolute target; it does suggest that there is scope to go further – to reduce the numbers supported further by finding alternative ways of supporting them so that they do not need long term care. There will also be scope to find ways of supporting those who must be in long term care in ways which help them to live more independently and at less cost. The Better Lives tool will be important for you</w:t>
      </w:r>
      <w:r>
        <w:rPr>
          <w:rStyle w:val="cf01"/>
          <w:rFonts w:ascii="Arial" w:hAnsi="Arial" w:cs="Arial"/>
          <w:color w:val="auto"/>
          <w:sz w:val="24"/>
          <w:szCs w:val="24"/>
        </w:rPr>
        <w:t>.</w:t>
      </w:r>
    </w:p>
    <w:p w14:paraId="22DC3193" w14:textId="45074E90" w:rsidR="00C36871" w:rsidRDefault="00E6250F"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The Council increased contracted rates substantially for 2023/24 at between 6.0% and 7.5%, which is roughly in line with national expectations.</w:t>
      </w:r>
      <w:r w:rsidR="00056CEC">
        <w:rPr>
          <w:rFonts w:ascii="Arial" w:hAnsi="Arial" w:cs="Arial"/>
          <w:color w:val="auto"/>
        </w:rPr>
        <w:t xml:space="preserve">  The higher uplift was aimed at home care providers with the aim of incentivising providers.</w:t>
      </w:r>
      <w:r w:rsidR="00D07E60">
        <w:rPr>
          <w:rFonts w:ascii="Arial" w:hAnsi="Arial" w:cs="Arial"/>
          <w:color w:val="auto"/>
        </w:rPr>
        <w:t xml:space="preserve">  The </w:t>
      </w:r>
      <w:proofErr w:type="gramStart"/>
      <w:r w:rsidR="00D07E60">
        <w:rPr>
          <w:rFonts w:ascii="Arial" w:hAnsi="Arial" w:cs="Arial"/>
          <w:color w:val="auto"/>
        </w:rPr>
        <w:t>South East</w:t>
      </w:r>
      <w:proofErr w:type="gramEnd"/>
      <w:r w:rsidR="00D07E60">
        <w:rPr>
          <w:rFonts w:ascii="Arial" w:hAnsi="Arial" w:cs="Arial"/>
          <w:color w:val="auto"/>
        </w:rPr>
        <w:t xml:space="preserve"> Region of ADASS carries out an annual benchmarking exercise which would be useful to </w:t>
      </w:r>
      <w:r w:rsidR="00056CEC">
        <w:rPr>
          <w:rFonts w:ascii="Arial" w:hAnsi="Arial" w:cs="Arial"/>
          <w:color w:val="auto"/>
        </w:rPr>
        <w:t xml:space="preserve">review and compare where Medway is currently positioned within the region.  I understand from discussion with Medway colleagues that higher than contracted rates are often agreed due to the pressure in the social care market.  This is considered further in </w:t>
      </w:r>
      <w:r w:rsidR="00056CEC" w:rsidRPr="00AC6958">
        <w:rPr>
          <w:rFonts w:ascii="Arial" w:hAnsi="Arial" w:cs="Arial"/>
          <w:color w:val="auto"/>
        </w:rPr>
        <w:t xml:space="preserve">section </w:t>
      </w:r>
      <w:r w:rsidR="00AC6958" w:rsidRPr="00AC6958">
        <w:rPr>
          <w:rFonts w:ascii="Arial" w:hAnsi="Arial" w:cs="Arial"/>
          <w:color w:val="auto"/>
        </w:rPr>
        <w:t>6.8</w:t>
      </w:r>
      <w:r w:rsidR="00056CEC" w:rsidRPr="00AC6958">
        <w:rPr>
          <w:rFonts w:ascii="Arial" w:hAnsi="Arial" w:cs="Arial"/>
          <w:color w:val="auto"/>
        </w:rPr>
        <w:t>.</w:t>
      </w:r>
    </w:p>
    <w:p w14:paraId="1CEA8F3D" w14:textId="59FD2BB8" w:rsidR="00C36871" w:rsidRDefault="00056CEC"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Income collection procedure appear adequate as Medway </w:t>
      </w:r>
      <w:r w:rsidR="00D872C4">
        <w:rPr>
          <w:rFonts w:ascii="Arial" w:hAnsi="Arial" w:cs="Arial"/>
          <w:color w:val="auto"/>
        </w:rPr>
        <w:t>at</w:t>
      </w:r>
      <w:r>
        <w:rPr>
          <w:rFonts w:ascii="Arial" w:hAnsi="Arial" w:cs="Arial"/>
          <w:color w:val="auto"/>
        </w:rPr>
        <w:t xml:space="preserve"> </w:t>
      </w:r>
      <w:r w:rsidR="00D872C4">
        <w:rPr>
          <w:rFonts w:ascii="Arial" w:hAnsi="Arial" w:cs="Arial"/>
          <w:color w:val="auto"/>
        </w:rPr>
        <w:t>13.3% is above average (12.3%) for client contributions as % of gross expenditure. Nevertheless, discussion with Medway colleagues indicates that there has been a backlog in respect of financial assessments.</w:t>
      </w:r>
      <w:r w:rsidR="00CF7FA4">
        <w:rPr>
          <w:rFonts w:ascii="Arial" w:hAnsi="Arial" w:cs="Arial"/>
          <w:color w:val="auto"/>
        </w:rPr>
        <w:t xml:space="preserve">  A review of processes and timing of financial assessments within the overall assessment process will ensure that income due to the council is recovered promptly.  I understand that such a review is scheduled for early 2024.</w:t>
      </w:r>
      <w:r w:rsidR="009A6F0E">
        <w:rPr>
          <w:rFonts w:ascii="Arial" w:hAnsi="Arial" w:cs="Arial"/>
          <w:color w:val="auto"/>
        </w:rPr>
        <w:t xml:space="preserve">  </w:t>
      </w:r>
      <w:r w:rsidR="001E6BE7">
        <w:rPr>
          <w:rFonts w:ascii="Arial" w:hAnsi="Arial" w:cs="Arial"/>
          <w:color w:val="auto"/>
        </w:rPr>
        <w:t xml:space="preserve">The LGA has formatted advice in respect of maximising income from clients this is included as </w:t>
      </w:r>
      <w:r w:rsidR="00650FBF">
        <w:rPr>
          <w:rFonts w:ascii="Arial" w:hAnsi="Arial" w:cs="Arial"/>
          <w:color w:val="auto"/>
        </w:rPr>
        <w:t>A</w:t>
      </w:r>
      <w:r w:rsidR="001E6BE7">
        <w:rPr>
          <w:rFonts w:ascii="Arial" w:hAnsi="Arial" w:cs="Arial"/>
          <w:color w:val="auto"/>
        </w:rPr>
        <w:t>ppendix</w:t>
      </w:r>
      <w:r w:rsidR="00050D43">
        <w:rPr>
          <w:rFonts w:ascii="Arial" w:hAnsi="Arial" w:cs="Arial"/>
          <w:color w:val="auto"/>
        </w:rPr>
        <w:t xml:space="preserve"> 3.</w:t>
      </w:r>
    </w:p>
    <w:p w14:paraId="01602A4B" w14:textId="14804F58" w:rsidR="00AA528F" w:rsidRDefault="00ED668E"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The overall conclusion from the Use of Resources 2022/23 is that there is potentially significant scope to make improvements and savings, particularly in respect of younger adults:</w:t>
      </w:r>
    </w:p>
    <w:p w14:paraId="67408921" w14:textId="77777777" w:rsidR="00ED668E" w:rsidRPr="00F84DD2" w:rsidRDefault="00ED668E" w:rsidP="00746A4F">
      <w:pPr>
        <w:pStyle w:val="ListParagraph"/>
        <w:widowControl w:val="0"/>
        <w:numPr>
          <w:ilvl w:val="0"/>
          <w:numId w:val="17"/>
        </w:numPr>
        <w:rPr>
          <w:rFonts w:cs="Arial"/>
          <w:szCs w:val="24"/>
        </w:rPr>
      </w:pPr>
      <w:r w:rsidRPr="00F84DD2">
        <w:rPr>
          <w:rFonts w:cs="Arial"/>
          <w:szCs w:val="24"/>
        </w:rPr>
        <w:t>Ensuring that all service users are fully Care Act assessed and care put in place that meets needs only, especially given the higher than average spend per younger adult client;</w:t>
      </w:r>
    </w:p>
    <w:p w14:paraId="31D993D3" w14:textId="77777777" w:rsidR="00ED668E" w:rsidRPr="00F84DD2" w:rsidRDefault="00ED668E" w:rsidP="00746A4F">
      <w:pPr>
        <w:pStyle w:val="ListParagraph"/>
        <w:widowControl w:val="0"/>
        <w:numPr>
          <w:ilvl w:val="0"/>
          <w:numId w:val="17"/>
        </w:numPr>
        <w:rPr>
          <w:rFonts w:cs="Arial"/>
          <w:szCs w:val="24"/>
        </w:rPr>
      </w:pPr>
      <w:r w:rsidRPr="00F84DD2">
        <w:rPr>
          <w:rFonts w:cs="Arial"/>
          <w:szCs w:val="24"/>
        </w:rPr>
        <w:t>Ensuring that strength based approaches to assessment are embedded, including effective a community led approach that should be part of the wider council approach to demand management;</w:t>
      </w:r>
    </w:p>
    <w:p w14:paraId="0308E185" w14:textId="77777777" w:rsidR="00ED668E" w:rsidRDefault="00ED668E" w:rsidP="00746A4F">
      <w:pPr>
        <w:pStyle w:val="ListParagraph"/>
        <w:widowControl w:val="0"/>
        <w:numPr>
          <w:ilvl w:val="0"/>
          <w:numId w:val="17"/>
        </w:numPr>
        <w:rPr>
          <w:rFonts w:cs="Arial"/>
          <w:szCs w:val="24"/>
        </w:rPr>
      </w:pPr>
      <w:r w:rsidRPr="00F84DD2">
        <w:rPr>
          <w:rFonts w:cs="Arial"/>
          <w:szCs w:val="24"/>
        </w:rPr>
        <w:t>Reducing the use of care homes through greater emphasis on living independently in the community with light touch support.</w:t>
      </w:r>
    </w:p>
    <w:p w14:paraId="5E0820E8" w14:textId="7DFE7581" w:rsidR="0093496D" w:rsidRPr="0093496D" w:rsidRDefault="00070CB2" w:rsidP="0056760B">
      <w:pPr>
        <w:pStyle w:val="Heading3"/>
        <w:keepNext w:val="0"/>
        <w:keepLines w:val="0"/>
        <w:widowControl w:val="0"/>
        <w:numPr>
          <w:ilvl w:val="2"/>
          <w:numId w:val="10"/>
        </w:numPr>
        <w:tabs>
          <w:tab w:val="left" w:pos="851"/>
        </w:tabs>
        <w:spacing w:after="240" w:line="276" w:lineRule="auto"/>
      </w:pPr>
      <w:r w:rsidRPr="00B958F2">
        <w:rPr>
          <w:rFonts w:ascii="Arial" w:hAnsi="Arial" w:cs="Arial"/>
          <w:color w:val="auto"/>
        </w:rPr>
        <w:t xml:space="preserve">This also needs to be considered alongside </w:t>
      </w:r>
      <w:r w:rsidR="005202CF" w:rsidRPr="00B958F2">
        <w:rPr>
          <w:rFonts w:ascii="Arial" w:hAnsi="Arial" w:cs="Arial"/>
          <w:color w:val="auto"/>
        </w:rPr>
        <w:t xml:space="preserve">similar </w:t>
      </w:r>
      <w:r w:rsidRPr="00B958F2">
        <w:rPr>
          <w:rFonts w:ascii="Arial" w:hAnsi="Arial" w:cs="Arial"/>
          <w:color w:val="auto"/>
        </w:rPr>
        <w:t>demand management strategies for older people</w:t>
      </w:r>
      <w:r w:rsidR="00734E60" w:rsidRPr="00B958F2">
        <w:rPr>
          <w:rFonts w:ascii="Arial" w:hAnsi="Arial" w:cs="Arial"/>
          <w:color w:val="auto"/>
        </w:rPr>
        <w:t xml:space="preserve"> </w:t>
      </w:r>
      <w:r w:rsidR="009B76E3" w:rsidRPr="00B958F2">
        <w:rPr>
          <w:rFonts w:ascii="Arial" w:hAnsi="Arial" w:cs="Arial"/>
          <w:color w:val="auto"/>
        </w:rPr>
        <w:t>to</w:t>
      </w:r>
      <w:r w:rsidR="0093496D" w:rsidRPr="00B958F2">
        <w:rPr>
          <w:rFonts w:ascii="Arial" w:hAnsi="Arial" w:cs="Arial"/>
          <w:color w:val="auto"/>
        </w:rPr>
        <w:t xml:space="preserve"> reduce</w:t>
      </w:r>
      <w:r w:rsidR="009B76E3" w:rsidRPr="00B958F2">
        <w:rPr>
          <w:rFonts w:ascii="Arial" w:hAnsi="Arial" w:cs="Arial"/>
          <w:color w:val="auto"/>
        </w:rPr>
        <w:t xml:space="preserve"> the </w:t>
      </w:r>
      <w:r w:rsidR="005202CF" w:rsidRPr="00B958F2">
        <w:rPr>
          <w:rFonts w:ascii="Arial" w:hAnsi="Arial" w:cs="Arial"/>
          <w:color w:val="auto"/>
        </w:rPr>
        <w:t xml:space="preserve">reliance </w:t>
      </w:r>
      <w:r w:rsidR="009B76E3" w:rsidRPr="00B958F2">
        <w:rPr>
          <w:rFonts w:ascii="Arial" w:hAnsi="Arial" w:cs="Arial"/>
          <w:color w:val="auto"/>
        </w:rPr>
        <w:t>o</w:t>
      </w:r>
      <w:r w:rsidR="005202CF" w:rsidRPr="00B958F2">
        <w:rPr>
          <w:rFonts w:ascii="Arial" w:hAnsi="Arial" w:cs="Arial"/>
          <w:color w:val="auto"/>
        </w:rPr>
        <w:t>n</w:t>
      </w:r>
      <w:r w:rsidR="009B76E3" w:rsidRPr="00B958F2">
        <w:rPr>
          <w:rFonts w:ascii="Arial" w:hAnsi="Arial" w:cs="Arial"/>
          <w:color w:val="auto"/>
        </w:rPr>
        <w:t xml:space="preserve"> residential and nursing care, given the higher than average use of care homes and the higher costs</w:t>
      </w:r>
      <w:r w:rsidR="0093496D" w:rsidRPr="00B958F2">
        <w:rPr>
          <w:rFonts w:ascii="Arial" w:hAnsi="Arial" w:cs="Arial"/>
          <w:color w:val="auto"/>
        </w:rPr>
        <w:t xml:space="preserve"> of care homes</w:t>
      </w:r>
      <w:r w:rsidR="009B76E3" w:rsidRPr="00B958F2">
        <w:rPr>
          <w:rFonts w:ascii="Arial" w:hAnsi="Arial" w:cs="Arial"/>
          <w:color w:val="auto"/>
        </w:rPr>
        <w:t xml:space="preserve">.  Does the council </w:t>
      </w:r>
      <w:r w:rsidR="009B76E3" w:rsidRPr="00B958F2">
        <w:rPr>
          <w:rFonts w:ascii="Arial" w:hAnsi="Arial" w:cs="Arial"/>
          <w:color w:val="auto"/>
        </w:rPr>
        <w:lastRenderedPageBreak/>
        <w:t xml:space="preserve">understand well the referral routes for </w:t>
      </w:r>
      <w:r w:rsidR="005202CF" w:rsidRPr="00B958F2">
        <w:rPr>
          <w:rFonts w:ascii="Arial" w:hAnsi="Arial" w:cs="Arial"/>
          <w:color w:val="auto"/>
        </w:rPr>
        <w:t xml:space="preserve">older </w:t>
      </w:r>
      <w:r w:rsidR="009B76E3" w:rsidRPr="00B958F2">
        <w:rPr>
          <w:rFonts w:ascii="Arial" w:hAnsi="Arial" w:cs="Arial"/>
          <w:color w:val="auto"/>
        </w:rPr>
        <w:t>people into care homes, how many people are placed from the community and how many in relation to hospital discharge?</w:t>
      </w:r>
    </w:p>
    <w:p w14:paraId="6143400F" w14:textId="5DF3172C" w:rsidR="00AA528F" w:rsidRDefault="00C21B64" w:rsidP="00746A4F">
      <w:pPr>
        <w:pStyle w:val="ListParagraph"/>
        <w:widowControl w:val="0"/>
        <w:numPr>
          <w:ilvl w:val="1"/>
          <w:numId w:val="10"/>
        </w:numPr>
        <w:rPr>
          <w:rFonts w:eastAsiaTheme="majorEastAsia" w:cs="Arial"/>
          <w:b/>
          <w:bCs/>
          <w:szCs w:val="24"/>
        </w:rPr>
      </w:pPr>
      <w:r>
        <w:rPr>
          <w:rFonts w:eastAsiaTheme="majorEastAsia" w:cs="Arial"/>
          <w:b/>
          <w:bCs/>
          <w:szCs w:val="24"/>
        </w:rPr>
        <w:t>Budget outturn for adult social care and forecast for 2023/24</w:t>
      </w:r>
    </w:p>
    <w:p w14:paraId="653A935F" w14:textId="4F100453" w:rsidR="002D7EBA" w:rsidRPr="001B777C" w:rsidRDefault="00C21B64"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A review of the </w:t>
      </w:r>
      <w:r w:rsidR="002D7EBA">
        <w:rPr>
          <w:rFonts w:ascii="Arial" w:hAnsi="Arial" w:cs="Arial"/>
          <w:color w:val="auto"/>
        </w:rPr>
        <w:t>c</w:t>
      </w:r>
      <w:r>
        <w:rPr>
          <w:rFonts w:ascii="Arial" w:hAnsi="Arial" w:cs="Arial"/>
          <w:color w:val="auto"/>
        </w:rPr>
        <w:t xml:space="preserve">ouncil’s publicly available outturn reports show that they contain </w:t>
      </w:r>
      <w:r w:rsidR="002D7EBA">
        <w:rPr>
          <w:rFonts w:ascii="Arial" w:hAnsi="Arial" w:cs="Arial"/>
          <w:color w:val="auto"/>
        </w:rPr>
        <w:t>high level information in respect of the council’s outturn position, providing detailed breakdowns of variances per department, accompanied by reasonably detailed narrative.</w:t>
      </w:r>
    </w:p>
    <w:p w14:paraId="37A29D33" w14:textId="24DBFEA5" w:rsidR="002D7EBA" w:rsidRDefault="002D7EBA" w:rsidP="00746A4F">
      <w:pPr>
        <w:widowControl w:val="0"/>
        <w:ind w:left="1220" w:firstLine="84"/>
        <w:rPr>
          <w:rFonts w:ascii="Arial" w:hAnsi="Arial" w:cs="Arial"/>
          <w:b/>
          <w:bCs/>
        </w:rPr>
      </w:pPr>
      <w:r>
        <w:rPr>
          <w:rFonts w:ascii="Arial" w:hAnsi="Arial" w:cs="Arial"/>
          <w:b/>
          <w:bCs/>
        </w:rPr>
        <w:t>Table 4: Summary of budget and outturn for Adult Social Care 2021/22 to 2023/24</w:t>
      </w:r>
      <w:r>
        <w:rPr>
          <w:rStyle w:val="FootnoteReference"/>
          <w:rFonts w:ascii="Arial" w:hAnsi="Arial" w:cs="Arial"/>
          <w:b/>
          <w:bCs/>
        </w:rPr>
        <w:footnoteReference w:id="17"/>
      </w:r>
    </w:p>
    <w:p w14:paraId="5CC11170" w14:textId="77777777" w:rsidR="002D7EBA" w:rsidRPr="002D7EBA" w:rsidRDefault="002D7EBA" w:rsidP="00746A4F">
      <w:pPr>
        <w:widowControl w:val="0"/>
        <w:ind w:left="1220"/>
        <w:rPr>
          <w:rFonts w:ascii="Arial" w:hAnsi="Arial" w:cs="Arial"/>
          <w:b/>
          <w:bCs/>
        </w:rPr>
      </w:pPr>
    </w:p>
    <w:p w14:paraId="23227BE3" w14:textId="48463222" w:rsidR="002D7EBA" w:rsidRDefault="00540530" w:rsidP="00746A4F">
      <w:pPr>
        <w:widowControl w:val="0"/>
        <w:ind w:left="1220" w:firstLine="220"/>
      </w:pPr>
      <w:r w:rsidRPr="00540530">
        <w:rPr>
          <w:noProof/>
        </w:rPr>
        <w:drawing>
          <wp:inline distT="0" distB="0" distL="0" distR="0" wp14:anchorId="359072F3" wp14:editId="407E4C69">
            <wp:extent cx="3689350" cy="1085850"/>
            <wp:effectExtent l="0" t="0" r="0" b="0"/>
            <wp:docPr id="1901033971" name="Picture 19010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0" cy="1085850"/>
                    </a:xfrm>
                    <a:prstGeom prst="rect">
                      <a:avLst/>
                    </a:prstGeom>
                    <a:noFill/>
                    <a:ln>
                      <a:noFill/>
                    </a:ln>
                  </pic:spPr>
                </pic:pic>
              </a:graphicData>
            </a:graphic>
          </wp:inline>
        </w:drawing>
      </w:r>
    </w:p>
    <w:p w14:paraId="3A743A61" w14:textId="77777777" w:rsidR="002D7EBA" w:rsidRDefault="002D7EBA" w:rsidP="00746A4F">
      <w:pPr>
        <w:widowControl w:val="0"/>
      </w:pPr>
    </w:p>
    <w:p w14:paraId="7CA06AC4" w14:textId="77777777" w:rsidR="002D7EBA" w:rsidRPr="002D7EBA" w:rsidRDefault="002D7EBA" w:rsidP="00746A4F">
      <w:pPr>
        <w:widowControl w:val="0"/>
        <w:ind w:left="1220"/>
      </w:pPr>
    </w:p>
    <w:p w14:paraId="13349EB2" w14:textId="586A4687" w:rsidR="002D7EBA" w:rsidRPr="008D2B6E" w:rsidRDefault="00741E74"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In 2021/22 the council had overall outturn of </w:t>
      </w:r>
      <w:r w:rsidR="00737704">
        <w:rPr>
          <w:rFonts w:ascii="Arial" w:hAnsi="Arial" w:cs="Arial"/>
          <w:color w:val="auto"/>
        </w:rPr>
        <w:t>£3.911m underspend</w:t>
      </w:r>
      <w:r w:rsidR="00194404">
        <w:rPr>
          <w:rFonts w:ascii="Arial" w:hAnsi="Arial" w:cs="Arial"/>
          <w:color w:val="auto"/>
        </w:rPr>
        <w:t>.</w:t>
      </w:r>
      <w:r w:rsidR="00737704">
        <w:rPr>
          <w:rFonts w:ascii="Arial" w:hAnsi="Arial" w:cs="Arial"/>
          <w:color w:val="auto"/>
        </w:rPr>
        <w:t xml:space="preserve">  Children’s and Adults Services were overspent by £9.646m of which adult social care accounted for £1.</w:t>
      </w:r>
      <w:r w:rsidR="00737704" w:rsidRPr="00737704">
        <w:rPr>
          <w:rFonts w:ascii="Arial" w:hAnsi="Arial" w:cs="Arial"/>
          <w:color w:val="000000" w:themeColor="text1"/>
        </w:rPr>
        <w:t xml:space="preserve">269m.  This overspend was offset by underspends in other departments, all of which arose due to one off grant funding to compensate for loss of income due to the Covid pandemic.  </w:t>
      </w:r>
      <w:r w:rsidR="00194404" w:rsidRPr="00737704">
        <w:rPr>
          <w:rFonts w:ascii="Arial" w:hAnsi="Arial" w:cs="Arial"/>
          <w:color w:val="000000" w:themeColor="text1"/>
        </w:rPr>
        <w:t xml:space="preserve"> </w:t>
      </w:r>
      <w:r w:rsidR="00737704" w:rsidRPr="00737704">
        <w:rPr>
          <w:rFonts w:ascii="Arial" w:hAnsi="Arial" w:cs="Arial"/>
          <w:color w:val="000000" w:themeColor="text1"/>
        </w:rPr>
        <w:t xml:space="preserve">It was therefore possible for the council to fund the budget requirement for 2021/22 without the planned use of reserves. This, along with the outturn position of an underspend of £3.911million meant that the Council’s General Reserves were £7.916million higher than projected </w:t>
      </w:r>
      <w:proofErr w:type="gramStart"/>
      <w:r w:rsidR="00737704" w:rsidRPr="00737704">
        <w:rPr>
          <w:rFonts w:ascii="Arial" w:hAnsi="Arial" w:cs="Arial"/>
          <w:color w:val="000000" w:themeColor="text1"/>
        </w:rPr>
        <w:t>at</w:t>
      </w:r>
      <w:proofErr w:type="gramEnd"/>
      <w:r w:rsidR="00737704" w:rsidRPr="00737704">
        <w:rPr>
          <w:rFonts w:ascii="Arial" w:hAnsi="Arial" w:cs="Arial"/>
          <w:color w:val="000000" w:themeColor="text1"/>
        </w:rPr>
        <w:t xml:space="preserve"> 31 March 2022.</w:t>
      </w:r>
    </w:p>
    <w:p w14:paraId="1128ACD1" w14:textId="7FC24D14" w:rsidR="00737704" w:rsidRPr="008D2B6E" w:rsidRDefault="00741E74"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In 2022/23 the council reported an outturn overall position of £6.094m overspend, largely due to overspends in Children’s and Adults Services, of which adult social care accounted for £5.868m.  The position in respect of adult social care related to packages of care for older people’s services</w:t>
      </w:r>
      <w:r w:rsidR="00907334">
        <w:rPr>
          <w:rFonts w:ascii="Arial" w:hAnsi="Arial" w:cs="Arial"/>
          <w:color w:val="auto"/>
        </w:rPr>
        <w:t xml:space="preserve"> (£4m)</w:t>
      </w:r>
      <w:r>
        <w:rPr>
          <w:rFonts w:ascii="Arial" w:hAnsi="Arial" w:cs="Arial"/>
          <w:color w:val="auto"/>
        </w:rPr>
        <w:t xml:space="preserve"> a</w:t>
      </w:r>
      <w:r w:rsidR="00907334">
        <w:rPr>
          <w:rFonts w:ascii="Arial" w:hAnsi="Arial" w:cs="Arial"/>
          <w:color w:val="auto"/>
        </w:rPr>
        <w:t>n</w:t>
      </w:r>
      <w:r>
        <w:rPr>
          <w:rFonts w:ascii="Arial" w:hAnsi="Arial" w:cs="Arial"/>
          <w:color w:val="auto"/>
        </w:rPr>
        <w:t>d disability services</w:t>
      </w:r>
      <w:r w:rsidR="00907334">
        <w:rPr>
          <w:rFonts w:ascii="Arial" w:hAnsi="Arial" w:cs="Arial"/>
          <w:color w:val="auto"/>
        </w:rPr>
        <w:t xml:space="preserve"> (£3m), offset by other small underspends.</w:t>
      </w:r>
      <w:r w:rsidR="00DA1AF3">
        <w:rPr>
          <w:rFonts w:ascii="Arial" w:hAnsi="Arial" w:cs="Arial"/>
          <w:color w:val="auto"/>
        </w:rPr>
        <w:t xml:space="preserve">  The overall position of £6.094m was met from reserves as outlined in paragraph 6.2.2.</w:t>
      </w:r>
      <w:r w:rsidR="00241A08">
        <w:rPr>
          <w:rFonts w:ascii="Arial" w:hAnsi="Arial" w:cs="Arial"/>
          <w:color w:val="auto"/>
        </w:rPr>
        <w:t xml:space="preserve">  This increase in overspend appears to have a number of contributing factors to it, including potentially low budget and much higher than expected demand.</w:t>
      </w:r>
    </w:p>
    <w:p w14:paraId="593B81A3" w14:textId="1ED623DB" w:rsidR="00737704" w:rsidRPr="008D2B6E" w:rsidRDefault="00737704"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In respect of 2023/24</w:t>
      </w:r>
      <w:r w:rsidR="00DA1AF3">
        <w:rPr>
          <w:rFonts w:ascii="Arial" w:hAnsi="Arial" w:cs="Arial"/>
          <w:color w:val="auto"/>
        </w:rPr>
        <w:t xml:space="preserve">, the budget pressure within Children’s and Adults Services </w:t>
      </w:r>
      <w:r w:rsidR="0093496D">
        <w:rPr>
          <w:rFonts w:ascii="Arial" w:hAnsi="Arial" w:cs="Arial"/>
          <w:color w:val="auto"/>
        </w:rPr>
        <w:t>continues to increase</w:t>
      </w:r>
      <w:r w:rsidR="001875C5">
        <w:rPr>
          <w:rFonts w:ascii="Arial" w:hAnsi="Arial" w:cs="Arial"/>
          <w:color w:val="auto"/>
        </w:rPr>
        <w:t>, to a total of £</w:t>
      </w:r>
      <w:r w:rsidR="00E82F91">
        <w:rPr>
          <w:rFonts w:ascii="Arial" w:hAnsi="Arial" w:cs="Arial"/>
          <w:color w:val="auto"/>
        </w:rPr>
        <w:t>10.831</w:t>
      </w:r>
      <w:r w:rsidR="001875C5">
        <w:rPr>
          <w:rFonts w:ascii="Arial" w:hAnsi="Arial" w:cs="Arial"/>
          <w:color w:val="auto"/>
        </w:rPr>
        <w:t>m reported in the Round 2 budget monitor, of which adult social care is £7.312m.  The overall position for the council was forecast overspend of £1</w:t>
      </w:r>
      <w:r w:rsidR="00E82F91">
        <w:rPr>
          <w:rFonts w:ascii="Arial" w:hAnsi="Arial" w:cs="Arial"/>
          <w:color w:val="auto"/>
        </w:rPr>
        <w:t>2.251</w:t>
      </w:r>
      <w:r w:rsidR="00241A08">
        <w:rPr>
          <w:rFonts w:ascii="Arial" w:hAnsi="Arial" w:cs="Arial"/>
          <w:color w:val="auto"/>
        </w:rPr>
        <w:t>m</w:t>
      </w:r>
      <w:r w:rsidR="00E82F91">
        <w:rPr>
          <w:rFonts w:ascii="Arial" w:hAnsi="Arial" w:cs="Arial"/>
          <w:color w:val="auto"/>
        </w:rPr>
        <w:t>.</w:t>
      </w:r>
      <w:r w:rsidR="00241A08">
        <w:rPr>
          <w:rFonts w:ascii="Arial" w:hAnsi="Arial" w:cs="Arial"/>
          <w:color w:val="auto"/>
        </w:rPr>
        <w:t xml:space="preserve">  The pressure appears to relate to both increased demand and increasing cost of care packages.  It would be useful to see how spending on care packages has changed over the years both in terms of numbers of clients and average cost of individual packages.  I understand that the budget monitor has been recently amended to monitor this, but it would be useful to look at this retrospectively to </w:t>
      </w:r>
      <w:r w:rsidR="00241A08">
        <w:rPr>
          <w:rFonts w:ascii="Arial" w:hAnsi="Arial" w:cs="Arial"/>
          <w:color w:val="auto"/>
        </w:rPr>
        <w:lastRenderedPageBreak/>
        <w:t>understand trends which may help support the market shaping work.</w:t>
      </w:r>
    </w:p>
    <w:p w14:paraId="70680F63" w14:textId="7EB71CC2" w:rsidR="008D2B6E" w:rsidRPr="008D2B6E" w:rsidRDefault="00E82F91"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At the same time that the Round 2 budget monitor was presented to Cabinet on 21 November 2023, the Draft Capital and Revenue Budget for 2024/25 was also presented.  The savings requirement of £35.798m was identified, with £22.676m allocated to Children’s and Adults Services.  No detailed savings plans have yet been produced, as the council is awaiting the outcome of the CIPFA Resilience Review and the PCH Adult Social Care Financial Review.</w:t>
      </w:r>
      <w:r w:rsidR="00037B61">
        <w:rPr>
          <w:rFonts w:ascii="Arial" w:hAnsi="Arial" w:cs="Arial"/>
          <w:color w:val="auto"/>
        </w:rPr>
        <w:t xml:space="preserve">  Given the potential size of the savings, this may be unrealistic to achieve within a one year period.</w:t>
      </w:r>
    </w:p>
    <w:p w14:paraId="63232FB1" w14:textId="28573DC0" w:rsidR="008D2B6E" w:rsidRDefault="008D2B6E" w:rsidP="00746A4F">
      <w:pPr>
        <w:pStyle w:val="ListParagraph"/>
        <w:widowControl w:val="0"/>
        <w:numPr>
          <w:ilvl w:val="1"/>
          <w:numId w:val="10"/>
        </w:numPr>
        <w:rPr>
          <w:rFonts w:eastAsiaTheme="majorEastAsia" w:cs="Arial"/>
          <w:b/>
          <w:bCs/>
          <w:szCs w:val="24"/>
        </w:rPr>
      </w:pPr>
      <w:r w:rsidRPr="00C21B64">
        <w:rPr>
          <w:rFonts w:eastAsiaTheme="majorEastAsia" w:cs="Arial"/>
          <w:b/>
          <w:bCs/>
          <w:szCs w:val="24"/>
        </w:rPr>
        <w:t>B</w:t>
      </w:r>
      <w:r w:rsidR="000E6424">
        <w:rPr>
          <w:rFonts w:eastAsiaTheme="majorEastAsia" w:cs="Arial"/>
          <w:b/>
          <w:bCs/>
          <w:szCs w:val="24"/>
        </w:rPr>
        <w:t>udget monitoring for 2023/24</w:t>
      </w:r>
    </w:p>
    <w:p w14:paraId="57E97456" w14:textId="685DC7DD" w:rsidR="008D2B6E" w:rsidRDefault="00C21B64" w:rsidP="00746A4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The</w:t>
      </w:r>
      <w:r w:rsidR="000E6424">
        <w:rPr>
          <w:rFonts w:ascii="Arial" w:hAnsi="Arial" w:cs="Arial"/>
          <w:color w:val="auto"/>
        </w:rPr>
        <w:t xml:space="preserve"> latest council position for Round 2 of budget monitoring to 30 September 2023 is shown above in paragraph 6.7.4.  The forecasting is led by the </w:t>
      </w:r>
      <w:r w:rsidR="00FF002F">
        <w:rPr>
          <w:rFonts w:ascii="Arial" w:hAnsi="Arial" w:cs="Arial"/>
          <w:color w:val="auto"/>
        </w:rPr>
        <w:t>finance department, specifically the Business Partner for Adult Social Care, with input from senior managers within adult social care</w:t>
      </w:r>
      <w:r w:rsidR="005534BF">
        <w:rPr>
          <w:rFonts w:ascii="Arial" w:hAnsi="Arial" w:cs="Arial"/>
          <w:color w:val="auto"/>
        </w:rPr>
        <w:t xml:space="preserve"> to understand the activity and position behind the numbers</w:t>
      </w:r>
      <w:r w:rsidR="00FF002F">
        <w:rPr>
          <w:rFonts w:ascii="Arial" w:hAnsi="Arial" w:cs="Arial"/>
          <w:color w:val="auto"/>
        </w:rPr>
        <w:t>.</w:t>
      </w:r>
    </w:p>
    <w:p w14:paraId="0AFD0035" w14:textId="18E9D7C1" w:rsidR="001D052F" w:rsidRDefault="001D052F" w:rsidP="001D052F">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The detailed budget monitor</w:t>
      </w:r>
      <w:r w:rsidR="00236FCC">
        <w:rPr>
          <w:rFonts w:ascii="Arial" w:hAnsi="Arial" w:cs="Arial"/>
          <w:color w:val="auto"/>
        </w:rPr>
        <w:t xml:space="preserve"> for Round 2, which is</w:t>
      </w:r>
      <w:r>
        <w:rPr>
          <w:rFonts w:ascii="Arial" w:hAnsi="Arial" w:cs="Arial"/>
          <w:color w:val="auto"/>
        </w:rPr>
        <w:t xml:space="preserve"> shared with the Assistant Director Adult Social Car</w:t>
      </w:r>
      <w:r w:rsidR="006456BA">
        <w:rPr>
          <w:rFonts w:ascii="Arial" w:hAnsi="Arial" w:cs="Arial"/>
          <w:color w:val="auto"/>
        </w:rPr>
        <w:t>e</w:t>
      </w:r>
      <w:r>
        <w:rPr>
          <w:rFonts w:ascii="Arial" w:hAnsi="Arial" w:cs="Arial"/>
          <w:color w:val="auto"/>
        </w:rPr>
        <w:t xml:space="preserve"> was reviewed; the</w:t>
      </w:r>
      <w:r w:rsidR="00703452">
        <w:rPr>
          <w:rFonts w:ascii="Arial" w:hAnsi="Arial" w:cs="Arial"/>
          <w:color w:val="auto"/>
        </w:rPr>
        <w:t xml:space="preserve"> dashboard</w:t>
      </w:r>
      <w:r>
        <w:rPr>
          <w:rFonts w:ascii="Arial" w:hAnsi="Arial" w:cs="Arial"/>
          <w:color w:val="auto"/>
        </w:rPr>
        <w:t xml:space="preserve"> is well set out and contains sufficient detail for effective budget monitoring,</w:t>
      </w:r>
      <w:r w:rsidR="000156E2">
        <w:rPr>
          <w:rFonts w:ascii="Arial" w:hAnsi="Arial" w:cs="Arial"/>
          <w:color w:val="auto"/>
        </w:rPr>
        <w:t xml:space="preserve"> including the forecast for the previous quarter.</w:t>
      </w:r>
      <w:r>
        <w:rPr>
          <w:rFonts w:ascii="Arial" w:hAnsi="Arial" w:cs="Arial"/>
          <w:color w:val="auto"/>
        </w:rPr>
        <w:t xml:space="preserve"> </w:t>
      </w:r>
      <w:r w:rsidR="00A27C4C">
        <w:rPr>
          <w:rFonts w:ascii="Arial" w:hAnsi="Arial" w:cs="Arial"/>
          <w:color w:val="auto"/>
        </w:rPr>
        <w:t>I</w:t>
      </w:r>
      <w:r>
        <w:rPr>
          <w:rFonts w:ascii="Arial" w:hAnsi="Arial" w:cs="Arial"/>
          <w:color w:val="auto"/>
        </w:rPr>
        <w:t xml:space="preserve">ncome forecasts </w:t>
      </w:r>
      <w:r w:rsidR="00A27C4C">
        <w:rPr>
          <w:rFonts w:ascii="Arial" w:hAnsi="Arial" w:cs="Arial"/>
          <w:color w:val="auto"/>
        </w:rPr>
        <w:t xml:space="preserve">are </w:t>
      </w:r>
      <w:r>
        <w:rPr>
          <w:rFonts w:ascii="Arial" w:hAnsi="Arial" w:cs="Arial"/>
          <w:color w:val="auto"/>
        </w:rPr>
        <w:t>not shown separately, the position was presented net of income.  I would recommend that the position in respect of income is shown separately, to understand clearly whether any of the overspend relates to under recovery of income.</w:t>
      </w:r>
    </w:p>
    <w:p w14:paraId="3BA4981D" w14:textId="7E923670" w:rsidR="00F464A9" w:rsidRPr="00F464A9" w:rsidRDefault="001D052F" w:rsidP="00027646">
      <w:pPr>
        <w:pStyle w:val="Heading3"/>
        <w:keepNext w:val="0"/>
        <w:keepLines w:val="0"/>
        <w:widowControl w:val="0"/>
        <w:numPr>
          <w:ilvl w:val="2"/>
          <w:numId w:val="10"/>
        </w:numPr>
        <w:tabs>
          <w:tab w:val="left" w:pos="851"/>
        </w:tabs>
        <w:spacing w:after="240" w:line="276" w:lineRule="auto"/>
      </w:pPr>
      <w:r>
        <w:rPr>
          <w:rFonts w:ascii="Arial" w:hAnsi="Arial" w:cs="Arial"/>
          <w:color w:val="auto"/>
        </w:rPr>
        <w:t>The format of the report has been recently amended by the Finance Business Partner to show</w:t>
      </w:r>
      <w:r w:rsidR="004005F9">
        <w:rPr>
          <w:rFonts w:ascii="Arial" w:hAnsi="Arial" w:cs="Arial"/>
          <w:color w:val="auto"/>
        </w:rPr>
        <w:t xml:space="preserve">, within each service type, the number of clients, </w:t>
      </w:r>
      <w:r w:rsidR="006456BA">
        <w:rPr>
          <w:rFonts w:ascii="Arial" w:hAnsi="Arial" w:cs="Arial"/>
          <w:color w:val="auto"/>
        </w:rPr>
        <w:t>starters and leavers, weeks of service commissioned</w:t>
      </w:r>
      <w:r w:rsidR="00772573">
        <w:rPr>
          <w:rFonts w:ascii="Arial" w:hAnsi="Arial" w:cs="Arial"/>
          <w:color w:val="auto"/>
        </w:rPr>
        <w:t xml:space="preserve"> and a calculation of average gross cost per week.</w:t>
      </w:r>
      <w:r w:rsidR="00D86FDA">
        <w:rPr>
          <w:rFonts w:ascii="Arial" w:hAnsi="Arial" w:cs="Arial"/>
          <w:color w:val="auto"/>
        </w:rPr>
        <w:t xml:space="preserve">  This supports the understanding of both demand and price pressures within the community care budget.</w:t>
      </w:r>
      <w:r w:rsidR="006E5B1C" w:rsidRPr="006E5B1C">
        <w:rPr>
          <w:rFonts w:ascii="Arial" w:hAnsi="Arial" w:cs="Arial"/>
          <w:color w:val="auto"/>
        </w:rPr>
        <w:t xml:space="preserve"> </w:t>
      </w:r>
      <w:r w:rsidR="00BF2B6F">
        <w:rPr>
          <w:rFonts w:ascii="Arial" w:hAnsi="Arial" w:cs="Arial"/>
          <w:color w:val="auto"/>
        </w:rPr>
        <w:t xml:space="preserve">This is particularly important given the issues with the social care provider market and </w:t>
      </w:r>
      <w:r w:rsidR="00092C3E">
        <w:rPr>
          <w:rFonts w:ascii="Arial" w:hAnsi="Arial" w:cs="Arial"/>
          <w:color w:val="auto"/>
        </w:rPr>
        <w:t xml:space="preserve">the costs of placements being made, discussed in more detail in section </w:t>
      </w:r>
      <w:r w:rsidR="00027646">
        <w:rPr>
          <w:rFonts w:ascii="Arial" w:hAnsi="Arial" w:cs="Arial"/>
          <w:color w:val="auto"/>
        </w:rPr>
        <w:t>6.9.2.</w:t>
      </w:r>
    </w:p>
    <w:p w14:paraId="63E9D3FF" w14:textId="66292621" w:rsidR="00D32E2B" w:rsidRDefault="006E5B1C" w:rsidP="00D32E2B">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112C26">
        <w:rPr>
          <w:rFonts w:ascii="Arial" w:hAnsi="Arial" w:cs="Arial"/>
          <w:color w:val="auto"/>
        </w:rPr>
        <w:t>T</w:t>
      </w:r>
      <w:r w:rsidR="0004470D" w:rsidRPr="00112C26">
        <w:rPr>
          <w:rFonts w:ascii="Arial" w:hAnsi="Arial" w:cs="Arial"/>
          <w:color w:val="auto"/>
        </w:rPr>
        <w:t xml:space="preserve">he </w:t>
      </w:r>
      <w:r w:rsidR="00DA697F" w:rsidRPr="00112C26">
        <w:rPr>
          <w:rFonts w:ascii="Arial" w:hAnsi="Arial" w:cs="Arial"/>
          <w:color w:val="auto"/>
        </w:rPr>
        <w:t xml:space="preserve">monitor shows that the biggest overspends occur for </w:t>
      </w:r>
      <w:r w:rsidR="006E7900" w:rsidRPr="00112C26">
        <w:rPr>
          <w:rFonts w:ascii="Arial" w:hAnsi="Arial" w:cs="Arial"/>
          <w:color w:val="auto"/>
        </w:rPr>
        <w:t xml:space="preserve">Older </w:t>
      </w:r>
      <w:r w:rsidR="002D24D7" w:rsidRPr="00112C26">
        <w:rPr>
          <w:rFonts w:ascii="Arial" w:hAnsi="Arial" w:cs="Arial"/>
          <w:color w:val="auto"/>
        </w:rPr>
        <w:t>P</w:t>
      </w:r>
      <w:r w:rsidR="006E7900" w:rsidRPr="00112C26">
        <w:rPr>
          <w:rFonts w:ascii="Arial" w:hAnsi="Arial" w:cs="Arial"/>
          <w:color w:val="auto"/>
        </w:rPr>
        <w:t>eople and Disability S</w:t>
      </w:r>
      <w:r w:rsidR="002D24D7" w:rsidRPr="00112C26">
        <w:rPr>
          <w:rFonts w:ascii="Arial" w:hAnsi="Arial" w:cs="Arial"/>
          <w:color w:val="auto"/>
        </w:rPr>
        <w:t>ervices, though with a significant reduction</w:t>
      </w:r>
      <w:r w:rsidR="009B3479" w:rsidRPr="00112C26">
        <w:rPr>
          <w:rFonts w:ascii="Arial" w:hAnsi="Arial" w:cs="Arial"/>
          <w:color w:val="auto"/>
        </w:rPr>
        <w:t xml:space="preserve"> (</w:t>
      </w:r>
      <w:r w:rsidR="00857F6B" w:rsidRPr="00112C26">
        <w:rPr>
          <w:rFonts w:ascii="Arial" w:hAnsi="Arial" w:cs="Arial"/>
          <w:color w:val="auto"/>
        </w:rPr>
        <w:t>£1.</w:t>
      </w:r>
      <w:r w:rsidR="00A05903" w:rsidRPr="00112C26">
        <w:rPr>
          <w:rFonts w:ascii="Arial" w:hAnsi="Arial" w:cs="Arial"/>
          <w:color w:val="auto"/>
        </w:rPr>
        <w:t>586</w:t>
      </w:r>
      <w:r w:rsidR="00857F6B" w:rsidRPr="00112C26">
        <w:rPr>
          <w:rFonts w:ascii="Arial" w:hAnsi="Arial" w:cs="Arial"/>
          <w:color w:val="auto"/>
        </w:rPr>
        <w:t>m)</w:t>
      </w:r>
      <w:r w:rsidR="002D24D7" w:rsidRPr="00112C26">
        <w:rPr>
          <w:rFonts w:ascii="Arial" w:hAnsi="Arial" w:cs="Arial"/>
          <w:color w:val="auto"/>
        </w:rPr>
        <w:t xml:space="preserve"> of the overspend for Older People between </w:t>
      </w:r>
      <w:r w:rsidR="006962E5" w:rsidRPr="00112C26">
        <w:rPr>
          <w:rFonts w:ascii="Arial" w:hAnsi="Arial" w:cs="Arial"/>
          <w:color w:val="auto"/>
        </w:rPr>
        <w:t xml:space="preserve">the Round 1 forecast of £3.099m to the Round 2 forecast of </w:t>
      </w:r>
      <w:r w:rsidR="009B3479" w:rsidRPr="00112C26">
        <w:rPr>
          <w:rFonts w:ascii="Arial" w:hAnsi="Arial" w:cs="Arial"/>
          <w:color w:val="auto"/>
        </w:rPr>
        <w:t>£1.</w:t>
      </w:r>
      <w:r w:rsidR="003D32F1" w:rsidRPr="00112C26">
        <w:rPr>
          <w:rFonts w:ascii="Arial" w:hAnsi="Arial" w:cs="Arial"/>
          <w:color w:val="auto"/>
        </w:rPr>
        <w:t>513</w:t>
      </w:r>
      <w:r w:rsidR="009B3479" w:rsidRPr="00112C26">
        <w:rPr>
          <w:rFonts w:ascii="Arial" w:hAnsi="Arial" w:cs="Arial"/>
          <w:color w:val="auto"/>
        </w:rPr>
        <w:t>m</w:t>
      </w:r>
      <w:r w:rsidR="00F74E04" w:rsidRPr="00112C26">
        <w:rPr>
          <w:rFonts w:ascii="Arial" w:hAnsi="Arial" w:cs="Arial"/>
          <w:color w:val="auto"/>
        </w:rPr>
        <w:t xml:space="preserve">, which is apparently due to </w:t>
      </w:r>
      <w:r w:rsidR="001D37A8" w:rsidRPr="00112C26">
        <w:rPr>
          <w:rFonts w:ascii="Arial" w:hAnsi="Arial" w:cs="Arial"/>
          <w:color w:val="auto"/>
        </w:rPr>
        <w:t>increased income from clients</w:t>
      </w:r>
      <w:r w:rsidR="001B2309" w:rsidRPr="00112C26">
        <w:rPr>
          <w:rFonts w:ascii="Arial" w:hAnsi="Arial" w:cs="Arial"/>
          <w:color w:val="auto"/>
        </w:rPr>
        <w:t xml:space="preserve"> and </w:t>
      </w:r>
      <w:r w:rsidR="009D316C" w:rsidRPr="00112C26">
        <w:rPr>
          <w:rFonts w:ascii="Arial" w:hAnsi="Arial" w:cs="Arial"/>
          <w:color w:val="auto"/>
        </w:rPr>
        <w:t>increased income from the BCF relating to direct payments.</w:t>
      </w:r>
      <w:r w:rsidR="001D37A8" w:rsidRPr="00112C26">
        <w:rPr>
          <w:rFonts w:ascii="Arial" w:hAnsi="Arial" w:cs="Arial"/>
          <w:color w:val="auto"/>
        </w:rPr>
        <w:t xml:space="preserve"> </w:t>
      </w:r>
      <w:r w:rsidR="00857F6B" w:rsidRPr="00112C26">
        <w:rPr>
          <w:rFonts w:ascii="Arial" w:hAnsi="Arial" w:cs="Arial"/>
          <w:color w:val="auto"/>
        </w:rPr>
        <w:t>A similar</w:t>
      </w:r>
      <w:r w:rsidR="001A6859" w:rsidRPr="00112C26">
        <w:rPr>
          <w:rFonts w:ascii="Arial" w:hAnsi="Arial" w:cs="Arial"/>
          <w:color w:val="auto"/>
        </w:rPr>
        <w:t>ly large</w:t>
      </w:r>
      <w:r w:rsidR="00857F6B" w:rsidRPr="00112C26">
        <w:rPr>
          <w:rFonts w:ascii="Arial" w:hAnsi="Arial" w:cs="Arial"/>
          <w:color w:val="auto"/>
        </w:rPr>
        <w:t xml:space="preserve"> </w:t>
      </w:r>
      <w:r w:rsidR="001A6859" w:rsidRPr="00112C26">
        <w:rPr>
          <w:rFonts w:ascii="Arial" w:hAnsi="Arial" w:cs="Arial"/>
          <w:color w:val="auto"/>
        </w:rPr>
        <w:t xml:space="preserve">shift </w:t>
      </w:r>
      <w:r w:rsidR="005E08A9" w:rsidRPr="00112C26">
        <w:rPr>
          <w:rFonts w:ascii="Arial" w:hAnsi="Arial" w:cs="Arial"/>
          <w:color w:val="auto"/>
        </w:rPr>
        <w:t>upwards (£</w:t>
      </w:r>
      <w:r w:rsidR="007B6E52" w:rsidRPr="00112C26">
        <w:rPr>
          <w:rFonts w:ascii="Arial" w:hAnsi="Arial" w:cs="Arial"/>
          <w:color w:val="auto"/>
        </w:rPr>
        <w:t>1.</w:t>
      </w:r>
      <w:r w:rsidR="00642340" w:rsidRPr="00112C26">
        <w:rPr>
          <w:rFonts w:ascii="Arial" w:hAnsi="Arial" w:cs="Arial"/>
          <w:color w:val="auto"/>
        </w:rPr>
        <w:t>857</w:t>
      </w:r>
      <w:r w:rsidR="007B6E52" w:rsidRPr="00112C26">
        <w:rPr>
          <w:rFonts w:ascii="Arial" w:hAnsi="Arial" w:cs="Arial"/>
          <w:color w:val="auto"/>
        </w:rPr>
        <w:t xml:space="preserve">m) between the Round 1 forecast of </w:t>
      </w:r>
      <w:r w:rsidR="00F30390" w:rsidRPr="00112C26">
        <w:rPr>
          <w:rFonts w:ascii="Arial" w:hAnsi="Arial" w:cs="Arial"/>
          <w:color w:val="auto"/>
        </w:rPr>
        <w:t xml:space="preserve">£3.331m to </w:t>
      </w:r>
      <w:r w:rsidR="00CB5757" w:rsidRPr="00112C26">
        <w:rPr>
          <w:rFonts w:ascii="Arial" w:hAnsi="Arial" w:cs="Arial"/>
          <w:color w:val="auto"/>
        </w:rPr>
        <w:t>£5.188m has occurred in respect of Disability Service</w:t>
      </w:r>
      <w:r w:rsidR="001B2309" w:rsidRPr="00112C26">
        <w:rPr>
          <w:rFonts w:ascii="Arial" w:hAnsi="Arial" w:cs="Arial"/>
          <w:color w:val="auto"/>
        </w:rPr>
        <w:t>s</w:t>
      </w:r>
      <w:r w:rsidR="008F1439" w:rsidRPr="00112C26">
        <w:rPr>
          <w:rFonts w:ascii="Arial" w:hAnsi="Arial" w:cs="Arial"/>
          <w:color w:val="auto"/>
        </w:rPr>
        <w:t xml:space="preserve"> due to increased number of clients and increasing complexity of clients </w:t>
      </w:r>
      <w:r w:rsidR="00C13AEC" w:rsidRPr="00112C26">
        <w:rPr>
          <w:rFonts w:ascii="Arial" w:hAnsi="Arial" w:cs="Arial"/>
          <w:color w:val="auto"/>
        </w:rPr>
        <w:t>now needing nursing care</w:t>
      </w:r>
      <w:r w:rsidR="00D32E2B">
        <w:rPr>
          <w:rFonts w:ascii="Arial" w:hAnsi="Arial" w:cs="Arial"/>
          <w:color w:val="auto"/>
        </w:rPr>
        <w:t>.</w:t>
      </w:r>
      <w:r w:rsidR="00027646">
        <w:rPr>
          <w:rFonts w:ascii="Arial" w:hAnsi="Arial" w:cs="Arial"/>
          <w:color w:val="auto"/>
        </w:rPr>
        <w:t xml:space="preserve">  The impact of under recovery of income should be clearly illustrated in the budget monitor to ensure it is as accurate as possible.  It is also unclear whether the underlying reasons for increased demand are understood by the council.</w:t>
      </w:r>
    </w:p>
    <w:p w14:paraId="2DB427CE" w14:textId="1D00259C" w:rsidR="00112C26" w:rsidRDefault="00D32E2B" w:rsidP="00D32E2B">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The Better Care Fund </w:t>
      </w:r>
      <w:r w:rsidR="00507C1E">
        <w:rPr>
          <w:rFonts w:ascii="Arial" w:hAnsi="Arial" w:cs="Arial"/>
          <w:color w:val="auto"/>
        </w:rPr>
        <w:t xml:space="preserve">(BCF), totalling £22.7 excluding capital,  </w:t>
      </w:r>
      <w:r>
        <w:rPr>
          <w:rFonts w:ascii="Arial" w:hAnsi="Arial" w:cs="Arial"/>
          <w:color w:val="auto"/>
        </w:rPr>
        <w:t xml:space="preserve">is monitored separately through the Head of Commissioning post, which </w:t>
      </w:r>
      <w:r w:rsidR="00507C1E">
        <w:rPr>
          <w:rFonts w:ascii="Arial" w:hAnsi="Arial" w:cs="Arial"/>
          <w:color w:val="auto"/>
        </w:rPr>
        <w:t xml:space="preserve">manages </w:t>
      </w:r>
      <w:r>
        <w:rPr>
          <w:rFonts w:ascii="Arial" w:hAnsi="Arial" w:cs="Arial"/>
          <w:color w:val="auto"/>
        </w:rPr>
        <w:t xml:space="preserve">a joint team focusing on </w:t>
      </w:r>
      <w:r w:rsidR="00593CC3">
        <w:rPr>
          <w:rFonts w:ascii="Arial" w:hAnsi="Arial" w:cs="Arial"/>
          <w:color w:val="auto"/>
        </w:rPr>
        <w:t xml:space="preserve">partnership </w:t>
      </w:r>
      <w:r>
        <w:rPr>
          <w:rFonts w:ascii="Arial" w:hAnsi="Arial" w:cs="Arial"/>
          <w:color w:val="auto"/>
        </w:rPr>
        <w:t>working with the NH</w:t>
      </w:r>
      <w:r w:rsidR="00507C1E">
        <w:rPr>
          <w:rFonts w:ascii="Arial" w:hAnsi="Arial" w:cs="Arial"/>
          <w:color w:val="auto"/>
        </w:rPr>
        <w:t>S</w:t>
      </w:r>
      <w:r w:rsidR="00593CC3">
        <w:rPr>
          <w:rFonts w:ascii="Arial" w:hAnsi="Arial" w:cs="Arial"/>
          <w:color w:val="auto"/>
        </w:rPr>
        <w:t>, with a small number of staff focusing on strategic commissioning for adult social care.</w:t>
      </w:r>
      <w:r w:rsidR="00507C1E">
        <w:rPr>
          <w:rFonts w:ascii="Arial" w:hAnsi="Arial" w:cs="Arial"/>
          <w:color w:val="auto"/>
        </w:rPr>
        <w:t xml:space="preserve">  A proportion of the BCF remains unallocated, some £3.288m, effectively a contingency, which the council and the ICB split 50:50 at year end </w:t>
      </w:r>
      <w:r w:rsidR="00507C1E">
        <w:rPr>
          <w:rFonts w:ascii="Arial" w:hAnsi="Arial" w:cs="Arial"/>
          <w:color w:val="auto"/>
        </w:rPr>
        <w:lastRenderedPageBreak/>
        <w:t>in accordance with the Section 75 Agreement.  The overall contribution to the adult social care budget from the BCF is £7.1m including the</w:t>
      </w:r>
      <w:r w:rsidR="00593CC3">
        <w:rPr>
          <w:rFonts w:ascii="Arial" w:hAnsi="Arial" w:cs="Arial"/>
          <w:color w:val="auto"/>
        </w:rPr>
        <w:t xml:space="preserve"> council’s</w:t>
      </w:r>
      <w:r w:rsidR="00507C1E">
        <w:rPr>
          <w:rFonts w:ascii="Arial" w:hAnsi="Arial" w:cs="Arial"/>
          <w:color w:val="auto"/>
        </w:rPr>
        <w:t xml:space="preserve"> share of the</w:t>
      </w:r>
      <w:r w:rsidR="00593CC3">
        <w:rPr>
          <w:rFonts w:ascii="Arial" w:hAnsi="Arial" w:cs="Arial"/>
          <w:color w:val="auto"/>
        </w:rPr>
        <w:t xml:space="preserve"> unallo</w:t>
      </w:r>
      <w:r w:rsidR="007B24B5">
        <w:rPr>
          <w:rFonts w:ascii="Arial" w:hAnsi="Arial" w:cs="Arial"/>
          <w:color w:val="auto"/>
        </w:rPr>
        <w:t>cated amount.</w:t>
      </w:r>
    </w:p>
    <w:p w14:paraId="013A2A73" w14:textId="52144909" w:rsidR="00551576" w:rsidRPr="00551576" w:rsidRDefault="00551576" w:rsidP="00551576">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There is no delegation of budgets to the social work teams,</w:t>
      </w:r>
      <w:r w:rsidR="00507C1E">
        <w:rPr>
          <w:rFonts w:ascii="Arial" w:hAnsi="Arial" w:cs="Arial"/>
          <w:color w:val="auto"/>
        </w:rPr>
        <w:t xml:space="preserve"> the responsibility for budget oversight remains with adult social care senior managers.  This means that social work staff and the brokerage team</w:t>
      </w:r>
      <w:r>
        <w:rPr>
          <w:rFonts w:ascii="Arial" w:hAnsi="Arial" w:cs="Arial"/>
          <w:color w:val="auto"/>
        </w:rPr>
        <w:t xml:space="preserve"> are making placement decisions without understanding the financial implications of doing so</w:t>
      </w:r>
      <w:r w:rsidR="007B24B5">
        <w:rPr>
          <w:rFonts w:ascii="Arial" w:hAnsi="Arial" w:cs="Arial"/>
          <w:color w:val="auto"/>
        </w:rPr>
        <w:t>, with placements often being made at higher non-contracted rates given the shortage of placements.</w:t>
      </w:r>
      <w:r>
        <w:rPr>
          <w:rFonts w:ascii="Arial" w:hAnsi="Arial" w:cs="Arial"/>
          <w:color w:val="auto"/>
        </w:rPr>
        <w:t xml:space="preserve"> </w:t>
      </w:r>
      <w:r w:rsidR="00027646">
        <w:rPr>
          <w:rFonts w:ascii="Arial" w:hAnsi="Arial" w:cs="Arial"/>
          <w:color w:val="auto"/>
        </w:rPr>
        <w:t xml:space="preserve">The commissioning team sits under the direction of the Director of Public Health, with a focus on joint working with the NHS and strategic commissioning.  </w:t>
      </w:r>
      <w:r w:rsidR="007D5699">
        <w:rPr>
          <w:rFonts w:ascii="Arial" w:hAnsi="Arial" w:cs="Arial"/>
          <w:color w:val="auto"/>
        </w:rPr>
        <w:t>T</w:t>
      </w:r>
      <w:r w:rsidR="00027646">
        <w:rPr>
          <w:rFonts w:ascii="Arial" w:hAnsi="Arial" w:cs="Arial"/>
          <w:color w:val="auto"/>
        </w:rPr>
        <w:t>here is a small team focussing on adult social care.  I would recommend that the capacity and skills within the commissioning</w:t>
      </w:r>
      <w:r w:rsidR="0044057E">
        <w:rPr>
          <w:rFonts w:ascii="Arial" w:hAnsi="Arial" w:cs="Arial"/>
          <w:color w:val="auto"/>
        </w:rPr>
        <w:t xml:space="preserve"> team</w:t>
      </w:r>
      <w:r w:rsidR="00027646">
        <w:rPr>
          <w:rFonts w:ascii="Arial" w:hAnsi="Arial" w:cs="Arial"/>
          <w:color w:val="auto"/>
        </w:rPr>
        <w:t xml:space="preserve"> are reviewed to ensure that </w:t>
      </w:r>
      <w:r w:rsidR="0044057E">
        <w:rPr>
          <w:rFonts w:ascii="Arial" w:hAnsi="Arial" w:cs="Arial"/>
          <w:color w:val="auto"/>
        </w:rPr>
        <w:t>effective market management can be undertaken as soon as possible.</w:t>
      </w:r>
    </w:p>
    <w:p w14:paraId="1A8070E2" w14:textId="76DEA902" w:rsidR="00112C26" w:rsidRPr="00C2078C" w:rsidRDefault="00112C26" w:rsidP="00112C26">
      <w:pPr>
        <w:pStyle w:val="Heading3"/>
        <w:keepNext w:val="0"/>
        <w:keepLines w:val="0"/>
        <w:widowControl w:val="0"/>
        <w:numPr>
          <w:ilvl w:val="2"/>
          <w:numId w:val="10"/>
        </w:numPr>
        <w:tabs>
          <w:tab w:val="left" w:pos="851"/>
        </w:tabs>
        <w:spacing w:after="240" w:line="276" w:lineRule="auto"/>
        <w:rPr>
          <w:rFonts w:ascii="Arial" w:hAnsi="Arial" w:cs="Arial"/>
          <w:color w:val="000000" w:themeColor="text1"/>
        </w:rPr>
      </w:pPr>
      <w:r w:rsidRPr="00C2078C">
        <w:rPr>
          <w:rFonts w:ascii="Arial" w:hAnsi="Arial" w:cs="Arial"/>
          <w:color w:val="000000" w:themeColor="text1"/>
        </w:rPr>
        <w:t xml:space="preserve">To </w:t>
      </w:r>
      <w:r w:rsidR="00C2078C" w:rsidRPr="00C2078C">
        <w:rPr>
          <w:rFonts w:ascii="Arial" w:hAnsi="Arial" w:cs="Arial"/>
          <w:color w:val="000000" w:themeColor="text1"/>
        </w:rPr>
        <w:t xml:space="preserve">ensure that the Council is in a robust position in terms of financial planning for </w:t>
      </w:r>
      <w:r w:rsidR="00C2078C">
        <w:rPr>
          <w:rFonts w:ascii="Arial" w:hAnsi="Arial" w:cs="Arial"/>
          <w:color w:val="000000" w:themeColor="text1"/>
        </w:rPr>
        <w:t>a</w:t>
      </w:r>
      <w:r w:rsidR="00C2078C" w:rsidRPr="00C2078C">
        <w:rPr>
          <w:rFonts w:ascii="Arial" w:hAnsi="Arial" w:cs="Arial"/>
          <w:color w:val="000000" w:themeColor="text1"/>
        </w:rPr>
        <w:t xml:space="preserve">dult </w:t>
      </w:r>
      <w:r w:rsidR="00C2078C">
        <w:rPr>
          <w:rFonts w:ascii="Arial" w:hAnsi="Arial" w:cs="Arial"/>
          <w:color w:val="000000" w:themeColor="text1"/>
        </w:rPr>
        <w:t>s</w:t>
      </w:r>
      <w:r w:rsidR="00C2078C" w:rsidRPr="00C2078C">
        <w:rPr>
          <w:rFonts w:ascii="Arial" w:hAnsi="Arial" w:cs="Arial"/>
          <w:color w:val="000000" w:themeColor="text1"/>
        </w:rPr>
        <w:t xml:space="preserve">ocial </w:t>
      </w:r>
      <w:r w:rsidR="00C2078C">
        <w:rPr>
          <w:rFonts w:ascii="Arial" w:hAnsi="Arial" w:cs="Arial"/>
          <w:color w:val="000000" w:themeColor="text1"/>
        </w:rPr>
        <w:t>c</w:t>
      </w:r>
      <w:r w:rsidR="00C2078C" w:rsidRPr="00C2078C">
        <w:rPr>
          <w:rFonts w:ascii="Arial" w:hAnsi="Arial" w:cs="Arial"/>
          <w:color w:val="000000" w:themeColor="text1"/>
        </w:rPr>
        <w:t xml:space="preserve">are in the future, I think the </w:t>
      </w:r>
      <w:r w:rsidR="00C2078C">
        <w:rPr>
          <w:rFonts w:ascii="Arial" w:hAnsi="Arial" w:cs="Arial"/>
          <w:color w:val="000000" w:themeColor="text1"/>
        </w:rPr>
        <w:t>c</w:t>
      </w:r>
      <w:r w:rsidR="00C2078C" w:rsidRPr="00C2078C">
        <w:rPr>
          <w:rFonts w:ascii="Arial" w:hAnsi="Arial" w:cs="Arial"/>
          <w:color w:val="000000" w:themeColor="text1"/>
        </w:rPr>
        <w:t>ouncil should go further in respect of monitoring the Community Care budget overall.  Budget monitoring of care packages is complex, and needs significant collaboration between finance and performance colleagues within the Council to fully understand the movements and pressures within i</w:t>
      </w:r>
      <w:r w:rsidR="007C548C">
        <w:rPr>
          <w:rFonts w:ascii="Arial" w:hAnsi="Arial" w:cs="Arial"/>
          <w:color w:val="000000" w:themeColor="text1"/>
        </w:rPr>
        <w:t>t.</w:t>
      </w:r>
    </w:p>
    <w:p w14:paraId="6A9F3B07" w14:textId="0D4863F6" w:rsidR="006E5B1C" w:rsidRDefault="007C548C" w:rsidP="00112C26">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I therefore recommend </w:t>
      </w:r>
      <w:r w:rsidR="00161E15">
        <w:rPr>
          <w:rFonts w:ascii="Arial" w:hAnsi="Arial" w:cs="Arial"/>
          <w:color w:val="auto"/>
        </w:rPr>
        <w:t>that a suite of management information for adult care services senior managers is developed in respect of the community care budget, including amongst others:</w:t>
      </w:r>
    </w:p>
    <w:p w14:paraId="3F535C95" w14:textId="77777777" w:rsidR="00064470" w:rsidRPr="00FD1DFC" w:rsidRDefault="00064470" w:rsidP="00064470">
      <w:pPr>
        <w:pStyle w:val="ListParagraph"/>
        <w:numPr>
          <w:ilvl w:val="0"/>
          <w:numId w:val="19"/>
        </w:numPr>
        <w:spacing w:after="0"/>
        <w:rPr>
          <w:rFonts w:cs="Arial"/>
          <w:szCs w:val="24"/>
        </w:rPr>
      </w:pPr>
      <w:r w:rsidRPr="00FD1DFC">
        <w:rPr>
          <w:rFonts w:cs="Arial"/>
          <w:szCs w:val="24"/>
        </w:rPr>
        <w:t>reporting on a weekly or monthly basis (or ‘live’ if possible)</w:t>
      </w:r>
    </w:p>
    <w:p w14:paraId="7C139266" w14:textId="77777777" w:rsidR="00064470" w:rsidRPr="00FD1DFC" w:rsidRDefault="00064470" w:rsidP="00064470">
      <w:pPr>
        <w:pStyle w:val="ListParagraph"/>
        <w:numPr>
          <w:ilvl w:val="0"/>
          <w:numId w:val="19"/>
        </w:numPr>
        <w:spacing w:after="0"/>
        <w:rPr>
          <w:rFonts w:cs="Arial"/>
          <w:szCs w:val="24"/>
        </w:rPr>
      </w:pPr>
      <w:r w:rsidRPr="00FD1DFC">
        <w:rPr>
          <w:rFonts w:cs="Arial"/>
          <w:szCs w:val="24"/>
        </w:rPr>
        <w:t xml:space="preserve">referral points for people accessing services </w:t>
      </w:r>
      <w:proofErr w:type="spellStart"/>
      <w:r w:rsidRPr="00FD1DFC">
        <w:rPr>
          <w:rFonts w:cs="Arial"/>
          <w:szCs w:val="24"/>
        </w:rPr>
        <w:t>eg</w:t>
      </w:r>
      <w:proofErr w:type="spellEnd"/>
      <w:r w:rsidRPr="00FD1DFC">
        <w:rPr>
          <w:rFonts w:cs="Arial"/>
          <w:szCs w:val="24"/>
        </w:rPr>
        <w:t xml:space="preserve"> hospital, community, self, family, carer or GP to understand sources of demand</w:t>
      </w:r>
    </w:p>
    <w:p w14:paraId="15E43DD5" w14:textId="77777777" w:rsidR="00064470" w:rsidRPr="00FD1DFC" w:rsidRDefault="00064470" w:rsidP="00064470">
      <w:pPr>
        <w:pStyle w:val="ListParagraph"/>
        <w:numPr>
          <w:ilvl w:val="0"/>
          <w:numId w:val="19"/>
        </w:numPr>
        <w:spacing w:after="0"/>
        <w:rPr>
          <w:rFonts w:cs="Arial"/>
          <w:szCs w:val="24"/>
        </w:rPr>
      </w:pPr>
      <w:r w:rsidRPr="00FD1DFC">
        <w:rPr>
          <w:rFonts w:cs="Arial"/>
          <w:szCs w:val="24"/>
        </w:rPr>
        <w:t>which teams have approved which placements (even down to staff member level)</w:t>
      </w:r>
    </w:p>
    <w:p w14:paraId="7024C1B5" w14:textId="77777777" w:rsidR="00064470" w:rsidRPr="00FD1DFC" w:rsidRDefault="00064470" w:rsidP="00064470">
      <w:pPr>
        <w:pStyle w:val="ListParagraph"/>
        <w:numPr>
          <w:ilvl w:val="0"/>
          <w:numId w:val="19"/>
        </w:numPr>
        <w:spacing w:after="0"/>
        <w:rPr>
          <w:rFonts w:cs="Arial"/>
          <w:szCs w:val="24"/>
        </w:rPr>
      </w:pPr>
      <w:r w:rsidRPr="00FD1DFC">
        <w:rPr>
          <w:rFonts w:cs="Arial"/>
          <w:szCs w:val="24"/>
        </w:rPr>
        <w:t>the impact of deaths on service user numbers</w:t>
      </w:r>
    </w:p>
    <w:p w14:paraId="4D2838D6" w14:textId="77777777" w:rsidR="00064470" w:rsidRPr="00FD1DFC" w:rsidRDefault="00064470" w:rsidP="00064470">
      <w:pPr>
        <w:pStyle w:val="ListParagraph"/>
        <w:numPr>
          <w:ilvl w:val="0"/>
          <w:numId w:val="19"/>
        </w:numPr>
        <w:spacing w:after="0"/>
        <w:rPr>
          <w:rFonts w:cs="Arial"/>
          <w:szCs w:val="24"/>
        </w:rPr>
      </w:pPr>
      <w:proofErr w:type="spellStart"/>
      <w:r w:rsidRPr="00FD1DFC">
        <w:rPr>
          <w:rFonts w:cs="Arial"/>
          <w:szCs w:val="24"/>
        </w:rPr>
        <w:t>the</w:t>
      </w:r>
      <w:proofErr w:type="spellEnd"/>
      <w:r w:rsidRPr="00FD1DFC">
        <w:rPr>
          <w:rFonts w:cs="Arial"/>
          <w:szCs w:val="24"/>
        </w:rPr>
        <w:t xml:space="preserve"> spend per package approved and by which manager</w:t>
      </w:r>
    </w:p>
    <w:p w14:paraId="1B193BCB" w14:textId="77777777" w:rsidR="00064470" w:rsidRPr="00FD1DFC" w:rsidRDefault="00064470" w:rsidP="00064470">
      <w:pPr>
        <w:pStyle w:val="ListParagraph"/>
        <w:numPr>
          <w:ilvl w:val="0"/>
          <w:numId w:val="19"/>
        </w:numPr>
        <w:spacing w:after="0"/>
        <w:rPr>
          <w:rFonts w:cs="Arial"/>
          <w:szCs w:val="24"/>
        </w:rPr>
      </w:pPr>
      <w:r w:rsidRPr="00FD1DFC">
        <w:rPr>
          <w:rFonts w:cs="Arial"/>
          <w:szCs w:val="24"/>
        </w:rPr>
        <w:t>the number of people placed in which care settings to monitor, for example, reductions in residential care placements or increases in other cost effective services such as shared lives</w:t>
      </w:r>
    </w:p>
    <w:p w14:paraId="32178A40" w14:textId="77777777" w:rsidR="00064470" w:rsidRPr="00FD1DFC" w:rsidRDefault="00064470" w:rsidP="00064470">
      <w:pPr>
        <w:pStyle w:val="ListParagraph"/>
        <w:numPr>
          <w:ilvl w:val="0"/>
          <w:numId w:val="19"/>
        </w:numPr>
        <w:spacing w:after="0"/>
        <w:rPr>
          <w:rFonts w:cs="Arial"/>
          <w:szCs w:val="24"/>
        </w:rPr>
      </w:pPr>
      <w:r w:rsidRPr="00FD1DFC">
        <w:rPr>
          <w:rFonts w:cs="Arial"/>
          <w:szCs w:val="24"/>
        </w:rPr>
        <w:t>NHS joint funded packages</w:t>
      </w:r>
    </w:p>
    <w:p w14:paraId="70977944" w14:textId="570B7417" w:rsidR="002F6F21" w:rsidRPr="002F6F21" w:rsidRDefault="00064470" w:rsidP="002F6F21">
      <w:pPr>
        <w:pStyle w:val="ListParagraph"/>
        <w:numPr>
          <w:ilvl w:val="0"/>
          <w:numId w:val="19"/>
        </w:numPr>
      </w:pPr>
      <w:r w:rsidRPr="00064470">
        <w:rPr>
          <w:rFonts w:cs="Arial"/>
        </w:rPr>
        <w:t>in terms of reviews, which packages have gone up in need and cost, which have stayed the same and which have gone down</w:t>
      </w:r>
      <w:r>
        <w:rPr>
          <w:rFonts w:cs="Arial"/>
        </w:rPr>
        <w:t>.</w:t>
      </w:r>
    </w:p>
    <w:p w14:paraId="658ACAA3" w14:textId="77777777" w:rsidR="002F6F21" w:rsidRPr="002F6F21" w:rsidRDefault="002F6F21" w:rsidP="002F6F21">
      <w:pPr>
        <w:pStyle w:val="ListParagraph"/>
        <w:ind w:left="1647"/>
      </w:pPr>
    </w:p>
    <w:p w14:paraId="7E1429A6" w14:textId="2991FB75" w:rsidR="002F6F21" w:rsidRDefault="002F6F21" w:rsidP="002F6F21">
      <w:pPr>
        <w:pStyle w:val="ListParagraph"/>
        <w:widowControl w:val="0"/>
        <w:numPr>
          <w:ilvl w:val="1"/>
          <w:numId w:val="10"/>
        </w:numPr>
        <w:rPr>
          <w:rFonts w:eastAsiaTheme="majorEastAsia" w:cs="Arial"/>
          <w:b/>
          <w:bCs/>
          <w:szCs w:val="24"/>
        </w:rPr>
      </w:pPr>
      <w:r>
        <w:rPr>
          <w:rFonts w:eastAsiaTheme="majorEastAsia" w:cs="Arial"/>
          <w:b/>
          <w:bCs/>
          <w:szCs w:val="24"/>
        </w:rPr>
        <w:t>Underlying issues in respect of the budget pressures in adult social care</w:t>
      </w:r>
    </w:p>
    <w:p w14:paraId="7236AE44" w14:textId="2690B040" w:rsidR="002F6F21" w:rsidRDefault="00F82BD9" w:rsidP="002F6F21">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 xml:space="preserve">Discussions with </w:t>
      </w:r>
      <w:r w:rsidR="002F6F21">
        <w:rPr>
          <w:rFonts w:ascii="Arial" w:hAnsi="Arial" w:cs="Arial"/>
          <w:color w:val="auto"/>
        </w:rPr>
        <w:t xml:space="preserve">staff in commissioning, finance and including the Assistant Director Adult Social Care have identified a number of issues which appear to </w:t>
      </w:r>
      <w:r w:rsidR="007C54C4">
        <w:rPr>
          <w:rFonts w:ascii="Arial" w:hAnsi="Arial" w:cs="Arial"/>
          <w:color w:val="auto"/>
        </w:rPr>
        <w:t xml:space="preserve">contribute significantly to </w:t>
      </w:r>
      <w:r w:rsidR="002F6F21">
        <w:rPr>
          <w:rFonts w:ascii="Arial" w:hAnsi="Arial" w:cs="Arial"/>
          <w:color w:val="auto"/>
        </w:rPr>
        <w:t>the budget pressures</w:t>
      </w:r>
      <w:r w:rsidR="007C54C4">
        <w:rPr>
          <w:rFonts w:ascii="Arial" w:hAnsi="Arial" w:cs="Arial"/>
          <w:color w:val="auto"/>
        </w:rPr>
        <w:t xml:space="preserve"> and overspends</w:t>
      </w:r>
      <w:r w:rsidR="006264A4">
        <w:rPr>
          <w:rFonts w:ascii="Arial" w:hAnsi="Arial" w:cs="Arial"/>
          <w:color w:val="auto"/>
        </w:rPr>
        <w:t>.</w:t>
      </w:r>
      <w:r w:rsidR="00551576">
        <w:rPr>
          <w:rFonts w:ascii="Arial" w:hAnsi="Arial" w:cs="Arial"/>
          <w:color w:val="auto"/>
        </w:rPr>
        <w:t xml:space="preserve">  Rather than go into detail in respect of</w:t>
      </w:r>
      <w:r w:rsidR="005C3B51">
        <w:rPr>
          <w:rFonts w:ascii="Arial" w:hAnsi="Arial" w:cs="Arial"/>
          <w:color w:val="auto"/>
        </w:rPr>
        <w:t xml:space="preserve"> each</w:t>
      </w:r>
      <w:r w:rsidR="00551576">
        <w:rPr>
          <w:rFonts w:ascii="Arial" w:hAnsi="Arial" w:cs="Arial"/>
          <w:color w:val="auto"/>
        </w:rPr>
        <w:t xml:space="preserve">, I outline a proposed approach to transformation which should address </w:t>
      </w:r>
      <w:r w:rsidR="005C3B51">
        <w:rPr>
          <w:rFonts w:ascii="Arial" w:hAnsi="Arial" w:cs="Arial"/>
          <w:color w:val="auto"/>
        </w:rPr>
        <w:t>the issues</w:t>
      </w:r>
      <w:r w:rsidR="00551576">
        <w:rPr>
          <w:rFonts w:ascii="Arial" w:hAnsi="Arial" w:cs="Arial"/>
          <w:color w:val="auto"/>
        </w:rPr>
        <w:t>.</w:t>
      </w:r>
      <w:r w:rsidR="00BA09F2">
        <w:rPr>
          <w:rFonts w:ascii="Arial" w:hAnsi="Arial" w:cs="Arial"/>
          <w:color w:val="auto"/>
        </w:rPr>
        <w:t xml:space="preserve">  This would have to take place across a 3 – 5 year period; much of it aligns with the </w:t>
      </w:r>
      <w:r w:rsidR="006C6297">
        <w:rPr>
          <w:rFonts w:ascii="Arial" w:hAnsi="Arial" w:cs="Arial"/>
          <w:color w:val="auto"/>
        </w:rPr>
        <w:t>requirement to make savings:</w:t>
      </w:r>
    </w:p>
    <w:p w14:paraId="3F35C78D" w14:textId="18D1C942" w:rsidR="00551576" w:rsidRDefault="00551576" w:rsidP="00551576">
      <w:pPr>
        <w:pStyle w:val="ListParagraph"/>
        <w:numPr>
          <w:ilvl w:val="0"/>
          <w:numId w:val="20"/>
        </w:numPr>
        <w:spacing w:after="0"/>
        <w:rPr>
          <w:rFonts w:eastAsia="Times New Roman" w:cs="Arial"/>
          <w:color w:val="222222"/>
          <w:szCs w:val="24"/>
          <w:lang w:eastAsia="en-GB"/>
        </w:rPr>
      </w:pPr>
      <w:r w:rsidRPr="00E03CB5">
        <w:rPr>
          <w:rFonts w:eastAsia="Times New Roman" w:cs="Arial"/>
          <w:color w:val="222222"/>
          <w:szCs w:val="24"/>
          <w:lang w:eastAsia="en-GB"/>
        </w:rPr>
        <w:lastRenderedPageBreak/>
        <w:t xml:space="preserve">Transformation </w:t>
      </w:r>
      <w:r>
        <w:rPr>
          <w:rFonts w:eastAsia="Times New Roman" w:cs="Arial"/>
          <w:color w:val="222222"/>
          <w:szCs w:val="24"/>
          <w:lang w:eastAsia="en-GB"/>
        </w:rPr>
        <w:t xml:space="preserve">of </w:t>
      </w:r>
      <w:r w:rsidRPr="00E03CB5">
        <w:rPr>
          <w:rFonts w:eastAsia="Times New Roman" w:cs="Arial"/>
          <w:color w:val="222222"/>
          <w:szCs w:val="24"/>
          <w:lang w:eastAsia="en-GB"/>
        </w:rPr>
        <w:t>culture that will lead to a more strength-based approach to encourage service users to maximise the opportunities for independence</w:t>
      </w:r>
      <w:r>
        <w:rPr>
          <w:rFonts w:eastAsia="Times New Roman" w:cs="Arial"/>
          <w:color w:val="222222"/>
          <w:szCs w:val="24"/>
          <w:lang w:eastAsia="en-GB"/>
        </w:rPr>
        <w:t>;</w:t>
      </w:r>
    </w:p>
    <w:p w14:paraId="265C6BD3" w14:textId="339E72F1" w:rsidR="00551576" w:rsidRDefault="00551576" w:rsidP="00551576">
      <w:pPr>
        <w:pStyle w:val="ListParagraph"/>
        <w:numPr>
          <w:ilvl w:val="0"/>
          <w:numId w:val="20"/>
        </w:numPr>
        <w:spacing w:after="0"/>
        <w:rPr>
          <w:rFonts w:eastAsia="Times New Roman" w:cs="Arial"/>
          <w:color w:val="222222"/>
          <w:szCs w:val="24"/>
          <w:lang w:eastAsia="en-GB"/>
        </w:rPr>
      </w:pPr>
      <w:r>
        <w:rPr>
          <w:rFonts w:eastAsia="Times New Roman" w:cs="Arial"/>
          <w:color w:val="222222"/>
          <w:szCs w:val="24"/>
          <w:lang w:eastAsia="en-GB"/>
        </w:rPr>
        <w:t xml:space="preserve">Review of structures to ensure that there is </w:t>
      </w:r>
      <w:r w:rsidR="00E61753">
        <w:rPr>
          <w:rFonts w:eastAsia="Times New Roman" w:cs="Arial"/>
          <w:color w:val="222222"/>
          <w:szCs w:val="24"/>
          <w:lang w:eastAsia="en-GB"/>
        </w:rPr>
        <w:t>enough senior management capacity and skills to deliver the required change</w:t>
      </w:r>
      <w:r w:rsidR="00E922FE">
        <w:rPr>
          <w:rFonts w:eastAsia="Times New Roman" w:cs="Arial"/>
          <w:color w:val="222222"/>
          <w:szCs w:val="24"/>
          <w:lang w:eastAsia="en-GB"/>
        </w:rPr>
        <w:t>;</w:t>
      </w:r>
    </w:p>
    <w:p w14:paraId="2911BD32" w14:textId="7B26C04C" w:rsidR="007C54C4" w:rsidRDefault="007C54C4" w:rsidP="00551576">
      <w:pPr>
        <w:pStyle w:val="ListParagraph"/>
        <w:numPr>
          <w:ilvl w:val="0"/>
          <w:numId w:val="20"/>
        </w:numPr>
        <w:spacing w:after="0"/>
        <w:rPr>
          <w:rFonts w:eastAsia="Times New Roman" w:cs="Arial"/>
          <w:color w:val="222222"/>
          <w:szCs w:val="24"/>
          <w:lang w:eastAsia="en-GB"/>
        </w:rPr>
      </w:pPr>
      <w:r>
        <w:rPr>
          <w:rFonts w:eastAsia="Times New Roman" w:cs="Arial"/>
          <w:color w:val="222222"/>
          <w:szCs w:val="24"/>
          <w:lang w:eastAsia="en-GB"/>
        </w:rPr>
        <w:t>Sufficient supporting skills such as finance, performance and project management to ensure effective delivery of transformation leading to savings;</w:t>
      </w:r>
    </w:p>
    <w:p w14:paraId="6D8A5020" w14:textId="61540AE8" w:rsidR="00E61753" w:rsidRDefault="00E61753" w:rsidP="00551576">
      <w:pPr>
        <w:pStyle w:val="ListParagraph"/>
        <w:numPr>
          <w:ilvl w:val="0"/>
          <w:numId w:val="20"/>
        </w:numPr>
        <w:spacing w:after="0"/>
        <w:rPr>
          <w:rFonts w:eastAsia="Times New Roman" w:cs="Arial"/>
          <w:color w:val="222222"/>
          <w:szCs w:val="24"/>
          <w:lang w:eastAsia="en-GB"/>
        </w:rPr>
      </w:pPr>
      <w:r>
        <w:rPr>
          <w:rFonts w:eastAsia="Times New Roman" w:cs="Arial"/>
          <w:color w:val="222222"/>
          <w:szCs w:val="24"/>
          <w:lang w:eastAsia="en-GB"/>
        </w:rPr>
        <w:t xml:space="preserve">Review of strategic commissioning and brokerage to ensure that they are fully </w:t>
      </w:r>
      <w:r w:rsidR="007C54C4">
        <w:rPr>
          <w:rFonts w:eastAsia="Times New Roman" w:cs="Arial"/>
          <w:color w:val="222222"/>
          <w:szCs w:val="24"/>
          <w:lang w:eastAsia="en-GB"/>
        </w:rPr>
        <w:t>aligned,</w:t>
      </w:r>
      <w:r w:rsidR="00D32E2B">
        <w:rPr>
          <w:rFonts w:eastAsia="Times New Roman" w:cs="Arial"/>
          <w:color w:val="222222"/>
          <w:szCs w:val="24"/>
          <w:lang w:eastAsia="en-GB"/>
        </w:rPr>
        <w:t xml:space="preserve"> </w:t>
      </w:r>
      <w:r>
        <w:rPr>
          <w:rFonts w:eastAsia="Times New Roman" w:cs="Arial"/>
          <w:color w:val="222222"/>
          <w:szCs w:val="24"/>
          <w:lang w:eastAsia="en-GB"/>
        </w:rPr>
        <w:t xml:space="preserve">adhering to contracted rates and </w:t>
      </w:r>
      <w:r w:rsidR="00C63E54">
        <w:rPr>
          <w:rFonts w:eastAsia="Times New Roman" w:cs="Arial"/>
          <w:color w:val="222222"/>
          <w:szCs w:val="24"/>
          <w:lang w:eastAsia="en-GB"/>
        </w:rPr>
        <w:t>have consistent messages with providers</w:t>
      </w:r>
      <w:r w:rsidR="00E922FE">
        <w:rPr>
          <w:rFonts w:eastAsia="Times New Roman" w:cs="Arial"/>
          <w:color w:val="222222"/>
          <w:szCs w:val="24"/>
          <w:lang w:eastAsia="en-GB"/>
        </w:rPr>
        <w:t>;</w:t>
      </w:r>
    </w:p>
    <w:p w14:paraId="6C19804A" w14:textId="39A237C1" w:rsidR="00C63E54" w:rsidRPr="00D57482" w:rsidRDefault="00C63E54" w:rsidP="00551576">
      <w:pPr>
        <w:pStyle w:val="ListParagraph"/>
        <w:numPr>
          <w:ilvl w:val="0"/>
          <w:numId w:val="20"/>
        </w:numPr>
        <w:spacing w:after="0"/>
        <w:rPr>
          <w:rFonts w:eastAsia="Times New Roman" w:cs="Arial"/>
          <w:color w:val="222222"/>
          <w:szCs w:val="24"/>
          <w:lang w:eastAsia="en-GB"/>
        </w:rPr>
      </w:pPr>
      <w:r>
        <w:rPr>
          <w:rFonts w:eastAsia="Times New Roman" w:cs="Arial"/>
          <w:color w:val="222222"/>
          <w:szCs w:val="24"/>
          <w:lang w:eastAsia="en-GB"/>
        </w:rPr>
        <w:t>Expedite the production of the planned Market Position Statement</w:t>
      </w:r>
      <w:r w:rsidR="007C54C4">
        <w:rPr>
          <w:rFonts w:eastAsia="Times New Roman" w:cs="Arial"/>
          <w:color w:val="222222"/>
          <w:szCs w:val="24"/>
          <w:lang w:eastAsia="en-GB"/>
        </w:rPr>
        <w:t xml:space="preserve">/ Commissioning Strategy </w:t>
      </w:r>
      <w:r w:rsidR="00E922FE">
        <w:rPr>
          <w:rFonts w:eastAsia="Times New Roman" w:cs="Arial"/>
          <w:color w:val="222222"/>
          <w:szCs w:val="24"/>
          <w:lang w:eastAsia="en-GB"/>
        </w:rPr>
        <w:t>with a sound foundation of data within it</w:t>
      </w:r>
      <w:r w:rsidR="00A16A1C">
        <w:rPr>
          <w:rFonts w:eastAsia="Times New Roman" w:cs="Arial"/>
          <w:color w:val="222222"/>
          <w:szCs w:val="24"/>
          <w:lang w:eastAsia="en-GB"/>
        </w:rPr>
        <w:t xml:space="preserve"> and engage with providers </w:t>
      </w:r>
      <w:r w:rsidR="007C54C4">
        <w:rPr>
          <w:rFonts w:eastAsia="Times New Roman" w:cs="Arial"/>
          <w:color w:val="222222"/>
          <w:szCs w:val="24"/>
          <w:lang w:eastAsia="en-GB"/>
        </w:rPr>
        <w:t xml:space="preserve">around this </w:t>
      </w:r>
      <w:r w:rsidR="00A16A1C">
        <w:rPr>
          <w:rFonts w:eastAsia="Times New Roman" w:cs="Arial"/>
          <w:color w:val="222222"/>
          <w:szCs w:val="24"/>
          <w:lang w:eastAsia="en-GB"/>
        </w:rPr>
        <w:t>in terms of managing the market effectively;</w:t>
      </w:r>
    </w:p>
    <w:p w14:paraId="0D352FBD" w14:textId="3EDA08C5" w:rsidR="00551576" w:rsidRPr="00D57482" w:rsidRDefault="00551576" w:rsidP="00551576">
      <w:pPr>
        <w:pStyle w:val="ListParagraph"/>
        <w:numPr>
          <w:ilvl w:val="0"/>
          <w:numId w:val="20"/>
        </w:numPr>
        <w:spacing w:after="0"/>
        <w:rPr>
          <w:rFonts w:eastAsia="Times New Roman" w:cs="Arial"/>
          <w:color w:val="222222"/>
          <w:szCs w:val="24"/>
          <w:lang w:eastAsia="en-GB"/>
        </w:rPr>
      </w:pPr>
      <w:r w:rsidRPr="00D57482">
        <w:rPr>
          <w:rFonts w:eastAsia="Times New Roman" w:cs="Arial"/>
          <w:color w:val="222222"/>
          <w:szCs w:val="24"/>
          <w:lang w:eastAsia="en-GB"/>
        </w:rPr>
        <w:t>Revise</w:t>
      </w:r>
      <w:r w:rsidR="00BA09F2">
        <w:rPr>
          <w:rFonts w:eastAsia="Times New Roman" w:cs="Arial"/>
          <w:color w:val="222222"/>
          <w:szCs w:val="24"/>
          <w:lang w:eastAsia="en-GB"/>
        </w:rPr>
        <w:t xml:space="preserve"> </w:t>
      </w:r>
      <w:r w:rsidRPr="00D57482">
        <w:rPr>
          <w:rFonts w:eastAsia="Times New Roman" w:cs="Arial"/>
          <w:color w:val="222222"/>
          <w:szCs w:val="24"/>
          <w:lang w:eastAsia="en-GB"/>
        </w:rPr>
        <w:t>pathways that focus on prevention, delay and reduction (Care Act Duties)</w:t>
      </w:r>
      <w:r w:rsidR="00E922FE">
        <w:rPr>
          <w:rFonts w:eastAsia="Times New Roman" w:cs="Arial"/>
          <w:color w:val="222222"/>
          <w:szCs w:val="24"/>
          <w:lang w:eastAsia="en-GB"/>
        </w:rPr>
        <w:t xml:space="preserve"> for all clients</w:t>
      </w:r>
      <w:r w:rsidR="00202D98">
        <w:rPr>
          <w:rFonts w:eastAsia="Times New Roman" w:cs="Arial"/>
          <w:color w:val="222222"/>
          <w:szCs w:val="24"/>
          <w:lang w:eastAsia="en-GB"/>
        </w:rPr>
        <w:t>, ensuring that DFGs also form part of this pathway</w:t>
      </w:r>
      <w:r w:rsidR="007C54C4">
        <w:rPr>
          <w:rFonts w:eastAsia="Times New Roman" w:cs="Arial"/>
          <w:color w:val="222222"/>
          <w:szCs w:val="24"/>
          <w:lang w:eastAsia="en-GB"/>
        </w:rPr>
        <w:t>;</w:t>
      </w:r>
    </w:p>
    <w:p w14:paraId="4C750C06" w14:textId="215BD95A" w:rsidR="00551576" w:rsidRPr="00D57482" w:rsidRDefault="00551576" w:rsidP="00551576">
      <w:pPr>
        <w:pStyle w:val="ListParagraph"/>
        <w:numPr>
          <w:ilvl w:val="0"/>
          <w:numId w:val="20"/>
        </w:numPr>
        <w:spacing w:after="0"/>
        <w:rPr>
          <w:rFonts w:eastAsia="Times New Roman" w:cs="Arial"/>
          <w:color w:val="222222"/>
          <w:szCs w:val="24"/>
          <w:lang w:eastAsia="en-GB"/>
        </w:rPr>
      </w:pPr>
      <w:r w:rsidRPr="00D57482">
        <w:rPr>
          <w:rFonts w:eastAsia="Times New Roman" w:cs="Arial"/>
          <w:color w:val="222222"/>
          <w:szCs w:val="24"/>
          <w:lang w:eastAsia="en-GB"/>
        </w:rPr>
        <w:t>P</w:t>
      </w:r>
      <w:r w:rsidRPr="00E03CB5">
        <w:rPr>
          <w:rFonts w:eastAsia="Times New Roman" w:cs="Arial"/>
          <w:color w:val="222222"/>
          <w:szCs w:val="24"/>
          <w:lang w:eastAsia="en-GB"/>
        </w:rPr>
        <w:t>rioritisation of</w:t>
      </w:r>
      <w:r w:rsidR="00E922FE">
        <w:rPr>
          <w:rFonts w:eastAsia="Times New Roman" w:cs="Arial"/>
          <w:color w:val="222222"/>
          <w:szCs w:val="24"/>
          <w:lang w:eastAsia="en-GB"/>
        </w:rPr>
        <w:t xml:space="preserve"> p</w:t>
      </w:r>
      <w:r w:rsidRPr="00E03CB5">
        <w:rPr>
          <w:rFonts w:eastAsia="Times New Roman" w:cs="Arial"/>
          <w:color w:val="222222"/>
          <w:szCs w:val="24"/>
          <w:lang w:eastAsia="en-GB"/>
        </w:rPr>
        <w:t xml:space="preserve">revention, </w:t>
      </w:r>
      <w:r w:rsidR="00E922FE">
        <w:rPr>
          <w:rFonts w:eastAsia="Times New Roman" w:cs="Arial"/>
          <w:color w:val="222222"/>
          <w:szCs w:val="24"/>
          <w:lang w:eastAsia="en-GB"/>
        </w:rPr>
        <w:t>f</w:t>
      </w:r>
      <w:r w:rsidRPr="00E03CB5">
        <w:rPr>
          <w:rFonts w:eastAsia="Times New Roman" w:cs="Arial"/>
          <w:color w:val="222222"/>
          <w:szCs w:val="24"/>
          <w:lang w:eastAsia="en-GB"/>
        </w:rPr>
        <w:t xml:space="preserve">ront </w:t>
      </w:r>
      <w:r w:rsidR="00E922FE">
        <w:rPr>
          <w:rFonts w:eastAsia="Times New Roman" w:cs="Arial"/>
          <w:color w:val="222222"/>
          <w:szCs w:val="24"/>
          <w:lang w:eastAsia="en-GB"/>
        </w:rPr>
        <w:t>d</w:t>
      </w:r>
      <w:r w:rsidRPr="00E03CB5">
        <w:rPr>
          <w:rFonts w:eastAsia="Times New Roman" w:cs="Arial"/>
          <w:color w:val="222222"/>
          <w:szCs w:val="24"/>
          <w:lang w:eastAsia="en-GB"/>
        </w:rPr>
        <w:t xml:space="preserve">oor &amp; </w:t>
      </w:r>
      <w:r w:rsidR="00E922FE">
        <w:rPr>
          <w:rFonts w:eastAsia="Times New Roman" w:cs="Arial"/>
          <w:color w:val="222222"/>
          <w:szCs w:val="24"/>
          <w:lang w:eastAsia="en-GB"/>
        </w:rPr>
        <w:t>r</w:t>
      </w:r>
      <w:r w:rsidRPr="00E03CB5">
        <w:rPr>
          <w:rFonts w:eastAsia="Times New Roman" w:cs="Arial"/>
          <w:color w:val="222222"/>
          <w:szCs w:val="24"/>
          <w:lang w:eastAsia="en-GB"/>
        </w:rPr>
        <w:t xml:space="preserve">eablement </w:t>
      </w:r>
      <w:r>
        <w:rPr>
          <w:rFonts w:eastAsia="Times New Roman" w:cs="Arial"/>
          <w:color w:val="222222"/>
          <w:szCs w:val="24"/>
          <w:lang w:eastAsia="en-GB"/>
        </w:rPr>
        <w:t xml:space="preserve">should support </w:t>
      </w:r>
      <w:r w:rsidRPr="00E03CB5">
        <w:rPr>
          <w:rFonts w:eastAsia="Times New Roman" w:cs="Arial"/>
          <w:color w:val="222222"/>
          <w:szCs w:val="24"/>
          <w:lang w:eastAsia="en-GB"/>
        </w:rPr>
        <w:t xml:space="preserve">a significant shift in resource patterns in </w:t>
      </w:r>
      <w:r w:rsidR="007C54C4">
        <w:rPr>
          <w:rFonts w:eastAsia="Times New Roman" w:cs="Arial"/>
          <w:color w:val="222222"/>
          <w:szCs w:val="24"/>
          <w:lang w:eastAsia="en-GB"/>
        </w:rPr>
        <w:t>adult social care, ensuring people live as independently as possible;</w:t>
      </w:r>
    </w:p>
    <w:p w14:paraId="0CA43B59" w14:textId="0F2BC12C" w:rsidR="00551576" w:rsidRPr="007C54C4" w:rsidRDefault="00551576" w:rsidP="007C54C4">
      <w:pPr>
        <w:pStyle w:val="ListParagraph"/>
        <w:numPr>
          <w:ilvl w:val="0"/>
          <w:numId w:val="20"/>
        </w:numPr>
        <w:spacing w:after="0"/>
        <w:rPr>
          <w:rFonts w:eastAsia="Times New Roman" w:cs="Arial"/>
          <w:color w:val="222222"/>
          <w:szCs w:val="24"/>
          <w:lang w:eastAsia="en-GB"/>
        </w:rPr>
      </w:pPr>
      <w:r w:rsidRPr="00D57482">
        <w:rPr>
          <w:rFonts w:eastAsia="Times New Roman" w:cs="Arial"/>
          <w:color w:val="222222"/>
          <w:szCs w:val="24"/>
          <w:lang w:eastAsia="en-GB"/>
        </w:rPr>
        <w:t>Development of</w:t>
      </w:r>
      <w:r w:rsidRPr="00E03CB5">
        <w:rPr>
          <w:rFonts w:eastAsia="Times New Roman" w:cs="Arial"/>
          <w:color w:val="222222"/>
          <w:szCs w:val="24"/>
          <w:lang w:eastAsia="en-GB"/>
        </w:rPr>
        <w:t xml:space="preserve"> targeted supervision, outcome forums, and improved budget monitoring and control to reduce overall care spend and manage demand</w:t>
      </w:r>
      <w:r w:rsidR="007C54C4">
        <w:rPr>
          <w:rFonts w:eastAsia="Times New Roman" w:cs="Arial"/>
          <w:color w:val="222222"/>
          <w:szCs w:val="24"/>
          <w:lang w:eastAsia="en-GB"/>
        </w:rPr>
        <w:t>;</w:t>
      </w:r>
    </w:p>
    <w:p w14:paraId="5F4EBD7D" w14:textId="7F981BB8" w:rsidR="00551576" w:rsidRPr="00D57482" w:rsidRDefault="00551576" w:rsidP="00551576">
      <w:pPr>
        <w:pStyle w:val="ListParagraph"/>
        <w:numPr>
          <w:ilvl w:val="0"/>
          <w:numId w:val="20"/>
        </w:numPr>
        <w:spacing w:after="0"/>
        <w:rPr>
          <w:rFonts w:eastAsia="Times New Roman" w:cs="Arial"/>
          <w:color w:val="222222"/>
          <w:szCs w:val="24"/>
          <w:lang w:eastAsia="en-GB"/>
        </w:rPr>
      </w:pPr>
      <w:r w:rsidRPr="00E03CB5">
        <w:rPr>
          <w:rFonts w:eastAsia="Times New Roman" w:cs="Arial"/>
          <w:color w:val="222222"/>
          <w:szCs w:val="24"/>
          <w:lang w:eastAsia="en-GB"/>
        </w:rPr>
        <w:t>Exploit the opportunities within commissioning</w:t>
      </w:r>
      <w:r w:rsidR="00D24436">
        <w:rPr>
          <w:rFonts w:eastAsia="Times New Roman" w:cs="Arial"/>
          <w:color w:val="222222"/>
          <w:szCs w:val="24"/>
          <w:lang w:eastAsia="en-GB"/>
        </w:rPr>
        <w:t xml:space="preserve"> and brokerage </w:t>
      </w:r>
      <w:r w:rsidRPr="00E03CB5">
        <w:rPr>
          <w:rFonts w:eastAsia="Times New Roman" w:cs="Arial"/>
          <w:color w:val="222222"/>
          <w:szCs w:val="24"/>
          <w:lang w:eastAsia="en-GB"/>
        </w:rPr>
        <w:t xml:space="preserve"> to change the cost base by moving </w:t>
      </w:r>
      <w:r w:rsidR="00D24436">
        <w:rPr>
          <w:rFonts w:eastAsia="Times New Roman" w:cs="Arial"/>
          <w:color w:val="222222"/>
          <w:szCs w:val="24"/>
          <w:lang w:eastAsia="en-GB"/>
        </w:rPr>
        <w:t xml:space="preserve">from individually negotiated </w:t>
      </w:r>
      <w:r w:rsidRPr="00E03CB5">
        <w:rPr>
          <w:rFonts w:eastAsia="Times New Roman" w:cs="Arial"/>
          <w:color w:val="222222"/>
          <w:szCs w:val="24"/>
          <w:lang w:eastAsia="en-GB"/>
        </w:rPr>
        <w:t xml:space="preserve">spot purchase </w:t>
      </w:r>
      <w:r w:rsidR="00D24436">
        <w:rPr>
          <w:rFonts w:eastAsia="Times New Roman" w:cs="Arial"/>
          <w:color w:val="222222"/>
          <w:szCs w:val="24"/>
          <w:lang w:eastAsia="en-GB"/>
        </w:rPr>
        <w:t>to some</w:t>
      </w:r>
      <w:r w:rsidRPr="00E03CB5">
        <w:rPr>
          <w:rFonts w:eastAsia="Times New Roman" w:cs="Arial"/>
          <w:color w:val="222222"/>
          <w:szCs w:val="24"/>
          <w:lang w:eastAsia="en-GB"/>
        </w:rPr>
        <w:t xml:space="preserve"> block contracts and to revise the core specification for services</w:t>
      </w:r>
      <w:r w:rsidR="007C54C4">
        <w:rPr>
          <w:rFonts w:eastAsia="Times New Roman" w:cs="Arial"/>
          <w:color w:val="222222"/>
          <w:szCs w:val="24"/>
          <w:lang w:eastAsia="en-GB"/>
        </w:rPr>
        <w:t xml:space="preserve"> if needed;</w:t>
      </w:r>
    </w:p>
    <w:p w14:paraId="1EF7AFB3" w14:textId="41E309AE" w:rsidR="00551576" w:rsidRDefault="00551576" w:rsidP="00551576">
      <w:pPr>
        <w:pStyle w:val="ListParagraph"/>
        <w:numPr>
          <w:ilvl w:val="0"/>
          <w:numId w:val="20"/>
        </w:numPr>
        <w:spacing w:after="0"/>
        <w:rPr>
          <w:rFonts w:eastAsia="Times New Roman" w:cs="Arial"/>
          <w:color w:val="222222"/>
          <w:szCs w:val="24"/>
          <w:lang w:eastAsia="en-GB"/>
        </w:rPr>
      </w:pPr>
      <w:r>
        <w:rPr>
          <w:rFonts w:eastAsia="Times New Roman" w:cs="Arial"/>
          <w:color w:val="222222"/>
          <w:szCs w:val="24"/>
          <w:lang w:eastAsia="en-GB"/>
        </w:rPr>
        <w:t xml:space="preserve">Continue and extend client reviews, including </w:t>
      </w:r>
      <w:r w:rsidRPr="00E03CB5">
        <w:rPr>
          <w:rFonts w:eastAsia="Times New Roman" w:cs="Arial"/>
          <w:color w:val="222222"/>
          <w:szCs w:val="24"/>
          <w:lang w:eastAsia="en-GB"/>
        </w:rPr>
        <w:t xml:space="preserve">Direct Payment packages of care and </w:t>
      </w:r>
      <w:r w:rsidR="007C54C4">
        <w:rPr>
          <w:rFonts w:eastAsia="Times New Roman" w:cs="Arial"/>
          <w:color w:val="222222"/>
          <w:szCs w:val="24"/>
          <w:lang w:eastAsia="en-GB"/>
        </w:rPr>
        <w:t>identify</w:t>
      </w:r>
      <w:r w:rsidR="0085450D">
        <w:rPr>
          <w:rFonts w:eastAsia="Times New Roman" w:cs="Arial"/>
          <w:color w:val="222222"/>
          <w:szCs w:val="24"/>
          <w:lang w:eastAsia="en-GB"/>
        </w:rPr>
        <w:t xml:space="preserve"> any patterns of</w:t>
      </w:r>
      <w:r w:rsidR="007C54C4">
        <w:rPr>
          <w:rFonts w:eastAsia="Times New Roman" w:cs="Arial"/>
          <w:color w:val="222222"/>
          <w:szCs w:val="24"/>
          <w:lang w:eastAsia="en-GB"/>
        </w:rPr>
        <w:t xml:space="preserve"> potential over provision of </w:t>
      </w:r>
      <w:r w:rsidRPr="00E03CB5">
        <w:rPr>
          <w:rFonts w:eastAsia="Times New Roman" w:cs="Arial"/>
          <w:color w:val="222222"/>
          <w:szCs w:val="24"/>
          <w:lang w:eastAsia="en-GB"/>
        </w:rPr>
        <w:t>support to current service users</w:t>
      </w:r>
      <w:r w:rsidR="00D24436">
        <w:rPr>
          <w:rFonts w:eastAsia="Times New Roman" w:cs="Arial"/>
          <w:color w:val="222222"/>
          <w:szCs w:val="24"/>
          <w:lang w:eastAsia="en-GB"/>
        </w:rPr>
        <w:t>;</w:t>
      </w:r>
    </w:p>
    <w:p w14:paraId="02A35BE9" w14:textId="1FF9FA77" w:rsidR="00A63D9E" w:rsidRPr="00D57482" w:rsidRDefault="00A63D9E" w:rsidP="00551576">
      <w:pPr>
        <w:pStyle w:val="ListParagraph"/>
        <w:numPr>
          <w:ilvl w:val="0"/>
          <w:numId w:val="20"/>
        </w:numPr>
        <w:spacing w:after="0"/>
        <w:rPr>
          <w:rFonts w:eastAsia="Times New Roman" w:cs="Arial"/>
          <w:color w:val="222222"/>
          <w:szCs w:val="24"/>
          <w:lang w:eastAsia="en-GB"/>
        </w:rPr>
      </w:pPr>
      <w:r>
        <w:rPr>
          <w:rFonts w:eastAsia="Times New Roman" w:cs="Arial"/>
          <w:color w:val="222222"/>
          <w:szCs w:val="24"/>
          <w:lang w:eastAsia="en-GB"/>
        </w:rPr>
        <w:t>Build innovation into the social care market through effective market engagement.</w:t>
      </w:r>
    </w:p>
    <w:p w14:paraId="43C078ED" w14:textId="77777777" w:rsidR="00551576" w:rsidRPr="00551576" w:rsidRDefault="00551576" w:rsidP="00551576">
      <w:pPr>
        <w:ind w:left="1304"/>
      </w:pPr>
    </w:p>
    <w:p w14:paraId="57420C87" w14:textId="0905FAE4" w:rsidR="002F6F21" w:rsidRPr="00C2078C" w:rsidRDefault="002F6F21" w:rsidP="002F6F21">
      <w:pPr>
        <w:pStyle w:val="Heading3"/>
        <w:keepNext w:val="0"/>
        <w:keepLines w:val="0"/>
        <w:widowControl w:val="0"/>
        <w:numPr>
          <w:ilvl w:val="2"/>
          <w:numId w:val="10"/>
        </w:numPr>
        <w:tabs>
          <w:tab w:val="left" w:pos="851"/>
        </w:tabs>
        <w:spacing w:after="240" w:line="276" w:lineRule="auto"/>
        <w:rPr>
          <w:rFonts w:ascii="Arial" w:hAnsi="Arial" w:cs="Arial"/>
          <w:color w:val="000000" w:themeColor="text1"/>
        </w:rPr>
      </w:pPr>
      <w:r>
        <w:rPr>
          <w:rFonts w:ascii="Arial" w:hAnsi="Arial" w:cs="Arial"/>
          <w:color w:val="000000" w:themeColor="text1"/>
        </w:rPr>
        <w:t>The social care provider market in Medway is at capacity – very few placements are available of any service type and providers therefore inflate their prices</w:t>
      </w:r>
      <w:r w:rsidR="00551576">
        <w:rPr>
          <w:rFonts w:ascii="Arial" w:hAnsi="Arial" w:cs="Arial"/>
          <w:color w:val="000000" w:themeColor="text1"/>
        </w:rPr>
        <w:t>; customers are placed</w:t>
      </w:r>
      <w:r w:rsidR="00D32F1B">
        <w:rPr>
          <w:rFonts w:ascii="Arial" w:hAnsi="Arial" w:cs="Arial"/>
          <w:color w:val="000000" w:themeColor="text1"/>
        </w:rPr>
        <w:t xml:space="preserve"> effectively as a spot purchase</w:t>
      </w:r>
      <w:r w:rsidR="00551576">
        <w:rPr>
          <w:rFonts w:ascii="Arial" w:hAnsi="Arial" w:cs="Arial"/>
          <w:color w:val="000000" w:themeColor="text1"/>
        </w:rPr>
        <w:t xml:space="preserve"> at above contracted rates to secure the placement. </w:t>
      </w:r>
      <w:r w:rsidR="0085450D">
        <w:rPr>
          <w:rFonts w:ascii="Arial" w:hAnsi="Arial" w:cs="Arial"/>
          <w:color w:val="000000" w:themeColor="text1"/>
        </w:rPr>
        <w:t xml:space="preserve">I would therefore recommend an immediate review of </w:t>
      </w:r>
      <w:r w:rsidR="00D32F1B">
        <w:rPr>
          <w:rFonts w:ascii="Arial" w:hAnsi="Arial" w:cs="Arial"/>
          <w:color w:val="000000" w:themeColor="text1"/>
        </w:rPr>
        <w:t>this practice and negotiation with providers to ensure that contracted rates are in place wherever possible.</w:t>
      </w:r>
    </w:p>
    <w:p w14:paraId="0275DAAD" w14:textId="0A6ACBC1" w:rsidR="000E6424" w:rsidRDefault="00B958F2" w:rsidP="000E6424">
      <w:pPr>
        <w:pStyle w:val="ListParagraph"/>
        <w:numPr>
          <w:ilvl w:val="1"/>
          <w:numId w:val="10"/>
        </w:numPr>
        <w:rPr>
          <w:rFonts w:eastAsiaTheme="majorEastAsia" w:cs="Arial"/>
          <w:b/>
          <w:bCs/>
          <w:szCs w:val="24"/>
        </w:rPr>
      </w:pPr>
      <w:r>
        <w:rPr>
          <w:rFonts w:eastAsiaTheme="majorEastAsia" w:cs="Arial"/>
          <w:b/>
          <w:bCs/>
          <w:szCs w:val="24"/>
        </w:rPr>
        <w:t xml:space="preserve">Budget savings for </w:t>
      </w:r>
      <w:r w:rsidR="000E6424">
        <w:rPr>
          <w:rFonts w:eastAsiaTheme="majorEastAsia" w:cs="Arial"/>
          <w:b/>
          <w:bCs/>
          <w:szCs w:val="24"/>
        </w:rPr>
        <w:t>2023/24</w:t>
      </w:r>
      <w:r>
        <w:rPr>
          <w:rFonts w:eastAsiaTheme="majorEastAsia" w:cs="Arial"/>
          <w:b/>
          <w:bCs/>
          <w:szCs w:val="24"/>
        </w:rPr>
        <w:t xml:space="preserve"> and beyond</w:t>
      </w:r>
    </w:p>
    <w:p w14:paraId="69473CAC" w14:textId="3E2EE2FB" w:rsidR="00B958F2" w:rsidRDefault="006D1262" w:rsidP="00B958F2">
      <w:pPr>
        <w:pStyle w:val="Heading3"/>
        <w:keepNext w:val="0"/>
        <w:keepLines w:val="0"/>
        <w:widowControl w:val="0"/>
        <w:numPr>
          <w:ilvl w:val="2"/>
          <w:numId w:val="10"/>
        </w:numPr>
        <w:tabs>
          <w:tab w:val="left" w:pos="851"/>
        </w:tabs>
        <w:spacing w:after="240" w:line="276" w:lineRule="auto"/>
        <w:rPr>
          <w:rFonts w:ascii="Arial" w:hAnsi="Arial" w:cs="Arial"/>
          <w:color w:val="auto"/>
        </w:rPr>
      </w:pPr>
      <w:r>
        <w:rPr>
          <w:rFonts w:ascii="Arial" w:hAnsi="Arial" w:cs="Arial"/>
          <w:color w:val="auto"/>
        </w:rPr>
        <w:t>Whilst the budget setting process</w:t>
      </w:r>
      <w:r w:rsidR="00F82BD9">
        <w:rPr>
          <w:rFonts w:ascii="Arial" w:hAnsi="Arial" w:cs="Arial"/>
          <w:color w:val="auto"/>
        </w:rPr>
        <w:t xml:space="preserve"> for 2023/24</w:t>
      </w:r>
      <w:r>
        <w:rPr>
          <w:rFonts w:ascii="Arial" w:hAnsi="Arial" w:cs="Arial"/>
          <w:color w:val="auto"/>
        </w:rPr>
        <w:t xml:space="preserve"> identified and incorporated funding for departmental pressures, a</w:t>
      </w:r>
      <w:r w:rsidR="00B958F2">
        <w:rPr>
          <w:rFonts w:ascii="Arial" w:hAnsi="Arial" w:cs="Arial"/>
          <w:color w:val="auto"/>
        </w:rPr>
        <w:t xml:space="preserve">n overall savings target for the council was not </w:t>
      </w:r>
      <w:r>
        <w:rPr>
          <w:rFonts w:ascii="Arial" w:hAnsi="Arial" w:cs="Arial"/>
          <w:color w:val="auto"/>
        </w:rPr>
        <w:t>set in February 2023.</w:t>
      </w:r>
      <w:r w:rsidR="00B958F2">
        <w:rPr>
          <w:rFonts w:ascii="Arial" w:hAnsi="Arial" w:cs="Arial"/>
          <w:color w:val="auto"/>
        </w:rPr>
        <w:t xml:space="preserve"> </w:t>
      </w:r>
      <w:r>
        <w:rPr>
          <w:rFonts w:ascii="Arial" w:hAnsi="Arial" w:cs="Arial"/>
          <w:color w:val="auto"/>
        </w:rPr>
        <w:t>S</w:t>
      </w:r>
      <w:r w:rsidR="00C86851">
        <w:rPr>
          <w:rFonts w:ascii="Arial" w:hAnsi="Arial" w:cs="Arial"/>
          <w:color w:val="auto"/>
        </w:rPr>
        <w:t xml:space="preserve">avings for adult care services of </w:t>
      </w:r>
      <w:r>
        <w:rPr>
          <w:rFonts w:ascii="Arial" w:hAnsi="Arial" w:cs="Arial"/>
          <w:color w:val="auto"/>
        </w:rPr>
        <w:t xml:space="preserve">£1.950m were identified and netted off the budget </w:t>
      </w:r>
      <w:r w:rsidR="005A7918">
        <w:rPr>
          <w:rFonts w:ascii="Arial" w:hAnsi="Arial" w:cs="Arial"/>
          <w:color w:val="auto"/>
        </w:rPr>
        <w:t xml:space="preserve">pressure </w:t>
      </w:r>
      <w:r>
        <w:rPr>
          <w:rFonts w:ascii="Arial" w:hAnsi="Arial" w:cs="Arial"/>
          <w:color w:val="auto"/>
        </w:rPr>
        <w:t>requirement.  The savings have been monitored within the department during the year and appear on schedule to achieve in full.</w:t>
      </w:r>
    </w:p>
    <w:tbl>
      <w:tblPr>
        <w:tblW w:w="5800" w:type="dxa"/>
        <w:tblInd w:w="2868" w:type="dxa"/>
        <w:shd w:val="clear" w:color="auto" w:fill="FFFFFF"/>
        <w:tblCellMar>
          <w:left w:w="0" w:type="dxa"/>
          <w:right w:w="0" w:type="dxa"/>
        </w:tblCellMar>
        <w:tblLook w:val="04A0" w:firstRow="1" w:lastRow="0" w:firstColumn="1" w:lastColumn="0" w:noHBand="0" w:noVBand="1"/>
      </w:tblPr>
      <w:tblGrid>
        <w:gridCol w:w="1660"/>
        <w:gridCol w:w="1380"/>
        <w:gridCol w:w="1380"/>
        <w:gridCol w:w="1380"/>
      </w:tblGrid>
      <w:tr w:rsidR="006D1262" w:rsidRPr="008138C6" w14:paraId="07C3F68E" w14:textId="77777777" w:rsidTr="006D1262">
        <w:trPr>
          <w:trHeight w:val="864"/>
        </w:trPr>
        <w:tc>
          <w:tcPr>
            <w:tcW w:w="166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CB834F9" w14:textId="77777777" w:rsidR="006D1262" w:rsidRPr="008138C6" w:rsidRDefault="006D1262" w:rsidP="000A46FF">
            <w:pPr>
              <w:jc w:val="center"/>
              <w:rPr>
                <w:rFonts w:ascii="Arial" w:eastAsia="Times New Roman" w:hAnsi="Arial" w:cs="Arial"/>
                <w:color w:val="222222"/>
                <w:sz w:val="24"/>
                <w:lang w:eastAsia="en-GB"/>
              </w:rPr>
            </w:pPr>
            <w:r w:rsidRPr="008138C6">
              <w:rPr>
                <w:rFonts w:ascii="Arial" w:eastAsia="Times New Roman" w:hAnsi="Arial" w:cs="Arial"/>
                <w:color w:val="000000"/>
                <w:sz w:val="24"/>
                <w:lang w:eastAsia="en-GB"/>
              </w:rPr>
              <w:t> </w:t>
            </w:r>
          </w:p>
        </w:tc>
        <w:tc>
          <w:tcPr>
            <w:tcW w:w="13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D5157E" w14:textId="77777777" w:rsidR="006D1262" w:rsidRPr="008138C6" w:rsidRDefault="006D1262" w:rsidP="000A46FF">
            <w:pPr>
              <w:jc w:val="center"/>
              <w:rPr>
                <w:rFonts w:ascii="Arial" w:eastAsia="Times New Roman" w:hAnsi="Arial" w:cs="Arial"/>
                <w:color w:val="222222"/>
                <w:sz w:val="24"/>
                <w:lang w:eastAsia="en-GB"/>
              </w:rPr>
            </w:pPr>
            <w:r w:rsidRPr="008138C6">
              <w:rPr>
                <w:rFonts w:ascii="Arial" w:eastAsia="Times New Roman" w:hAnsi="Arial" w:cs="Arial"/>
                <w:color w:val="000000"/>
                <w:sz w:val="24"/>
                <w:lang w:eastAsia="en-GB"/>
              </w:rPr>
              <w:t>23/24 Target (£)</w:t>
            </w:r>
          </w:p>
        </w:tc>
        <w:tc>
          <w:tcPr>
            <w:tcW w:w="13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6A63EDF" w14:textId="77777777" w:rsidR="006D1262" w:rsidRPr="008138C6" w:rsidRDefault="006D1262" w:rsidP="000A46FF">
            <w:pPr>
              <w:jc w:val="center"/>
              <w:rPr>
                <w:rFonts w:ascii="Arial" w:eastAsia="Times New Roman" w:hAnsi="Arial" w:cs="Arial"/>
                <w:color w:val="222222"/>
                <w:sz w:val="24"/>
                <w:lang w:eastAsia="en-GB"/>
              </w:rPr>
            </w:pPr>
            <w:r w:rsidRPr="008138C6">
              <w:rPr>
                <w:rFonts w:ascii="Arial" w:eastAsia="Times New Roman" w:hAnsi="Arial" w:cs="Arial"/>
                <w:color w:val="000000"/>
                <w:sz w:val="24"/>
                <w:lang w:eastAsia="en-GB"/>
              </w:rPr>
              <w:t>R2 achieved (£)</w:t>
            </w:r>
          </w:p>
        </w:tc>
        <w:tc>
          <w:tcPr>
            <w:tcW w:w="13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2C6980D" w14:textId="77777777" w:rsidR="006D1262" w:rsidRPr="008138C6" w:rsidRDefault="006D1262" w:rsidP="000A46FF">
            <w:pPr>
              <w:jc w:val="center"/>
              <w:rPr>
                <w:rFonts w:ascii="Arial" w:eastAsia="Times New Roman" w:hAnsi="Arial" w:cs="Arial"/>
                <w:color w:val="222222"/>
                <w:sz w:val="24"/>
                <w:lang w:eastAsia="en-GB"/>
              </w:rPr>
            </w:pPr>
            <w:r w:rsidRPr="008138C6">
              <w:rPr>
                <w:rFonts w:ascii="Arial" w:eastAsia="Times New Roman" w:hAnsi="Arial" w:cs="Arial"/>
                <w:color w:val="000000"/>
                <w:sz w:val="24"/>
                <w:lang w:eastAsia="en-GB"/>
              </w:rPr>
              <w:t>To be achieved by year end (£)</w:t>
            </w:r>
          </w:p>
        </w:tc>
      </w:tr>
      <w:tr w:rsidR="006D1262" w:rsidRPr="008138C6" w14:paraId="485B0ED0" w14:textId="77777777" w:rsidTr="006D1262">
        <w:trPr>
          <w:trHeight w:val="288"/>
        </w:trPr>
        <w:tc>
          <w:tcPr>
            <w:tcW w:w="16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3D6522C" w14:textId="5C5DE919" w:rsidR="006D1262" w:rsidRPr="008138C6" w:rsidRDefault="006D1262" w:rsidP="000A46FF">
            <w:pPr>
              <w:rPr>
                <w:rFonts w:ascii="Arial" w:eastAsia="Times New Roman" w:hAnsi="Arial" w:cs="Arial"/>
                <w:color w:val="222222"/>
                <w:sz w:val="24"/>
                <w:lang w:eastAsia="en-GB"/>
              </w:rPr>
            </w:pPr>
            <w:r w:rsidRPr="008138C6">
              <w:rPr>
                <w:rFonts w:ascii="Arial" w:eastAsia="Times New Roman" w:hAnsi="Arial" w:cs="Arial"/>
                <w:color w:val="000000"/>
                <w:sz w:val="24"/>
                <w:lang w:eastAsia="en-GB"/>
              </w:rPr>
              <w:t>Targeted Reviews</w:t>
            </w:r>
          </w:p>
        </w:tc>
        <w:tc>
          <w:tcPr>
            <w:tcW w:w="13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01B1862" w14:textId="77777777" w:rsidR="006D1262" w:rsidRPr="008138C6" w:rsidRDefault="006D1262" w:rsidP="000A46FF">
            <w:pPr>
              <w:jc w:val="right"/>
              <w:rPr>
                <w:rFonts w:ascii="Arial" w:eastAsia="Times New Roman" w:hAnsi="Arial" w:cs="Arial"/>
                <w:color w:val="222222"/>
                <w:sz w:val="24"/>
                <w:lang w:eastAsia="en-GB"/>
              </w:rPr>
            </w:pPr>
            <w:r w:rsidRPr="008138C6">
              <w:rPr>
                <w:rFonts w:ascii="Arial" w:eastAsia="Times New Roman" w:hAnsi="Arial" w:cs="Arial"/>
                <w:color w:val="000000"/>
                <w:sz w:val="24"/>
                <w:lang w:eastAsia="en-GB"/>
              </w:rPr>
              <w:t>1,650,000</w:t>
            </w:r>
          </w:p>
        </w:tc>
        <w:tc>
          <w:tcPr>
            <w:tcW w:w="13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A833C7F" w14:textId="77777777" w:rsidR="006D1262" w:rsidRPr="008138C6" w:rsidRDefault="006D1262" w:rsidP="000A46FF">
            <w:pPr>
              <w:jc w:val="right"/>
              <w:rPr>
                <w:rFonts w:ascii="Arial" w:eastAsia="Times New Roman" w:hAnsi="Arial" w:cs="Arial"/>
                <w:color w:val="222222"/>
                <w:sz w:val="24"/>
                <w:lang w:eastAsia="en-GB"/>
              </w:rPr>
            </w:pPr>
            <w:r w:rsidRPr="008138C6">
              <w:rPr>
                <w:rFonts w:ascii="Arial" w:eastAsia="Times New Roman" w:hAnsi="Arial" w:cs="Arial"/>
                <w:color w:val="000000"/>
                <w:sz w:val="24"/>
                <w:lang w:eastAsia="en-GB"/>
              </w:rPr>
              <w:t>1,173,344</w:t>
            </w:r>
          </w:p>
        </w:tc>
        <w:tc>
          <w:tcPr>
            <w:tcW w:w="13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7B4A642" w14:textId="77777777" w:rsidR="006D1262" w:rsidRPr="008138C6" w:rsidRDefault="006D1262" w:rsidP="000A46FF">
            <w:pPr>
              <w:jc w:val="right"/>
              <w:rPr>
                <w:rFonts w:ascii="Arial" w:eastAsia="Times New Roman" w:hAnsi="Arial" w:cs="Arial"/>
                <w:color w:val="222222"/>
                <w:sz w:val="24"/>
                <w:lang w:eastAsia="en-GB"/>
              </w:rPr>
            </w:pPr>
            <w:r w:rsidRPr="008138C6">
              <w:rPr>
                <w:rFonts w:ascii="Arial" w:eastAsia="Times New Roman" w:hAnsi="Arial" w:cs="Arial"/>
                <w:color w:val="000000"/>
                <w:sz w:val="24"/>
                <w:lang w:eastAsia="en-GB"/>
              </w:rPr>
              <w:t>476,656</w:t>
            </w:r>
          </w:p>
        </w:tc>
      </w:tr>
      <w:tr w:rsidR="006D1262" w:rsidRPr="008138C6" w14:paraId="1F5BD5D4" w14:textId="77777777" w:rsidTr="006D1262">
        <w:trPr>
          <w:trHeight w:val="288"/>
        </w:trPr>
        <w:tc>
          <w:tcPr>
            <w:tcW w:w="16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8541D6C" w14:textId="77777777" w:rsidR="006D1262" w:rsidRPr="008138C6" w:rsidRDefault="006D1262" w:rsidP="000A46FF">
            <w:pPr>
              <w:rPr>
                <w:rFonts w:ascii="Arial" w:eastAsia="Times New Roman" w:hAnsi="Arial" w:cs="Arial"/>
                <w:color w:val="222222"/>
                <w:sz w:val="24"/>
                <w:lang w:eastAsia="en-GB"/>
              </w:rPr>
            </w:pPr>
            <w:r w:rsidRPr="008138C6">
              <w:rPr>
                <w:rFonts w:ascii="Arial" w:eastAsia="Times New Roman" w:hAnsi="Arial" w:cs="Arial"/>
                <w:color w:val="000000"/>
                <w:sz w:val="24"/>
                <w:lang w:eastAsia="en-GB"/>
              </w:rPr>
              <w:t>Flight</w:t>
            </w:r>
          </w:p>
        </w:tc>
        <w:tc>
          <w:tcPr>
            <w:tcW w:w="13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F9AC98" w14:textId="77777777" w:rsidR="006D1262" w:rsidRPr="008138C6" w:rsidRDefault="006D1262" w:rsidP="000A46FF">
            <w:pPr>
              <w:jc w:val="right"/>
              <w:rPr>
                <w:rFonts w:ascii="Arial" w:eastAsia="Times New Roman" w:hAnsi="Arial" w:cs="Arial"/>
                <w:color w:val="222222"/>
                <w:sz w:val="24"/>
                <w:lang w:eastAsia="en-GB"/>
              </w:rPr>
            </w:pPr>
            <w:r w:rsidRPr="008138C6">
              <w:rPr>
                <w:rFonts w:ascii="Arial" w:eastAsia="Times New Roman" w:hAnsi="Arial" w:cs="Arial"/>
                <w:color w:val="000000"/>
                <w:sz w:val="24"/>
                <w:lang w:eastAsia="en-GB"/>
              </w:rPr>
              <w:t>300,000</w:t>
            </w:r>
          </w:p>
        </w:tc>
        <w:tc>
          <w:tcPr>
            <w:tcW w:w="13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E5F46CA" w14:textId="77777777" w:rsidR="006D1262" w:rsidRPr="008138C6" w:rsidRDefault="006D1262" w:rsidP="000A46FF">
            <w:pPr>
              <w:jc w:val="right"/>
              <w:rPr>
                <w:rFonts w:ascii="Arial" w:eastAsia="Times New Roman" w:hAnsi="Arial" w:cs="Arial"/>
                <w:color w:val="222222"/>
                <w:sz w:val="24"/>
                <w:lang w:eastAsia="en-GB"/>
              </w:rPr>
            </w:pPr>
            <w:r w:rsidRPr="008138C6">
              <w:rPr>
                <w:rFonts w:ascii="Arial" w:eastAsia="Times New Roman" w:hAnsi="Arial" w:cs="Arial"/>
                <w:color w:val="000000"/>
                <w:sz w:val="24"/>
                <w:lang w:eastAsia="en-GB"/>
              </w:rPr>
              <w:t>238,084</w:t>
            </w:r>
          </w:p>
        </w:tc>
        <w:tc>
          <w:tcPr>
            <w:tcW w:w="13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82BB216" w14:textId="77777777" w:rsidR="006D1262" w:rsidRPr="008138C6" w:rsidRDefault="006D1262" w:rsidP="000A46FF">
            <w:pPr>
              <w:jc w:val="right"/>
              <w:rPr>
                <w:rFonts w:ascii="Arial" w:eastAsia="Times New Roman" w:hAnsi="Arial" w:cs="Arial"/>
                <w:color w:val="222222"/>
                <w:sz w:val="24"/>
                <w:lang w:eastAsia="en-GB"/>
              </w:rPr>
            </w:pPr>
            <w:r w:rsidRPr="008138C6">
              <w:rPr>
                <w:rFonts w:ascii="Arial" w:eastAsia="Times New Roman" w:hAnsi="Arial" w:cs="Arial"/>
                <w:color w:val="000000"/>
                <w:sz w:val="24"/>
                <w:lang w:eastAsia="en-GB"/>
              </w:rPr>
              <w:t>61,916</w:t>
            </w:r>
          </w:p>
        </w:tc>
      </w:tr>
    </w:tbl>
    <w:p w14:paraId="370307B2" w14:textId="38549F3F" w:rsidR="00C86851" w:rsidRDefault="00C86851" w:rsidP="006D1262">
      <w:pPr>
        <w:ind w:left="1304"/>
      </w:pPr>
    </w:p>
    <w:p w14:paraId="7D02527F" w14:textId="77777777" w:rsidR="00C86851" w:rsidRPr="00C86851" w:rsidRDefault="00C86851" w:rsidP="00C86851">
      <w:pPr>
        <w:ind w:left="1304"/>
      </w:pPr>
    </w:p>
    <w:p w14:paraId="668B6939" w14:textId="54EF9AFC" w:rsidR="00202D98" w:rsidRPr="00202D98" w:rsidRDefault="00F82BD9" w:rsidP="00202D98">
      <w:pPr>
        <w:pStyle w:val="Heading3"/>
        <w:keepNext w:val="0"/>
        <w:keepLines w:val="0"/>
        <w:widowControl w:val="0"/>
        <w:numPr>
          <w:ilvl w:val="2"/>
          <w:numId w:val="10"/>
        </w:numPr>
        <w:tabs>
          <w:tab w:val="left" w:pos="851"/>
        </w:tabs>
        <w:spacing w:after="240" w:line="276" w:lineRule="auto"/>
        <w:rPr>
          <w:rFonts w:ascii="Arial" w:hAnsi="Arial" w:cs="Arial"/>
          <w:bCs/>
          <w:color w:val="000000" w:themeColor="text1"/>
        </w:rPr>
      </w:pPr>
      <w:r>
        <w:rPr>
          <w:rFonts w:ascii="Arial" w:hAnsi="Arial" w:cs="Arial"/>
          <w:color w:val="auto"/>
        </w:rPr>
        <w:lastRenderedPageBreak/>
        <w:t>As indicated in 6.7.5 above, a savings</w:t>
      </w:r>
      <w:r w:rsidR="008D4974">
        <w:rPr>
          <w:rFonts w:ascii="Arial" w:hAnsi="Arial" w:cs="Arial"/>
          <w:color w:val="auto"/>
        </w:rPr>
        <w:t xml:space="preserve"> target</w:t>
      </w:r>
      <w:r>
        <w:rPr>
          <w:rFonts w:ascii="Arial" w:hAnsi="Arial" w:cs="Arial"/>
          <w:color w:val="auto"/>
        </w:rPr>
        <w:t xml:space="preserve"> for 2024/25 for Children’s and Adults directorate has been set as £22.676m and options are being identified and produced</w:t>
      </w:r>
      <w:r w:rsidRPr="00F82BD9">
        <w:rPr>
          <w:rFonts w:ascii="Arial" w:hAnsi="Arial" w:cs="Arial"/>
          <w:color w:val="000000" w:themeColor="text1"/>
        </w:rPr>
        <w:t xml:space="preserve">.  </w:t>
      </w:r>
      <w:r w:rsidRPr="00F82BD9">
        <w:rPr>
          <w:rFonts w:ascii="Arial" w:hAnsi="Arial" w:cs="Arial"/>
          <w:bCs/>
          <w:color w:val="000000" w:themeColor="text1"/>
        </w:rPr>
        <w:t>The Council appears now to be moving quickly to establish its savings options for the future and should satisfy itself that there are firm plans for its delivery, backed up by robust financial analysis, as this could be a significant budget risk given other potential pressures.</w:t>
      </w:r>
      <w:r w:rsidR="00CA16D2">
        <w:rPr>
          <w:rFonts w:ascii="Arial" w:hAnsi="Arial" w:cs="Arial"/>
          <w:bCs/>
          <w:color w:val="000000" w:themeColor="text1"/>
        </w:rPr>
        <w:t xml:space="preserve">  This level of savings does seem </w:t>
      </w:r>
      <w:r w:rsidR="00B8533B">
        <w:rPr>
          <w:rFonts w:ascii="Arial" w:hAnsi="Arial" w:cs="Arial"/>
          <w:bCs/>
          <w:color w:val="000000" w:themeColor="text1"/>
        </w:rPr>
        <w:t xml:space="preserve">very </w:t>
      </w:r>
      <w:r w:rsidR="00CA16D2">
        <w:rPr>
          <w:rFonts w:ascii="Arial" w:hAnsi="Arial" w:cs="Arial"/>
          <w:bCs/>
          <w:color w:val="000000" w:themeColor="text1"/>
        </w:rPr>
        <w:t>high</w:t>
      </w:r>
      <w:r w:rsidR="00B8533B">
        <w:rPr>
          <w:rFonts w:ascii="Arial" w:hAnsi="Arial" w:cs="Arial"/>
          <w:bCs/>
          <w:color w:val="000000" w:themeColor="text1"/>
        </w:rPr>
        <w:t xml:space="preserve"> especially given that we are now 3 months away from the start of the financial year.  We do not understand how this can be achieved.</w:t>
      </w:r>
    </w:p>
    <w:p w14:paraId="5892EA8C" w14:textId="4B83EBBA" w:rsidR="00B958F2" w:rsidRDefault="00B958F2" w:rsidP="00B958F2">
      <w:pPr>
        <w:pStyle w:val="Heading3"/>
        <w:keepNext w:val="0"/>
        <w:keepLines w:val="0"/>
        <w:widowControl w:val="0"/>
        <w:numPr>
          <w:ilvl w:val="2"/>
          <w:numId w:val="10"/>
        </w:numPr>
        <w:tabs>
          <w:tab w:val="left" w:pos="851"/>
        </w:tabs>
        <w:spacing w:after="240" w:line="276" w:lineRule="auto"/>
        <w:rPr>
          <w:rFonts w:ascii="Arial" w:hAnsi="Arial" w:cs="Arial"/>
          <w:color w:val="auto"/>
        </w:rPr>
      </w:pPr>
      <w:r w:rsidRPr="00C2078C">
        <w:rPr>
          <w:rFonts w:ascii="Arial" w:hAnsi="Arial" w:cs="Arial"/>
          <w:color w:val="000000" w:themeColor="text1"/>
        </w:rPr>
        <w:t xml:space="preserve">To </w:t>
      </w:r>
      <w:r w:rsidR="00BA09F2">
        <w:rPr>
          <w:rFonts w:ascii="Arial" w:hAnsi="Arial" w:cs="Arial"/>
          <w:color w:val="000000" w:themeColor="text1"/>
        </w:rPr>
        <w:t>ensure that the budget for 2023/24 is balanced, immediate consideration should be given to the following approaches to develop a short term</w:t>
      </w:r>
      <w:r w:rsidR="00A63D9E">
        <w:rPr>
          <w:rFonts w:ascii="Arial" w:hAnsi="Arial" w:cs="Arial"/>
          <w:color w:val="000000" w:themeColor="text1"/>
        </w:rPr>
        <w:t xml:space="preserve"> efficiency</w:t>
      </w:r>
      <w:r w:rsidR="00BA09F2">
        <w:rPr>
          <w:rFonts w:ascii="Arial" w:hAnsi="Arial" w:cs="Arial"/>
          <w:color w:val="000000" w:themeColor="text1"/>
        </w:rPr>
        <w:t xml:space="preserve"> plan:</w:t>
      </w:r>
    </w:p>
    <w:p w14:paraId="09692702" w14:textId="0BFC1792" w:rsidR="007B24B5" w:rsidRDefault="00A63D9E" w:rsidP="00202D98">
      <w:pPr>
        <w:pStyle w:val="ListParagraph"/>
        <w:numPr>
          <w:ilvl w:val="0"/>
          <w:numId w:val="21"/>
        </w:numPr>
        <w:tabs>
          <w:tab w:val="center" w:pos="4796"/>
        </w:tabs>
        <w:spacing w:after="0"/>
        <w:rPr>
          <w:rFonts w:cs="Arial"/>
          <w:szCs w:val="24"/>
        </w:rPr>
      </w:pPr>
      <w:r>
        <w:rPr>
          <w:rFonts w:cs="Arial"/>
          <w:szCs w:val="24"/>
        </w:rPr>
        <w:t>Extend the use of the Shared Lives service, which offers better value for money than residential care, particularly for younger adults</w:t>
      </w:r>
    </w:p>
    <w:p w14:paraId="56116C37" w14:textId="15E39BFE" w:rsidR="00A63D9E" w:rsidRDefault="00A63D9E" w:rsidP="00202D98">
      <w:pPr>
        <w:pStyle w:val="ListParagraph"/>
        <w:numPr>
          <w:ilvl w:val="0"/>
          <w:numId w:val="21"/>
        </w:numPr>
        <w:tabs>
          <w:tab w:val="center" w:pos="4796"/>
        </w:tabs>
        <w:spacing w:after="0"/>
        <w:rPr>
          <w:rFonts w:cs="Arial"/>
          <w:szCs w:val="24"/>
        </w:rPr>
      </w:pPr>
      <w:r>
        <w:rPr>
          <w:rFonts w:cs="Arial"/>
          <w:szCs w:val="24"/>
        </w:rPr>
        <w:t>Continue the reviewing programme in place, but assess effectiveness.  I understand that consideration has been given to OT led reviews</w:t>
      </w:r>
    </w:p>
    <w:p w14:paraId="56CD5130" w14:textId="71961F70" w:rsidR="00A63D9E" w:rsidRDefault="00A63D9E" w:rsidP="00202D98">
      <w:pPr>
        <w:pStyle w:val="ListParagraph"/>
        <w:numPr>
          <w:ilvl w:val="0"/>
          <w:numId w:val="21"/>
        </w:numPr>
        <w:tabs>
          <w:tab w:val="center" w:pos="4796"/>
        </w:tabs>
        <w:spacing w:after="0"/>
        <w:rPr>
          <w:rFonts w:cs="Arial"/>
          <w:szCs w:val="24"/>
        </w:rPr>
      </w:pPr>
      <w:r>
        <w:rPr>
          <w:rFonts w:cs="Arial"/>
          <w:szCs w:val="24"/>
        </w:rPr>
        <w:t>Ensure that financial assessments are carried out as soon as possible within the assessment process to ensure timely collection of income</w:t>
      </w:r>
    </w:p>
    <w:p w14:paraId="2BC8291E" w14:textId="1161214E" w:rsidR="00A63D9E" w:rsidRDefault="00A63D9E" w:rsidP="00202D98">
      <w:pPr>
        <w:pStyle w:val="ListParagraph"/>
        <w:numPr>
          <w:ilvl w:val="0"/>
          <w:numId w:val="21"/>
        </w:numPr>
        <w:tabs>
          <w:tab w:val="center" w:pos="4796"/>
        </w:tabs>
        <w:spacing w:after="0"/>
        <w:rPr>
          <w:rFonts w:cs="Arial"/>
          <w:szCs w:val="24"/>
        </w:rPr>
      </w:pPr>
      <w:r>
        <w:rPr>
          <w:rFonts w:cs="Arial"/>
          <w:szCs w:val="24"/>
        </w:rPr>
        <w:t>Embed the use of technology into care packages and build into the assessment and reviewing processes</w:t>
      </w:r>
    </w:p>
    <w:p w14:paraId="42E9B47C" w14:textId="11F80CB2" w:rsidR="00202D98" w:rsidRDefault="00A63D9E" w:rsidP="00202D98">
      <w:pPr>
        <w:pStyle w:val="ListParagraph"/>
        <w:numPr>
          <w:ilvl w:val="0"/>
          <w:numId w:val="21"/>
        </w:numPr>
        <w:tabs>
          <w:tab w:val="center" w:pos="4796"/>
        </w:tabs>
        <w:spacing w:after="0"/>
        <w:rPr>
          <w:rFonts w:cs="Arial"/>
          <w:szCs w:val="24"/>
        </w:rPr>
      </w:pPr>
      <w:r>
        <w:rPr>
          <w:rFonts w:cs="Arial"/>
          <w:szCs w:val="24"/>
        </w:rPr>
        <w:t>Ensure that g</w:t>
      </w:r>
      <w:r w:rsidR="00202D98" w:rsidRPr="0005624E">
        <w:rPr>
          <w:rFonts w:cs="Arial"/>
          <w:szCs w:val="24"/>
        </w:rPr>
        <w:t xml:space="preserve">rant maximisation </w:t>
      </w:r>
      <w:r w:rsidR="00202D98">
        <w:rPr>
          <w:rFonts w:cs="Arial"/>
          <w:szCs w:val="24"/>
        </w:rPr>
        <w:t>wherever possible; for example I understand that a request has been made in respect of DFGs to fund an additional 2 OT posts</w:t>
      </w:r>
    </w:p>
    <w:p w14:paraId="0163BE3F" w14:textId="2B660432" w:rsidR="00D32E2B" w:rsidRPr="0005624E" w:rsidRDefault="00D32E2B" w:rsidP="00202D98">
      <w:pPr>
        <w:pStyle w:val="ListParagraph"/>
        <w:numPr>
          <w:ilvl w:val="0"/>
          <w:numId w:val="21"/>
        </w:numPr>
        <w:tabs>
          <w:tab w:val="center" w:pos="4796"/>
        </w:tabs>
        <w:spacing w:after="0"/>
        <w:rPr>
          <w:rFonts w:cs="Arial"/>
          <w:szCs w:val="24"/>
        </w:rPr>
      </w:pPr>
      <w:r>
        <w:rPr>
          <w:rFonts w:cs="Arial"/>
          <w:szCs w:val="24"/>
        </w:rPr>
        <w:t xml:space="preserve">Review of Better Care Fund </w:t>
      </w:r>
      <w:r w:rsidR="00A63D9E">
        <w:rPr>
          <w:rFonts w:cs="Arial"/>
          <w:szCs w:val="24"/>
        </w:rPr>
        <w:t xml:space="preserve">budgets </w:t>
      </w:r>
      <w:r w:rsidR="00BA09F2">
        <w:rPr>
          <w:rFonts w:cs="Arial"/>
          <w:szCs w:val="24"/>
        </w:rPr>
        <w:t>and negotiation with the ICB regarding additional support for adult social care, even on a temporary basis</w:t>
      </w:r>
    </w:p>
    <w:p w14:paraId="1ABDDB81" w14:textId="48DA2A4B" w:rsidR="00202D98" w:rsidRPr="0005624E" w:rsidRDefault="00202D98" w:rsidP="00202D98">
      <w:pPr>
        <w:pStyle w:val="ListParagraph"/>
        <w:numPr>
          <w:ilvl w:val="0"/>
          <w:numId w:val="21"/>
        </w:numPr>
        <w:tabs>
          <w:tab w:val="center" w:pos="4796"/>
        </w:tabs>
        <w:spacing w:after="0"/>
        <w:rPr>
          <w:rFonts w:cs="Arial"/>
          <w:szCs w:val="24"/>
        </w:rPr>
      </w:pPr>
      <w:r w:rsidRPr="0005624E">
        <w:rPr>
          <w:rFonts w:cs="Arial"/>
          <w:szCs w:val="24"/>
        </w:rPr>
        <w:t>Contribution from Public Health</w:t>
      </w:r>
      <w:r>
        <w:rPr>
          <w:rFonts w:cs="Arial"/>
          <w:szCs w:val="24"/>
        </w:rPr>
        <w:t xml:space="preserve"> to management costs of </w:t>
      </w:r>
      <w:r w:rsidR="00BA09F2">
        <w:rPr>
          <w:rFonts w:cs="Arial"/>
          <w:szCs w:val="24"/>
        </w:rPr>
        <w:t>the department</w:t>
      </w:r>
    </w:p>
    <w:p w14:paraId="009AB145" w14:textId="16E55960" w:rsidR="00202D98" w:rsidRPr="0005624E" w:rsidRDefault="00202D98" w:rsidP="00202D98">
      <w:pPr>
        <w:pStyle w:val="ListParagraph"/>
        <w:numPr>
          <w:ilvl w:val="0"/>
          <w:numId w:val="21"/>
        </w:numPr>
        <w:tabs>
          <w:tab w:val="center" w:pos="4796"/>
        </w:tabs>
        <w:spacing w:after="0"/>
        <w:rPr>
          <w:rFonts w:cs="Arial"/>
          <w:szCs w:val="24"/>
        </w:rPr>
      </w:pPr>
      <w:r>
        <w:rPr>
          <w:rFonts w:cs="Arial"/>
          <w:szCs w:val="24"/>
        </w:rPr>
        <w:t>Effective u</w:t>
      </w:r>
      <w:r w:rsidRPr="0005624E">
        <w:rPr>
          <w:rFonts w:cs="Arial"/>
          <w:szCs w:val="24"/>
        </w:rPr>
        <w:t>se of Earmarked Reserves</w:t>
      </w:r>
      <w:r w:rsidR="00D32E2B">
        <w:rPr>
          <w:rFonts w:cs="Arial"/>
          <w:szCs w:val="24"/>
        </w:rPr>
        <w:t xml:space="preserve"> rather than general reserves</w:t>
      </w:r>
      <w:r w:rsidR="00BA09F2">
        <w:rPr>
          <w:rFonts w:cs="Arial"/>
          <w:szCs w:val="24"/>
        </w:rPr>
        <w:t xml:space="preserve"> if possible</w:t>
      </w:r>
    </w:p>
    <w:p w14:paraId="1904B95B" w14:textId="11678208" w:rsidR="00202D98" w:rsidRPr="0005624E" w:rsidRDefault="00BA09F2" w:rsidP="00202D98">
      <w:pPr>
        <w:pStyle w:val="ListParagraph"/>
        <w:numPr>
          <w:ilvl w:val="0"/>
          <w:numId w:val="21"/>
        </w:numPr>
        <w:tabs>
          <w:tab w:val="center" w:pos="4796"/>
        </w:tabs>
        <w:spacing w:after="0"/>
        <w:rPr>
          <w:rFonts w:cs="Arial"/>
          <w:szCs w:val="24"/>
        </w:rPr>
      </w:pPr>
      <w:r>
        <w:rPr>
          <w:rFonts w:cs="Arial"/>
          <w:szCs w:val="24"/>
        </w:rPr>
        <w:t xml:space="preserve">Consider </w:t>
      </w:r>
      <w:r w:rsidR="00E94830">
        <w:rPr>
          <w:rFonts w:cs="Arial"/>
          <w:szCs w:val="24"/>
        </w:rPr>
        <w:t xml:space="preserve">how </w:t>
      </w:r>
      <w:r>
        <w:rPr>
          <w:rFonts w:cs="Arial"/>
          <w:szCs w:val="24"/>
        </w:rPr>
        <w:t xml:space="preserve">the </w:t>
      </w:r>
      <w:r w:rsidR="00202D98" w:rsidRPr="0005624E">
        <w:rPr>
          <w:rFonts w:cs="Arial"/>
          <w:szCs w:val="24"/>
        </w:rPr>
        <w:t>allocation of inflation</w:t>
      </w:r>
      <w:r w:rsidR="00D32E2B">
        <w:rPr>
          <w:rFonts w:cs="Arial"/>
          <w:szCs w:val="24"/>
        </w:rPr>
        <w:t xml:space="preserve"> and </w:t>
      </w:r>
      <w:r w:rsidR="00E94830">
        <w:rPr>
          <w:rFonts w:cs="Arial"/>
          <w:szCs w:val="24"/>
        </w:rPr>
        <w:t>demographic</w:t>
      </w:r>
      <w:r w:rsidR="00D32E2B">
        <w:rPr>
          <w:rFonts w:cs="Arial"/>
          <w:szCs w:val="24"/>
        </w:rPr>
        <w:t xml:space="preserve"> budgets </w:t>
      </w:r>
      <w:r w:rsidR="00E94830">
        <w:rPr>
          <w:rFonts w:cs="Arial"/>
          <w:szCs w:val="24"/>
        </w:rPr>
        <w:t xml:space="preserve">can be best allocated given the current issues with the provider market, for example incentivising certain types of provision </w:t>
      </w:r>
      <w:r w:rsidR="00D32E2B">
        <w:rPr>
          <w:rFonts w:cs="Arial"/>
          <w:szCs w:val="24"/>
        </w:rPr>
        <w:t>– this would require careful scenario planning and</w:t>
      </w:r>
      <w:r>
        <w:rPr>
          <w:rFonts w:cs="Arial"/>
          <w:szCs w:val="24"/>
        </w:rPr>
        <w:t xml:space="preserve"> careful negotiation with providers</w:t>
      </w:r>
      <w:r w:rsidR="00E94830">
        <w:rPr>
          <w:rFonts w:cs="Arial"/>
          <w:szCs w:val="24"/>
        </w:rPr>
        <w:t>.</w:t>
      </w:r>
    </w:p>
    <w:p w14:paraId="1AA4323D" w14:textId="77777777" w:rsidR="00FA72FD" w:rsidRDefault="00FA72FD" w:rsidP="00FA72FD">
      <w:pPr>
        <w:pStyle w:val="ListParagraph"/>
        <w:ind w:left="1220"/>
        <w:rPr>
          <w:rFonts w:eastAsiaTheme="majorEastAsia" w:cs="Arial"/>
          <w:b/>
          <w:bCs/>
          <w:szCs w:val="24"/>
        </w:rPr>
      </w:pPr>
    </w:p>
    <w:p w14:paraId="6D605AEC" w14:textId="6BD53D24" w:rsidR="00FA72FD" w:rsidRDefault="00995165" w:rsidP="00FA72FD">
      <w:pPr>
        <w:pStyle w:val="ListParagraph"/>
        <w:numPr>
          <w:ilvl w:val="1"/>
          <w:numId w:val="10"/>
        </w:numPr>
        <w:rPr>
          <w:rFonts w:eastAsiaTheme="majorEastAsia" w:cs="Arial"/>
          <w:b/>
          <w:bCs/>
          <w:szCs w:val="24"/>
        </w:rPr>
      </w:pPr>
      <w:r>
        <w:rPr>
          <w:rFonts w:eastAsiaTheme="majorEastAsia" w:cs="Arial"/>
          <w:b/>
          <w:bCs/>
          <w:szCs w:val="24"/>
        </w:rPr>
        <w:t>Future pressures and demands</w:t>
      </w:r>
    </w:p>
    <w:p w14:paraId="70EAA087" w14:textId="458284CD" w:rsidR="00FA72FD" w:rsidRPr="00202D98" w:rsidRDefault="00FA72FD" w:rsidP="00FA72FD">
      <w:pPr>
        <w:pStyle w:val="Heading3"/>
        <w:keepNext w:val="0"/>
        <w:keepLines w:val="0"/>
        <w:widowControl w:val="0"/>
        <w:numPr>
          <w:ilvl w:val="2"/>
          <w:numId w:val="10"/>
        </w:numPr>
        <w:tabs>
          <w:tab w:val="left" w:pos="851"/>
        </w:tabs>
        <w:spacing w:after="240" w:line="276" w:lineRule="auto"/>
        <w:rPr>
          <w:rFonts w:ascii="Arial" w:hAnsi="Arial" w:cs="Arial"/>
          <w:bCs/>
          <w:color w:val="000000" w:themeColor="text1"/>
        </w:rPr>
      </w:pPr>
      <w:r>
        <w:rPr>
          <w:rFonts w:ascii="Arial" w:hAnsi="Arial" w:cs="Arial"/>
          <w:bCs/>
          <w:color w:val="000000" w:themeColor="text1"/>
        </w:rPr>
        <w:t xml:space="preserve">In preparing the budgets for 2024/25 </w:t>
      </w:r>
      <w:r w:rsidR="00D3367F">
        <w:rPr>
          <w:rFonts w:ascii="Arial" w:hAnsi="Arial" w:cs="Arial"/>
          <w:bCs/>
          <w:color w:val="000000" w:themeColor="text1"/>
        </w:rPr>
        <w:t>Partners in Care &amp; Health</w:t>
      </w:r>
      <w:r>
        <w:rPr>
          <w:rFonts w:ascii="Arial" w:hAnsi="Arial" w:cs="Arial"/>
          <w:bCs/>
          <w:color w:val="000000" w:themeColor="text1"/>
        </w:rPr>
        <w:t xml:space="preserve"> is mindful that inflationary increases facing adult social care providers remains signi</w:t>
      </w:r>
      <w:r w:rsidR="00995165">
        <w:rPr>
          <w:rFonts w:ascii="Arial" w:hAnsi="Arial" w:cs="Arial"/>
          <w:bCs/>
          <w:color w:val="000000" w:themeColor="text1"/>
        </w:rPr>
        <w:t>ficant.</w:t>
      </w:r>
      <w:r w:rsidR="00D3367F">
        <w:rPr>
          <w:rFonts w:ascii="Arial" w:hAnsi="Arial" w:cs="Arial"/>
          <w:bCs/>
          <w:color w:val="000000" w:themeColor="text1"/>
        </w:rPr>
        <w:t xml:space="preserve">  John Jackson’s estimate of the underlying inflationary pressures facing adult social care providers is that they are 7.75% next year reflecting the agreed increase in the National Living Wage of 9.8%.  We should discuss when we meet in January what options are available to Medway based on your local circumstances. </w:t>
      </w:r>
    </w:p>
    <w:p w14:paraId="6684171F" w14:textId="63966299" w:rsidR="00FA72FD" w:rsidRPr="00995165" w:rsidRDefault="00995165" w:rsidP="00FA72FD">
      <w:pPr>
        <w:pStyle w:val="Heading3"/>
        <w:keepNext w:val="0"/>
        <w:keepLines w:val="0"/>
        <w:widowControl w:val="0"/>
        <w:numPr>
          <w:ilvl w:val="2"/>
          <w:numId w:val="10"/>
        </w:numPr>
        <w:tabs>
          <w:tab w:val="left" w:pos="851"/>
        </w:tabs>
        <w:spacing w:after="240" w:line="276" w:lineRule="auto"/>
        <w:rPr>
          <w:rFonts w:ascii="Arial" w:hAnsi="Arial" w:cs="Arial"/>
          <w:bCs/>
          <w:color w:val="auto"/>
        </w:rPr>
      </w:pPr>
      <w:r w:rsidRPr="00995165">
        <w:rPr>
          <w:rFonts w:ascii="Arial" w:hAnsi="Arial" w:cs="Arial"/>
          <w:color w:val="auto"/>
        </w:rPr>
        <w:t xml:space="preserve">Workforce is also an issue for Medway adult care services in terms of recruitment and retention vs increasing demand and moving to a </w:t>
      </w:r>
      <w:proofErr w:type="gramStart"/>
      <w:r w:rsidRPr="00995165">
        <w:rPr>
          <w:rFonts w:ascii="Arial" w:hAnsi="Arial" w:cs="Arial"/>
          <w:color w:val="auto"/>
        </w:rPr>
        <w:t>strengths based</w:t>
      </w:r>
      <w:proofErr w:type="gramEnd"/>
      <w:r w:rsidRPr="00995165">
        <w:rPr>
          <w:rFonts w:ascii="Arial" w:hAnsi="Arial" w:cs="Arial"/>
          <w:color w:val="auto"/>
        </w:rPr>
        <w:t xml:space="preserve"> approach.  The council spends significantly on agency staff who are transient. There is a national shortage of social workers for both adults and children’s </w:t>
      </w:r>
      <w:proofErr w:type="gramStart"/>
      <w:r w:rsidRPr="00995165">
        <w:rPr>
          <w:rFonts w:ascii="Arial" w:hAnsi="Arial" w:cs="Arial"/>
          <w:color w:val="auto"/>
        </w:rPr>
        <w:t>services</w:t>
      </w:r>
      <w:proofErr w:type="gramEnd"/>
      <w:r w:rsidRPr="00995165">
        <w:rPr>
          <w:rFonts w:ascii="Arial" w:hAnsi="Arial" w:cs="Arial"/>
          <w:color w:val="auto"/>
        </w:rPr>
        <w:t xml:space="preserve"> and I understand that within Medway there is a difference between terms &amp; conditions of social workers in adults and children’s services.  Work is underway to address this and understand how Medway can improve its recruitment and retention of social workers in adult services.</w:t>
      </w:r>
    </w:p>
    <w:sectPr w:rsidR="00FA72FD" w:rsidRPr="00995165" w:rsidSect="00FC2DA1">
      <w:footerReference w:type="even" r:id="rId22"/>
      <w:footerReference w:type="default" r:id="rId23"/>
      <w:pgSz w:w="11900" w:h="16840"/>
      <w:pgMar w:top="1134" w:right="987" w:bottom="1134" w:left="17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33599" w14:textId="77777777" w:rsidR="00BD399D" w:rsidRDefault="00BD399D" w:rsidP="007A3157">
      <w:r>
        <w:separator/>
      </w:r>
    </w:p>
  </w:endnote>
  <w:endnote w:type="continuationSeparator" w:id="0">
    <w:p w14:paraId="05D0F05C" w14:textId="77777777" w:rsidR="00BD399D" w:rsidRDefault="00BD399D" w:rsidP="007A3157">
      <w:r>
        <w:continuationSeparator/>
      </w:r>
    </w:p>
  </w:endnote>
  <w:endnote w:type="continuationNotice" w:id="1">
    <w:p w14:paraId="437E7038" w14:textId="77777777" w:rsidR="00BD399D" w:rsidRDefault="00BD3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rutiger 55 Roman">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2627711"/>
      <w:docPartObj>
        <w:docPartGallery w:val="Page Numbers (Bottom of Page)"/>
        <w:docPartUnique/>
      </w:docPartObj>
    </w:sdtPr>
    <w:sdtEndPr>
      <w:rPr>
        <w:rStyle w:val="PageNumber"/>
      </w:rPr>
    </w:sdtEndPr>
    <w:sdtContent>
      <w:p w14:paraId="5F50FE4B" w14:textId="77777777" w:rsidR="00A67930" w:rsidRDefault="00A679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1385E95" w14:textId="1E7678DB" w:rsidR="00E80E91" w:rsidRDefault="00E80E91" w:rsidP="00A67930">
    <w:pPr>
      <w:widowControl w:val="0"/>
      <w:spacing w:line="220" w:lineRule="exact"/>
      <w:ind w:right="360"/>
      <w:rPr>
        <w:rFonts w:ascii="Arial" w:hAnsi="Arial" w:cs="Arial"/>
        <w:sz w:val="16"/>
        <w:szCs w:val="16"/>
      </w:rPr>
    </w:pPr>
    <w:r w:rsidRPr="00E86432">
      <w:rPr>
        <w:rFonts w:ascii="Arial" w:hAnsi="Arial" w:cs="Arial"/>
        <w:sz w:val="16"/>
        <w:szCs w:val="16"/>
      </w:rPr>
      <w:t>18</w:t>
    </w:r>
    <w:r>
      <w:rPr>
        <w:rFonts w:ascii="Arial" w:hAnsi="Arial" w:cs="Arial"/>
        <w:sz w:val="16"/>
        <w:szCs w:val="16"/>
      </w:rPr>
      <w:t xml:space="preserve"> Smith Square, London, SW1P 3HZ</w:t>
    </w:r>
    <w:hyperlink r:id="rId1" w:history="1">
      <w:r w:rsidRPr="00E86432">
        <w:rPr>
          <w:rFonts w:ascii="Arial" w:hAnsi="Arial" w:cs="Arial"/>
          <w:color w:val="000000"/>
          <w:sz w:val="16"/>
          <w:szCs w:val="16"/>
        </w:rPr>
        <w:t>www.local.gov.uk</w:t>
      </w:r>
    </w:hyperlink>
    <w:r w:rsidRPr="00E86432">
      <w:rPr>
        <w:rFonts w:ascii="Arial" w:hAnsi="Arial" w:cs="Arial"/>
        <w:b/>
        <w:sz w:val="16"/>
        <w:szCs w:val="16"/>
      </w:rPr>
      <w:t xml:space="preserve">Telephone </w:t>
    </w:r>
    <w:r>
      <w:rPr>
        <w:rFonts w:ascii="Arial" w:hAnsi="Arial" w:cs="Arial"/>
        <w:sz w:val="16"/>
        <w:szCs w:val="16"/>
      </w:rPr>
      <w:t>020 7664 3000</w:t>
    </w:r>
    <w:r w:rsidRPr="00E86432">
      <w:rPr>
        <w:rFonts w:ascii="Arial" w:hAnsi="Arial" w:cs="Arial"/>
        <w:b/>
        <w:sz w:val="16"/>
        <w:szCs w:val="16"/>
      </w:rPr>
      <w:t xml:space="preserve">Email </w:t>
    </w:r>
    <w:hyperlink r:id="rId2" w:history="1">
      <w:r w:rsidRPr="00E86432">
        <w:rPr>
          <w:rFonts w:ascii="Arial" w:hAnsi="Arial" w:cs="Arial"/>
          <w:color w:val="000000"/>
          <w:sz w:val="16"/>
          <w:szCs w:val="16"/>
        </w:rPr>
        <w:t>info@local.gov.uk</w:t>
      </w:r>
    </w:hyperlink>
    <w:r>
      <w:rPr>
        <w:rFonts w:ascii="Arial" w:hAnsi="Arial" w:cs="Arial"/>
        <w:sz w:val="16"/>
        <w:szCs w:val="16"/>
      </w:rPr>
      <w:t xml:space="preserve"> </w:t>
    </w:r>
  </w:p>
  <w:p w14:paraId="4F1CFB0A" w14:textId="457632B2" w:rsidR="002C0A12" w:rsidRDefault="00E80E91" w:rsidP="00C2581C">
    <w:pPr>
      <w:widowControl w:val="0"/>
      <w:spacing w:line="220" w:lineRule="exact"/>
      <w:ind w:left="567" w:right="-852"/>
    </w:pPr>
    <w:r w:rsidRPr="00E86432">
      <w:rPr>
        <w:rFonts w:ascii="Arial" w:hAnsi="Arial" w:cs="Arial"/>
        <w:b/>
        <w:sz w:val="16"/>
        <w:szCs w:val="16"/>
      </w:rPr>
      <w:t>Chief Executive:</w:t>
    </w:r>
    <w:r w:rsidRPr="00E86432">
      <w:rPr>
        <w:rFonts w:ascii="Arial" w:hAnsi="Arial" w:cs="Arial"/>
        <w:sz w:val="16"/>
        <w:szCs w:val="16"/>
      </w:rPr>
      <w:t xml:space="preserve"> Mark Lloyd </w:t>
    </w:r>
    <w:r w:rsidRPr="00E86432">
      <w:rPr>
        <w:rFonts w:ascii="Arial" w:hAnsi="Arial" w:cs="Arial"/>
        <w:sz w:val="16"/>
        <w:szCs w:val="16"/>
      </w:rPr>
      <w:br/>
      <w:t xml:space="preserve">Local Government Association </w:t>
    </w:r>
    <w:r w:rsidRPr="00E86432">
      <w:rPr>
        <w:rFonts w:ascii="Arial" w:hAnsi="Arial" w:cs="Arial"/>
        <w:noProof/>
        <w:sz w:val="16"/>
        <w:szCs w:val="16"/>
      </w:rPr>
      <w:t xml:space="preserve">company number </w:t>
    </w:r>
    <w:proofErr w:type="gramStart"/>
    <w:r w:rsidRPr="00E86432">
      <w:rPr>
        <w:rFonts w:ascii="Arial" w:hAnsi="Arial" w:cs="Arial"/>
        <w:noProof/>
        <w:sz w:val="16"/>
        <w:szCs w:val="16"/>
      </w:rPr>
      <w:t>11177145</w:t>
    </w:r>
    <w:r w:rsidRPr="00E86432">
      <w:rPr>
        <w:rFonts w:ascii="Arial" w:hAnsi="Arial" w:cs="Arial"/>
        <w:sz w:val="16"/>
        <w:szCs w:val="16"/>
      </w:rPr>
      <w:t>  Improvement</w:t>
    </w:r>
    <w:proofErr w:type="gramEnd"/>
    <w:r w:rsidRPr="00E86432">
      <w:rPr>
        <w:rFonts w:ascii="Arial" w:hAnsi="Arial" w:cs="Arial"/>
        <w:sz w:val="16"/>
        <w:szCs w:val="16"/>
      </w:rPr>
      <w:t xml:space="preserve"> and Development Agency for Local Government company number 03675577</w:t>
    </w:r>
  </w:p>
  <w:p w14:paraId="25D78481" w14:textId="77777777" w:rsidR="007D6682" w:rsidRPr="00153423" w:rsidRDefault="007D6682" w:rsidP="001534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1190645"/>
      <w:docPartObj>
        <w:docPartGallery w:val="Page Numbers (Bottom of Page)"/>
        <w:docPartUnique/>
      </w:docPartObj>
    </w:sdtPr>
    <w:sdtEndPr>
      <w:rPr>
        <w:rStyle w:val="DefaultParagraphFont"/>
        <w:color w:val="auto"/>
      </w:rPr>
    </w:sdtEndPr>
    <w:sdtContent>
      <w:p w14:paraId="0186D1EE" w14:textId="11FCA50B" w:rsidR="007D6682" w:rsidRPr="005E12AF" w:rsidRDefault="00A14CAE" w:rsidP="00C2581C">
        <w:pPr>
          <w:pStyle w:val="PCHpagenumber"/>
          <w:rPr>
            <w:b w:val="0"/>
            <w:color w:val="auto"/>
          </w:rPr>
        </w:pPr>
        <w:r w:rsidRPr="005E12AF">
          <w:rPr>
            <w:noProof/>
            <w:color w:val="auto"/>
          </w:rPr>
          <w:drawing>
            <wp:anchor distT="0" distB="0" distL="114300" distR="114300" simplePos="0" relativeHeight="251658240" behindDoc="1" locked="0" layoutInCell="1" allowOverlap="1" wp14:anchorId="2BE4F9D4" wp14:editId="34289881">
              <wp:simplePos x="0" y="0"/>
              <wp:positionH relativeFrom="column">
                <wp:posOffset>123825</wp:posOffset>
              </wp:positionH>
              <wp:positionV relativeFrom="paragraph">
                <wp:posOffset>-168910</wp:posOffset>
              </wp:positionV>
              <wp:extent cx="7227651" cy="643807"/>
              <wp:effectExtent l="0" t="0" r="5080" b="4445"/>
              <wp:wrapNone/>
              <wp:docPr id="1138902343" name="Picture 1138902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02343" name="Picture 1138902343">
                        <a:extLst>
                          <a:ext uri="{C183D7F6-B498-43B3-948B-1728B52AA6E4}">
                            <adec:decorative xmlns:adec="http://schemas.microsoft.com/office/drawing/2017/decorative" val="1"/>
                          </a:ext>
                        </a:extLst>
                      </pic:cNvPr>
                      <pic:cNvPicPr/>
                    </pic:nvPicPr>
                    <pic:blipFill>
                      <a:blip r:embed="rId1"/>
                      <a:stretch>
                        <a:fillRect/>
                      </a:stretch>
                    </pic:blipFill>
                    <pic:spPr>
                      <a:xfrm>
                        <a:off x="0" y="0"/>
                        <a:ext cx="7227651" cy="643807"/>
                      </a:xfrm>
                      <a:prstGeom prst="rect">
                        <a:avLst/>
                      </a:prstGeom>
                    </pic:spPr>
                  </pic:pic>
                </a:graphicData>
              </a:graphic>
              <wp14:sizeRelH relativeFrom="page">
                <wp14:pctWidth>0</wp14:pctWidth>
              </wp14:sizeRelH>
              <wp14:sizeRelV relativeFrom="page">
                <wp14:pctHeight>0</wp14:pctHeight>
              </wp14:sizeRelV>
            </wp:anchor>
          </w:drawing>
        </w:r>
        <w:r w:rsidR="00A67930" w:rsidRPr="005E12AF">
          <w:rPr>
            <w:color w:val="auto"/>
          </w:rPr>
          <w:fldChar w:fldCharType="begin"/>
        </w:r>
        <w:r w:rsidR="00A67930" w:rsidRPr="005E12AF">
          <w:rPr>
            <w:color w:val="auto"/>
          </w:rPr>
          <w:instrText xml:space="preserve"> PAGE </w:instrText>
        </w:r>
        <w:r w:rsidR="00A67930" w:rsidRPr="005E12AF">
          <w:rPr>
            <w:color w:val="auto"/>
          </w:rPr>
          <w:fldChar w:fldCharType="separate"/>
        </w:r>
        <w:r w:rsidR="00A67930" w:rsidRPr="005E12AF">
          <w:rPr>
            <w:color w:val="auto"/>
          </w:rPr>
          <w:t>3</w:t>
        </w:r>
        <w:r w:rsidR="00A67930" w:rsidRPr="005E12AF">
          <w:rPr>
            <w:color w:val="auto"/>
          </w:rPr>
          <w:fldChar w:fldCharType="end"/>
        </w:r>
      </w:p>
    </w:sdtContent>
  </w:sdt>
  <w:p w14:paraId="2C304F22" w14:textId="77777777" w:rsidR="007D6682" w:rsidRPr="009E3E52" w:rsidRDefault="007D6682" w:rsidP="009E3E52">
    <w:pPr>
      <w:ind w:left="1560"/>
      <w:rPr>
        <w:rFonts w:ascii="Arial" w:hAnsi="Arial"/>
        <w:b/>
        <w:color w:val="BFBFBF" w:themeColor="background1" w:themeShade="BF"/>
        <w:szCs w:val="22"/>
      </w:rPr>
    </w:pPr>
    <w:r w:rsidRPr="009E3E52">
      <w:rPr>
        <w:rFonts w:ascii="Arial" w:hAnsi="Arial"/>
        <w:b/>
        <w:color w:val="BFBFBF" w:themeColor="background1" w:themeShade="BF"/>
        <w:szCs w:val="22"/>
      </w:rPr>
      <w:ptab w:relativeTo="margin" w:alignment="center" w:leader="none"/>
    </w:r>
    <w:r w:rsidRPr="009E3E52">
      <w:rPr>
        <w:rFonts w:ascii="Arial" w:hAnsi="Arial"/>
        <w:b/>
        <w:color w:val="BFBFBF" w:themeColor="background1" w:themeShade="BF"/>
        <w:szCs w:val="22"/>
      </w:rPr>
      <w:ptab w:relativeTo="margin" w:alignment="right" w:leader="none"/>
    </w:r>
  </w:p>
  <w:p w14:paraId="6B78355F" w14:textId="77777777" w:rsidR="00191942" w:rsidRDefault="001919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A4A59" w14:textId="77777777" w:rsidR="00BD399D" w:rsidRDefault="00BD399D" w:rsidP="007A3157">
      <w:r>
        <w:separator/>
      </w:r>
    </w:p>
  </w:footnote>
  <w:footnote w:type="continuationSeparator" w:id="0">
    <w:p w14:paraId="275967A6" w14:textId="77777777" w:rsidR="00BD399D" w:rsidRDefault="00BD399D" w:rsidP="007A3157">
      <w:r>
        <w:continuationSeparator/>
      </w:r>
    </w:p>
  </w:footnote>
  <w:footnote w:type="continuationNotice" w:id="1">
    <w:p w14:paraId="4F4F7D3E" w14:textId="77777777" w:rsidR="00BD399D" w:rsidRDefault="00BD399D"/>
  </w:footnote>
  <w:footnote w:id="2">
    <w:p w14:paraId="2E07694A" w14:textId="156A4EBB" w:rsidR="00680990" w:rsidRPr="00164B4E" w:rsidRDefault="00680990" w:rsidP="00B97CAC">
      <w:pPr>
        <w:pStyle w:val="FootnoteText"/>
        <w:keepNext/>
        <w:widowControl w:val="0"/>
        <w:ind w:left="720"/>
        <w:rPr>
          <w:sz w:val="18"/>
          <w:szCs w:val="18"/>
        </w:rPr>
      </w:pPr>
      <w:r w:rsidRPr="00164B4E">
        <w:rPr>
          <w:rStyle w:val="FootnoteReference"/>
          <w:sz w:val="18"/>
          <w:szCs w:val="18"/>
        </w:rPr>
        <w:footnoteRef/>
      </w:r>
      <w:r w:rsidRPr="00164B4E">
        <w:rPr>
          <w:sz w:val="18"/>
          <w:szCs w:val="18"/>
        </w:rPr>
        <w:t xml:space="preserve"> </w:t>
      </w:r>
      <w:r w:rsidRPr="00164B4E">
        <w:rPr>
          <w:rFonts w:ascii="Arial" w:hAnsi="Arial" w:cs="Arial"/>
          <w:sz w:val="18"/>
          <w:szCs w:val="18"/>
        </w:rPr>
        <w:t>57.106m.  All population figures are taken from the ONS Midyear estimates 2022, published November 2023</w:t>
      </w:r>
    </w:p>
  </w:footnote>
  <w:footnote w:id="3">
    <w:p w14:paraId="4BFEAF16" w14:textId="74D45641" w:rsidR="007407B0" w:rsidRPr="00164B4E" w:rsidRDefault="007407B0" w:rsidP="00B97CAC">
      <w:pPr>
        <w:pStyle w:val="FootnoteText"/>
        <w:keepNext/>
        <w:widowControl w:val="0"/>
        <w:ind w:left="720"/>
        <w:rPr>
          <w:rFonts w:ascii="Arial" w:hAnsi="Arial" w:cs="Arial"/>
          <w:sz w:val="18"/>
          <w:szCs w:val="18"/>
        </w:rPr>
      </w:pPr>
      <w:r w:rsidRPr="00164B4E">
        <w:rPr>
          <w:rStyle w:val="FootnoteReference"/>
          <w:rFonts w:ascii="Arial" w:hAnsi="Arial" w:cs="Arial"/>
          <w:sz w:val="18"/>
          <w:szCs w:val="18"/>
        </w:rPr>
        <w:footnoteRef/>
      </w:r>
      <w:r w:rsidRPr="00164B4E">
        <w:rPr>
          <w:rFonts w:ascii="Arial" w:hAnsi="Arial" w:cs="Arial"/>
          <w:sz w:val="18"/>
          <w:szCs w:val="18"/>
        </w:rPr>
        <w:t xml:space="preserve"> https://www.gov.uk/government/statistics/english-indices-of-deprivation-2019</w:t>
      </w:r>
    </w:p>
  </w:footnote>
  <w:footnote w:id="4">
    <w:p w14:paraId="15BEAA4E" w14:textId="4775DBA9" w:rsidR="007407B0" w:rsidRPr="00164B4E" w:rsidRDefault="007407B0" w:rsidP="00B97CAC">
      <w:pPr>
        <w:pStyle w:val="FootnoteText"/>
        <w:keepNext/>
        <w:widowControl w:val="0"/>
        <w:ind w:left="720"/>
        <w:rPr>
          <w:rFonts w:ascii="Arial" w:hAnsi="Arial" w:cs="Arial"/>
          <w:sz w:val="18"/>
          <w:szCs w:val="18"/>
        </w:rPr>
      </w:pPr>
      <w:r w:rsidRPr="00164B4E">
        <w:rPr>
          <w:rStyle w:val="FootnoteReference"/>
          <w:rFonts w:ascii="Arial" w:hAnsi="Arial" w:cs="Arial"/>
          <w:sz w:val="18"/>
          <w:szCs w:val="18"/>
        </w:rPr>
        <w:footnoteRef/>
      </w:r>
      <w:r w:rsidRPr="00164B4E">
        <w:rPr>
          <w:rFonts w:ascii="Arial" w:hAnsi="Arial" w:cs="Arial"/>
          <w:sz w:val="18"/>
          <w:szCs w:val="18"/>
        </w:rPr>
        <w:t xml:space="preserve"> Medway council JSNA</w:t>
      </w:r>
    </w:p>
  </w:footnote>
  <w:footnote w:id="5">
    <w:p w14:paraId="5828C519" w14:textId="208B9607" w:rsidR="00164B4E" w:rsidRDefault="00164B4E" w:rsidP="00164B4E">
      <w:pPr>
        <w:pStyle w:val="FootnoteText"/>
        <w:ind w:left="720"/>
      </w:pPr>
      <w:r>
        <w:rPr>
          <w:rStyle w:val="FootnoteReference"/>
        </w:rPr>
        <w:footnoteRef/>
      </w:r>
      <w:r>
        <w:t xml:space="preserve"> </w:t>
      </w:r>
      <w:r w:rsidRPr="00164B4E">
        <w:rPr>
          <w:rFonts w:ascii="Arial" w:hAnsi="Arial" w:cs="Arial"/>
          <w:sz w:val="18"/>
          <w:szCs w:val="18"/>
        </w:rPr>
        <w:t>https://www.gov.uk/government/statistics/english-indices-of-deprivation-2019</w:t>
      </w:r>
    </w:p>
  </w:footnote>
  <w:footnote w:id="6">
    <w:p w14:paraId="61BE51C8" w14:textId="007B1313" w:rsidR="00707344" w:rsidRPr="00707344" w:rsidRDefault="00707344" w:rsidP="00707344">
      <w:pPr>
        <w:pStyle w:val="FootnoteText"/>
        <w:ind w:left="720"/>
        <w:rPr>
          <w:rFonts w:ascii="Arial" w:hAnsi="Arial" w:cs="Arial"/>
          <w:sz w:val="18"/>
          <w:szCs w:val="18"/>
        </w:rPr>
      </w:pPr>
      <w:r w:rsidRPr="00707344">
        <w:rPr>
          <w:rStyle w:val="FootnoteReference"/>
          <w:rFonts w:ascii="Arial" w:hAnsi="Arial" w:cs="Arial"/>
          <w:sz w:val="18"/>
          <w:szCs w:val="18"/>
        </w:rPr>
        <w:footnoteRef/>
      </w:r>
      <w:r w:rsidRPr="00707344">
        <w:rPr>
          <w:rFonts w:ascii="Arial" w:hAnsi="Arial" w:cs="Arial"/>
          <w:sz w:val="18"/>
          <w:szCs w:val="18"/>
        </w:rPr>
        <w:t xml:space="preserve"> </w:t>
      </w:r>
      <w:r>
        <w:rPr>
          <w:rFonts w:ascii="Arial" w:hAnsi="Arial" w:cs="Arial"/>
          <w:sz w:val="18"/>
          <w:szCs w:val="18"/>
        </w:rPr>
        <w:t xml:space="preserve">Capital and Revenue </w:t>
      </w:r>
      <w:r w:rsidRPr="00707344">
        <w:rPr>
          <w:rFonts w:ascii="Arial" w:hAnsi="Arial" w:cs="Arial"/>
          <w:sz w:val="18"/>
          <w:szCs w:val="18"/>
        </w:rPr>
        <w:t xml:space="preserve">Budget </w:t>
      </w:r>
      <w:r>
        <w:rPr>
          <w:rFonts w:ascii="Arial" w:hAnsi="Arial" w:cs="Arial"/>
          <w:sz w:val="18"/>
          <w:szCs w:val="18"/>
        </w:rPr>
        <w:t>Report 2023/24 presented to Council 23 February 2023</w:t>
      </w:r>
    </w:p>
  </w:footnote>
  <w:footnote w:id="7">
    <w:p w14:paraId="70F3972E" w14:textId="33BC203A" w:rsidR="001A405C" w:rsidRDefault="001A405C" w:rsidP="001A405C">
      <w:pPr>
        <w:pStyle w:val="FootnoteText"/>
        <w:ind w:left="720"/>
      </w:pPr>
      <w:r>
        <w:rPr>
          <w:rStyle w:val="FootnoteReference"/>
        </w:rPr>
        <w:footnoteRef/>
      </w:r>
      <w:r>
        <w:t xml:space="preserve"> </w:t>
      </w:r>
      <w:r>
        <w:rPr>
          <w:rFonts w:ascii="Arial" w:hAnsi="Arial" w:cs="Arial"/>
          <w:sz w:val="16"/>
          <w:szCs w:val="16"/>
        </w:rPr>
        <w:t xml:space="preserve">Calculated from RS 2022/23 by local authority </w:t>
      </w:r>
      <w:hyperlink r:id="rId1" w:history="1">
        <w:r w:rsidRPr="002F3533">
          <w:rPr>
            <w:rStyle w:val="Hyperlink"/>
            <w:rFonts w:ascii="Arial" w:hAnsi="Arial" w:cs="Arial"/>
            <w:sz w:val="16"/>
            <w:szCs w:val="16"/>
          </w:rPr>
          <w:t>https://www.gov.uk/government/statistics/local-authority-revenue-expenditure-and-financing-england-2022-to-2023-individual-local-authority-data-outturn</w:t>
        </w:r>
      </w:hyperlink>
    </w:p>
  </w:footnote>
  <w:footnote w:id="8">
    <w:p w14:paraId="4BF00175" w14:textId="0A1C4ACE" w:rsidR="000D3DCD" w:rsidRPr="00270743" w:rsidRDefault="000D3DCD" w:rsidP="000D3DCD">
      <w:pPr>
        <w:pStyle w:val="FootnoteText"/>
        <w:ind w:left="720"/>
        <w:rPr>
          <w:rFonts w:ascii="Arial" w:hAnsi="Arial" w:cs="Arial"/>
          <w:sz w:val="18"/>
          <w:szCs w:val="18"/>
        </w:rPr>
      </w:pPr>
      <w:r>
        <w:rPr>
          <w:rStyle w:val="FootnoteReference"/>
        </w:rPr>
        <w:footnoteRef/>
      </w:r>
      <w:r>
        <w:t xml:space="preserve"> </w:t>
      </w:r>
      <w:r w:rsidR="00270743">
        <w:rPr>
          <w:rFonts w:ascii="Arial" w:hAnsi="Arial" w:cs="Arial"/>
          <w:sz w:val="18"/>
          <w:szCs w:val="18"/>
        </w:rPr>
        <w:t>Capital and Revenue Budget 2023/24 presented to Council on 23 February 2023</w:t>
      </w:r>
    </w:p>
  </w:footnote>
  <w:footnote w:id="9">
    <w:p w14:paraId="36CC5F60" w14:textId="77777777" w:rsidR="00270743" w:rsidRDefault="00270743" w:rsidP="00270743">
      <w:pPr>
        <w:pStyle w:val="FootnoteText"/>
        <w:ind w:left="720"/>
      </w:pPr>
      <w:r>
        <w:rPr>
          <w:rStyle w:val="FootnoteReference"/>
        </w:rPr>
        <w:footnoteRef/>
      </w:r>
      <w:r>
        <w:t xml:space="preserve"> </w:t>
      </w:r>
      <w:r w:rsidRPr="00565E5F">
        <w:rPr>
          <w:rFonts w:ascii="Arial" w:hAnsi="Arial" w:cs="Arial"/>
          <w:sz w:val="16"/>
          <w:szCs w:val="16"/>
        </w:rPr>
        <w:t>Health and Adult Social Care Overview and Scrutiny Committee 7 December 2023 – Capital Budget Mon</w:t>
      </w:r>
      <w:r>
        <w:rPr>
          <w:rFonts w:ascii="Arial" w:hAnsi="Arial" w:cs="Arial"/>
          <w:sz w:val="16"/>
          <w:szCs w:val="16"/>
        </w:rPr>
        <w:t>i</w:t>
      </w:r>
      <w:r w:rsidRPr="00565E5F">
        <w:rPr>
          <w:rFonts w:ascii="Arial" w:hAnsi="Arial" w:cs="Arial"/>
          <w:sz w:val="16"/>
          <w:szCs w:val="16"/>
        </w:rPr>
        <w:t>toring 2023/24 Round 2</w:t>
      </w:r>
    </w:p>
  </w:footnote>
  <w:footnote w:id="10">
    <w:p w14:paraId="1EDD4995" w14:textId="77777777" w:rsidR="008D721C" w:rsidRDefault="008D721C" w:rsidP="008D721C">
      <w:pPr>
        <w:pStyle w:val="FootnoteText"/>
        <w:ind w:left="720"/>
      </w:pPr>
      <w:r>
        <w:rPr>
          <w:rStyle w:val="FootnoteReference"/>
        </w:rPr>
        <w:footnoteRef/>
      </w:r>
      <w:r>
        <w:t xml:space="preserve"> </w:t>
      </w:r>
      <w:r w:rsidRPr="00565E5F">
        <w:rPr>
          <w:rFonts w:ascii="Arial" w:hAnsi="Arial" w:cs="Arial"/>
          <w:sz w:val="16"/>
          <w:szCs w:val="16"/>
        </w:rPr>
        <w:t>Health and Adult Social Care Overview and Scrutiny Committee 7 December 2023 – Capital Budget Mon</w:t>
      </w:r>
      <w:r>
        <w:rPr>
          <w:rFonts w:ascii="Arial" w:hAnsi="Arial" w:cs="Arial"/>
          <w:sz w:val="16"/>
          <w:szCs w:val="16"/>
        </w:rPr>
        <w:t>i</w:t>
      </w:r>
      <w:r w:rsidRPr="00565E5F">
        <w:rPr>
          <w:rFonts w:ascii="Arial" w:hAnsi="Arial" w:cs="Arial"/>
          <w:sz w:val="16"/>
          <w:szCs w:val="16"/>
        </w:rPr>
        <w:t>toring 2023/24 Round 2</w:t>
      </w:r>
    </w:p>
  </w:footnote>
  <w:footnote w:id="11">
    <w:p w14:paraId="19660355" w14:textId="0CF988B3" w:rsidR="00F200DB" w:rsidRDefault="00F200DB" w:rsidP="00F200DB">
      <w:pPr>
        <w:pStyle w:val="FootnoteText"/>
        <w:ind w:left="720"/>
      </w:pPr>
      <w:r>
        <w:rPr>
          <w:rStyle w:val="FootnoteReference"/>
        </w:rPr>
        <w:footnoteRef/>
      </w:r>
      <w:r>
        <w:t xml:space="preserve"> </w:t>
      </w:r>
      <w:r w:rsidRPr="00F200DB">
        <w:rPr>
          <w:rFonts w:ascii="Arial" w:hAnsi="Arial" w:cs="Arial"/>
          <w:sz w:val="18"/>
          <w:szCs w:val="18"/>
        </w:rPr>
        <w:t>Presented to Audit Committee on 10 January 2023</w:t>
      </w:r>
    </w:p>
  </w:footnote>
  <w:footnote w:id="12">
    <w:p w14:paraId="09883B7F" w14:textId="0AC0E92A" w:rsidR="00CB2FCB" w:rsidRPr="004729EA" w:rsidRDefault="00CB2FCB" w:rsidP="00CB2FCB">
      <w:pPr>
        <w:pStyle w:val="FootnoteText"/>
        <w:ind w:left="720"/>
        <w:rPr>
          <w:rFonts w:ascii="Arial" w:hAnsi="Arial" w:cs="Arial"/>
          <w:sz w:val="18"/>
          <w:szCs w:val="18"/>
        </w:rPr>
      </w:pPr>
      <w:r>
        <w:rPr>
          <w:rStyle w:val="FootnoteReference"/>
        </w:rPr>
        <w:footnoteRef/>
      </w:r>
      <w:r>
        <w:t xml:space="preserve"> </w:t>
      </w:r>
      <w:r w:rsidR="004729EA" w:rsidRPr="004729EA">
        <w:rPr>
          <w:rFonts w:ascii="Arial" w:hAnsi="Arial" w:cs="Arial"/>
          <w:sz w:val="18"/>
          <w:szCs w:val="18"/>
        </w:rPr>
        <w:t>Para 4.3.4 Treasury Management Strategy</w:t>
      </w:r>
    </w:p>
  </w:footnote>
  <w:footnote w:id="13">
    <w:p w14:paraId="4C935086" w14:textId="4FC9CC10" w:rsidR="00C36871" w:rsidRDefault="00C36871" w:rsidP="00746A4F">
      <w:pPr>
        <w:pStyle w:val="FootnoteText"/>
        <w:ind w:left="720"/>
      </w:pPr>
      <w:r>
        <w:rPr>
          <w:rStyle w:val="FootnoteReference"/>
        </w:rPr>
        <w:footnoteRef/>
      </w:r>
      <w:r>
        <w:t xml:space="preserve"> </w:t>
      </w:r>
      <w:r w:rsidRPr="00C36871">
        <w:rPr>
          <w:rFonts w:ascii="Arial" w:hAnsi="Arial" w:cs="Arial"/>
          <w:sz w:val="18"/>
          <w:szCs w:val="18"/>
        </w:rPr>
        <w:t>Full Use of Resources report 2022/23 for Medway, Part 1A and 1Bi</w:t>
      </w:r>
    </w:p>
  </w:footnote>
  <w:footnote w:id="14">
    <w:p w14:paraId="0F77082A" w14:textId="0B98DC1E" w:rsidR="00EE6569" w:rsidRDefault="00EE6569" w:rsidP="00746A4F">
      <w:pPr>
        <w:pStyle w:val="FootnoteText"/>
        <w:ind w:left="720"/>
      </w:pPr>
      <w:r>
        <w:rPr>
          <w:rStyle w:val="FootnoteReference"/>
        </w:rPr>
        <w:footnoteRef/>
      </w:r>
      <w:r>
        <w:t xml:space="preserve"> </w:t>
      </w:r>
      <w:r w:rsidRPr="00C36871">
        <w:rPr>
          <w:rFonts w:ascii="Arial" w:hAnsi="Arial" w:cs="Arial"/>
          <w:sz w:val="18"/>
          <w:szCs w:val="18"/>
        </w:rPr>
        <w:t xml:space="preserve">Full Use of Resources report 2022/23 for Medway, Part </w:t>
      </w:r>
      <w:r>
        <w:rPr>
          <w:rFonts w:ascii="Arial" w:hAnsi="Arial" w:cs="Arial"/>
          <w:sz w:val="18"/>
          <w:szCs w:val="18"/>
        </w:rPr>
        <w:t>1Biii</w:t>
      </w:r>
    </w:p>
  </w:footnote>
  <w:footnote w:id="15">
    <w:p w14:paraId="145DD706" w14:textId="144ABAF3" w:rsidR="00F574C1" w:rsidRDefault="00F574C1" w:rsidP="00746A4F">
      <w:pPr>
        <w:pStyle w:val="FootnoteText"/>
        <w:ind w:left="720"/>
      </w:pPr>
      <w:r>
        <w:rPr>
          <w:rStyle w:val="FootnoteReference"/>
        </w:rPr>
        <w:footnoteRef/>
      </w:r>
      <w:r>
        <w:t xml:space="preserve"> </w:t>
      </w:r>
      <w:r w:rsidRPr="00C36871">
        <w:rPr>
          <w:rFonts w:ascii="Arial" w:hAnsi="Arial" w:cs="Arial"/>
          <w:sz w:val="18"/>
          <w:szCs w:val="18"/>
        </w:rPr>
        <w:t xml:space="preserve">Full Use of Resources report 2022/23 for Medway, </w:t>
      </w:r>
      <w:r>
        <w:rPr>
          <w:rFonts w:ascii="Arial" w:hAnsi="Arial" w:cs="Arial"/>
          <w:sz w:val="18"/>
          <w:szCs w:val="18"/>
        </w:rPr>
        <w:t>Step 6</w:t>
      </w:r>
    </w:p>
  </w:footnote>
  <w:footnote w:id="16">
    <w:p w14:paraId="6F47E0BB" w14:textId="6FB1781D" w:rsidR="00C44495" w:rsidRDefault="00C44495" w:rsidP="00746A4F">
      <w:pPr>
        <w:pStyle w:val="FootnoteText"/>
        <w:ind w:left="720"/>
      </w:pPr>
      <w:r>
        <w:rPr>
          <w:rStyle w:val="FootnoteReference"/>
        </w:rPr>
        <w:footnoteRef/>
      </w:r>
      <w:r>
        <w:t xml:space="preserve"> </w:t>
      </w:r>
      <w:r w:rsidRPr="00C36871">
        <w:rPr>
          <w:rFonts w:ascii="Arial" w:hAnsi="Arial" w:cs="Arial"/>
          <w:sz w:val="18"/>
          <w:szCs w:val="18"/>
        </w:rPr>
        <w:t xml:space="preserve">Full Use of Resources report 2022/23 for Medway, </w:t>
      </w:r>
      <w:r>
        <w:rPr>
          <w:rFonts w:ascii="Arial" w:hAnsi="Arial" w:cs="Arial"/>
          <w:sz w:val="18"/>
          <w:szCs w:val="18"/>
        </w:rPr>
        <w:t>Step 6</w:t>
      </w:r>
    </w:p>
  </w:footnote>
  <w:footnote w:id="17">
    <w:p w14:paraId="26C4D5BC" w14:textId="75B27D9B" w:rsidR="002D7EBA" w:rsidRDefault="002D7EBA" w:rsidP="002D7EBA">
      <w:pPr>
        <w:pStyle w:val="FootnoteText"/>
        <w:ind w:left="720"/>
      </w:pPr>
      <w:r>
        <w:rPr>
          <w:rStyle w:val="FootnoteReference"/>
        </w:rPr>
        <w:footnoteRef/>
      </w:r>
      <w:r>
        <w:t xml:space="preserve"> Revenue and capital budget outturn reports 2021/22 </w:t>
      </w:r>
      <w:r w:rsidR="00746A4F">
        <w:t>and</w:t>
      </w:r>
      <w:r>
        <w:t xml:space="preserve"> 2022/23; </w:t>
      </w:r>
      <w:r w:rsidR="00982074">
        <w:t>*Revenue budget monitoring 2023/4 Round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E256E"/>
    <w:multiLevelType w:val="hybridMultilevel"/>
    <w:tmpl w:val="23D068A4"/>
    <w:lvl w:ilvl="0" w:tplc="EAC667F2">
      <w:start w:val="1"/>
      <w:numFmt w:val="bullet"/>
      <w:pStyle w:val="PCHbullets"/>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 w15:restartNumberingAfterBreak="0">
    <w:nsid w:val="16200C56"/>
    <w:multiLevelType w:val="hybridMultilevel"/>
    <w:tmpl w:val="9860499E"/>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2" w15:restartNumberingAfterBreak="0">
    <w:nsid w:val="186169CA"/>
    <w:multiLevelType w:val="hybridMultilevel"/>
    <w:tmpl w:val="5ABC6CB8"/>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3" w15:restartNumberingAfterBreak="0">
    <w:nsid w:val="1ACA6AC9"/>
    <w:multiLevelType w:val="multilevel"/>
    <w:tmpl w:val="CAE409A0"/>
    <w:lvl w:ilvl="0">
      <w:start w:val="1"/>
      <w:numFmt w:val="decimal"/>
      <w:lvlText w:val="%1"/>
      <w:lvlJc w:val="left"/>
      <w:pPr>
        <w:tabs>
          <w:tab w:val="num" w:pos="567"/>
        </w:tabs>
        <w:ind w:left="431" w:firstLine="136"/>
      </w:pPr>
      <w:rPr>
        <w:rFonts w:hint="default"/>
      </w:rPr>
    </w:lvl>
    <w:lvl w:ilvl="1">
      <w:start w:val="1"/>
      <w:numFmt w:val="decimal"/>
      <w:lvlText w:val="%1.%2"/>
      <w:lvlJc w:val="left"/>
      <w:pPr>
        <w:tabs>
          <w:tab w:val="num" w:pos="567"/>
        </w:tabs>
        <w:ind w:left="1021" w:hanging="454"/>
      </w:pPr>
      <w:rPr>
        <w:rFonts w:ascii="Arial" w:hAnsi="Arial" w:hint="default"/>
        <w:sz w:val="24"/>
      </w:rPr>
    </w:lvl>
    <w:lvl w:ilvl="2">
      <w:start w:val="1"/>
      <w:numFmt w:val="decimal"/>
      <w:lvlText w:val="%1.%2.%3"/>
      <w:lvlJc w:val="left"/>
      <w:pPr>
        <w:tabs>
          <w:tab w:val="num" w:pos="567"/>
        </w:tabs>
        <w:ind w:left="431" w:firstLine="136"/>
      </w:pPr>
      <w:rPr>
        <w:rFonts w:hint="default"/>
      </w:rPr>
    </w:lvl>
    <w:lvl w:ilvl="3">
      <w:start w:val="1"/>
      <w:numFmt w:val="decimal"/>
      <w:lvlText w:val="%1.%2.%3.%4"/>
      <w:lvlJc w:val="left"/>
      <w:pPr>
        <w:tabs>
          <w:tab w:val="num" w:pos="567"/>
        </w:tabs>
        <w:ind w:left="431" w:firstLine="136"/>
      </w:pPr>
      <w:rPr>
        <w:rFonts w:hint="default"/>
      </w:rPr>
    </w:lvl>
    <w:lvl w:ilvl="4">
      <w:start w:val="1"/>
      <w:numFmt w:val="decimal"/>
      <w:lvlText w:val="%1.%2.%3.%4.%5"/>
      <w:lvlJc w:val="left"/>
      <w:pPr>
        <w:tabs>
          <w:tab w:val="num" w:pos="567"/>
        </w:tabs>
        <w:ind w:left="431" w:firstLine="136"/>
      </w:pPr>
      <w:rPr>
        <w:rFonts w:hint="default"/>
      </w:rPr>
    </w:lvl>
    <w:lvl w:ilvl="5">
      <w:start w:val="1"/>
      <w:numFmt w:val="decimal"/>
      <w:lvlText w:val="%1.%2.%3.%4.%5.%6"/>
      <w:lvlJc w:val="left"/>
      <w:pPr>
        <w:tabs>
          <w:tab w:val="num" w:pos="567"/>
        </w:tabs>
        <w:ind w:left="431" w:firstLine="136"/>
      </w:pPr>
      <w:rPr>
        <w:rFonts w:hint="default"/>
      </w:rPr>
    </w:lvl>
    <w:lvl w:ilvl="6">
      <w:start w:val="1"/>
      <w:numFmt w:val="decimal"/>
      <w:lvlText w:val="%1.%2.%3.%4.%5.%6.%7"/>
      <w:lvlJc w:val="left"/>
      <w:pPr>
        <w:tabs>
          <w:tab w:val="num" w:pos="567"/>
        </w:tabs>
        <w:ind w:left="431" w:firstLine="136"/>
      </w:pPr>
      <w:rPr>
        <w:rFonts w:hint="default"/>
      </w:rPr>
    </w:lvl>
    <w:lvl w:ilvl="7">
      <w:start w:val="1"/>
      <w:numFmt w:val="decimal"/>
      <w:lvlText w:val="%1.%2.%3.%4.%5.%6.%7.%8"/>
      <w:lvlJc w:val="left"/>
      <w:pPr>
        <w:tabs>
          <w:tab w:val="num" w:pos="567"/>
        </w:tabs>
        <w:ind w:left="431" w:firstLine="136"/>
      </w:pPr>
      <w:rPr>
        <w:rFonts w:hint="default"/>
      </w:rPr>
    </w:lvl>
    <w:lvl w:ilvl="8">
      <w:start w:val="1"/>
      <w:numFmt w:val="decimal"/>
      <w:lvlText w:val="%1.%2.%3.%4.%5.%6.%7.%8.%9"/>
      <w:lvlJc w:val="left"/>
      <w:pPr>
        <w:tabs>
          <w:tab w:val="num" w:pos="567"/>
        </w:tabs>
        <w:ind w:left="431" w:firstLine="136"/>
      </w:pPr>
      <w:rPr>
        <w:rFonts w:hint="default"/>
      </w:rPr>
    </w:lvl>
  </w:abstractNum>
  <w:abstractNum w:abstractNumId="4" w15:restartNumberingAfterBreak="0">
    <w:nsid w:val="1FD85D85"/>
    <w:multiLevelType w:val="multilevel"/>
    <w:tmpl w:val="4F62C1AE"/>
    <w:styleLink w:val="Style1"/>
    <w:lvl w:ilvl="0">
      <w:start w:val="1"/>
      <w:numFmt w:val="decimal"/>
      <w:lvlText w:val="%1"/>
      <w:lvlJc w:val="left"/>
      <w:pPr>
        <w:ind w:left="454" w:hanging="454"/>
      </w:pPr>
      <w:rPr>
        <w:rFonts w:ascii="Arial" w:hAnsi="Arial" w:hint="default"/>
      </w:rPr>
    </w:lvl>
    <w:lvl w:ilvl="1">
      <w:start w:val="1"/>
      <w:numFmt w:val="decimal"/>
      <w:lvlText w:val="%2.%1"/>
      <w:lvlJc w:val="left"/>
      <w:pPr>
        <w:ind w:left="454" w:hanging="454"/>
      </w:pPr>
      <w:rPr>
        <w:rFonts w:hint="default"/>
      </w:rPr>
    </w:lvl>
    <w:lvl w:ilvl="2">
      <w:start w:val="1"/>
      <w:numFmt w:val="none"/>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5" w15:restartNumberingAfterBreak="0">
    <w:nsid w:val="25FA1667"/>
    <w:multiLevelType w:val="hybridMultilevel"/>
    <w:tmpl w:val="19682344"/>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6" w15:restartNumberingAfterBreak="0">
    <w:nsid w:val="31BF3A2B"/>
    <w:multiLevelType w:val="multilevel"/>
    <w:tmpl w:val="49E8D480"/>
    <w:lvl w:ilvl="0">
      <w:start w:val="1"/>
      <w:numFmt w:val="decimal"/>
      <w:lvlText w:val="%1"/>
      <w:lvlJc w:val="left"/>
      <w:pPr>
        <w:tabs>
          <w:tab w:val="num" w:pos="567"/>
        </w:tabs>
        <w:ind w:left="431" w:firstLine="136"/>
      </w:pPr>
      <w:rPr>
        <w:rFonts w:hint="default"/>
      </w:rPr>
    </w:lvl>
    <w:lvl w:ilvl="1">
      <w:start w:val="1"/>
      <w:numFmt w:val="bullet"/>
      <w:lvlText w:val=""/>
      <w:lvlJc w:val="left"/>
      <w:pPr>
        <w:ind w:left="1636" w:hanging="360"/>
      </w:pPr>
      <w:rPr>
        <w:rFonts w:ascii="Symbol" w:hAnsi="Symbol" w:hint="default"/>
      </w:rPr>
    </w:lvl>
    <w:lvl w:ilvl="2">
      <w:start w:val="1"/>
      <w:numFmt w:val="decimal"/>
      <w:lvlText w:val="%1.%2.%3"/>
      <w:lvlJc w:val="left"/>
      <w:pPr>
        <w:tabs>
          <w:tab w:val="num" w:pos="567"/>
        </w:tabs>
        <w:ind w:left="431" w:firstLine="136"/>
      </w:pPr>
      <w:rPr>
        <w:rFonts w:hint="default"/>
      </w:rPr>
    </w:lvl>
    <w:lvl w:ilvl="3">
      <w:start w:val="1"/>
      <w:numFmt w:val="decimal"/>
      <w:lvlText w:val="%1.%2.%3.%4"/>
      <w:lvlJc w:val="left"/>
      <w:pPr>
        <w:tabs>
          <w:tab w:val="num" w:pos="567"/>
        </w:tabs>
        <w:ind w:left="431" w:firstLine="136"/>
      </w:pPr>
      <w:rPr>
        <w:rFonts w:hint="default"/>
      </w:rPr>
    </w:lvl>
    <w:lvl w:ilvl="4">
      <w:start w:val="1"/>
      <w:numFmt w:val="decimal"/>
      <w:lvlText w:val="%1.%2.%3.%4.%5"/>
      <w:lvlJc w:val="left"/>
      <w:pPr>
        <w:tabs>
          <w:tab w:val="num" w:pos="567"/>
        </w:tabs>
        <w:ind w:left="431" w:firstLine="136"/>
      </w:pPr>
      <w:rPr>
        <w:rFonts w:hint="default"/>
      </w:rPr>
    </w:lvl>
    <w:lvl w:ilvl="5">
      <w:start w:val="1"/>
      <w:numFmt w:val="decimal"/>
      <w:lvlText w:val="%1.%2.%3.%4.%5.%6"/>
      <w:lvlJc w:val="left"/>
      <w:pPr>
        <w:tabs>
          <w:tab w:val="num" w:pos="567"/>
        </w:tabs>
        <w:ind w:left="431" w:firstLine="136"/>
      </w:pPr>
      <w:rPr>
        <w:rFonts w:hint="default"/>
      </w:rPr>
    </w:lvl>
    <w:lvl w:ilvl="6">
      <w:start w:val="1"/>
      <w:numFmt w:val="decimal"/>
      <w:lvlText w:val="%1.%2.%3.%4.%5.%6.%7"/>
      <w:lvlJc w:val="left"/>
      <w:pPr>
        <w:tabs>
          <w:tab w:val="num" w:pos="567"/>
        </w:tabs>
        <w:ind w:left="431" w:firstLine="136"/>
      </w:pPr>
      <w:rPr>
        <w:rFonts w:hint="default"/>
      </w:rPr>
    </w:lvl>
    <w:lvl w:ilvl="7">
      <w:start w:val="1"/>
      <w:numFmt w:val="decimal"/>
      <w:lvlText w:val="%1.%2.%3.%4.%5.%6.%7.%8"/>
      <w:lvlJc w:val="left"/>
      <w:pPr>
        <w:tabs>
          <w:tab w:val="num" w:pos="567"/>
        </w:tabs>
        <w:ind w:left="431" w:firstLine="136"/>
      </w:pPr>
      <w:rPr>
        <w:rFonts w:hint="default"/>
      </w:rPr>
    </w:lvl>
    <w:lvl w:ilvl="8">
      <w:start w:val="1"/>
      <w:numFmt w:val="decimal"/>
      <w:lvlText w:val="%1.%2.%3.%4.%5.%6.%7.%8.%9"/>
      <w:lvlJc w:val="left"/>
      <w:pPr>
        <w:tabs>
          <w:tab w:val="num" w:pos="567"/>
        </w:tabs>
        <w:ind w:left="431" w:firstLine="136"/>
      </w:pPr>
      <w:rPr>
        <w:rFonts w:hint="default"/>
      </w:rPr>
    </w:lvl>
  </w:abstractNum>
  <w:abstractNum w:abstractNumId="7"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78F328C"/>
    <w:multiLevelType w:val="multilevel"/>
    <w:tmpl w:val="FAD0835A"/>
    <w:lvl w:ilvl="0">
      <w:start w:val="1"/>
      <w:numFmt w:val="decimal"/>
      <w:pStyle w:val="PCHHeader1"/>
      <w:lvlText w:val="%1"/>
      <w:lvlJc w:val="left"/>
      <w:pPr>
        <w:tabs>
          <w:tab w:val="num" w:pos="567"/>
        </w:tabs>
        <w:ind w:left="431" w:firstLine="136"/>
      </w:pPr>
      <w:rPr>
        <w:rFonts w:hint="default"/>
      </w:rPr>
    </w:lvl>
    <w:lvl w:ilvl="1">
      <w:start w:val="1"/>
      <w:numFmt w:val="decimal"/>
      <w:lvlText w:val="%1.%2"/>
      <w:lvlJc w:val="left"/>
      <w:pPr>
        <w:tabs>
          <w:tab w:val="num" w:pos="567"/>
        </w:tabs>
        <w:ind w:left="1021" w:hanging="454"/>
      </w:pPr>
      <w:rPr>
        <w:rFonts w:ascii="Arial" w:hAnsi="Arial" w:hint="default"/>
        <w:sz w:val="24"/>
      </w:rPr>
    </w:lvl>
    <w:lvl w:ilvl="2">
      <w:start w:val="1"/>
      <w:numFmt w:val="decimal"/>
      <w:pStyle w:val="Heading3"/>
      <w:lvlText w:val="%1.%2.%3"/>
      <w:lvlJc w:val="left"/>
      <w:pPr>
        <w:tabs>
          <w:tab w:val="num" w:pos="567"/>
        </w:tabs>
        <w:ind w:left="431" w:firstLine="136"/>
      </w:pPr>
      <w:rPr>
        <w:rFonts w:hint="default"/>
      </w:rPr>
    </w:lvl>
    <w:lvl w:ilvl="3">
      <w:start w:val="1"/>
      <w:numFmt w:val="decimal"/>
      <w:pStyle w:val="Heading4"/>
      <w:lvlText w:val="%1.%2.%3.%4"/>
      <w:lvlJc w:val="left"/>
      <w:pPr>
        <w:tabs>
          <w:tab w:val="num" w:pos="567"/>
        </w:tabs>
        <w:ind w:left="431" w:firstLine="136"/>
      </w:pPr>
      <w:rPr>
        <w:rFonts w:hint="default"/>
      </w:rPr>
    </w:lvl>
    <w:lvl w:ilvl="4">
      <w:start w:val="1"/>
      <w:numFmt w:val="decimal"/>
      <w:pStyle w:val="Heading5"/>
      <w:lvlText w:val="%1.%2.%3.%4.%5"/>
      <w:lvlJc w:val="left"/>
      <w:pPr>
        <w:tabs>
          <w:tab w:val="num" w:pos="567"/>
        </w:tabs>
        <w:ind w:left="431" w:firstLine="136"/>
      </w:pPr>
      <w:rPr>
        <w:rFonts w:hint="default"/>
      </w:rPr>
    </w:lvl>
    <w:lvl w:ilvl="5">
      <w:start w:val="1"/>
      <w:numFmt w:val="decimal"/>
      <w:pStyle w:val="Heading6"/>
      <w:lvlText w:val="%1.%2.%3.%4.%5.%6"/>
      <w:lvlJc w:val="left"/>
      <w:pPr>
        <w:tabs>
          <w:tab w:val="num" w:pos="567"/>
        </w:tabs>
        <w:ind w:left="431" w:firstLine="136"/>
      </w:pPr>
      <w:rPr>
        <w:rFonts w:hint="default"/>
      </w:rPr>
    </w:lvl>
    <w:lvl w:ilvl="6">
      <w:start w:val="1"/>
      <w:numFmt w:val="decimal"/>
      <w:pStyle w:val="Heading7"/>
      <w:lvlText w:val="%1.%2.%3.%4.%5.%6.%7"/>
      <w:lvlJc w:val="left"/>
      <w:pPr>
        <w:tabs>
          <w:tab w:val="num" w:pos="567"/>
        </w:tabs>
        <w:ind w:left="431" w:firstLine="136"/>
      </w:pPr>
      <w:rPr>
        <w:rFonts w:hint="default"/>
      </w:rPr>
    </w:lvl>
    <w:lvl w:ilvl="7">
      <w:start w:val="1"/>
      <w:numFmt w:val="decimal"/>
      <w:pStyle w:val="Heading8"/>
      <w:lvlText w:val="%1.%2.%3.%4.%5.%6.%7.%8"/>
      <w:lvlJc w:val="left"/>
      <w:pPr>
        <w:tabs>
          <w:tab w:val="num" w:pos="567"/>
        </w:tabs>
        <w:ind w:left="431" w:firstLine="136"/>
      </w:pPr>
      <w:rPr>
        <w:rFonts w:hint="default"/>
      </w:rPr>
    </w:lvl>
    <w:lvl w:ilvl="8">
      <w:start w:val="1"/>
      <w:numFmt w:val="decimal"/>
      <w:pStyle w:val="Heading9"/>
      <w:lvlText w:val="%1.%2.%3.%4.%5.%6.%7.%8.%9"/>
      <w:lvlJc w:val="left"/>
      <w:pPr>
        <w:tabs>
          <w:tab w:val="num" w:pos="567"/>
        </w:tabs>
        <w:ind w:left="431" w:firstLine="136"/>
      </w:pPr>
      <w:rPr>
        <w:rFonts w:hint="default"/>
      </w:rPr>
    </w:lvl>
  </w:abstractNum>
  <w:abstractNum w:abstractNumId="10" w15:restartNumberingAfterBreak="0">
    <w:nsid w:val="3AF164AB"/>
    <w:multiLevelType w:val="hybridMultilevel"/>
    <w:tmpl w:val="DC9E542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95"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0161E8"/>
    <w:multiLevelType w:val="hybridMultilevel"/>
    <w:tmpl w:val="0AF826EC"/>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3" w15:restartNumberingAfterBreak="0">
    <w:nsid w:val="44565DDF"/>
    <w:multiLevelType w:val="hybridMultilevel"/>
    <w:tmpl w:val="0FEAE814"/>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4"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310785E"/>
    <w:multiLevelType w:val="hybridMultilevel"/>
    <w:tmpl w:val="0328602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8" w15:restartNumberingAfterBreak="0">
    <w:nsid w:val="7A7075E6"/>
    <w:multiLevelType w:val="hybridMultilevel"/>
    <w:tmpl w:val="8C02D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63719939">
    <w:abstractNumId w:val="16"/>
  </w:num>
  <w:num w:numId="2" w16cid:durableId="1493639714">
    <w:abstractNumId w:val="15"/>
  </w:num>
  <w:num w:numId="3" w16cid:durableId="1569458614">
    <w:abstractNumId w:val="14"/>
  </w:num>
  <w:num w:numId="4" w16cid:durableId="1418870028">
    <w:abstractNumId w:val="8"/>
  </w:num>
  <w:num w:numId="5" w16cid:durableId="1474954667">
    <w:abstractNumId w:val="7"/>
  </w:num>
  <w:num w:numId="6" w16cid:durableId="1850681996">
    <w:abstractNumId w:val="11"/>
  </w:num>
  <w:num w:numId="7" w16cid:durableId="1897398660">
    <w:abstractNumId w:val="0"/>
  </w:num>
  <w:num w:numId="8" w16cid:durableId="1968780237">
    <w:abstractNumId w:val="4"/>
  </w:num>
  <w:num w:numId="9" w16cid:durableId="633173581">
    <w:abstractNumId w:val="9"/>
  </w:num>
  <w:num w:numId="10" w16cid:durableId="1094133175">
    <w:abstractNumId w:val="9"/>
    <w:lvlOverride w:ilvl="0">
      <w:lvl w:ilvl="0">
        <w:start w:val="1"/>
        <w:numFmt w:val="decimal"/>
        <w:pStyle w:val="PCHHeader1"/>
        <w:lvlText w:val="%1"/>
        <w:lvlJc w:val="left"/>
        <w:pPr>
          <w:ind w:left="432" w:hanging="432"/>
        </w:pPr>
        <w:rPr>
          <w:rFonts w:hint="default"/>
        </w:rPr>
      </w:lvl>
    </w:lvlOverride>
    <w:lvlOverride w:ilvl="1">
      <w:lvl w:ilvl="1">
        <w:start w:val="1"/>
        <w:numFmt w:val="decimal"/>
        <w:lvlText w:val="%1.%2"/>
        <w:lvlJc w:val="left"/>
        <w:pPr>
          <w:ind w:left="1220" w:hanging="510"/>
        </w:pPr>
        <w:rPr>
          <w:rFonts w:ascii="Arial" w:hAnsi="Arial" w:hint="default"/>
          <w:color w:val="auto"/>
          <w:sz w:val="24"/>
        </w:rPr>
      </w:lvl>
    </w:lvlOverride>
    <w:lvlOverride w:ilvl="2">
      <w:lvl w:ilvl="2">
        <w:start w:val="1"/>
        <w:numFmt w:val="decimal"/>
        <w:pStyle w:val="Heading3"/>
        <w:lvlText w:val="%1.%2.%3"/>
        <w:lvlJc w:val="left"/>
        <w:pPr>
          <w:ind w:left="1304" w:hanging="624"/>
        </w:pPr>
        <w:rPr>
          <w:rFonts w:hint="default"/>
          <w:i w:val="0"/>
          <w:iCs w:val="0"/>
          <w:color w:val="000000" w:themeColor="text1"/>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1" w16cid:durableId="1974678594">
    <w:abstractNumId w:val="17"/>
  </w:num>
  <w:num w:numId="12" w16cid:durableId="949707848">
    <w:abstractNumId w:val="10"/>
  </w:num>
  <w:num w:numId="13" w16cid:durableId="166753034">
    <w:abstractNumId w:val="3"/>
  </w:num>
  <w:num w:numId="14" w16cid:durableId="2119643024">
    <w:abstractNumId w:val="2"/>
  </w:num>
  <w:num w:numId="15" w16cid:durableId="882861557">
    <w:abstractNumId w:val="6"/>
  </w:num>
  <w:num w:numId="16" w16cid:durableId="654527182">
    <w:abstractNumId w:val="13"/>
  </w:num>
  <w:num w:numId="17" w16cid:durableId="1772048252">
    <w:abstractNumId w:val="1"/>
  </w:num>
  <w:num w:numId="18" w16cid:durableId="756050988">
    <w:abstractNumId w:val="9"/>
    <w:lvlOverride w:ilvl="0">
      <w:startOverride w:val="1"/>
      <w:lvl w:ilvl="0">
        <w:start w:val="1"/>
        <w:numFmt w:val="decimal"/>
        <w:pStyle w:val="PCHHeader1"/>
        <w:lvlText w:val="%1"/>
        <w:lvlJc w:val="left"/>
        <w:pPr>
          <w:ind w:left="432" w:hanging="432"/>
        </w:pPr>
        <w:rPr>
          <w:rFonts w:hint="default"/>
        </w:rPr>
      </w:lvl>
    </w:lvlOverride>
    <w:lvlOverride w:ilvl="1">
      <w:startOverride w:val="1"/>
      <w:lvl w:ilvl="1">
        <w:start w:val="1"/>
        <w:numFmt w:val="decimal"/>
        <w:lvlText w:val="%1.%2"/>
        <w:lvlJc w:val="left"/>
        <w:pPr>
          <w:ind w:left="1220" w:hanging="510"/>
        </w:pPr>
        <w:rPr>
          <w:rFonts w:ascii="Arial" w:hAnsi="Arial" w:hint="default"/>
          <w:color w:val="auto"/>
          <w:sz w:val="24"/>
        </w:rPr>
      </w:lvl>
    </w:lvlOverride>
    <w:lvlOverride w:ilvl="2">
      <w:startOverride w:val="1"/>
      <w:lvl w:ilvl="2">
        <w:start w:val="1"/>
        <w:numFmt w:val="decimal"/>
        <w:pStyle w:val="Heading3"/>
        <w:lvlText w:val="%1.%2.%3"/>
        <w:lvlJc w:val="left"/>
        <w:pPr>
          <w:ind w:left="1304" w:hanging="624"/>
        </w:pPr>
        <w:rPr>
          <w:rFonts w:hint="default"/>
          <w:color w:val="000000" w:themeColor="text1"/>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19" w16cid:durableId="376853769">
    <w:abstractNumId w:val="5"/>
  </w:num>
  <w:num w:numId="20" w16cid:durableId="2085449666">
    <w:abstractNumId w:val="18"/>
  </w:num>
  <w:num w:numId="21" w16cid:durableId="74071265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821"/>
    <w:rsid w:val="000026B6"/>
    <w:rsid w:val="000044AC"/>
    <w:rsid w:val="000156E2"/>
    <w:rsid w:val="00023063"/>
    <w:rsid w:val="000248DE"/>
    <w:rsid w:val="00025507"/>
    <w:rsid w:val="00025D7F"/>
    <w:rsid w:val="00027646"/>
    <w:rsid w:val="00027A77"/>
    <w:rsid w:val="00027D38"/>
    <w:rsid w:val="00032F32"/>
    <w:rsid w:val="00035989"/>
    <w:rsid w:val="000366B2"/>
    <w:rsid w:val="00037157"/>
    <w:rsid w:val="00037B61"/>
    <w:rsid w:val="0004470D"/>
    <w:rsid w:val="0004537C"/>
    <w:rsid w:val="00047AE5"/>
    <w:rsid w:val="000503B9"/>
    <w:rsid w:val="00050D43"/>
    <w:rsid w:val="0005590F"/>
    <w:rsid w:val="00056CEC"/>
    <w:rsid w:val="00064470"/>
    <w:rsid w:val="0006463D"/>
    <w:rsid w:val="000652E7"/>
    <w:rsid w:val="00066C3F"/>
    <w:rsid w:val="00070CB2"/>
    <w:rsid w:val="00074F12"/>
    <w:rsid w:val="00087102"/>
    <w:rsid w:val="00087832"/>
    <w:rsid w:val="00092A53"/>
    <w:rsid w:val="00092C3E"/>
    <w:rsid w:val="000935C4"/>
    <w:rsid w:val="00094277"/>
    <w:rsid w:val="00094E9B"/>
    <w:rsid w:val="000973A2"/>
    <w:rsid w:val="00097AD1"/>
    <w:rsid w:val="000A5E72"/>
    <w:rsid w:val="000A74C8"/>
    <w:rsid w:val="000B31AB"/>
    <w:rsid w:val="000B4E0C"/>
    <w:rsid w:val="000C7277"/>
    <w:rsid w:val="000D3DCD"/>
    <w:rsid w:val="000D613D"/>
    <w:rsid w:val="000D70E7"/>
    <w:rsid w:val="000E38B5"/>
    <w:rsid w:val="000E6350"/>
    <w:rsid w:val="000E6424"/>
    <w:rsid w:val="000E7D7C"/>
    <w:rsid w:val="000E7EFF"/>
    <w:rsid w:val="000F65D5"/>
    <w:rsid w:val="001115D7"/>
    <w:rsid w:val="00112C26"/>
    <w:rsid w:val="00113A70"/>
    <w:rsid w:val="00115984"/>
    <w:rsid w:val="00132472"/>
    <w:rsid w:val="00132E37"/>
    <w:rsid w:val="00133795"/>
    <w:rsid w:val="00135B7B"/>
    <w:rsid w:val="00137968"/>
    <w:rsid w:val="00140529"/>
    <w:rsid w:val="00144228"/>
    <w:rsid w:val="00146644"/>
    <w:rsid w:val="00153127"/>
    <w:rsid w:val="00153423"/>
    <w:rsid w:val="0015409C"/>
    <w:rsid w:val="00154B1F"/>
    <w:rsid w:val="00161E15"/>
    <w:rsid w:val="00163F0B"/>
    <w:rsid w:val="00164715"/>
    <w:rsid w:val="00164B4E"/>
    <w:rsid w:val="00165851"/>
    <w:rsid w:val="00166400"/>
    <w:rsid w:val="00166A18"/>
    <w:rsid w:val="00167061"/>
    <w:rsid w:val="00170916"/>
    <w:rsid w:val="0017094B"/>
    <w:rsid w:val="00171ECB"/>
    <w:rsid w:val="00181AE9"/>
    <w:rsid w:val="0018328D"/>
    <w:rsid w:val="001875C5"/>
    <w:rsid w:val="001879BE"/>
    <w:rsid w:val="00191942"/>
    <w:rsid w:val="00194404"/>
    <w:rsid w:val="00194E22"/>
    <w:rsid w:val="001A405C"/>
    <w:rsid w:val="001A6859"/>
    <w:rsid w:val="001A7F39"/>
    <w:rsid w:val="001B2309"/>
    <w:rsid w:val="001B2DDF"/>
    <w:rsid w:val="001B777C"/>
    <w:rsid w:val="001B7A77"/>
    <w:rsid w:val="001C6C98"/>
    <w:rsid w:val="001C7B0D"/>
    <w:rsid w:val="001D03F4"/>
    <w:rsid w:val="001D052F"/>
    <w:rsid w:val="001D37A8"/>
    <w:rsid w:val="001D56D0"/>
    <w:rsid w:val="001D78C2"/>
    <w:rsid w:val="001E3355"/>
    <w:rsid w:val="001E6366"/>
    <w:rsid w:val="001E6BE7"/>
    <w:rsid w:val="001E75EA"/>
    <w:rsid w:val="001E7D26"/>
    <w:rsid w:val="001F460C"/>
    <w:rsid w:val="001F6395"/>
    <w:rsid w:val="001F6B5F"/>
    <w:rsid w:val="00202D98"/>
    <w:rsid w:val="00220665"/>
    <w:rsid w:val="00221DA2"/>
    <w:rsid w:val="0022313D"/>
    <w:rsid w:val="00232113"/>
    <w:rsid w:val="00236FCC"/>
    <w:rsid w:val="00241A08"/>
    <w:rsid w:val="00241C3B"/>
    <w:rsid w:val="00242B03"/>
    <w:rsid w:val="00243058"/>
    <w:rsid w:val="00247DBC"/>
    <w:rsid w:val="00254BCB"/>
    <w:rsid w:val="00254F2A"/>
    <w:rsid w:val="002603AA"/>
    <w:rsid w:val="00263BA6"/>
    <w:rsid w:val="00267373"/>
    <w:rsid w:val="00270743"/>
    <w:rsid w:val="00271660"/>
    <w:rsid w:val="00271A3F"/>
    <w:rsid w:val="00276FAC"/>
    <w:rsid w:val="00277728"/>
    <w:rsid w:val="002806A8"/>
    <w:rsid w:val="00281B3A"/>
    <w:rsid w:val="002857F7"/>
    <w:rsid w:val="00286E79"/>
    <w:rsid w:val="002972F5"/>
    <w:rsid w:val="002B1CC0"/>
    <w:rsid w:val="002B4DB8"/>
    <w:rsid w:val="002B52CE"/>
    <w:rsid w:val="002C0A12"/>
    <w:rsid w:val="002C4E1E"/>
    <w:rsid w:val="002D24D7"/>
    <w:rsid w:val="002D3ECB"/>
    <w:rsid w:val="002D5028"/>
    <w:rsid w:val="002D6233"/>
    <w:rsid w:val="002D7EBA"/>
    <w:rsid w:val="002E243E"/>
    <w:rsid w:val="002E50B8"/>
    <w:rsid w:val="002F6F21"/>
    <w:rsid w:val="002F6FC2"/>
    <w:rsid w:val="002F7B84"/>
    <w:rsid w:val="00305630"/>
    <w:rsid w:val="00310A01"/>
    <w:rsid w:val="0031401D"/>
    <w:rsid w:val="0031552D"/>
    <w:rsid w:val="00324856"/>
    <w:rsid w:val="00325D01"/>
    <w:rsid w:val="0032774F"/>
    <w:rsid w:val="00334469"/>
    <w:rsid w:val="00344F71"/>
    <w:rsid w:val="00363F09"/>
    <w:rsid w:val="00364DD2"/>
    <w:rsid w:val="0037121B"/>
    <w:rsid w:val="00371880"/>
    <w:rsid w:val="003813E1"/>
    <w:rsid w:val="003A1801"/>
    <w:rsid w:val="003A1CA3"/>
    <w:rsid w:val="003A593A"/>
    <w:rsid w:val="003A6CA0"/>
    <w:rsid w:val="003A785B"/>
    <w:rsid w:val="003B640E"/>
    <w:rsid w:val="003B727A"/>
    <w:rsid w:val="003C4AEF"/>
    <w:rsid w:val="003C71A8"/>
    <w:rsid w:val="003D32F1"/>
    <w:rsid w:val="003D7060"/>
    <w:rsid w:val="003E11AE"/>
    <w:rsid w:val="003E1A18"/>
    <w:rsid w:val="003F28A7"/>
    <w:rsid w:val="003F3205"/>
    <w:rsid w:val="004005F9"/>
    <w:rsid w:val="00400A51"/>
    <w:rsid w:val="00402F74"/>
    <w:rsid w:val="004035D8"/>
    <w:rsid w:val="00410882"/>
    <w:rsid w:val="00422DEC"/>
    <w:rsid w:val="00432FB7"/>
    <w:rsid w:val="0044057E"/>
    <w:rsid w:val="004424B0"/>
    <w:rsid w:val="00444E32"/>
    <w:rsid w:val="004514CE"/>
    <w:rsid w:val="00453704"/>
    <w:rsid w:val="00455E28"/>
    <w:rsid w:val="0046256C"/>
    <w:rsid w:val="0046522F"/>
    <w:rsid w:val="00467411"/>
    <w:rsid w:val="004729EA"/>
    <w:rsid w:val="00475303"/>
    <w:rsid w:val="00475D9A"/>
    <w:rsid w:val="004760F7"/>
    <w:rsid w:val="00485A2C"/>
    <w:rsid w:val="004860CA"/>
    <w:rsid w:val="00486A20"/>
    <w:rsid w:val="00490D41"/>
    <w:rsid w:val="00497E34"/>
    <w:rsid w:val="004A2F9F"/>
    <w:rsid w:val="004A491C"/>
    <w:rsid w:val="004A7017"/>
    <w:rsid w:val="004B561C"/>
    <w:rsid w:val="004B68B8"/>
    <w:rsid w:val="004C1823"/>
    <w:rsid w:val="004C44AC"/>
    <w:rsid w:val="004C5C03"/>
    <w:rsid w:val="004D2B37"/>
    <w:rsid w:val="004D736A"/>
    <w:rsid w:val="004D73A7"/>
    <w:rsid w:val="004E63C4"/>
    <w:rsid w:val="004F68A2"/>
    <w:rsid w:val="004F6BF2"/>
    <w:rsid w:val="00502806"/>
    <w:rsid w:val="0050357B"/>
    <w:rsid w:val="0050681A"/>
    <w:rsid w:val="00507215"/>
    <w:rsid w:val="00507C1E"/>
    <w:rsid w:val="00516035"/>
    <w:rsid w:val="005202CF"/>
    <w:rsid w:val="00520D9D"/>
    <w:rsid w:val="00522C7C"/>
    <w:rsid w:val="00526D2B"/>
    <w:rsid w:val="0052784A"/>
    <w:rsid w:val="00527D91"/>
    <w:rsid w:val="005301E1"/>
    <w:rsid w:val="00535D6E"/>
    <w:rsid w:val="0053604F"/>
    <w:rsid w:val="005372A7"/>
    <w:rsid w:val="0053742D"/>
    <w:rsid w:val="00540530"/>
    <w:rsid w:val="00543C5F"/>
    <w:rsid w:val="00544E27"/>
    <w:rsid w:val="00551015"/>
    <w:rsid w:val="00551576"/>
    <w:rsid w:val="005518AD"/>
    <w:rsid w:val="0055330E"/>
    <w:rsid w:val="005534BF"/>
    <w:rsid w:val="0055466A"/>
    <w:rsid w:val="005560A5"/>
    <w:rsid w:val="00565E5F"/>
    <w:rsid w:val="0057736F"/>
    <w:rsid w:val="005812A4"/>
    <w:rsid w:val="00583D7B"/>
    <w:rsid w:val="00585472"/>
    <w:rsid w:val="00593CC3"/>
    <w:rsid w:val="00597F56"/>
    <w:rsid w:val="005A16B1"/>
    <w:rsid w:val="005A38BA"/>
    <w:rsid w:val="005A4645"/>
    <w:rsid w:val="005A7918"/>
    <w:rsid w:val="005B359B"/>
    <w:rsid w:val="005B57CE"/>
    <w:rsid w:val="005C0DB5"/>
    <w:rsid w:val="005C3B51"/>
    <w:rsid w:val="005D0AD5"/>
    <w:rsid w:val="005E08A9"/>
    <w:rsid w:val="005E0AD5"/>
    <w:rsid w:val="005E12AF"/>
    <w:rsid w:val="005F2CDA"/>
    <w:rsid w:val="005F35B6"/>
    <w:rsid w:val="005F4556"/>
    <w:rsid w:val="005F4729"/>
    <w:rsid w:val="005F6344"/>
    <w:rsid w:val="005F77F7"/>
    <w:rsid w:val="0060032F"/>
    <w:rsid w:val="00600512"/>
    <w:rsid w:val="006120F7"/>
    <w:rsid w:val="00614C36"/>
    <w:rsid w:val="00614C42"/>
    <w:rsid w:val="00617277"/>
    <w:rsid w:val="006264A4"/>
    <w:rsid w:val="006317C1"/>
    <w:rsid w:val="006362AC"/>
    <w:rsid w:val="00637913"/>
    <w:rsid w:val="00642340"/>
    <w:rsid w:val="00643FF4"/>
    <w:rsid w:val="006456BA"/>
    <w:rsid w:val="00650FBF"/>
    <w:rsid w:val="0067542A"/>
    <w:rsid w:val="0068088A"/>
    <w:rsid w:val="00680990"/>
    <w:rsid w:val="00683553"/>
    <w:rsid w:val="00683CC5"/>
    <w:rsid w:val="00685596"/>
    <w:rsid w:val="006928A3"/>
    <w:rsid w:val="00694A81"/>
    <w:rsid w:val="006950D0"/>
    <w:rsid w:val="00695B20"/>
    <w:rsid w:val="006962E5"/>
    <w:rsid w:val="00697344"/>
    <w:rsid w:val="006A0CDF"/>
    <w:rsid w:val="006A35CF"/>
    <w:rsid w:val="006B0EC9"/>
    <w:rsid w:val="006B5C1D"/>
    <w:rsid w:val="006B65A2"/>
    <w:rsid w:val="006C1322"/>
    <w:rsid w:val="006C3A4F"/>
    <w:rsid w:val="006C6297"/>
    <w:rsid w:val="006D1262"/>
    <w:rsid w:val="006D2148"/>
    <w:rsid w:val="006D516E"/>
    <w:rsid w:val="006D5D5B"/>
    <w:rsid w:val="006E1D5F"/>
    <w:rsid w:val="006E432A"/>
    <w:rsid w:val="006E4F12"/>
    <w:rsid w:val="006E5B1C"/>
    <w:rsid w:val="006E7900"/>
    <w:rsid w:val="006F07D2"/>
    <w:rsid w:val="006F4E1D"/>
    <w:rsid w:val="006F7006"/>
    <w:rsid w:val="00702166"/>
    <w:rsid w:val="00703452"/>
    <w:rsid w:val="00707344"/>
    <w:rsid w:val="007142FC"/>
    <w:rsid w:val="00721F79"/>
    <w:rsid w:val="00723FEA"/>
    <w:rsid w:val="00727F67"/>
    <w:rsid w:val="00734335"/>
    <w:rsid w:val="00734E60"/>
    <w:rsid w:val="00737704"/>
    <w:rsid w:val="007407B0"/>
    <w:rsid w:val="00741E74"/>
    <w:rsid w:val="0074540A"/>
    <w:rsid w:val="007459C9"/>
    <w:rsid w:val="00746A4F"/>
    <w:rsid w:val="00756A38"/>
    <w:rsid w:val="007629F1"/>
    <w:rsid w:val="00762D7C"/>
    <w:rsid w:val="00766ED4"/>
    <w:rsid w:val="0076779D"/>
    <w:rsid w:val="00772573"/>
    <w:rsid w:val="00775FC5"/>
    <w:rsid w:val="007870A9"/>
    <w:rsid w:val="007A1FB5"/>
    <w:rsid w:val="007A2970"/>
    <w:rsid w:val="007A3157"/>
    <w:rsid w:val="007A514C"/>
    <w:rsid w:val="007B24B5"/>
    <w:rsid w:val="007B6E52"/>
    <w:rsid w:val="007C5079"/>
    <w:rsid w:val="007C548C"/>
    <w:rsid w:val="007C54C4"/>
    <w:rsid w:val="007C5ADF"/>
    <w:rsid w:val="007D01B6"/>
    <w:rsid w:val="007D373E"/>
    <w:rsid w:val="007D3F16"/>
    <w:rsid w:val="007D5699"/>
    <w:rsid w:val="007D6682"/>
    <w:rsid w:val="007E22AD"/>
    <w:rsid w:val="007E407C"/>
    <w:rsid w:val="007E70EF"/>
    <w:rsid w:val="007F28E6"/>
    <w:rsid w:val="007F2CC1"/>
    <w:rsid w:val="007F33DF"/>
    <w:rsid w:val="007F41F4"/>
    <w:rsid w:val="008013A9"/>
    <w:rsid w:val="00803220"/>
    <w:rsid w:val="00810344"/>
    <w:rsid w:val="00832AA0"/>
    <w:rsid w:val="0083476F"/>
    <w:rsid w:val="0084259B"/>
    <w:rsid w:val="00842AE3"/>
    <w:rsid w:val="00845167"/>
    <w:rsid w:val="008461D7"/>
    <w:rsid w:val="0085450D"/>
    <w:rsid w:val="00857F6B"/>
    <w:rsid w:val="00860E9E"/>
    <w:rsid w:val="008616E4"/>
    <w:rsid w:val="00861813"/>
    <w:rsid w:val="00867337"/>
    <w:rsid w:val="00870A29"/>
    <w:rsid w:val="0089253C"/>
    <w:rsid w:val="00892C2E"/>
    <w:rsid w:val="00896FB4"/>
    <w:rsid w:val="008A1B52"/>
    <w:rsid w:val="008A32C3"/>
    <w:rsid w:val="008A6C58"/>
    <w:rsid w:val="008B2E69"/>
    <w:rsid w:val="008B5701"/>
    <w:rsid w:val="008B71DD"/>
    <w:rsid w:val="008C6B55"/>
    <w:rsid w:val="008D0162"/>
    <w:rsid w:val="008D2B6E"/>
    <w:rsid w:val="008D4974"/>
    <w:rsid w:val="008D4F93"/>
    <w:rsid w:val="008D721C"/>
    <w:rsid w:val="008D75C6"/>
    <w:rsid w:val="008E367C"/>
    <w:rsid w:val="008E6444"/>
    <w:rsid w:val="008F014E"/>
    <w:rsid w:val="008F1439"/>
    <w:rsid w:val="008F526F"/>
    <w:rsid w:val="008F608D"/>
    <w:rsid w:val="008F737C"/>
    <w:rsid w:val="00905BB1"/>
    <w:rsid w:val="00907334"/>
    <w:rsid w:val="0091151F"/>
    <w:rsid w:val="00911919"/>
    <w:rsid w:val="00911CD4"/>
    <w:rsid w:val="009133C0"/>
    <w:rsid w:val="00914EEE"/>
    <w:rsid w:val="00916122"/>
    <w:rsid w:val="009166B1"/>
    <w:rsid w:val="00917E5D"/>
    <w:rsid w:val="00924ADD"/>
    <w:rsid w:val="009252A6"/>
    <w:rsid w:val="00927125"/>
    <w:rsid w:val="0093496D"/>
    <w:rsid w:val="00936055"/>
    <w:rsid w:val="0093688D"/>
    <w:rsid w:val="00936D21"/>
    <w:rsid w:val="00937F39"/>
    <w:rsid w:val="0094460D"/>
    <w:rsid w:val="009457F5"/>
    <w:rsid w:val="00961B4E"/>
    <w:rsid w:val="00962230"/>
    <w:rsid w:val="00966AC5"/>
    <w:rsid w:val="009670A0"/>
    <w:rsid w:val="00977CDF"/>
    <w:rsid w:val="0098134B"/>
    <w:rsid w:val="00982074"/>
    <w:rsid w:val="00984867"/>
    <w:rsid w:val="009878BD"/>
    <w:rsid w:val="00995165"/>
    <w:rsid w:val="009A1037"/>
    <w:rsid w:val="009A3895"/>
    <w:rsid w:val="009A6F0E"/>
    <w:rsid w:val="009A7258"/>
    <w:rsid w:val="009B11EF"/>
    <w:rsid w:val="009B3479"/>
    <w:rsid w:val="009B3E8D"/>
    <w:rsid w:val="009B76E3"/>
    <w:rsid w:val="009C4BF8"/>
    <w:rsid w:val="009C5D50"/>
    <w:rsid w:val="009D2D0F"/>
    <w:rsid w:val="009D316C"/>
    <w:rsid w:val="009D4542"/>
    <w:rsid w:val="009D6262"/>
    <w:rsid w:val="009D62DE"/>
    <w:rsid w:val="009D6CE7"/>
    <w:rsid w:val="009E2623"/>
    <w:rsid w:val="009E3E52"/>
    <w:rsid w:val="009E4B07"/>
    <w:rsid w:val="009E53EC"/>
    <w:rsid w:val="009E6111"/>
    <w:rsid w:val="009F249F"/>
    <w:rsid w:val="00A00D1B"/>
    <w:rsid w:val="00A00DFB"/>
    <w:rsid w:val="00A0219F"/>
    <w:rsid w:val="00A05903"/>
    <w:rsid w:val="00A07153"/>
    <w:rsid w:val="00A109FD"/>
    <w:rsid w:val="00A14CAE"/>
    <w:rsid w:val="00A15B18"/>
    <w:rsid w:val="00A16A1C"/>
    <w:rsid w:val="00A21D0C"/>
    <w:rsid w:val="00A27C4C"/>
    <w:rsid w:val="00A27EE5"/>
    <w:rsid w:val="00A35447"/>
    <w:rsid w:val="00A41A42"/>
    <w:rsid w:val="00A46854"/>
    <w:rsid w:val="00A52695"/>
    <w:rsid w:val="00A55ACA"/>
    <w:rsid w:val="00A63D9E"/>
    <w:rsid w:val="00A667D3"/>
    <w:rsid w:val="00A67930"/>
    <w:rsid w:val="00A7266E"/>
    <w:rsid w:val="00A765DE"/>
    <w:rsid w:val="00A80462"/>
    <w:rsid w:val="00A830F3"/>
    <w:rsid w:val="00A86238"/>
    <w:rsid w:val="00A8648D"/>
    <w:rsid w:val="00AA0844"/>
    <w:rsid w:val="00AA3640"/>
    <w:rsid w:val="00AA528F"/>
    <w:rsid w:val="00AA54CF"/>
    <w:rsid w:val="00AB71B4"/>
    <w:rsid w:val="00AC3F04"/>
    <w:rsid w:val="00AC539C"/>
    <w:rsid w:val="00AC664D"/>
    <w:rsid w:val="00AC66A9"/>
    <w:rsid w:val="00AC6958"/>
    <w:rsid w:val="00AD1C76"/>
    <w:rsid w:val="00AD5001"/>
    <w:rsid w:val="00AD7571"/>
    <w:rsid w:val="00AE2F55"/>
    <w:rsid w:val="00AE417B"/>
    <w:rsid w:val="00AE7BDC"/>
    <w:rsid w:val="00AF2821"/>
    <w:rsid w:val="00AF4483"/>
    <w:rsid w:val="00B02BB2"/>
    <w:rsid w:val="00B1209A"/>
    <w:rsid w:val="00B12426"/>
    <w:rsid w:val="00B150B3"/>
    <w:rsid w:val="00B15C33"/>
    <w:rsid w:val="00B223D9"/>
    <w:rsid w:val="00B336F5"/>
    <w:rsid w:val="00B4318C"/>
    <w:rsid w:val="00B43C55"/>
    <w:rsid w:val="00B52CAA"/>
    <w:rsid w:val="00B60012"/>
    <w:rsid w:val="00B632F8"/>
    <w:rsid w:val="00B632FD"/>
    <w:rsid w:val="00B6469E"/>
    <w:rsid w:val="00B6636A"/>
    <w:rsid w:val="00B66ACE"/>
    <w:rsid w:val="00B66C2C"/>
    <w:rsid w:val="00B8533B"/>
    <w:rsid w:val="00B93B0F"/>
    <w:rsid w:val="00B958F2"/>
    <w:rsid w:val="00B97CAC"/>
    <w:rsid w:val="00BA09B7"/>
    <w:rsid w:val="00BA09F2"/>
    <w:rsid w:val="00BA3132"/>
    <w:rsid w:val="00BA3589"/>
    <w:rsid w:val="00BA4748"/>
    <w:rsid w:val="00BB3162"/>
    <w:rsid w:val="00BB677F"/>
    <w:rsid w:val="00BB69E2"/>
    <w:rsid w:val="00BB6D25"/>
    <w:rsid w:val="00BC29FF"/>
    <w:rsid w:val="00BC5842"/>
    <w:rsid w:val="00BD399D"/>
    <w:rsid w:val="00BD3F66"/>
    <w:rsid w:val="00BE02D9"/>
    <w:rsid w:val="00BE1B1B"/>
    <w:rsid w:val="00BE37A6"/>
    <w:rsid w:val="00BE74A4"/>
    <w:rsid w:val="00BF2455"/>
    <w:rsid w:val="00BF2B6F"/>
    <w:rsid w:val="00BF453A"/>
    <w:rsid w:val="00BF48BD"/>
    <w:rsid w:val="00BF5006"/>
    <w:rsid w:val="00BF6F0F"/>
    <w:rsid w:val="00C13AEC"/>
    <w:rsid w:val="00C2078C"/>
    <w:rsid w:val="00C21B64"/>
    <w:rsid w:val="00C2581C"/>
    <w:rsid w:val="00C27992"/>
    <w:rsid w:val="00C30581"/>
    <w:rsid w:val="00C36871"/>
    <w:rsid w:val="00C44495"/>
    <w:rsid w:val="00C44DE2"/>
    <w:rsid w:val="00C52BF9"/>
    <w:rsid w:val="00C6099C"/>
    <w:rsid w:val="00C63E54"/>
    <w:rsid w:val="00C70571"/>
    <w:rsid w:val="00C717F2"/>
    <w:rsid w:val="00C72856"/>
    <w:rsid w:val="00C74432"/>
    <w:rsid w:val="00C81FA2"/>
    <w:rsid w:val="00C826C6"/>
    <w:rsid w:val="00C833C0"/>
    <w:rsid w:val="00C86851"/>
    <w:rsid w:val="00C901BC"/>
    <w:rsid w:val="00C956A9"/>
    <w:rsid w:val="00C962EE"/>
    <w:rsid w:val="00CA0F78"/>
    <w:rsid w:val="00CA16D2"/>
    <w:rsid w:val="00CA2E1F"/>
    <w:rsid w:val="00CB2FCB"/>
    <w:rsid w:val="00CB3790"/>
    <w:rsid w:val="00CB5757"/>
    <w:rsid w:val="00CB59C3"/>
    <w:rsid w:val="00CB64BF"/>
    <w:rsid w:val="00CD0B8D"/>
    <w:rsid w:val="00CD1167"/>
    <w:rsid w:val="00CD1DA1"/>
    <w:rsid w:val="00CD5B0C"/>
    <w:rsid w:val="00CF2AE3"/>
    <w:rsid w:val="00CF7675"/>
    <w:rsid w:val="00CF7FA4"/>
    <w:rsid w:val="00D07E60"/>
    <w:rsid w:val="00D11D16"/>
    <w:rsid w:val="00D22008"/>
    <w:rsid w:val="00D2272F"/>
    <w:rsid w:val="00D24436"/>
    <w:rsid w:val="00D27711"/>
    <w:rsid w:val="00D32E2B"/>
    <w:rsid w:val="00D32F1B"/>
    <w:rsid w:val="00D3367F"/>
    <w:rsid w:val="00D35AE8"/>
    <w:rsid w:val="00D42D0D"/>
    <w:rsid w:val="00D46207"/>
    <w:rsid w:val="00D528A5"/>
    <w:rsid w:val="00D54156"/>
    <w:rsid w:val="00D61B89"/>
    <w:rsid w:val="00D8317E"/>
    <w:rsid w:val="00D833A4"/>
    <w:rsid w:val="00D859CA"/>
    <w:rsid w:val="00D86FDA"/>
    <w:rsid w:val="00D872C4"/>
    <w:rsid w:val="00D87A12"/>
    <w:rsid w:val="00D91A5B"/>
    <w:rsid w:val="00DA0EB4"/>
    <w:rsid w:val="00DA1AF3"/>
    <w:rsid w:val="00DA697F"/>
    <w:rsid w:val="00DA7DB3"/>
    <w:rsid w:val="00DB0800"/>
    <w:rsid w:val="00DB198E"/>
    <w:rsid w:val="00DB63D2"/>
    <w:rsid w:val="00DB6FFA"/>
    <w:rsid w:val="00DC479F"/>
    <w:rsid w:val="00DC5749"/>
    <w:rsid w:val="00DC6751"/>
    <w:rsid w:val="00DC6885"/>
    <w:rsid w:val="00DC7766"/>
    <w:rsid w:val="00DD13FB"/>
    <w:rsid w:val="00DE45A5"/>
    <w:rsid w:val="00DE5831"/>
    <w:rsid w:val="00DE71C1"/>
    <w:rsid w:val="00DF5E65"/>
    <w:rsid w:val="00DF7F5D"/>
    <w:rsid w:val="00E0165F"/>
    <w:rsid w:val="00E0358B"/>
    <w:rsid w:val="00E03796"/>
    <w:rsid w:val="00E03AED"/>
    <w:rsid w:val="00E141F7"/>
    <w:rsid w:val="00E23A65"/>
    <w:rsid w:val="00E23D33"/>
    <w:rsid w:val="00E24B0B"/>
    <w:rsid w:val="00E275AE"/>
    <w:rsid w:val="00E30841"/>
    <w:rsid w:val="00E40D3C"/>
    <w:rsid w:val="00E5196A"/>
    <w:rsid w:val="00E579B8"/>
    <w:rsid w:val="00E61753"/>
    <w:rsid w:val="00E6250F"/>
    <w:rsid w:val="00E62FA2"/>
    <w:rsid w:val="00E7124C"/>
    <w:rsid w:val="00E71D42"/>
    <w:rsid w:val="00E72B35"/>
    <w:rsid w:val="00E76475"/>
    <w:rsid w:val="00E80D92"/>
    <w:rsid w:val="00E80E91"/>
    <w:rsid w:val="00E81538"/>
    <w:rsid w:val="00E82100"/>
    <w:rsid w:val="00E82F91"/>
    <w:rsid w:val="00E835A9"/>
    <w:rsid w:val="00E84B4F"/>
    <w:rsid w:val="00E87B3E"/>
    <w:rsid w:val="00E922FE"/>
    <w:rsid w:val="00E94830"/>
    <w:rsid w:val="00E953B7"/>
    <w:rsid w:val="00EA006B"/>
    <w:rsid w:val="00EA3E1D"/>
    <w:rsid w:val="00EB4518"/>
    <w:rsid w:val="00EB462F"/>
    <w:rsid w:val="00EB790E"/>
    <w:rsid w:val="00EC5E35"/>
    <w:rsid w:val="00ED2C24"/>
    <w:rsid w:val="00ED668E"/>
    <w:rsid w:val="00EE2BA9"/>
    <w:rsid w:val="00EE6569"/>
    <w:rsid w:val="00EE7A5B"/>
    <w:rsid w:val="00EE7A8B"/>
    <w:rsid w:val="00EF227B"/>
    <w:rsid w:val="00F00918"/>
    <w:rsid w:val="00F049A1"/>
    <w:rsid w:val="00F16397"/>
    <w:rsid w:val="00F16D3E"/>
    <w:rsid w:val="00F17421"/>
    <w:rsid w:val="00F200DB"/>
    <w:rsid w:val="00F208CF"/>
    <w:rsid w:val="00F30390"/>
    <w:rsid w:val="00F316C4"/>
    <w:rsid w:val="00F350B7"/>
    <w:rsid w:val="00F36EC9"/>
    <w:rsid w:val="00F3736F"/>
    <w:rsid w:val="00F41436"/>
    <w:rsid w:val="00F42BB8"/>
    <w:rsid w:val="00F464A9"/>
    <w:rsid w:val="00F47388"/>
    <w:rsid w:val="00F50081"/>
    <w:rsid w:val="00F526E5"/>
    <w:rsid w:val="00F54226"/>
    <w:rsid w:val="00F54983"/>
    <w:rsid w:val="00F54F92"/>
    <w:rsid w:val="00F569B1"/>
    <w:rsid w:val="00F574C1"/>
    <w:rsid w:val="00F60DA6"/>
    <w:rsid w:val="00F65D53"/>
    <w:rsid w:val="00F673AA"/>
    <w:rsid w:val="00F674BC"/>
    <w:rsid w:val="00F72C66"/>
    <w:rsid w:val="00F74E04"/>
    <w:rsid w:val="00F761BB"/>
    <w:rsid w:val="00F76222"/>
    <w:rsid w:val="00F770BA"/>
    <w:rsid w:val="00F80CA0"/>
    <w:rsid w:val="00F82BD9"/>
    <w:rsid w:val="00F85DE6"/>
    <w:rsid w:val="00F86C57"/>
    <w:rsid w:val="00F90667"/>
    <w:rsid w:val="00F9150E"/>
    <w:rsid w:val="00F923DA"/>
    <w:rsid w:val="00F92660"/>
    <w:rsid w:val="00FA30D4"/>
    <w:rsid w:val="00FA432D"/>
    <w:rsid w:val="00FA72FD"/>
    <w:rsid w:val="00FB2952"/>
    <w:rsid w:val="00FB318C"/>
    <w:rsid w:val="00FB31B2"/>
    <w:rsid w:val="00FB3486"/>
    <w:rsid w:val="00FB5378"/>
    <w:rsid w:val="00FB69D4"/>
    <w:rsid w:val="00FC06EB"/>
    <w:rsid w:val="00FC2B44"/>
    <w:rsid w:val="00FC2DA1"/>
    <w:rsid w:val="00FD1484"/>
    <w:rsid w:val="00FD5161"/>
    <w:rsid w:val="00FD53E2"/>
    <w:rsid w:val="00FE299F"/>
    <w:rsid w:val="00FE4E12"/>
    <w:rsid w:val="00FE7A05"/>
    <w:rsid w:val="00FF002F"/>
    <w:rsid w:val="00FF209C"/>
    <w:rsid w:val="00FF6D79"/>
    <w:rsid w:val="00FF73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BEAD94"/>
  <w15:docId w15:val="{0B1688DE-B9A8-4046-BE88-DF958943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ial"/>
    <w:qFormat/>
    <w:rsid w:val="00400A51"/>
    <w:rPr>
      <w:sz w:val="22"/>
    </w:rPr>
  </w:style>
  <w:style w:type="paragraph" w:styleId="Heading1">
    <w:name w:val="heading 1"/>
    <w:basedOn w:val="Normal"/>
    <w:next w:val="Normal"/>
    <w:link w:val="Heading1Char"/>
    <w:uiPriority w:val="9"/>
    <w:qFormat/>
    <w:rsid w:val="007A51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50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50D0"/>
    <w:pPr>
      <w:keepNext/>
      <w:keepLines/>
      <w:numPr>
        <w:ilvl w:val="2"/>
        <w:numId w:val="9"/>
      </w:numPr>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aliases w:val="01"/>
    <w:basedOn w:val="Normal"/>
    <w:next w:val="Normal"/>
    <w:link w:val="Heading4Char"/>
    <w:uiPriority w:val="9"/>
    <w:qFormat/>
    <w:rsid w:val="007D6682"/>
    <w:pPr>
      <w:widowControl w:val="0"/>
      <w:numPr>
        <w:ilvl w:val="3"/>
        <w:numId w:val="9"/>
      </w:numPr>
      <w:spacing w:line="400" w:lineRule="exact"/>
      <w:outlineLvl w:val="3"/>
    </w:pPr>
    <w:rPr>
      <w:rFonts w:ascii="Arial" w:eastAsia="Times New Roman" w:hAnsi="Arial" w:cs="Times New Roman"/>
      <w:b/>
      <w:bCs/>
      <w:sz w:val="28"/>
      <w:szCs w:val="28"/>
      <w:lang w:val="x-none"/>
    </w:rPr>
  </w:style>
  <w:style w:type="paragraph" w:styleId="Heading5">
    <w:name w:val="heading 5"/>
    <w:basedOn w:val="Normal"/>
    <w:next w:val="Normal"/>
    <w:link w:val="Heading5Char"/>
    <w:uiPriority w:val="9"/>
    <w:unhideWhenUsed/>
    <w:qFormat/>
    <w:rsid w:val="006950D0"/>
    <w:pPr>
      <w:keepNext/>
      <w:keepLines/>
      <w:numPr>
        <w:ilvl w:val="4"/>
        <w:numId w:val="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6950D0"/>
    <w:pPr>
      <w:keepNext/>
      <w:keepLines/>
      <w:numPr>
        <w:ilvl w:val="5"/>
        <w:numId w:val="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950D0"/>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6950D0"/>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50D0"/>
    <w:pPr>
      <w:keepNext/>
      <w:keepLines/>
      <w:numPr>
        <w:ilvl w:val="8"/>
        <w:numId w:val="9"/>
      </w:numPr>
      <w:tabs>
        <w:tab w:val="clear" w:pos="567"/>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paragraph" w:customStyle="1" w:styleId="PCHTitle">
    <w:name w:val="PCH Title"/>
    <w:qFormat/>
    <w:rsid w:val="00F770BA"/>
    <w:pPr>
      <w:spacing w:line="520" w:lineRule="exact"/>
      <w:ind w:left="1418" w:right="1134"/>
    </w:pPr>
    <w:rPr>
      <w:rFonts w:ascii="Arial" w:eastAsia="Times New Roman" w:hAnsi="Arial" w:cs="Arial"/>
      <w:b/>
      <w:sz w:val="52"/>
      <w:szCs w:val="52"/>
      <w:lang w:val="en-US"/>
    </w:rPr>
  </w:style>
  <w:style w:type="paragraph" w:customStyle="1" w:styleId="PCHintrotext">
    <w:name w:val="PCH intro text"/>
    <w:next w:val="Normal"/>
    <w:qFormat/>
    <w:rsid w:val="00CB59C3"/>
    <w:pPr>
      <w:widowControl w:val="0"/>
      <w:adjustRightInd w:val="0"/>
      <w:snapToGrid w:val="0"/>
      <w:spacing w:after="120" w:line="360" w:lineRule="exact"/>
      <w:ind w:left="1418" w:right="1418"/>
    </w:pPr>
    <w:rPr>
      <w:rFonts w:ascii="Arial" w:eastAsia="Times New Roman" w:hAnsi="Arial" w:cs="Times New Roman"/>
      <w:color w:val="000000" w:themeColor="text1"/>
      <w:sz w:val="28"/>
    </w:r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1"/>
      </w:numPr>
    </w:pPr>
  </w:style>
  <w:style w:type="paragraph" w:customStyle="1" w:styleId="PCHpagenumber">
    <w:name w:val="PCH page number"/>
    <w:basedOn w:val="Normal"/>
    <w:qFormat/>
    <w:rsid w:val="00F85DE6"/>
    <w:pPr>
      <w:ind w:left="1559" w:right="1559"/>
      <w:jc w:val="right"/>
    </w:pPr>
    <w:rPr>
      <w:rFonts w:ascii="Arial" w:hAnsi="Arial" w:cs="Times New Roman"/>
      <w:b/>
      <w:color w:val="BFBFBF" w:themeColor="background1" w:themeShade="BF"/>
      <w:szCs w:val="22"/>
      <w:lang w:val="en-US"/>
    </w:rPr>
  </w:style>
  <w:style w:type="numbering" w:customStyle="1" w:styleId="LGA2">
    <w:name w:val="LGA  2"/>
    <w:basedOn w:val="NoList"/>
    <w:uiPriority w:val="99"/>
    <w:rsid w:val="00400A51"/>
    <w:pPr>
      <w:numPr>
        <w:numId w:val="2"/>
      </w:numPr>
    </w:pPr>
  </w:style>
  <w:style w:type="numbering" w:customStyle="1" w:styleId="Style2">
    <w:name w:val="Style2"/>
    <w:basedOn w:val="NoList"/>
    <w:uiPriority w:val="99"/>
    <w:rsid w:val="00B223D9"/>
    <w:pPr>
      <w:numPr>
        <w:numId w:val="3"/>
      </w:numPr>
    </w:pPr>
  </w:style>
  <w:style w:type="numbering" w:customStyle="1" w:styleId="bull1">
    <w:name w:val="bull 1"/>
    <w:basedOn w:val="NoList"/>
    <w:uiPriority w:val="99"/>
    <w:rsid w:val="00B223D9"/>
    <w:pPr>
      <w:numPr>
        <w:numId w:val="4"/>
      </w:numPr>
    </w:pPr>
  </w:style>
  <w:style w:type="numbering" w:customStyle="1" w:styleId="bullet1">
    <w:name w:val="bullet 1"/>
    <w:basedOn w:val="NoList"/>
    <w:uiPriority w:val="99"/>
    <w:rsid w:val="00FB2952"/>
    <w:pPr>
      <w:numPr>
        <w:numId w:val="5"/>
      </w:numPr>
    </w:pPr>
  </w:style>
  <w:style w:type="numbering" w:customStyle="1" w:styleId="Style3">
    <w:name w:val="Style3"/>
    <w:basedOn w:val="NoList"/>
    <w:uiPriority w:val="99"/>
    <w:rsid w:val="00FB2952"/>
    <w:pPr>
      <w:numPr>
        <w:numId w:val="6"/>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nhideWhenUsed/>
    <w:rsid w:val="007A3157"/>
  </w:style>
  <w:style w:type="paragraph" w:styleId="NormalWeb">
    <w:name w:val="Normal (Web)"/>
    <w:basedOn w:val="Normal"/>
    <w:uiPriority w:val="99"/>
    <w:semiHidden/>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aliases w:val="01 Char"/>
    <w:basedOn w:val="DefaultParagraphFont"/>
    <w:link w:val="Heading4"/>
    <w:uiPriority w:val="9"/>
    <w:rsid w:val="007D6682"/>
    <w:rPr>
      <w:rFonts w:ascii="Arial" w:eastAsia="Times New Roman" w:hAnsi="Arial" w:cs="Times New Roman"/>
      <w:b/>
      <w:bCs/>
      <w:sz w:val="28"/>
      <w:szCs w:val="28"/>
      <w:lang w:val="x-none"/>
    </w:rPr>
  </w:style>
  <w:style w:type="paragraph" w:customStyle="1" w:styleId="PCHHeader1">
    <w:name w:val="PCH Header 1"/>
    <w:basedOn w:val="Normal"/>
    <w:qFormat/>
    <w:rsid w:val="00486A20"/>
    <w:pPr>
      <w:widowControl w:val="0"/>
      <w:numPr>
        <w:numId w:val="9"/>
      </w:numPr>
      <w:spacing w:after="120"/>
      <w:ind w:right="1418"/>
    </w:pPr>
    <w:rPr>
      <w:rFonts w:ascii="Arial" w:eastAsia="Times New Roman" w:hAnsi="Arial" w:cs="Times New Roman"/>
      <w:b/>
      <w:color w:val="74035E"/>
      <w:sz w:val="36"/>
      <w:szCs w:val="36"/>
    </w:rPr>
  </w:style>
  <w:style w:type="paragraph" w:customStyle="1" w:styleId="PCHHeader2">
    <w:name w:val="PCH Header 2"/>
    <w:qFormat/>
    <w:rsid w:val="00F770BA"/>
    <w:pPr>
      <w:widowControl w:val="0"/>
      <w:spacing w:after="60"/>
      <w:ind w:left="1418" w:right="1418"/>
    </w:pPr>
    <w:rPr>
      <w:rFonts w:ascii="Arial" w:eastAsia="Times New Roman" w:hAnsi="Arial" w:cs="Arial"/>
      <w:b/>
      <w:sz w:val="22"/>
      <w:szCs w:val="22"/>
    </w:rPr>
  </w:style>
  <w:style w:type="paragraph" w:customStyle="1" w:styleId="PCHbody">
    <w:name w:val="PCH body"/>
    <w:qFormat/>
    <w:rsid w:val="003A785B"/>
    <w:pPr>
      <w:widowControl w:val="0"/>
      <w:spacing w:after="120" w:line="320" w:lineRule="exact"/>
      <w:ind w:left="1418" w:right="1418"/>
    </w:pPr>
    <w:rPr>
      <w:rFonts w:ascii="Arial" w:eastAsia="Times New Roman" w:hAnsi="Arial" w:cs="Times New Roman"/>
    </w:rPr>
  </w:style>
  <w:style w:type="paragraph" w:customStyle="1" w:styleId="PCHbullets">
    <w:name w:val="PCH bullets"/>
    <w:basedOn w:val="Normal"/>
    <w:qFormat/>
    <w:rsid w:val="00C6099C"/>
    <w:pPr>
      <w:widowControl w:val="0"/>
      <w:numPr>
        <w:numId w:val="7"/>
      </w:numPr>
      <w:spacing w:line="280" w:lineRule="exact"/>
      <w:ind w:right="1417"/>
      <w:contextualSpacing/>
    </w:pPr>
    <w:rPr>
      <w:rFonts w:ascii="Arial" w:eastAsia="Times New Roman" w:hAnsi="Arial" w:cs="Times New Roman"/>
      <w:sz w:val="24"/>
    </w:rPr>
  </w:style>
  <w:style w:type="paragraph" w:customStyle="1" w:styleId="PCHCoversubhead">
    <w:name w:val="PCH Cover subhead"/>
    <w:basedOn w:val="PCHTitle"/>
    <w:qFormat/>
    <w:rsid w:val="004E63C4"/>
    <w:rPr>
      <w:b w:val="0"/>
      <w:bCs/>
    </w:rPr>
  </w:style>
  <w:style w:type="paragraph" w:customStyle="1" w:styleId="PCHCovertitle">
    <w:name w:val="PCH Cover title"/>
    <w:basedOn w:val="PCHTitle"/>
    <w:next w:val="PCHHeader1"/>
    <w:qFormat/>
    <w:rsid w:val="00896FB4"/>
    <w:pPr>
      <w:spacing w:before="360" w:line="880" w:lineRule="exact"/>
    </w:pPr>
    <w:rPr>
      <w:color w:val="000000" w:themeColor="text1"/>
      <w:sz w:val="84"/>
    </w:rPr>
  </w:style>
  <w:style w:type="paragraph" w:customStyle="1" w:styleId="Default">
    <w:name w:val="Default"/>
    <w:rsid w:val="00EE7A5B"/>
    <w:pPr>
      <w:autoSpaceDE w:val="0"/>
      <w:autoSpaceDN w:val="0"/>
      <w:adjustRightInd w:val="0"/>
    </w:pPr>
    <w:rPr>
      <w:rFonts w:ascii="Arial" w:hAnsi="Arial" w:cs="Arial"/>
      <w:color w:val="000000"/>
    </w:rPr>
  </w:style>
  <w:style w:type="table" w:styleId="TableGrid">
    <w:name w:val="Table Grid"/>
    <w:basedOn w:val="TableNormal"/>
    <w:uiPriority w:val="59"/>
    <w:rsid w:val="00297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Htimetable">
    <w:name w:val="PCH timetable"/>
    <w:qFormat/>
    <w:rsid w:val="00E71D42"/>
    <w:pPr>
      <w:spacing w:before="120" w:after="120" w:line="300" w:lineRule="exact"/>
    </w:pPr>
    <w:rPr>
      <w:rFonts w:ascii="Arial" w:hAnsi="Arial" w:cs="Arial"/>
      <w:sz w:val="22"/>
    </w:rPr>
  </w:style>
  <w:style w:type="paragraph" w:customStyle="1" w:styleId="IDeAFooterAddress">
    <w:name w:val="IDeA Footer Address"/>
    <w:basedOn w:val="Normal"/>
    <w:rsid w:val="00E80E91"/>
    <w:pPr>
      <w:suppressAutoHyphens/>
    </w:pPr>
    <w:rPr>
      <w:rFonts w:ascii="Frutiger 55 Roman" w:eastAsia="Times New Roman" w:hAnsi="Frutiger 55 Roman" w:cs="Times New Roman"/>
      <w:sz w:val="16"/>
      <w:lang w:eastAsia="ar-SA"/>
    </w:rPr>
  </w:style>
  <w:style w:type="paragraph" w:styleId="Revision">
    <w:name w:val="Revision"/>
    <w:hidden/>
    <w:uiPriority w:val="99"/>
    <w:semiHidden/>
    <w:rsid w:val="00132472"/>
    <w:rPr>
      <w:sz w:val="22"/>
    </w:rPr>
  </w:style>
  <w:style w:type="character" w:customStyle="1" w:styleId="Heading1Char">
    <w:name w:val="Heading 1 Char"/>
    <w:basedOn w:val="DefaultParagraphFont"/>
    <w:link w:val="Heading1"/>
    <w:uiPriority w:val="9"/>
    <w:rsid w:val="007A514C"/>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4760F7"/>
  </w:style>
  <w:style w:type="character" w:styleId="Hyperlink">
    <w:name w:val="Hyperlink"/>
    <w:basedOn w:val="DefaultParagraphFont"/>
    <w:uiPriority w:val="99"/>
    <w:unhideWhenUsed/>
    <w:rsid w:val="00FF209C"/>
    <w:rPr>
      <w:color w:val="0000FF" w:themeColor="hyperlink"/>
      <w:u w:val="single"/>
    </w:rPr>
  </w:style>
  <w:style w:type="character" w:styleId="UnresolvedMention">
    <w:name w:val="Unresolved Mention"/>
    <w:basedOn w:val="DefaultParagraphFont"/>
    <w:uiPriority w:val="99"/>
    <w:semiHidden/>
    <w:unhideWhenUsed/>
    <w:rsid w:val="00FF209C"/>
    <w:rPr>
      <w:color w:val="605E5C"/>
      <w:shd w:val="clear" w:color="auto" w:fill="E1DFDD"/>
    </w:rPr>
  </w:style>
  <w:style w:type="character" w:styleId="CommentReference">
    <w:name w:val="annotation reference"/>
    <w:basedOn w:val="DefaultParagraphFont"/>
    <w:uiPriority w:val="99"/>
    <w:semiHidden/>
    <w:unhideWhenUsed/>
    <w:rsid w:val="006928A3"/>
    <w:rPr>
      <w:sz w:val="16"/>
      <w:szCs w:val="16"/>
    </w:rPr>
  </w:style>
  <w:style w:type="paragraph" w:styleId="CommentText">
    <w:name w:val="annotation text"/>
    <w:basedOn w:val="Normal"/>
    <w:link w:val="CommentTextChar"/>
    <w:uiPriority w:val="99"/>
    <w:unhideWhenUsed/>
    <w:rsid w:val="006928A3"/>
    <w:rPr>
      <w:sz w:val="20"/>
      <w:szCs w:val="20"/>
    </w:rPr>
  </w:style>
  <w:style w:type="character" w:customStyle="1" w:styleId="CommentTextChar">
    <w:name w:val="Comment Text Char"/>
    <w:basedOn w:val="DefaultParagraphFont"/>
    <w:link w:val="CommentText"/>
    <w:uiPriority w:val="99"/>
    <w:rsid w:val="006928A3"/>
    <w:rPr>
      <w:sz w:val="20"/>
      <w:szCs w:val="20"/>
    </w:rPr>
  </w:style>
  <w:style w:type="paragraph" w:styleId="CommentSubject">
    <w:name w:val="annotation subject"/>
    <w:basedOn w:val="CommentText"/>
    <w:next w:val="CommentText"/>
    <w:link w:val="CommentSubjectChar"/>
    <w:uiPriority w:val="99"/>
    <w:semiHidden/>
    <w:unhideWhenUsed/>
    <w:rsid w:val="006928A3"/>
    <w:rPr>
      <w:b/>
      <w:bCs/>
    </w:rPr>
  </w:style>
  <w:style w:type="character" w:customStyle="1" w:styleId="CommentSubjectChar">
    <w:name w:val="Comment Subject Char"/>
    <w:basedOn w:val="CommentTextChar"/>
    <w:link w:val="CommentSubject"/>
    <w:uiPriority w:val="99"/>
    <w:semiHidden/>
    <w:rsid w:val="006928A3"/>
    <w:rPr>
      <w:b/>
      <w:bCs/>
      <w:sz w:val="20"/>
      <w:szCs w:val="20"/>
    </w:rPr>
  </w:style>
  <w:style w:type="paragraph" w:styleId="TOCHeading">
    <w:name w:val="TOC Heading"/>
    <w:basedOn w:val="Heading1"/>
    <w:next w:val="Normal"/>
    <w:uiPriority w:val="39"/>
    <w:unhideWhenUsed/>
    <w:qFormat/>
    <w:rsid w:val="00037157"/>
    <w:pPr>
      <w:spacing w:line="259" w:lineRule="auto"/>
      <w:outlineLvl w:val="9"/>
    </w:pPr>
    <w:rPr>
      <w:lang w:val="en-US"/>
    </w:rPr>
  </w:style>
  <w:style w:type="paragraph" w:styleId="TOC2">
    <w:name w:val="toc 2"/>
    <w:basedOn w:val="Normal"/>
    <w:next w:val="Normal"/>
    <w:autoRedefine/>
    <w:uiPriority w:val="39"/>
    <w:unhideWhenUsed/>
    <w:rsid w:val="00037157"/>
    <w:pPr>
      <w:spacing w:after="100" w:line="259" w:lineRule="auto"/>
      <w:ind w:left="220"/>
    </w:pPr>
    <w:rPr>
      <w:rFonts w:cs="Times New Roman"/>
      <w:szCs w:val="22"/>
      <w:lang w:val="en-US"/>
    </w:rPr>
  </w:style>
  <w:style w:type="paragraph" w:styleId="TOC1">
    <w:name w:val="toc 1"/>
    <w:basedOn w:val="Normal"/>
    <w:next w:val="Normal"/>
    <w:autoRedefine/>
    <w:uiPriority w:val="39"/>
    <w:unhideWhenUsed/>
    <w:qFormat/>
    <w:rsid w:val="008A1B52"/>
    <w:pPr>
      <w:tabs>
        <w:tab w:val="right" w:leader="dot" w:pos="10735"/>
      </w:tabs>
      <w:spacing w:after="100" w:line="259" w:lineRule="auto"/>
      <w:ind w:left="1276"/>
    </w:pPr>
    <w:rPr>
      <w:rFonts w:ascii="Arial" w:hAnsi="Arial" w:cs="Times New Roman"/>
      <w:sz w:val="28"/>
      <w:szCs w:val="22"/>
      <w:lang w:val="en-US"/>
    </w:rPr>
  </w:style>
  <w:style w:type="paragraph" w:styleId="TOC3">
    <w:name w:val="toc 3"/>
    <w:basedOn w:val="Normal"/>
    <w:next w:val="Normal"/>
    <w:autoRedefine/>
    <w:uiPriority w:val="39"/>
    <w:unhideWhenUsed/>
    <w:rsid w:val="00037157"/>
    <w:pPr>
      <w:spacing w:after="100" w:line="259" w:lineRule="auto"/>
      <w:ind w:left="440"/>
    </w:pPr>
    <w:rPr>
      <w:rFonts w:cs="Times New Roman"/>
      <w:szCs w:val="22"/>
      <w:lang w:val="en-US"/>
    </w:rPr>
  </w:style>
  <w:style w:type="paragraph" w:styleId="ListParagraph">
    <w:name w:val="List Paragraph"/>
    <w:basedOn w:val="Normal"/>
    <w:uiPriority w:val="34"/>
    <w:qFormat/>
    <w:rsid w:val="00B60012"/>
    <w:pPr>
      <w:spacing w:after="160" w:line="259" w:lineRule="auto"/>
      <w:ind w:left="720"/>
      <w:contextualSpacing/>
    </w:pPr>
    <w:rPr>
      <w:rFonts w:ascii="Arial" w:eastAsiaTheme="minorHAnsi" w:hAnsi="Arial"/>
      <w:sz w:val="24"/>
      <w:szCs w:val="22"/>
    </w:rPr>
  </w:style>
  <w:style w:type="numbering" w:customStyle="1" w:styleId="Style1">
    <w:name w:val="Style1"/>
    <w:uiPriority w:val="99"/>
    <w:rsid w:val="005F4729"/>
    <w:pPr>
      <w:numPr>
        <w:numId w:val="8"/>
      </w:numPr>
    </w:pPr>
  </w:style>
  <w:style w:type="character" w:customStyle="1" w:styleId="Heading2Char">
    <w:name w:val="Heading 2 Char"/>
    <w:basedOn w:val="DefaultParagraphFont"/>
    <w:link w:val="Heading2"/>
    <w:uiPriority w:val="9"/>
    <w:rsid w:val="006950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950D0"/>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rsid w:val="006950D0"/>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rsid w:val="006950D0"/>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rsid w:val="006950D0"/>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rsid w:val="006950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50D0"/>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135B7B"/>
    <w:rPr>
      <w:rFonts w:eastAsiaTheme="minorHAnsi"/>
      <w:sz w:val="20"/>
      <w:szCs w:val="20"/>
    </w:rPr>
  </w:style>
  <w:style w:type="character" w:customStyle="1" w:styleId="FootnoteTextChar">
    <w:name w:val="Footnote Text Char"/>
    <w:basedOn w:val="DefaultParagraphFont"/>
    <w:link w:val="FootnoteText"/>
    <w:uiPriority w:val="99"/>
    <w:semiHidden/>
    <w:rsid w:val="00135B7B"/>
    <w:rPr>
      <w:rFonts w:eastAsiaTheme="minorHAnsi"/>
      <w:sz w:val="20"/>
      <w:szCs w:val="20"/>
    </w:rPr>
  </w:style>
  <w:style w:type="character" w:styleId="FootnoteReference">
    <w:name w:val="footnote reference"/>
    <w:basedOn w:val="DefaultParagraphFont"/>
    <w:uiPriority w:val="99"/>
    <w:semiHidden/>
    <w:unhideWhenUsed/>
    <w:rsid w:val="00135B7B"/>
    <w:rPr>
      <w:vertAlign w:val="superscript"/>
    </w:rPr>
  </w:style>
  <w:style w:type="character" w:customStyle="1" w:styleId="cf01">
    <w:name w:val="cf01"/>
    <w:basedOn w:val="DefaultParagraphFont"/>
    <w:rsid w:val="00936D2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1601">
      <w:bodyDiv w:val="1"/>
      <w:marLeft w:val="0"/>
      <w:marRight w:val="0"/>
      <w:marTop w:val="0"/>
      <w:marBottom w:val="0"/>
      <w:divBdr>
        <w:top w:val="none" w:sz="0" w:space="0" w:color="auto"/>
        <w:left w:val="none" w:sz="0" w:space="0" w:color="auto"/>
        <w:bottom w:val="none" w:sz="0" w:space="0" w:color="auto"/>
        <w:right w:val="none" w:sz="0" w:space="0" w:color="auto"/>
      </w:divBdr>
    </w:div>
    <w:div w:id="200363002">
      <w:bodyDiv w:val="1"/>
      <w:marLeft w:val="0"/>
      <w:marRight w:val="0"/>
      <w:marTop w:val="0"/>
      <w:marBottom w:val="0"/>
      <w:divBdr>
        <w:top w:val="none" w:sz="0" w:space="0" w:color="auto"/>
        <w:left w:val="none" w:sz="0" w:space="0" w:color="auto"/>
        <w:bottom w:val="none" w:sz="0" w:space="0" w:color="auto"/>
        <w:right w:val="none" w:sz="0" w:space="0" w:color="auto"/>
      </w:divBdr>
    </w:div>
    <w:div w:id="251210433">
      <w:bodyDiv w:val="1"/>
      <w:marLeft w:val="0"/>
      <w:marRight w:val="0"/>
      <w:marTop w:val="0"/>
      <w:marBottom w:val="0"/>
      <w:divBdr>
        <w:top w:val="none" w:sz="0" w:space="0" w:color="auto"/>
        <w:left w:val="none" w:sz="0" w:space="0" w:color="auto"/>
        <w:bottom w:val="none" w:sz="0" w:space="0" w:color="auto"/>
        <w:right w:val="none" w:sz="0" w:space="0" w:color="auto"/>
      </w:divBdr>
    </w:div>
    <w:div w:id="280263230">
      <w:bodyDiv w:val="1"/>
      <w:marLeft w:val="0"/>
      <w:marRight w:val="0"/>
      <w:marTop w:val="0"/>
      <w:marBottom w:val="0"/>
      <w:divBdr>
        <w:top w:val="none" w:sz="0" w:space="0" w:color="auto"/>
        <w:left w:val="none" w:sz="0" w:space="0" w:color="auto"/>
        <w:bottom w:val="none" w:sz="0" w:space="0" w:color="auto"/>
        <w:right w:val="none" w:sz="0" w:space="0" w:color="auto"/>
      </w:divBdr>
    </w:div>
    <w:div w:id="286090347">
      <w:bodyDiv w:val="1"/>
      <w:marLeft w:val="0"/>
      <w:marRight w:val="0"/>
      <w:marTop w:val="0"/>
      <w:marBottom w:val="0"/>
      <w:divBdr>
        <w:top w:val="none" w:sz="0" w:space="0" w:color="auto"/>
        <w:left w:val="none" w:sz="0" w:space="0" w:color="auto"/>
        <w:bottom w:val="none" w:sz="0" w:space="0" w:color="auto"/>
        <w:right w:val="none" w:sz="0" w:space="0" w:color="auto"/>
      </w:divBdr>
    </w:div>
    <w:div w:id="384328993">
      <w:bodyDiv w:val="1"/>
      <w:marLeft w:val="0"/>
      <w:marRight w:val="0"/>
      <w:marTop w:val="0"/>
      <w:marBottom w:val="0"/>
      <w:divBdr>
        <w:top w:val="none" w:sz="0" w:space="0" w:color="auto"/>
        <w:left w:val="none" w:sz="0" w:space="0" w:color="auto"/>
        <w:bottom w:val="none" w:sz="0" w:space="0" w:color="auto"/>
        <w:right w:val="none" w:sz="0" w:space="0" w:color="auto"/>
      </w:divBdr>
    </w:div>
    <w:div w:id="393554697">
      <w:bodyDiv w:val="1"/>
      <w:marLeft w:val="0"/>
      <w:marRight w:val="0"/>
      <w:marTop w:val="0"/>
      <w:marBottom w:val="0"/>
      <w:divBdr>
        <w:top w:val="none" w:sz="0" w:space="0" w:color="auto"/>
        <w:left w:val="none" w:sz="0" w:space="0" w:color="auto"/>
        <w:bottom w:val="none" w:sz="0" w:space="0" w:color="auto"/>
        <w:right w:val="none" w:sz="0" w:space="0" w:color="auto"/>
      </w:divBdr>
    </w:div>
    <w:div w:id="409739511">
      <w:bodyDiv w:val="1"/>
      <w:marLeft w:val="0"/>
      <w:marRight w:val="0"/>
      <w:marTop w:val="0"/>
      <w:marBottom w:val="0"/>
      <w:divBdr>
        <w:top w:val="none" w:sz="0" w:space="0" w:color="auto"/>
        <w:left w:val="none" w:sz="0" w:space="0" w:color="auto"/>
        <w:bottom w:val="none" w:sz="0" w:space="0" w:color="auto"/>
        <w:right w:val="none" w:sz="0" w:space="0" w:color="auto"/>
      </w:divBdr>
    </w:div>
    <w:div w:id="433401505">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554196250">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910846286">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995885355">
      <w:bodyDiv w:val="1"/>
      <w:marLeft w:val="0"/>
      <w:marRight w:val="0"/>
      <w:marTop w:val="0"/>
      <w:marBottom w:val="0"/>
      <w:divBdr>
        <w:top w:val="none" w:sz="0" w:space="0" w:color="auto"/>
        <w:left w:val="none" w:sz="0" w:space="0" w:color="auto"/>
        <w:bottom w:val="none" w:sz="0" w:space="0" w:color="auto"/>
        <w:right w:val="none" w:sz="0" w:space="0" w:color="auto"/>
      </w:divBdr>
    </w:div>
    <w:div w:id="1015956124">
      <w:bodyDiv w:val="1"/>
      <w:marLeft w:val="0"/>
      <w:marRight w:val="0"/>
      <w:marTop w:val="0"/>
      <w:marBottom w:val="0"/>
      <w:divBdr>
        <w:top w:val="none" w:sz="0" w:space="0" w:color="auto"/>
        <w:left w:val="none" w:sz="0" w:space="0" w:color="auto"/>
        <w:bottom w:val="none" w:sz="0" w:space="0" w:color="auto"/>
        <w:right w:val="none" w:sz="0" w:space="0" w:color="auto"/>
      </w:divBdr>
    </w:div>
    <w:div w:id="1035235337">
      <w:bodyDiv w:val="1"/>
      <w:marLeft w:val="0"/>
      <w:marRight w:val="0"/>
      <w:marTop w:val="0"/>
      <w:marBottom w:val="0"/>
      <w:divBdr>
        <w:top w:val="none" w:sz="0" w:space="0" w:color="auto"/>
        <w:left w:val="none" w:sz="0" w:space="0" w:color="auto"/>
        <w:bottom w:val="none" w:sz="0" w:space="0" w:color="auto"/>
        <w:right w:val="none" w:sz="0" w:space="0" w:color="auto"/>
      </w:divBdr>
    </w:div>
    <w:div w:id="1099839859">
      <w:bodyDiv w:val="1"/>
      <w:marLeft w:val="0"/>
      <w:marRight w:val="0"/>
      <w:marTop w:val="0"/>
      <w:marBottom w:val="0"/>
      <w:divBdr>
        <w:top w:val="none" w:sz="0" w:space="0" w:color="auto"/>
        <w:left w:val="none" w:sz="0" w:space="0" w:color="auto"/>
        <w:bottom w:val="none" w:sz="0" w:space="0" w:color="auto"/>
        <w:right w:val="none" w:sz="0" w:space="0" w:color="auto"/>
      </w:divBdr>
    </w:div>
    <w:div w:id="1134369748">
      <w:bodyDiv w:val="1"/>
      <w:marLeft w:val="0"/>
      <w:marRight w:val="0"/>
      <w:marTop w:val="0"/>
      <w:marBottom w:val="0"/>
      <w:divBdr>
        <w:top w:val="none" w:sz="0" w:space="0" w:color="auto"/>
        <w:left w:val="none" w:sz="0" w:space="0" w:color="auto"/>
        <w:bottom w:val="none" w:sz="0" w:space="0" w:color="auto"/>
        <w:right w:val="none" w:sz="0" w:space="0" w:color="auto"/>
      </w:divBdr>
    </w:div>
    <w:div w:id="1147280412">
      <w:bodyDiv w:val="1"/>
      <w:marLeft w:val="0"/>
      <w:marRight w:val="0"/>
      <w:marTop w:val="0"/>
      <w:marBottom w:val="0"/>
      <w:divBdr>
        <w:top w:val="none" w:sz="0" w:space="0" w:color="auto"/>
        <w:left w:val="none" w:sz="0" w:space="0" w:color="auto"/>
        <w:bottom w:val="none" w:sz="0" w:space="0" w:color="auto"/>
        <w:right w:val="none" w:sz="0" w:space="0" w:color="auto"/>
      </w:divBdr>
    </w:div>
    <w:div w:id="1149248137">
      <w:bodyDiv w:val="1"/>
      <w:marLeft w:val="0"/>
      <w:marRight w:val="0"/>
      <w:marTop w:val="0"/>
      <w:marBottom w:val="0"/>
      <w:divBdr>
        <w:top w:val="none" w:sz="0" w:space="0" w:color="auto"/>
        <w:left w:val="none" w:sz="0" w:space="0" w:color="auto"/>
        <w:bottom w:val="none" w:sz="0" w:space="0" w:color="auto"/>
        <w:right w:val="none" w:sz="0" w:space="0" w:color="auto"/>
      </w:divBdr>
    </w:div>
    <w:div w:id="1192182073">
      <w:bodyDiv w:val="1"/>
      <w:marLeft w:val="0"/>
      <w:marRight w:val="0"/>
      <w:marTop w:val="0"/>
      <w:marBottom w:val="0"/>
      <w:divBdr>
        <w:top w:val="none" w:sz="0" w:space="0" w:color="auto"/>
        <w:left w:val="none" w:sz="0" w:space="0" w:color="auto"/>
        <w:bottom w:val="none" w:sz="0" w:space="0" w:color="auto"/>
        <w:right w:val="none" w:sz="0" w:space="0" w:color="auto"/>
      </w:divBdr>
    </w:div>
    <w:div w:id="1226186000">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262836091">
      <w:bodyDiv w:val="1"/>
      <w:marLeft w:val="0"/>
      <w:marRight w:val="0"/>
      <w:marTop w:val="0"/>
      <w:marBottom w:val="0"/>
      <w:divBdr>
        <w:top w:val="none" w:sz="0" w:space="0" w:color="auto"/>
        <w:left w:val="none" w:sz="0" w:space="0" w:color="auto"/>
        <w:bottom w:val="none" w:sz="0" w:space="0" w:color="auto"/>
        <w:right w:val="none" w:sz="0" w:space="0" w:color="auto"/>
      </w:divBdr>
    </w:div>
    <w:div w:id="1339892741">
      <w:bodyDiv w:val="1"/>
      <w:marLeft w:val="0"/>
      <w:marRight w:val="0"/>
      <w:marTop w:val="0"/>
      <w:marBottom w:val="0"/>
      <w:divBdr>
        <w:top w:val="none" w:sz="0" w:space="0" w:color="auto"/>
        <w:left w:val="none" w:sz="0" w:space="0" w:color="auto"/>
        <w:bottom w:val="none" w:sz="0" w:space="0" w:color="auto"/>
        <w:right w:val="none" w:sz="0" w:space="0" w:color="auto"/>
      </w:divBdr>
    </w:div>
    <w:div w:id="1378117333">
      <w:bodyDiv w:val="1"/>
      <w:marLeft w:val="0"/>
      <w:marRight w:val="0"/>
      <w:marTop w:val="0"/>
      <w:marBottom w:val="0"/>
      <w:divBdr>
        <w:top w:val="none" w:sz="0" w:space="0" w:color="auto"/>
        <w:left w:val="none" w:sz="0" w:space="0" w:color="auto"/>
        <w:bottom w:val="none" w:sz="0" w:space="0" w:color="auto"/>
        <w:right w:val="none" w:sz="0" w:space="0" w:color="auto"/>
      </w:divBdr>
    </w:div>
    <w:div w:id="1386174661">
      <w:bodyDiv w:val="1"/>
      <w:marLeft w:val="0"/>
      <w:marRight w:val="0"/>
      <w:marTop w:val="0"/>
      <w:marBottom w:val="0"/>
      <w:divBdr>
        <w:top w:val="none" w:sz="0" w:space="0" w:color="auto"/>
        <w:left w:val="none" w:sz="0" w:space="0" w:color="auto"/>
        <w:bottom w:val="none" w:sz="0" w:space="0" w:color="auto"/>
        <w:right w:val="none" w:sz="0" w:space="0" w:color="auto"/>
      </w:divBdr>
    </w:div>
    <w:div w:id="1451392549">
      <w:bodyDiv w:val="1"/>
      <w:marLeft w:val="0"/>
      <w:marRight w:val="0"/>
      <w:marTop w:val="0"/>
      <w:marBottom w:val="0"/>
      <w:divBdr>
        <w:top w:val="none" w:sz="0" w:space="0" w:color="auto"/>
        <w:left w:val="none" w:sz="0" w:space="0" w:color="auto"/>
        <w:bottom w:val="none" w:sz="0" w:space="0" w:color="auto"/>
        <w:right w:val="none" w:sz="0" w:space="0" w:color="auto"/>
      </w:divBdr>
    </w:div>
    <w:div w:id="1466846358">
      <w:bodyDiv w:val="1"/>
      <w:marLeft w:val="0"/>
      <w:marRight w:val="0"/>
      <w:marTop w:val="0"/>
      <w:marBottom w:val="0"/>
      <w:divBdr>
        <w:top w:val="none" w:sz="0" w:space="0" w:color="auto"/>
        <w:left w:val="none" w:sz="0" w:space="0" w:color="auto"/>
        <w:bottom w:val="none" w:sz="0" w:space="0" w:color="auto"/>
        <w:right w:val="none" w:sz="0" w:space="0" w:color="auto"/>
      </w:divBdr>
    </w:div>
    <w:div w:id="1629781701">
      <w:bodyDiv w:val="1"/>
      <w:marLeft w:val="0"/>
      <w:marRight w:val="0"/>
      <w:marTop w:val="0"/>
      <w:marBottom w:val="0"/>
      <w:divBdr>
        <w:top w:val="none" w:sz="0" w:space="0" w:color="auto"/>
        <w:left w:val="none" w:sz="0" w:space="0" w:color="auto"/>
        <w:bottom w:val="none" w:sz="0" w:space="0" w:color="auto"/>
        <w:right w:val="none" w:sz="0" w:space="0" w:color="auto"/>
      </w:divBdr>
    </w:div>
    <w:div w:id="1749039446">
      <w:bodyDiv w:val="1"/>
      <w:marLeft w:val="0"/>
      <w:marRight w:val="0"/>
      <w:marTop w:val="0"/>
      <w:marBottom w:val="0"/>
      <w:divBdr>
        <w:top w:val="none" w:sz="0" w:space="0" w:color="auto"/>
        <w:left w:val="none" w:sz="0" w:space="0" w:color="auto"/>
        <w:bottom w:val="none" w:sz="0" w:space="0" w:color="auto"/>
        <w:right w:val="none" w:sz="0" w:space="0" w:color="auto"/>
      </w:divBdr>
    </w:div>
    <w:div w:id="1749233373">
      <w:bodyDiv w:val="1"/>
      <w:marLeft w:val="0"/>
      <w:marRight w:val="0"/>
      <w:marTop w:val="0"/>
      <w:marBottom w:val="0"/>
      <w:divBdr>
        <w:top w:val="none" w:sz="0" w:space="0" w:color="auto"/>
        <w:left w:val="none" w:sz="0" w:space="0" w:color="auto"/>
        <w:bottom w:val="none" w:sz="0" w:space="0" w:color="auto"/>
        <w:right w:val="none" w:sz="0" w:space="0" w:color="auto"/>
      </w:divBdr>
    </w:div>
    <w:div w:id="1866282116">
      <w:bodyDiv w:val="1"/>
      <w:marLeft w:val="0"/>
      <w:marRight w:val="0"/>
      <w:marTop w:val="0"/>
      <w:marBottom w:val="0"/>
      <w:divBdr>
        <w:top w:val="none" w:sz="0" w:space="0" w:color="auto"/>
        <w:left w:val="none" w:sz="0" w:space="0" w:color="auto"/>
        <w:bottom w:val="none" w:sz="0" w:space="0" w:color="auto"/>
        <w:right w:val="none" w:sz="0" w:space="0" w:color="auto"/>
      </w:divBdr>
    </w:div>
    <w:div w:id="1931310738">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1979919976">
      <w:bodyDiv w:val="1"/>
      <w:marLeft w:val="0"/>
      <w:marRight w:val="0"/>
      <w:marTop w:val="0"/>
      <w:marBottom w:val="0"/>
      <w:divBdr>
        <w:top w:val="none" w:sz="0" w:space="0" w:color="auto"/>
        <w:left w:val="none" w:sz="0" w:space="0" w:color="auto"/>
        <w:bottom w:val="none" w:sz="0" w:space="0" w:color="auto"/>
        <w:right w:val="none" w:sz="0" w:space="0" w:color="auto"/>
      </w:divBdr>
    </w:div>
    <w:div w:id="2042850872">
      <w:bodyDiv w:val="1"/>
      <w:marLeft w:val="0"/>
      <w:marRight w:val="0"/>
      <w:marTop w:val="0"/>
      <w:marBottom w:val="0"/>
      <w:divBdr>
        <w:top w:val="none" w:sz="0" w:space="0" w:color="auto"/>
        <w:left w:val="none" w:sz="0" w:space="0" w:color="auto"/>
        <w:bottom w:val="none" w:sz="0" w:space="0" w:color="auto"/>
        <w:right w:val="none" w:sz="0" w:space="0" w:color="auto"/>
      </w:divBdr>
    </w:div>
    <w:div w:id="2061399663">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085956212">
      <w:bodyDiv w:val="1"/>
      <w:marLeft w:val="0"/>
      <w:marRight w:val="0"/>
      <w:marTop w:val="0"/>
      <w:marBottom w:val="0"/>
      <w:divBdr>
        <w:top w:val="none" w:sz="0" w:space="0" w:color="auto"/>
        <w:left w:val="none" w:sz="0" w:space="0" w:color="auto"/>
        <w:bottom w:val="none" w:sz="0" w:space="0" w:color="auto"/>
        <w:right w:val="none" w:sz="0" w:space="0" w:color="auto"/>
      </w:divBdr>
    </w:div>
    <w:div w:id="2110999898">
      <w:bodyDiv w:val="1"/>
      <w:marLeft w:val="0"/>
      <w:marRight w:val="0"/>
      <w:marTop w:val="0"/>
      <w:marBottom w:val="0"/>
      <w:divBdr>
        <w:top w:val="none" w:sz="0" w:space="0" w:color="auto"/>
        <w:left w:val="none" w:sz="0" w:space="0" w:color="auto"/>
        <w:bottom w:val="none" w:sz="0" w:space="0" w:color="auto"/>
        <w:right w:val="none" w:sz="0" w:space="0" w:color="auto"/>
      </w:divBdr>
    </w:div>
    <w:div w:id="2112234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statistics/local-authority-revenue-expenditure-and-financing-england-2022-to-2023-individual-local-authority-data-outtur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a.sonne\AppData\Local\Microsoft\Windows\INetCache\Content.Outlook\8U0QH8XG\PCH%20Word%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DB819B250026449C175A4A67A95EE0" ma:contentTypeVersion="16" ma:contentTypeDescription="Create a new document." ma:contentTypeScope="" ma:versionID="61d624ba1d094c7481a687c15cda502d">
  <xsd:schema xmlns:xsd="http://www.w3.org/2001/XMLSchema" xmlns:xs="http://www.w3.org/2001/XMLSchema" xmlns:p="http://schemas.microsoft.com/office/2006/metadata/properties" xmlns:ns2="24257d4f-5e6f-41de-8749-aed546cfdeac" xmlns:ns3="be2d8b33-93e9-4cb7-9123-89740574f838" targetNamespace="http://schemas.microsoft.com/office/2006/metadata/properties" ma:root="true" ma:fieldsID="ddff697dfa0116d74beb829b1c1e4755" ns2:_="" ns3:_="">
    <xsd:import namespace="24257d4f-5e6f-41de-8749-aed546cfdeac"/>
    <xsd:import namespace="be2d8b33-93e9-4cb7-9123-89740574f8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57d4f-5e6f-41de-8749-aed546cfd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55a3c01-0596-43f0-a710-09e72a17d88f}" ma:internalName="TaxCatchAll" ma:showField="CatchAllData" ma:web="be2d8b33-93e9-4cb7-9123-89740574f8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e2d8b33-93e9-4cb7-9123-89740574f838" xsi:nil="true"/>
    <lcf76f155ced4ddcb4097134ff3c332f xmlns="24257d4f-5e6f-41de-8749-aed546cfdea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824295-F45A-424D-8D91-1A38CDCA6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57d4f-5e6f-41de-8749-aed546cfdeac"/>
    <ds:schemaRef ds:uri="be2d8b33-93e9-4cb7-9123-89740574f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43609A-E923-5346-B272-68063B3F35ED}">
  <ds:schemaRefs>
    <ds:schemaRef ds:uri="http://schemas.openxmlformats.org/officeDocument/2006/bibliography"/>
  </ds:schemaRefs>
</ds:datastoreItem>
</file>

<file path=customXml/itemProps3.xml><?xml version="1.0" encoding="utf-8"?>
<ds:datastoreItem xmlns:ds="http://schemas.openxmlformats.org/officeDocument/2006/customXml" ds:itemID="{3BE9DDD9-F9B3-45BB-B9C9-F0931FAD39EB}">
  <ds:schemaRefs>
    <ds:schemaRef ds:uri="http://schemas.microsoft.com/office/2006/metadata/properties"/>
    <ds:schemaRef ds:uri="http://schemas.microsoft.com/office/infopath/2007/PartnerControls"/>
    <ds:schemaRef ds:uri="be2d8b33-93e9-4cb7-9123-89740574f838"/>
    <ds:schemaRef ds:uri="24257d4f-5e6f-41de-8749-aed546cfdeac"/>
  </ds:schemaRefs>
</ds:datastoreItem>
</file>

<file path=customXml/itemProps4.xml><?xml version="1.0" encoding="utf-8"?>
<ds:datastoreItem xmlns:ds="http://schemas.openxmlformats.org/officeDocument/2006/customXml" ds:itemID="{A9C5736D-CA67-4E07-88B1-E643D3142857}">
  <ds:schemaRefs>
    <ds:schemaRef ds:uri="http://schemas.microsoft.com/sharepoint/v3/contenttype/forms"/>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PCH Word report template</Template>
  <TotalTime>16</TotalTime>
  <Pages>20</Pages>
  <Words>6297</Words>
  <Characters>35896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42109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Naa Sonne</dc:creator>
  <cp:keywords/>
  <dc:description/>
  <cp:lastModifiedBy>selby, jade</cp:lastModifiedBy>
  <cp:revision>18</cp:revision>
  <cp:lastPrinted>2023-12-21T13:06:00Z</cp:lastPrinted>
  <dcterms:created xsi:type="dcterms:W3CDTF">2024-02-05T11:07:00Z</dcterms:created>
  <dcterms:modified xsi:type="dcterms:W3CDTF">2024-02-05T11:29:00Z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0x010100D0DB819B250026449C175A4A67A95EE0</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