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1C4B" w14:textId="77777777" w:rsidR="001A2204" w:rsidRPr="005127FC" w:rsidRDefault="001A2204" w:rsidP="001A2204">
      <w:pPr>
        <w:jc w:val="center"/>
        <w:rPr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3A41D" w14:textId="5B7B72FC" w:rsidR="001A2204" w:rsidRPr="005127FC" w:rsidRDefault="001A2204" w:rsidP="00EB1CE2">
      <w:pPr>
        <w:jc w:val="center"/>
        <w:rPr>
          <w:b/>
          <w:bCs/>
          <w:sz w:val="28"/>
          <w:szCs w:val="28"/>
        </w:rPr>
      </w:pPr>
      <w:r w:rsidRPr="005127FC">
        <w:rPr>
          <w:b/>
          <w:bCs/>
          <w:sz w:val="28"/>
          <w:szCs w:val="28"/>
        </w:rPr>
        <w:t>Medway Council Housing Services</w:t>
      </w:r>
    </w:p>
    <w:p w14:paraId="1C82E589" w14:textId="4DEDC774" w:rsidR="003C2478" w:rsidRDefault="001A2204" w:rsidP="005127FC">
      <w:pPr>
        <w:jc w:val="center"/>
        <w:rPr>
          <w:b/>
          <w:bCs/>
          <w:sz w:val="28"/>
          <w:szCs w:val="28"/>
        </w:rPr>
      </w:pPr>
      <w:r w:rsidRPr="005127FC">
        <w:rPr>
          <w:b/>
          <w:bCs/>
          <w:sz w:val="28"/>
          <w:szCs w:val="28"/>
        </w:rPr>
        <w:t>Resident Engagement Statement</w:t>
      </w:r>
    </w:p>
    <w:p w14:paraId="2A017506" w14:textId="77777777" w:rsidR="005127FC" w:rsidRPr="005127FC" w:rsidRDefault="005127FC" w:rsidP="005127FC">
      <w:pPr>
        <w:jc w:val="center"/>
        <w:rPr>
          <w:b/>
          <w:bCs/>
          <w:sz w:val="2"/>
          <w:szCs w:val="2"/>
        </w:rPr>
      </w:pPr>
    </w:p>
    <w:p w14:paraId="26A7C73E" w14:textId="1075A2F8" w:rsidR="00D052FF" w:rsidRPr="00BF6E82" w:rsidRDefault="0021509F" w:rsidP="002E0BF1">
      <w:pPr>
        <w:rPr>
          <w:rFonts w:cstheme="minorHAnsi"/>
        </w:rPr>
      </w:pPr>
      <w:r w:rsidRPr="00BF6E82">
        <w:rPr>
          <w:rFonts w:cstheme="minorHAnsi"/>
        </w:rPr>
        <w:t>Medway Council Housing Services</w:t>
      </w:r>
      <w:r w:rsidR="00AD585E" w:rsidRPr="00BF6E82">
        <w:rPr>
          <w:rFonts w:cstheme="minorHAnsi"/>
        </w:rPr>
        <w:t xml:space="preserve"> aim to provide resident engagement that caters for everyone, so that every </w:t>
      </w:r>
      <w:r w:rsidR="00643AE8">
        <w:rPr>
          <w:rFonts w:cstheme="minorHAnsi"/>
        </w:rPr>
        <w:t xml:space="preserve">tenant </w:t>
      </w:r>
      <w:r w:rsidR="00AD585E" w:rsidRPr="00BF6E82">
        <w:rPr>
          <w:rFonts w:cstheme="minorHAnsi"/>
        </w:rPr>
        <w:t xml:space="preserve">can </w:t>
      </w:r>
      <w:r w:rsidR="00BB2196" w:rsidRPr="00BF6E82">
        <w:rPr>
          <w:rFonts w:cstheme="minorHAnsi"/>
        </w:rPr>
        <w:t>participate</w:t>
      </w:r>
      <w:r w:rsidR="00FA32F4">
        <w:rPr>
          <w:rFonts w:cstheme="minorHAnsi"/>
        </w:rPr>
        <w:t xml:space="preserve"> and have a role in decision making,</w:t>
      </w:r>
      <w:r w:rsidR="00BB2196" w:rsidRPr="00BF6E82">
        <w:rPr>
          <w:rFonts w:cstheme="minorHAnsi"/>
        </w:rPr>
        <w:t xml:space="preserve"> if they wish to. This will be achieved </w:t>
      </w:r>
      <w:r w:rsidR="00B578A0">
        <w:rPr>
          <w:rFonts w:cstheme="minorHAnsi"/>
        </w:rPr>
        <w:t xml:space="preserve">by </w:t>
      </w:r>
      <w:r w:rsidR="00B578A0" w:rsidRPr="00BF6E82">
        <w:rPr>
          <w:rFonts w:cstheme="minorHAnsi"/>
        </w:rPr>
        <w:t>providing</w:t>
      </w:r>
      <w:r w:rsidR="00BB2196" w:rsidRPr="00BF6E82">
        <w:rPr>
          <w:rFonts w:cstheme="minorHAnsi"/>
        </w:rPr>
        <w:t xml:space="preserve"> different ways to engage</w:t>
      </w:r>
      <w:r w:rsidR="00F7274B" w:rsidRPr="00BF6E82">
        <w:rPr>
          <w:rFonts w:cstheme="minorHAnsi"/>
        </w:rPr>
        <w:t xml:space="preserve">, with different levels of engagement available to suit the time and </w:t>
      </w:r>
      <w:r w:rsidR="00AE0BEF" w:rsidRPr="00BF6E82">
        <w:rPr>
          <w:rFonts w:cstheme="minorHAnsi"/>
        </w:rPr>
        <w:t>commitment you</w:t>
      </w:r>
      <w:r w:rsidR="00F7274B" w:rsidRPr="00BF6E82">
        <w:rPr>
          <w:rFonts w:cstheme="minorHAnsi"/>
        </w:rPr>
        <w:t xml:space="preserve"> are able to give.</w:t>
      </w:r>
      <w:r w:rsidR="00D052FF" w:rsidRPr="00BF6E82">
        <w:rPr>
          <w:rFonts w:cstheme="minorHAnsi"/>
        </w:rPr>
        <w:t xml:space="preserve"> </w:t>
      </w:r>
    </w:p>
    <w:p w14:paraId="2C30189E" w14:textId="2079952B" w:rsidR="00F7274B" w:rsidRPr="00BF6E82" w:rsidRDefault="0079401F" w:rsidP="002E0BF1">
      <w:pPr>
        <w:rPr>
          <w:rFonts w:cstheme="minorHAnsi"/>
          <w:b/>
          <w:bCs/>
        </w:rPr>
      </w:pPr>
      <w:r w:rsidRPr="00BF6E82">
        <w:rPr>
          <w:noProof/>
        </w:rPr>
        <w:drawing>
          <wp:anchor distT="0" distB="0" distL="114300" distR="114300" simplePos="0" relativeHeight="251658240" behindDoc="1" locked="0" layoutInCell="1" allowOverlap="1" wp14:anchorId="0A1EF2E1" wp14:editId="2D55293D">
            <wp:simplePos x="0" y="0"/>
            <wp:positionH relativeFrom="column">
              <wp:posOffset>3800475</wp:posOffset>
            </wp:positionH>
            <wp:positionV relativeFrom="paragraph">
              <wp:posOffset>68580</wp:posOffset>
            </wp:positionV>
            <wp:extent cx="244665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A33A9CE-FCFC-CB3D-1A8F-C2B42E2304A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A33A9CE-FCFC-CB3D-1A8F-C2B42E2304A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3" t="39532" r="33421" b="24679"/>
                    <a:stretch/>
                  </pic:blipFill>
                  <pic:spPr>
                    <a:xfrm>
                      <a:off x="0" y="0"/>
                      <a:ext cx="24466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74B" w:rsidRPr="00BF6E82">
        <w:rPr>
          <w:rFonts w:cstheme="minorHAnsi"/>
          <w:b/>
          <w:bCs/>
        </w:rPr>
        <w:t>Our vision:</w:t>
      </w:r>
    </w:p>
    <w:p w14:paraId="29018884" w14:textId="528274F4" w:rsidR="00F7274B" w:rsidRPr="00BF6E82" w:rsidRDefault="00573120" w:rsidP="002E0BF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6E82">
        <w:rPr>
          <w:rFonts w:asciiTheme="minorHAnsi" w:eastAsiaTheme="minorEastAsia" w:hAnsiTheme="minorHAnsi" w:cstheme="minorHAnsi"/>
          <w:kern w:val="24"/>
          <w:sz w:val="22"/>
          <w:szCs w:val="22"/>
        </w:rPr>
        <w:t>To achieve effective and efficient services by working with residents and our partner agencies</w:t>
      </w:r>
      <w:r w:rsidR="005127FC">
        <w:rPr>
          <w:rFonts w:asciiTheme="minorHAnsi" w:eastAsiaTheme="minorEastAsia" w:hAnsiTheme="minorHAnsi" w:cstheme="minorHAnsi"/>
          <w:kern w:val="24"/>
          <w:sz w:val="22"/>
          <w:szCs w:val="22"/>
        </w:rPr>
        <w:t>.</w:t>
      </w:r>
    </w:p>
    <w:p w14:paraId="18D4F076" w14:textId="14F33D46" w:rsidR="00573120" w:rsidRPr="00BF6E82" w:rsidRDefault="00573120" w:rsidP="002E0BF1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BF6E82">
        <w:rPr>
          <w:rFonts w:asciiTheme="minorHAnsi" w:eastAsiaTheme="minorEastAsia" w:hAnsiTheme="minorHAnsi" w:cstheme="minorHAnsi"/>
          <w:kern w:val="24"/>
          <w:sz w:val="22"/>
          <w:szCs w:val="22"/>
        </w:rPr>
        <w:t>To develop communities through resident engagement which caters for everyone</w:t>
      </w:r>
      <w:r w:rsidR="005127FC">
        <w:rPr>
          <w:rFonts w:asciiTheme="minorHAnsi" w:eastAsiaTheme="minorEastAsia" w:hAnsiTheme="minorHAnsi" w:cstheme="minorHAnsi"/>
          <w:kern w:val="24"/>
          <w:sz w:val="22"/>
          <w:szCs w:val="22"/>
        </w:rPr>
        <w:t>.</w:t>
      </w:r>
    </w:p>
    <w:p w14:paraId="6C45A58E" w14:textId="77777777" w:rsidR="002E0BF1" w:rsidRPr="00BF6E82" w:rsidRDefault="002E0BF1" w:rsidP="002E0BF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6E82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To ‘Make Every Contact Count’ (MECC) to improve the lives of our residents and the communities they live in. </w:t>
      </w:r>
    </w:p>
    <w:p w14:paraId="21E60CEB" w14:textId="77777777" w:rsidR="0056476D" w:rsidRPr="00BF6E82" w:rsidRDefault="0056476D" w:rsidP="0056476D">
      <w:pPr>
        <w:rPr>
          <w:rFonts w:cstheme="minorHAnsi"/>
        </w:rPr>
      </w:pPr>
    </w:p>
    <w:p w14:paraId="09D276FD" w14:textId="77777777" w:rsidR="008C4B0D" w:rsidRPr="008C4B0D" w:rsidRDefault="008C4B0D" w:rsidP="008C4B0D">
      <w:pPr>
        <w:rPr>
          <w:b/>
          <w:bCs/>
        </w:rPr>
      </w:pPr>
      <w:r w:rsidRPr="008C4B0D">
        <w:rPr>
          <w:b/>
          <w:bCs/>
        </w:rPr>
        <w:t xml:space="preserve">How will we achieve this? </w:t>
      </w:r>
    </w:p>
    <w:p w14:paraId="6A2B7251" w14:textId="376AEFA6" w:rsidR="008C4B0D" w:rsidRPr="00AE0BEF" w:rsidRDefault="008C4B0D" w:rsidP="008C4B0D">
      <w:pPr>
        <w:numPr>
          <w:ilvl w:val="0"/>
          <w:numId w:val="5"/>
        </w:numPr>
        <w:contextualSpacing/>
        <w:rPr>
          <w:color w:val="000000" w:themeColor="text1"/>
        </w:rPr>
      </w:pPr>
      <w:r w:rsidRPr="00AE0BEF">
        <w:rPr>
          <w:color w:val="000000" w:themeColor="text1"/>
        </w:rPr>
        <w:t>We will provide a variety of ways for residents to get involved</w:t>
      </w:r>
      <w:r w:rsidR="00E17385" w:rsidRPr="00AE0BEF">
        <w:rPr>
          <w:color w:val="000000" w:themeColor="text1"/>
        </w:rPr>
        <w:t xml:space="preserve">, from surveys to </w:t>
      </w:r>
      <w:r w:rsidR="00C928BA" w:rsidRPr="00AE0BEF">
        <w:rPr>
          <w:color w:val="000000" w:themeColor="text1"/>
        </w:rPr>
        <w:t>formal panels,</w:t>
      </w:r>
      <w:r w:rsidRPr="00AE0BEF">
        <w:rPr>
          <w:color w:val="000000" w:themeColor="text1"/>
        </w:rPr>
        <w:t xml:space="preserve"> to allow them to influence our services, policies, and decisions.</w:t>
      </w:r>
    </w:p>
    <w:p w14:paraId="1FCD864A" w14:textId="77777777" w:rsidR="008C4B0D" w:rsidRPr="00AE0BEF" w:rsidRDefault="008C4B0D" w:rsidP="008C4B0D">
      <w:pPr>
        <w:numPr>
          <w:ilvl w:val="0"/>
          <w:numId w:val="5"/>
        </w:numPr>
        <w:contextualSpacing/>
        <w:rPr>
          <w:color w:val="000000" w:themeColor="text1"/>
        </w:rPr>
      </w:pPr>
      <w:r w:rsidRPr="00AE0BEF">
        <w:rPr>
          <w:color w:val="000000" w:themeColor="text1"/>
        </w:rPr>
        <w:t>Residents will be able to provide feedback on our services and performance data to help us improve services, ensuring they provide value for money.</w:t>
      </w:r>
    </w:p>
    <w:p w14:paraId="3990EBCA" w14:textId="77777777" w:rsidR="00AE0BEF" w:rsidRDefault="008C4B0D" w:rsidP="00AE0BEF">
      <w:pPr>
        <w:numPr>
          <w:ilvl w:val="0"/>
          <w:numId w:val="5"/>
        </w:numPr>
        <w:contextualSpacing/>
        <w:rPr>
          <w:color w:val="000000" w:themeColor="text1"/>
        </w:rPr>
      </w:pPr>
      <w:r w:rsidRPr="00AE0BEF">
        <w:rPr>
          <w:color w:val="000000" w:themeColor="text1"/>
        </w:rPr>
        <w:t>We will</w:t>
      </w:r>
      <w:r w:rsidR="00BF6E82" w:rsidRPr="00AE0BEF">
        <w:rPr>
          <w:color w:val="000000" w:themeColor="text1"/>
        </w:rPr>
        <w:t xml:space="preserve"> provide r</w:t>
      </w:r>
      <w:r w:rsidRPr="00AE0BEF">
        <w:rPr>
          <w:color w:val="000000" w:themeColor="text1"/>
        </w:rPr>
        <w:t xml:space="preserve">esidents the opportunity to contribute to or benefit from the development of communities through local action or engagement events. </w:t>
      </w:r>
    </w:p>
    <w:p w14:paraId="1CCD4EBF" w14:textId="77777777" w:rsidR="00AE0BEF" w:rsidRDefault="008C4B0D" w:rsidP="00AE0BEF">
      <w:pPr>
        <w:numPr>
          <w:ilvl w:val="0"/>
          <w:numId w:val="5"/>
        </w:numPr>
        <w:contextualSpacing/>
        <w:rPr>
          <w:color w:val="000000" w:themeColor="text1"/>
        </w:rPr>
      </w:pPr>
      <w:r w:rsidRPr="00AE0BEF">
        <w:rPr>
          <w:color w:val="000000" w:themeColor="text1"/>
        </w:rPr>
        <w:t>By listening to residents when things go wrong and learning from complaints.</w:t>
      </w:r>
    </w:p>
    <w:p w14:paraId="2BE0F556" w14:textId="30D1B5B5" w:rsidR="00FA32F4" w:rsidRPr="00AE0BEF" w:rsidRDefault="00AE0BEF" w:rsidP="00AE0BEF">
      <w:pPr>
        <w:numPr>
          <w:ilvl w:val="0"/>
          <w:numId w:val="5"/>
        </w:numPr>
        <w:contextualSpacing/>
        <w:rPr>
          <w:color w:val="000000" w:themeColor="text1"/>
        </w:rPr>
      </w:pPr>
      <w:r w:rsidRPr="00AE0BEF">
        <w:rPr>
          <w:rStyle w:val="cf01"/>
          <w:rFonts w:asciiTheme="minorHAnsi" w:hAnsiTheme="minorHAnsi" w:cstheme="minorHAnsi"/>
          <w:color w:val="000000" w:themeColor="text1"/>
          <w:sz w:val="22"/>
          <w:szCs w:val="22"/>
        </w:rPr>
        <w:t>Improve our communication with you. It is important that we know who you are, how you want to be involved, informed, and contacted.</w:t>
      </w:r>
    </w:p>
    <w:p w14:paraId="4F7F75DF" w14:textId="77777777" w:rsidR="009D58FD" w:rsidRDefault="009D58FD" w:rsidP="00AE0BEF">
      <w:pPr>
        <w:contextualSpacing/>
        <w:jc w:val="center"/>
      </w:pPr>
    </w:p>
    <w:p w14:paraId="2900C870" w14:textId="56A1234E" w:rsidR="009D58FD" w:rsidRDefault="001D0A70" w:rsidP="001D0A70">
      <w:hyperlink r:id="rId9" w:history="1">
        <w:r w:rsidRPr="001D0A70">
          <w:rPr>
            <w:rStyle w:val="Hyperlink"/>
          </w:rPr>
          <w:t>F</w:t>
        </w:r>
        <w:r w:rsidR="00316BA3" w:rsidRPr="001D0A70">
          <w:rPr>
            <w:rStyle w:val="Hyperlink"/>
          </w:rPr>
          <w:t>ind out more about the ways to</w:t>
        </w:r>
        <w:r w:rsidR="00B3595F" w:rsidRPr="001D0A70">
          <w:rPr>
            <w:rStyle w:val="Hyperlink"/>
          </w:rPr>
          <w:t xml:space="preserve"> have your say</w:t>
        </w:r>
      </w:hyperlink>
    </w:p>
    <w:p w14:paraId="41A0EA91" w14:textId="265565E2" w:rsidR="0079401F" w:rsidRPr="00C928BA" w:rsidRDefault="0079401F" w:rsidP="0079401F">
      <w:pPr>
        <w:contextualSpacing/>
        <w:rPr>
          <w:b/>
          <w:bCs/>
        </w:rPr>
      </w:pPr>
      <w:r w:rsidRPr="00C928BA">
        <w:rPr>
          <w:b/>
          <w:bCs/>
        </w:rPr>
        <w:t>Our commitment to our re</w:t>
      </w:r>
      <w:r w:rsidR="00FA4341" w:rsidRPr="00C928BA">
        <w:rPr>
          <w:b/>
          <w:bCs/>
        </w:rPr>
        <w:t>sidents</w:t>
      </w:r>
    </w:p>
    <w:p w14:paraId="644DB824" w14:textId="77777777" w:rsidR="00FA4341" w:rsidRPr="008C4B0D" w:rsidRDefault="00FA4341" w:rsidP="0079401F">
      <w:pPr>
        <w:contextualSpacing/>
      </w:pPr>
    </w:p>
    <w:p w14:paraId="2543CB40" w14:textId="5EBAAF6A" w:rsidR="00993E9C" w:rsidRDefault="003E1079" w:rsidP="00993E9C">
      <w:r>
        <w:t>Housing Services</w:t>
      </w:r>
      <w:r w:rsidR="003E011F">
        <w:t xml:space="preserve"> worked with our Resident Scrutiny Panel to ensure our </w:t>
      </w:r>
      <w:r w:rsidR="004D3D12">
        <w:t xml:space="preserve">commitments </w:t>
      </w:r>
      <w:r w:rsidR="00251D6F">
        <w:t>would help us provide the best service</w:t>
      </w:r>
      <w:r w:rsidR="00993E9C">
        <w:t xml:space="preserve"> to you</w:t>
      </w:r>
      <w:r w:rsidR="00251D6F">
        <w:t xml:space="preserve">. Our commitments are in four categories, You, Your </w:t>
      </w:r>
      <w:r w:rsidR="0013259C">
        <w:t>Home, Your</w:t>
      </w:r>
      <w:r w:rsidR="00251D6F">
        <w:t xml:space="preserve"> Community and Your Say reflecting all the key areas </w:t>
      </w:r>
      <w:r w:rsidR="00D519C0">
        <w:t xml:space="preserve">of being a Medway Council Tenant.  To view our </w:t>
      </w:r>
      <w:r w:rsidR="0013259C">
        <w:t>commitments,</w:t>
      </w:r>
      <w:r w:rsidR="00D519C0">
        <w:t xml:space="preserve"> visit</w:t>
      </w:r>
      <w:r w:rsidR="001D0A70">
        <w:t xml:space="preserve"> our </w:t>
      </w:r>
      <w:hyperlink r:id="rId10" w:history="1">
        <w:r w:rsidR="001D0A70" w:rsidRPr="001D0A70">
          <w:rPr>
            <w:rStyle w:val="Hyperlink"/>
          </w:rPr>
          <w:t>Medway Council housing homepage</w:t>
        </w:r>
      </w:hyperlink>
    </w:p>
    <w:p w14:paraId="60E6558B" w14:textId="672338C5" w:rsidR="00FD6029" w:rsidRPr="00FD6029" w:rsidRDefault="00F154E5" w:rsidP="001D0A70">
      <w:pPr>
        <w:rPr>
          <w:b/>
          <w:bCs/>
        </w:rPr>
      </w:pPr>
      <w:r w:rsidRPr="00FC67E7">
        <w:rPr>
          <w:b/>
          <w:bCs/>
        </w:rPr>
        <w:t xml:space="preserve">Contact </w:t>
      </w:r>
      <w:r w:rsidR="00152F82">
        <w:rPr>
          <w:b/>
          <w:bCs/>
        </w:rPr>
        <w:t xml:space="preserve">the </w:t>
      </w:r>
      <w:proofErr w:type="gramStart"/>
      <w:r w:rsidR="00152F82">
        <w:rPr>
          <w:b/>
          <w:bCs/>
        </w:rPr>
        <w:t>team</w:t>
      </w:r>
      <w:proofErr w:type="gramEnd"/>
    </w:p>
    <w:p w14:paraId="20089E53" w14:textId="00028C92" w:rsidR="00F154E5" w:rsidRDefault="00F154E5" w:rsidP="001D0A70">
      <w:r>
        <w:t xml:space="preserve">If you have any questions or ideas for </w:t>
      </w:r>
      <w:r w:rsidR="00FC67E7">
        <w:t>engagement,</w:t>
      </w:r>
      <w:r>
        <w:t xml:space="preserve"> please get in contact </w:t>
      </w:r>
      <w:r w:rsidR="00355A5D">
        <w:t>with us</w:t>
      </w:r>
      <w:r w:rsidR="00994B03">
        <w:t>:</w:t>
      </w:r>
    </w:p>
    <w:p w14:paraId="606E3F64" w14:textId="3725E6C7" w:rsidR="001A2204" w:rsidRDefault="00000000" w:rsidP="001D0A70">
      <w:hyperlink r:id="rId11" w:history="1">
        <w:r w:rsidR="00FC67E7" w:rsidRPr="00E20D6A">
          <w:rPr>
            <w:rStyle w:val="Hyperlink"/>
          </w:rPr>
          <w:t>Tenant.participation@medway.gov.uk</w:t>
        </w:r>
      </w:hyperlink>
    </w:p>
    <w:sectPr w:rsidR="001A220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F69E" w14:textId="77777777" w:rsidR="00053A98" w:rsidRDefault="00053A98" w:rsidP="001A2204">
      <w:pPr>
        <w:spacing w:after="0" w:line="240" w:lineRule="auto"/>
      </w:pPr>
      <w:r>
        <w:separator/>
      </w:r>
    </w:p>
  </w:endnote>
  <w:endnote w:type="continuationSeparator" w:id="0">
    <w:p w14:paraId="385F3EA1" w14:textId="77777777" w:rsidR="00053A98" w:rsidRDefault="00053A98" w:rsidP="001A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CA9E" w14:textId="64241543" w:rsidR="001A2204" w:rsidRDefault="001A220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8D92" wp14:editId="4CD17789">
          <wp:simplePos x="0" y="0"/>
          <wp:positionH relativeFrom="page">
            <wp:align>right</wp:align>
          </wp:positionH>
          <wp:positionV relativeFrom="paragraph">
            <wp:posOffset>-744311</wp:posOffset>
          </wp:positionV>
          <wp:extent cx="7559697" cy="1347375"/>
          <wp:effectExtent l="0" t="0" r="3175" b="5715"/>
          <wp:wrapNone/>
          <wp:docPr id="706544822" name="Picture 7065448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544822" name="Picture 7065448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8" t="54423" r="11810" b="22355"/>
                  <a:stretch/>
                </pic:blipFill>
                <pic:spPr bwMode="auto">
                  <a:xfrm>
                    <a:off x="0" y="0"/>
                    <a:ext cx="7559697" cy="134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FD53" w14:textId="77777777" w:rsidR="00053A98" w:rsidRDefault="00053A98" w:rsidP="001A2204">
      <w:pPr>
        <w:spacing w:after="0" w:line="240" w:lineRule="auto"/>
      </w:pPr>
      <w:r>
        <w:separator/>
      </w:r>
    </w:p>
  </w:footnote>
  <w:footnote w:type="continuationSeparator" w:id="0">
    <w:p w14:paraId="1EA3017D" w14:textId="77777777" w:rsidR="00053A98" w:rsidRDefault="00053A98" w:rsidP="001A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6B19" w14:textId="48186A40" w:rsidR="001A2204" w:rsidRDefault="00C208EB" w:rsidP="001A2204">
    <w:pPr>
      <w:pStyle w:val="Header"/>
      <w:jc w:val="center"/>
    </w:pPr>
    <w:r>
      <w:object w:dxaOrig="6736" w:dyaOrig="4636" w14:anchorId="77DE9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edway Council logo" style="width:99pt;height:68.25pt;mso-position-horizontal:absolute" o:allowoverlap="f">
          <v:imagedata r:id="rId1" o:title=""/>
        </v:shape>
        <o:OLEObject Type="Embed" ProgID="MSPhotoEd.3" ShapeID="_x0000_i1025" DrawAspect="Content" ObjectID="_17796129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55A3"/>
    <w:multiLevelType w:val="hybridMultilevel"/>
    <w:tmpl w:val="1F8459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E3511B"/>
    <w:multiLevelType w:val="hybridMultilevel"/>
    <w:tmpl w:val="925C560C"/>
    <w:lvl w:ilvl="0" w:tplc="916A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F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2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8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2F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C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2F5CC9"/>
    <w:multiLevelType w:val="hybridMultilevel"/>
    <w:tmpl w:val="AFE4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1930"/>
    <w:multiLevelType w:val="hybridMultilevel"/>
    <w:tmpl w:val="E758A2C2"/>
    <w:lvl w:ilvl="0" w:tplc="96F4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C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0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6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8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8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A0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A3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A10115"/>
    <w:multiLevelType w:val="hybridMultilevel"/>
    <w:tmpl w:val="867A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87865">
    <w:abstractNumId w:val="3"/>
  </w:num>
  <w:num w:numId="2" w16cid:durableId="1790469149">
    <w:abstractNumId w:val="1"/>
  </w:num>
  <w:num w:numId="3" w16cid:durableId="115417325">
    <w:abstractNumId w:val="4"/>
  </w:num>
  <w:num w:numId="4" w16cid:durableId="761412837">
    <w:abstractNumId w:val="2"/>
  </w:num>
  <w:num w:numId="5" w16cid:durableId="19897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04"/>
    <w:rsid w:val="00053A98"/>
    <w:rsid w:val="00094F6A"/>
    <w:rsid w:val="0013259C"/>
    <w:rsid w:val="00146050"/>
    <w:rsid w:val="00152F82"/>
    <w:rsid w:val="00181445"/>
    <w:rsid w:val="001A2204"/>
    <w:rsid w:val="001D0A70"/>
    <w:rsid w:val="0021509F"/>
    <w:rsid w:val="00251D6F"/>
    <w:rsid w:val="00294A2D"/>
    <w:rsid w:val="002B1B11"/>
    <w:rsid w:val="002E0BF1"/>
    <w:rsid w:val="002E5F77"/>
    <w:rsid w:val="00316BA3"/>
    <w:rsid w:val="00355A5D"/>
    <w:rsid w:val="003C2478"/>
    <w:rsid w:val="003E011F"/>
    <w:rsid w:val="003E1079"/>
    <w:rsid w:val="004D3D12"/>
    <w:rsid w:val="005127FC"/>
    <w:rsid w:val="0056476D"/>
    <w:rsid w:val="00573120"/>
    <w:rsid w:val="00643AE8"/>
    <w:rsid w:val="00677BA6"/>
    <w:rsid w:val="006A384B"/>
    <w:rsid w:val="0079401F"/>
    <w:rsid w:val="00817A36"/>
    <w:rsid w:val="0084284D"/>
    <w:rsid w:val="008C4B0D"/>
    <w:rsid w:val="00993E9C"/>
    <w:rsid w:val="00994B03"/>
    <w:rsid w:val="009D58FD"/>
    <w:rsid w:val="00AD585E"/>
    <w:rsid w:val="00AE0BEF"/>
    <w:rsid w:val="00B3595F"/>
    <w:rsid w:val="00B450A0"/>
    <w:rsid w:val="00B51040"/>
    <w:rsid w:val="00B578A0"/>
    <w:rsid w:val="00B85B20"/>
    <w:rsid w:val="00BB2196"/>
    <w:rsid w:val="00BF6E82"/>
    <w:rsid w:val="00C208EB"/>
    <w:rsid w:val="00C928BA"/>
    <w:rsid w:val="00D052FF"/>
    <w:rsid w:val="00D519C0"/>
    <w:rsid w:val="00E17385"/>
    <w:rsid w:val="00E562FC"/>
    <w:rsid w:val="00EB144E"/>
    <w:rsid w:val="00EB1CE2"/>
    <w:rsid w:val="00F154E5"/>
    <w:rsid w:val="00F7274B"/>
    <w:rsid w:val="00FA32F4"/>
    <w:rsid w:val="00FA4341"/>
    <w:rsid w:val="00FB338C"/>
    <w:rsid w:val="00FC67E7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B9FF4"/>
  <w15:chartTrackingRefBased/>
  <w15:docId w15:val="{50662005-7399-4CBF-84CD-E6B784F2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04"/>
  </w:style>
  <w:style w:type="paragraph" w:styleId="Footer">
    <w:name w:val="footer"/>
    <w:basedOn w:val="Normal"/>
    <w:link w:val="FooterChar"/>
    <w:uiPriority w:val="99"/>
    <w:unhideWhenUsed/>
    <w:rsid w:val="001A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04"/>
  </w:style>
  <w:style w:type="paragraph" w:styleId="ListParagraph">
    <w:name w:val="List Paragraph"/>
    <w:basedOn w:val="Normal"/>
    <w:uiPriority w:val="34"/>
    <w:qFormat/>
    <w:rsid w:val="00573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C4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B0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8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32F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E9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E0BEF"/>
    <w:rPr>
      <w:rFonts w:ascii="Segoe UI" w:hAnsi="Segoe UI" w:cs="Segoe UI" w:hint="default"/>
      <w:color w:val="3F3F3F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ant.participation@medway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way.gov.uk/hous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way.gov.uk/info/200152/council_housing/85/have_your_say_in_housing_servic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9F4B-D0D4-4091-ACF0-EB856A2B38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rourke, hannah</dc:creator>
  <cp:keywords/>
  <dc:description/>
  <cp:lastModifiedBy>cadwallader, amie</cp:lastModifiedBy>
  <cp:revision>3</cp:revision>
  <dcterms:created xsi:type="dcterms:W3CDTF">2024-06-11T09:48:00Z</dcterms:created>
  <dcterms:modified xsi:type="dcterms:W3CDTF">2024-06-11T11:10:00Z</dcterms:modified>
</cp:coreProperties>
</file>