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F5A48" w14:textId="77777777" w:rsidR="006B00BB" w:rsidRDefault="006B00BB" w:rsidP="006B00BB">
      <w:pPr>
        <w:rPr>
          <w:lang w:val="en-US"/>
        </w:rPr>
      </w:pPr>
      <w:r>
        <w:rPr>
          <w:noProof/>
        </w:rPr>
        <w:drawing>
          <wp:anchor distT="0" distB="0" distL="114300" distR="114300" simplePos="0" relativeHeight="251659264" behindDoc="0" locked="0" layoutInCell="1" allowOverlap="1" wp14:anchorId="242C6DAD" wp14:editId="57785426">
            <wp:simplePos x="0" y="0"/>
            <wp:positionH relativeFrom="column">
              <wp:posOffset>4705598</wp:posOffset>
            </wp:positionH>
            <wp:positionV relativeFrom="paragraph">
              <wp:posOffset>-819777</wp:posOffset>
            </wp:positionV>
            <wp:extent cx="904875" cy="904875"/>
            <wp:effectExtent l="0" t="0" r="9525" b="9525"/>
            <wp:wrapNone/>
            <wp:docPr id="2127926294" name="Picture 2127926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26294" name="Picture 2127926294">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Medway Council</w:t>
      </w:r>
    </w:p>
    <w:p w14:paraId="729766C7" w14:textId="77777777" w:rsidR="006B00BB" w:rsidRDefault="006B00BB" w:rsidP="006B00BB">
      <w:pPr>
        <w:rPr>
          <w:lang w:val="en-US"/>
        </w:rPr>
      </w:pPr>
      <w:r>
        <w:rPr>
          <w:lang w:val="en-US"/>
        </w:rPr>
        <w:t>Date published: 27/06/2025</w:t>
      </w:r>
    </w:p>
    <w:p w14:paraId="354ECC6A" w14:textId="77777777" w:rsidR="006B00BB" w:rsidRDefault="006B00BB" w:rsidP="006B00BB">
      <w:pPr>
        <w:pStyle w:val="Title"/>
      </w:pPr>
      <w:r>
        <w:t>Local h</w:t>
      </w:r>
      <w:r w:rsidRPr="001D1D4D">
        <w:t xml:space="preserve">ighways </w:t>
      </w:r>
      <w:r>
        <w:t>m</w:t>
      </w:r>
      <w:r w:rsidRPr="001D1D4D">
        <w:t>aintenance</w:t>
      </w:r>
      <w:r>
        <w:t xml:space="preserve"> transparency report</w:t>
      </w:r>
    </w:p>
    <w:p w14:paraId="2B04DC8B" w14:textId="77777777" w:rsidR="006B00BB" w:rsidRDefault="006B00BB" w:rsidP="006B00BB">
      <w:r>
        <w:t xml:space="preserve">The Department for Transport expects all local highways authorities to publish information about their highways maintenance activities to help </w:t>
      </w:r>
      <w:r w:rsidRPr="00071825">
        <w:t>local taxpayers see the difference that funding is making</w:t>
      </w:r>
      <w:r>
        <w:t xml:space="preserve"> in their areas.</w:t>
      </w:r>
    </w:p>
    <w:p w14:paraId="748D98C2" w14:textId="77777777" w:rsidR="006B00BB" w:rsidRDefault="006B00BB" w:rsidP="006B00BB">
      <w:pPr>
        <w:pStyle w:val="Heading1"/>
        <w:rPr>
          <w:rFonts w:ascii="Arial" w:hAnsi="Arial" w:cs="Arial"/>
        </w:rPr>
      </w:pPr>
      <w:r>
        <w:rPr>
          <w:rFonts w:ascii="Arial" w:hAnsi="Arial" w:cs="Arial"/>
        </w:rPr>
        <w:t>Our highway network</w:t>
      </w:r>
    </w:p>
    <w:p w14:paraId="772A49A0" w14:textId="77777777" w:rsidR="006B00BB" w:rsidRDefault="006B00BB" w:rsidP="006B00BB">
      <w:r>
        <w:t>Medway’s highway network consists of 845km roads in total, which is made of up three categories.</w:t>
      </w:r>
    </w:p>
    <w:p w14:paraId="2C5788C5" w14:textId="77777777" w:rsidR="006B00BB" w:rsidRDefault="006B00BB" w:rsidP="006B00BB">
      <w:pPr>
        <w:pStyle w:val="ListParagraph"/>
        <w:numPr>
          <w:ilvl w:val="0"/>
          <w:numId w:val="4"/>
        </w:numPr>
      </w:pPr>
      <w:r>
        <w:t>100.47km in A roads</w:t>
      </w:r>
    </w:p>
    <w:p w14:paraId="3526BAF8" w14:textId="77777777" w:rsidR="006B00BB" w:rsidRDefault="006B00BB" w:rsidP="006B00BB">
      <w:pPr>
        <w:pStyle w:val="ListParagraph"/>
        <w:numPr>
          <w:ilvl w:val="0"/>
          <w:numId w:val="4"/>
        </w:numPr>
      </w:pPr>
      <w:r>
        <w:t>115.16km of B and C roads</w:t>
      </w:r>
    </w:p>
    <w:p w14:paraId="29DF87EC" w14:textId="77777777" w:rsidR="006B00BB" w:rsidRDefault="006B00BB" w:rsidP="006B00BB">
      <w:pPr>
        <w:pStyle w:val="ListParagraph"/>
        <w:numPr>
          <w:ilvl w:val="0"/>
          <w:numId w:val="4"/>
        </w:numPr>
      </w:pPr>
      <w:r>
        <w:t>629.37km of U roads</w:t>
      </w:r>
    </w:p>
    <w:p w14:paraId="7F6E3BAD" w14:textId="77777777" w:rsidR="006B00BB" w:rsidRPr="00590509" w:rsidRDefault="006B00BB" w:rsidP="006B00BB">
      <w:r>
        <w:t>The network also includes 1045.36km of footways, 309/4km of other public rights of way and 130.36km of cycleways.</w:t>
      </w:r>
    </w:p>
    <w:p w14:paraId="42F45EF9" w14:textId="77777777" w:rsidR="006B00BB" w:rsidRPr="003F743C" w:rsidRDefault="006B00BB" w:rsidP="006B00BB">
      <w:r>
        <w:t>In addition to maintaining our carriageways and footways, Medway Council has a statutory duty to maintain over 91,000 other highway assets including 406 structures such as bridges and retaining walls, 35,535 gullies, 11,681 items of street furniture such as highway signs and bollards and more than 27,000 streetlights. We also we maintain soakaways and roadside ditches, and over 45 miles of crash barriers and pedestrian guard railing.</w:t>
      </w:r>
    </w:p>
    <w:p w14:paraId="33EC4B80" w14:textId="77777777" w:rsidR="006B00BB" w:rsidRPr="003F743C" w:rsidRDefault="006B00BB" w:rsidP="006B00BB">
      <w:r w:rsidRPr="003F743C">
        <w:t>Funding from the Department for Transport supports our adoption of a whole life asset management approach. This strategy focuses on proactive maintenance, timely interventions, and strategic upgrades to maximise asset performance and longevity. It allows us to develop more efficient maintenance regimes and make well-informed decisions about repair, replacement, or refurbishment. By extending the service life of our assets, we can significantly reduce long-term costs while ensuring a safer, more resilient highway network.</w:t>
      </w:r>
    </w:p>
    <w:p w14:paraId="0B194D90" w14:textId="77777777" w:rsidR="006B00BB" w:rsidRDefault="006B00BB" w:rsidP="006B00BB">
      <w:pPr>
        <w:pStyle w:val="Heading1"/>
        <w:rPr>
          <w:rFonts w:ascii="Arial" w:hAnsi="Arial" w:cs="Arial"/>
        </w:rPr>
      </w:pPr>
      <w:r w:rsidRPr="3EBD7145">
        <w:rPr>
          <w:rFonts w:ascii="Arial" w:hAnsi="Arial" w:cs="Arial"/>
        </w:rPr>
        <w:t>Highways maintenance spending figures</w:t>
      </w:r>
    </w:p>
    <w:p w14:paraId="64C13B8B" w14:textId="77777777" w:rsidR="006B00BB" w:rsidRPr="00203CDD" w:rsidRDefault="006B00BB" w:rsidP="006B00BB">
      <w:r>
        <w:t>Table 1 – Highway maintenance spending</w:t>
      </w:r>
    </w:p>
    <w:tbl>
      <w:tblPr>
        <w:tblStyle w:val="TableGrid"/>
        <w:tblW w:w="9209" w:type="dxa"/>
        <w:jc w:val="center"/>
        <w:tblLayout w:type="fixed"/>
        <w:tblCellMar>
          <w:top w:w="57" w:type="dxa"/>
          <w:left w:w="57" w:type="dxa"/>
          <w:bottom w:w="57" w:type="dxa"/>
          <w:right w:w="57" w:type="dxa"/>
        </w:tblCellMar>
        <w:tblLook w:val="04A0" w:firstRow="1" w:lastRow="0" w:firstColumn="1" w:lastColumn="0" w:noHBand="0" w:noVBand="1"/>
        <w:tblCaption w:val="Table 1"/>
        <w:tblDescription w:val="Table detailing the highway maintenance spending "/>
      </w:tblPr>
      <w:tblGrid>
        <w:gridCol w:w="1262"/>
        <w:gridCol w:w="1589"/>
        <w:gridCol w:w="1589"/>
        <w:gridCol w:w="1590"/>
        <w:gridCol w:w="1589"/>
        <w:gridCol w:w="1590"/>
      </w:tblGrid>
      <w:tr w:rsidR="006B00BB" w14:paraId="797F8B5B" w14:textId="77777777" w:rsidTr="00882EAF">
        <w:trPr>
          <w:jc w:val="center"/>
        </w:trPr>
        <w:tc>
          <w:tcPr>
            <w:tcW w:w="1262" w:type="dxa"/>
          </w:tcPr>
          <w:p w14:paraId="6416201B" w14:textId="77777777" w:rsidR="006B00BB" w:rsidRDefault="006B00BB" w:rsidP="00882EAF">
            <w:pPr>
              <w:jc w:val="center"/>
            </w:pPr>
            <w:r>
              <w:t>Year</w:t>
            </w:r>
          </w:p>
        </w:tc>
        <w:tc>
          <w:tcPr>
            <w:tcW w:w="1589" w:type="dxa"/>
          </w:tcPr>
          <w:p w14:paraId="3FDA9921" w14:textId="77777777" w:rsidR="006B00BB" w:rsidRPr="005B407C" w:rsidRDefault="006B00BB" w:rsidP="00882EAF">
            <w:pPr>
              <w:rPr>
                <w:b/>
                <w:bCs/>
              </w:rPr>
            </w:pPr>
            <w:r w:rsidRPr="1E797B1F">
              <w:rPr>
                <w:b/>
                <w:bCs/>
              </w:rPr>
              <w:t>Capital allocated by DfT (£,000s)</w:t>
            </w:r>
          </w:p>
        </w:tc>
        <w:tc>
          <w:tcPr>
            <w:tcW w:w="1589" w:type="dxa"/>
          </w:tcPr>
          <w:p w14:paraId="4031615A" w14:textId="77777777" w:rsidR="006B00BB" w:rsidRPr="005B407C" w:rsidRDefault="006B00BB" w:rsidP="00882EAF">
            <w:pPr>
              <w:rPr>
                <w:b/>
                <w:bCs/>
              </w:rPr>
            </w:pPr>
            <w:r w:rsidRPr="005B407C">
              <w:rPr>
                <w:b/>
                <w:bCs/>
              </w:rPr>
              <w:t>Capital spend (£</w:t>
            </w:r>
            <w:r>
              <w:rPr>
                <w:b/>
                <w:bCs/>
              </w:rPr>
              <w:t>,000s)</w:t>
            </w:r>
          </w:p>
        </w:tc>
        <w:tc>
          <w:tcPr>
            <w:tcW w:w="1590" w:type="dxa"/>
          </w:tcPr>
          <w:p w14:paraId="417095C8" w14:textId="77777777" w:rsidR="006B00BB" w:rsidRPr="005B407C" w:rsidRDefault="006B00BB" w:rsidP="00882EAF">
            <w:pPr>
              <w:rPr>
                <w:b/>
                <w:bCs/>
              </w:rPr>
            </w:pPr>
            <w:r w:rsidRPr="005B407C">
              <w:rPr>
                <w:b/>
                <w:bCs/>
              </w:rPr>
              <w:t>Revenue spend</w:t>
            </w:r>
            <w:r>
              <w:rPr>
                <w:b/>
                <w:bCs/>
              </w:rPr>
              <w:t xml:space="preserve"> (£,000s)</w:t>
            </w:r>
          </w:p>
        </w:tc>
        <w:tc>
          <w:tcPr>
            <w:tcW w:w="1589" w:type="dxa"/>
          </w:tcPr>
          <w:p w14:paraId="172EFC90" w14:textId="77777777" w:rsidR="006B00BB" w:rsidRPr="005B407C" w:rsidRDefault="006B00BB" w:rsidP="00882EAF">
            <w:pPr>
              <w:rPr>
                <w:b/>
                <w:bCs/>
              </w:rPr>
            </w:pPr>
            <w:r>
              <w:rPr>
                <w:b/>
                <w:bCs/>
              </w:rPr>
              <w:t>Estimate of % spent on preventative maintenance</w:t>
            </w:r>
          </w:p>
        </w:tc>
        <w:tc>
          <w:tcPr>
            <w:tcW w:w="1590" w:type="dxa"/>
          </w:tcPr>
          <w:p w14:paraId="009BF12A" w14:textId="77777777" w:rsidR="006B00BB" w:rsidRPr="005B407C" w:rsidRDefault="006B00BB" w:rsidP="00882EAF">
            <w:pPr>
              <w:rPr>
                <w:b/>
                <w:bCs/>
              </w:rPr>
            </w:pPr>
            <w:r>
              <w:rPr>
                <w:b/>
                <w:bCs/>
              </w:rPr>
              <w:t>Estimate of % spent on reactive maintenance</w:t>
            </w:r>
          </w:p>
        </w:tc>
      </w:tr>
      <w:tr w:rsidR="006B00BB" w14:paraId="0621C9B7" w14:textId="77777777" w:rsidTr="00882EAF">
        <w:trPr>
          <w:jc w:val="center"/>
        </w:trPr>
        <w:tc>
          <w:tcPr>
            <w:tcW w:w="1262" w:type="dxa"/>
          </w:tcPr>
          <w:p w14:paraId="2D121D9E" w14:textId="77777777" w:rsidR="006B00BB" w:rsidRPr="009B560D" w:rsidRDefault="006B00BB" w:rsidP="00882EAF">
            <w:r>
              <w:t>2025/26 (projected)</w:t>
            </w:r>
          </w:p>
        </w:tc>
        <w:tc>
          <w:tcPr>
            <w:tcW w:w="1589" w:type="dxa"/>
            <w:shd w:val="clear" w:color="auto" w:fill="auto"/>
          </w:tcPr>
          <w:p w14:paraId="2B0709A5" w14:textId="77777777" w:rsidR="006B00BB" w:rsidRPr="009B560D" w:rsidRDefault="006B00BB" w:rsidP="00882EAF">
            <w:r>
              <w:t>£5,024,000</w:t>
            </w:r>
          </w:p>
        </w:tc>
        <w:tc>
          <w:tcPr>
            <w:tcW w:w="1589" w:type="dxa"/>
            <w:shd w:val="clear" w:color="auto" w:fill="DAE9F7" w:themeFill="text2" w:themeFillTint="1A"/>
          </w:tcPr>
          <w:p w14:paraId="4809D136" w14:textId="77777777" w:rsidR="006B00BB" w:rsidRPr="009B560D" w:rsidRDefault="006B00BB" w:rsidP="00882EAF">
            <w:r>
              <w:t>£5,024,000</w:t>
            </w:r>
          </w:p>
        </w:tc>
        <w:tc>
          <w:tcPr>
            <w:tcW w:w="1590" w:type="dxa"/>
            <w:shd w:val="clear" w:color="auto" w:fill="DAE9F7" w:themeFill="text2" w:themeFillTint="1A"/>
          </w:tcPr>
          <w:p w14:paraId="3BABEF64" w14:textId="77777777" w:rsidR="006B00BB" w:rsidRPr="009B560D" w:rsidRDefault="006B00BB" w:rsidP="00882EAF">
            <w:r w:rsidRPr="009B560D">
              <w:t>£</w:t>
            </w:r>
            <w:r>
              <w:t>500,000</w:t>
            </w:r>
          </w:p>
        </w:tc>
        <w:tc>
          <w:tcPr>
            <w:tcW w:w="1589" w:type="dxa"/>
            <w:shd w:val="clear" w:color="auto" w:fill="auto"/>
          </w:tcPr>
          <w:p w14:paraId="4E0BA2F3" w14:textId="77777777" w:rsidR="006B00BB" w:rsidRPr="009B560D" w:rsidRDefault="006B00BB" w:rsidP="00882EAF">
            <w:pPr>
              <w:jc w:val="center"/>
            </w:pPr>
            <w:r>
              <w:t>60%</w:t>
            </w:r>
          </w:p>
        </w:tc>
        <w:tc>
          <w:tcPr>
            <w:tcW w:w="1590" w:type="dxa"/>
            <w:shd w:val="clear" w:color="auto" w:fill="auto"/>
          </w:tcPr>
          <w:p w14:paraId="2F771307" w14:textId="77777777" w:rsidR="006B00BB" w:rsidRPr="009B560D" w:rsidRDefault="006B00BB" w:rsidP="00882EAF">
            <w:pPr>
              <w:jc w:val="center"/>
            </w:pPr>
            <w:r>
              <w:t>40%</w:t>
            </w:r>
          </w:p>
        </w:tc>
      </w:tr>
      <w:tr w:rsidR="006B00BB" w14:paraId="4E172B36" w14:textId="77777777" w:rsidTr="00882EAF">
        <w:trPr>
          <w:jc w:val="center"/>
        </w:trPr>
        <w:tc>
          <w:tcPr>
            <w:tcW w:w="1262" w:type="dxa"/>
          </w:tcPr>
          <w:p w14:paraId="5944209C" w14:textId="77777777" w:rsidR="006B00BB" w:rsidRDefault="006B00BB" w:rsidP="00882EAF">
            <w:r>
              <w:t>2024/25</w:t>
            </w:r>
          </w:p>
        </w:tc>
        <w:tc>
          <w:tcPr>
            <w:tcW w:w="1589" w:type="dxa"/>
            <w:shd w:val="clear" w:color="auto" w:fill="auto"/>
          </w:tcPr>
          <w:p w14:paraId="25A3E42E" w14:textId="77777777" w:rsidR="006B00BB" w:rsidRDefault="006B00BB" w:rsidP="00882EAF">
            <w:r>
              <w:t>£3,578,000</w:t>
            </w:r>
          </w:p>
        </w:tc>
        <w:tc>
          <w:tcPr>
            <w:tcW w:w="1589" w:type="dxa"/>
            <w:shd w:val="clear" w:color="auto" w:fill="DAE9F7" w:themeFill="text2" w:themeFillTint="1A"/>
          </w:tcPr>
          <w:p w14:paraId="1B757495" w14:textId="77777777" w:rsidR="006B00BB" w:rsidRDefault="006B00BB" w:rsidP="00882EAF">
            <w:r>
              <w:t>£3,578,000</w:t>
            </w:r>
          </w:p>
        </w:tc>
        <w:tc>
          <w:tcPr>
            <w:tcW w:w="1590" w:type="dxa"/>
            <w:shd w:val="clear" w:color="auto" w:fill="DAE9F7" w:themeFill="text2" w:themeFillTint="1A"/>
          </w:tcPr>
          <w:p w14:paraId="040630A1" w14:textId="77777777" w:rsidR="006B00BB" w:rsidRDefault="006B00BB" w:rsidP="00882EAF">
            <w:r>
              <w:t>£200,000</w:t>
            </w:r>
          </w:p>
        </w:tc>
        <w:tc>
          <w:tcPr>
            <w:tcW w:w="1589" w:type="dxa"/>
            <w:shd w:val="clear" w:color="auto" w:fill="auto"/>
          </w:tcPr>
          <w:p w14:paraId="7C844250" w14:textId="77777777" w:rsidR="006B00BB" w:rsidRDefault="006B00BB" w:rsidP="00882EAF">
            <w:pPr>
              <w:jc w:val="center"/>
            </w:pPr>
            <w:r>
              <w:t>55%</w:t>
            </w:r>
          </w:p>
        </w:tc>
        <w:tc>
          <w:tcPr>
            <w:tcW w:w="1590" w:type="dxa"/>
            <w:shd w:val="clear" w:color="auto" w:fill="auto"/>
          </w:tcPr>
          <w:p w14:paraId="78F0EF3F" w14:textId="77777777" w:rsidR="006B00BB" w:rsidRDefault="006B00BB" w:rsidP="00882EAF">
            <w:pPr>
              <w:jc w:val="center"/>
            </w:pPr>
            <w:r>
              <w:t>45%</w:t>
            </w:r>
          </w:p>
        </w:tc>
      </w:tr>
      <w:tr w:rsidR="006B00BB" w14:paraId="4D1C5A20" w14:textId="77777777" w:rsidTr="00882EAF">
        <w:trPr>
          <w:jc w:val="center"/>
        </w:trPr>
        <w:tc>
          <w:tcPr>
            <w:tcW w:w="1262" w:type="dxa"/>
          </w:tcPr>
          <w:p w14:paraId="69E1A309" w14:textId="77777777" w:rsidR="006B00BB" w:rsidRDefault="006B00BB" w:rsidP="00882EAF">
            <w:r>
              <w:lastRenderedPageBreak/>
              <w:t>2023/24</w:t>
            </w:r>
          </w:p>
        </w:tc>
        <w:tc>
          <w:tcPr>
            <w:tcW w:w="1589" w:type="dxa"/>
            <w:shd w:val="clear" w:color="auto" w:fill="auto"/>
          </w:tcPr>
          <w:p w14:paraId="10388A1B" w14:textId="77777777" w:rsidR="006B00BB" w:rsidRDefault="006B00BB" w:rsidP="00882EAF">
            <w:r>
              <w:t>£4,142,800</w:t>
            </w:r>
          </w:p>
        </w:tc>
        <w:tc>
          <w:tcPr>
            <w:tcW w:w="1589" w:type="dxa"/>
            <w:shd w:val="clear" w:color="auto" w:fill="DAE9F7" w:themeFill="text2" w:themeFillTint="1A"/>
          </w:tcPr>
          <w:p w14:paraId="6416EE9F" w14:textId="77777777" w:rsidR="006B00BB" w:rsidRDefault="006B00BB" w:rsidP="00882EAF">
            <w:r>
              <w:t>£5,763,809</w:t>
            </w:r>
          </w:p>
        </w:tc>
        <w:tc>
          <w:tcPr>
            <w:tcW w:w="1590" w:type="dxa"/>
            <w:shd w:val="clear" w:color="auto" w:fill="DAE9F7" w:themeFill="text2" w:themeFillTint="1A"/>
          </w:tcPr>
          <w:p w14:paraId="5ECD282B" w14:textId="77777777" w:rsidR="006B00BB" w:rsidRDefault="006B00BB" w:rsidP="00882EAF">
            <w:r>
              <w:t>£500,000</w:t>
            </w:r>
          </w:p>
        </w:tc>
        <w:tc>
          <w:tcPr>
            <w:tcW w:w="1589" w:type="dxa"/>
            <w:shd w:val="clear" w:color="auto" w:fill="auto"/>
          </w:tcPr>
          <w:p w14:paraId="7F8AF4BA" w14:textId="77777777" w:rsidR="006B00BB" w:rsidRDefault="006B00BB" w:rsidP="00882EAF">
            <w:pPr>
              <w:jc w:val="center"/>
            </w:pPr>
            <w:r>
              <w:t>58%</w:t>
            </w:r>
          </w:p>
        </w:tc>
        <w:tc>
          <w:tcPr>
            <w:tcW w:w="1590" w:type="dxa"/>
            <w:shd w:val="clear" w:color="auto" w:fill="auto"/>
          </w:tcPr>
          <w:p w14:paraId="10DB6E1F" w14:textId="77777777" w:rsidR="006B00BB" w:rsidRDefault="006B00BB" w:rsidP="00882EAF">
            <w:pPr>
              <w:jc w:val="center"/>
            </w:pPr>
            <w:r>
              <w:t>42%</w:t>
            </w:r>
          </w:p>
        </w:tc>
      </w:tr>
      <w:tr w:rsidR="006B00BB" w14:paraId="1E5DA239" w14:textId="77777777" w:rsidTr="00882EAF">
        <w:trPr>
          <w:jc w:val="center"/>
        </w:trPr>
        <w:tc>
          <w:tcPr>
            <w:tcW w:w="1262" w:type="dxa"/>
          </w:tcPr>
          <w:p w14:paraId="53BA66AC" w14:textId="77777777" w:rsidR="006B00BB" w:rsidRDefault="006B00BB" w:rsidP="00882EAF">
            <w:r>
              <w:t>2022/23</w:t>
            </w:r>
          </w:p>
        </w:tc>
        <w:tc>
          <w:tcPr>
            <w:tcW w:w="1589" w:type="dxa"/>
            <w:shd w:val="clear" w:color="auto" w:fill="auto"/>
          </w:tcPr>
          <w:p w14:paraId="3101C7A7" w14:textId="77777777" w:rsidR="006B00BB" w:rsidRDefault="006B00BB" w:rsidP="00882EAF">
            <w:r>
              <w:t>£3,177,000</w:t>
            </w:r>
          </w:p>
        </w:tc>
        <w:tc>
          <w:tcPr>
            <w:tcW w:w="1589" w:type="dxa"/>
            <w:shd w:val="clear" w:color="auto" w:fill="DAE9F7" w:themeFill="text2" w:themeFillTint="1A"/>
          </w:tcPr>
          <w:p w14:paraId="2C550C1D" w14:textId="77777777" w:rsidR="006B00BB" w:rsidRDefault="006B00BB" w:rsidP="00882EAF">
            <w:r>
              <w:t>£5,033,542</w:t>
            </w:r>
          </w:p>
        </w:tc>
        <w:tc>
          <w:tcPr>
            <w:tcW w:w="1590" w:type="dxa"/>
            <w:shd w:val="clear" w:color="auto" w:fill="DAE9F7" w:themeFill="text2" w:themeFillTint="1A"/>
          </w:tcPr>
          <w:p w14:paraId="55BE8216" w14:textId="77777777" w:rsidR="006B00BB" w:rsidRDefault="006B00BB" w:rsidP="00882EAF">
            <w:r>
              <w:t>£500,000</w:t>
            </w:r>
          </w:p>
        </w:tc>
        <w:tc>
          <w:tcPr>
            <w:tcW w:w="1589" w:type="dxa"/>
            <w:shd w:val="clear" w:color="auto" w:fill="auto"/>
          </w:tcPr>
          <w:p w14:paraId="08915FC3" w14:textId="77777777" w:rsidR="006B00BB" w:rsidRDefault="006B00BB" w:rsidP="00882EAF">
            <w:pPr>
              <w:jc w:val="center"/>
            </w:pPr>
            <w:r>
              <w:t>54%</w:t>
            </w:r>
          </w:p>
        </w:tc>
        <w:tc>
          <w:tcPr>
            <w:tcW w:w="1590" w:type="dxa"/>
            <w:shd w:val="clear" w:color="auto" w:fill="auto"/>
          </w:tcPr>
          <w:p w14:paraId="4C13602E" w14:textId="77777777" w:rsidR="006B00BB" w:rsidRDefault="006B00BB" w:rsidP="00882EAF">
            <w:pPr>
              <w:jc w:val="center"/>
            </w:pPr>
            <w:r>
              <w:t>46%</w:t>
            </w:r>
          </w:p>
        </w:tc>
      </w:tr>
      <w:tr w:rsidR="006B00BB" w14:paraId="669E854C" w14:textId="77777777" w:rsidTr="00882EAF">
        <w:trPr>
          <w:jc w:val="center"/>
        </w:trPr>
        <w:tc>
          <w:tcPr>
            <w:tcW w:w="1262" w:type="dxa"/>
          </w:tcPr>
          <w:p w14:paraId="09253290" w14:textId="77777777" w:rsidR="006B00BB" w:rsidRDefault="006B00BB" w:rsidP="00882EAF">
            <w:r>
              <w:t>2021/22</w:t>
            </w:r>
          </w:p>
        </w:tc>
        <w:tc>
          <w:tcPr>
            <w:tcW w:w="1589" w:type="dxa"/>
            <w:shd w:val="clear" w:color="auto" w:fill="auto"/>
          </w:tcPr>
          <w:p w14:paraId="73116738" w14:textId="77777777" w:rsidR="006B00BB" w:rsidRDefault="006B00BB" w:rsidP="00882EAF">
            <w:r>
              <w:t>£3,698,950</w:t>
            </w:r>
          </w:p>
        </w:tc>
        <w:tc>
          <w:tcPr>
            <w:tcW w:w="1589" w:type="dxa"/>
            <w:shd w:val="clear" w:color="auto" w:fill="DAE9F7" w:themeFill="text2" w:themeFillTint="1A"/>
          </w:tcPr>
          <w:p w14:paraId="7DB1D649" w14:textId="77777777" w:rsidR="006B00BB" w:rsidRDefault="006B00BB" w:rsidP="00882EAF">
            <w:r>
              <w:t>£4,902,780</w:t>
            </w:r>
          </w:p>
        </w:tc>
        <w:tc>
          <w:tcPr>
            <w:tcW w:w="1590" w:type="dxa"/>
            <w:shd w:val="clear" w:color="auto" w:fill="DAE9F7" w:themeFill="text2" w:themeFillTint="1A"/>
          </w:tcPr>
          <w:p w14:paraId="2A76B3F8" w14:textId="77777777" w:rsidR="006B00BB" w:rsidRDefault="006B00BB" w:rsidP="00882EAF">
            <w:r>
              <w:t>£500,000</w:t>
            </w:r>
          </w:p>
        </w:tc>
        <w:tc>
          <w:tcPr>
            <w:tcW w:w="1589" w:type="dxa"/>
            <w:shd w:val="clear" w:color="auto" w:fill="auto"/>
          </w:tcPr>
          <w:p w14:paraId="26E2F7E7" w14:textId="77777777" w:rsidR="006B00BB" w:rsidRDefault="006B00BB" w:rsidP="00882EAF">
            <w:pPr>
              <w:jc w:val="center"/>
            </w:pPr>
            <w:r>
              <w:t>48%</w:t>
            </w:r>
          </w:p>
        </w:tc>
        <w:tc>
          <w:tcPr>
            <w:tcW w:w="1590" w:type="dxa"/>
            <w:shd w:val="clear" w:color="auto" w:fill="auto"/>
          </w:tcPr>
          <w:p w14:paraId="6C4D2558" w14:textId="77777777" w:rsidR="006B00BB" w:rsidRDefault="006B00BB" w:rsidP="00882EAF">
            <w:pPr>
              <w:jc w:val="center"/>
            </w:pPr>
            <w:r>
              <w:t>52%</w:t>
            </w:r>
          </w:p>
        </w:tc>
      </w:tr>
      <w:tr w:rsidR="006B00BB" w14:paraId="430052A5" w14:textId="77777777" w:rsidTr="00882EAF">
        <w:trPr>
          <w:jc w:val="center"/>
        </w:trPr>
        <w:tc>
          <w:tcPr>
            <w:tcW w:w="1262" w:type="dxa"/>
          </w:tcPr>
          <w:p w14:paraId="6A6C96D7" w14:textId="77777777" w:rsidR="006B00BB" w:rsidRDefault="006B00BB" w:rsidP="00882EAF">
            <w:r>
              <w:t>2020/21</w:t>
            </w:r>
          </w:p>
        </w:tc>
        <w:tc>
          <w:tcPr>
            <w:tcW w:w="1589" w:type="dxa"/>
            <w:shd w:val="clear" w:color="auto" w:fill="auto"/>
          </w:tcPr>
          <w:p w14:paraId="62E394F6" w14:textId="77777777" w:rsidR="006B00BB" w:rsidRDefault="006B00BB" w:rsidP="00882EAF">
            <w:r>
              <w:t>£4,171,373</w:t>
            </w:r>
          </w:p>
        </w:tc>
        <w:tc>
          <w:tcPr>
            <w:tcW w:w="1589" w:type="dxa"/>
            <w:shd w:val="clear" w:color="auto" w:fill="DAE9F7" w:themeFill="text2" w:themeFillTint="1A"/>
          </w:tcPr>
          <w:p w14:paraId="4FD69FEC" w14:textId="77777777" w:rsidR="006B00BB" w:rsidRDefault="006B00BB" w:rsidP="00882EAF">
            <w:r>
              <w:t>£5,775,253</w:t>
            </w:r>
          </w:p>
        </w:tc>
        <w:tc>
          <w:tcPr>
            <w:tcW w:w="1590" w:type="dxa"/>
            <w:shd w:val="clear" w:color="auto" w:fill="DAE9F7" w:themeFill="text2" w:themeFillTint="1A"/>
          </w:tcPr>
          <w:p w14:paraId="77C1F28E" w14:textId="77777777" w:rsidR="006B00BB" w:rsidRDefault="006B00BB" w:rsidP="00882EAF">
            <w:r>
              <w:t>£500,000</w:t>
            </w:r>
          </w:p>
        </w:tc>
        <w:tc>
          <w:tcPr>
            <w:tcW w:w="1589" w:type="dxa"/>
            <w:shd w:val="clear" w:color="auto" w:fill="auto"/>
          </w:tcPr>
          <w:p w14:paraId="668318E9" w14:textId="77777777" w:rsidR="006B00BB" w:rsidRDefault="006B00BB" w:rsidP="00882EAF">
            <w:pPr>
              <w:jc w:val="center"/>
            </w:pPr>
            <w:r>
              <w:t>59%</w:t>
            </w:r>
          </w:p>
        </w:tc>
        <w:tc>
          <w:tcPr>
            <w:tcW w:w="1590" w:type="dxa"/>
            <w:shd w:val="clear" w:color="auto" w:fill="auto"/>
          </w:tcPr>
          <w:p w14:paraId="4E5F8F11" w14:textId="77777777" w:rsidR="006B00BB" w:rsidRDefault="006B00BB" w:rsidP="00882EAF">
            <w:pPr>
              <w:jc w:val="center"/>
            </w:pPr>
            <w:r>
              <w:t>41%</w:t>
            </w:r>
          </w:p>
        </w:tc>
      </w:tr>
    </w:tbl>
    <w:p w14:paraId="7E6F6B1D" w14:textId="77777777" w:rsidR="006B00BB" w:rsidRPr="00071825" w:rsidRDefault="006B00BB" w:rsidP="006B00BB">
      <w:pPr>
        <w:rPr>
          <w:i/>
          <w:iCs/>
        </w:rPr>
      </w:pPr>
      <w:r>
        <w:rPr>
          <w:i/>
          <w:iCs/>
        </w:rPr>
        <w:br/>
      </w:r>
    </w:p>
    <w:p w14:paraId="136D3C50" w14:textId="77777777" w:rsidR="006B00BB" w:rsidRDefault="006B00BB" w:rsidP="006B00BB">
      <w:pPr>
        <w:pStyle w:val="Heading1"/>
      </w:pPr>
      <w:r>
        <w:t>Additional information on spending</w:t>
      </w:r>
    </w:p>
    <w:p w14:paraId="60AF7771" w14:textId="77777777" w:rsidR="006B00BB" w:rsidRDefault="006B00BB" w:rsidP="006B00BB">
      <w:pPr>
        <w:spacing w:after="0"/>
      </w:pPr>
      <w:r w:rsidRPr="16DA3383">
        <w:rPr>
          <w:rFonts w:eastAsiaTheme="minorEastAsia"/>
        </w:rPr>
        <w:t xml:space="preserve">As the Highway Authority we have statutory obligations to maintain and operate the highway network efficiently and safely. The Highways Act 1980, as well as other legislation, establishes what our service is required to deliver and ensure we adopted and adhere to Codes of Practice such as ‘Well Managed Highway Infrastructure’ to help us set the standards. </w:t>
      </w:r>
    </w:p>
    <w:p w14:paraId="46861499" w14:textId="77777777" w:rsidR="006B00BB" w:rsidRDefault="006B00BB" w:rsidP="006B00BB">
      <w:pPr>
        <w:spacing w:after="0"/>
        <w:rPr>
          <w:rFonts w:eastAsiaTheme="minorEastAsia"/>
        </w:rPr>
      </w:pPr>
    </w:p>
    <w:p w14:paraId="20D116AA" w14:textId="77777777" w:rsidR="006B00BB" w:rsidRDefault="006B00BB" w:rsidP="006B00BB">
      <w:r>
        <w:t>The DfT Funding Medway Council are receiving this year has a baseline of £3,735,000 plus an additional £1,289,000.</w:t>
      </w:r>
    </w:p>
    <w:p w14:paraId="105F2C83" w14:textId="77777777" w:rsidR="006B00BB" w:rsidRDefault="006B00BB" w:rsidP="006B00BB">
      <w:r>
        <w:t>The allocations have been split as below:</w:t>
      </w:r>
    </w:p>
    <w:p w14:paraId="2E3B4C46" w14:textId="77777777" w:rsidR="006B00BB" w:rsidRDefault="006B00BB" w:rsidP="006B00BB">
      <w:pPr>
        <w:pStyle w:val="ListParagraph"/>
        <w:numPr>
          <w:ilvl w:val="0"/>
          <w:numId w:val="2"/>
        </w:numPr>
      </w:pPr>
      <w:r>
        <w:t>Pothole Funding - £1,412,000 which is being used for assessed and scored Priority 1 sites for resurfacing and forms Medway Council’s annual resurfacing programme.</w:t>
      </w:r>
    </w:p>
    <w:p w14:paraId="33E9D320" w14:textId="77777777" w:rsidR="006B00BB" w:rsidRDefault="006B00BB" w:rsidP="006B00BB">
      <w:pPr>
        <w:pStyle w:val="ListParagraph"/>
        <w:numPr>
          <w:ilvl w:val="0"/>
          <w:numId w:val="2"/>
        </w:numPr>
      </w:pPr>
      <w:r>
        <w:t>Highways Maintenance Block (Needs) - £1,412,000 and Highways Maintenance Block (Incentive) - £353,000 which is being used for all Highway maintenance aspects such as Structures, Drainage, Highway Signage, Road Markings, Crash Barrier replacement programme, and for Skid deficient sites.</w:t>
      </w:r>
    </w:p>
    <w:p w14:paraId="2C554738" w14:textId="77777777" w:rsidR="006B00BB" w:rsidRDefault="006B00BB" w:rsidP="006B00BB">
      <w:pPr>
        <w:pStyle w:val="ListParagraph"/>
        <w:numPr>
          <w:ilvl w:val="0"/>
          <w:numId w:val="2"/>
        </w:numPr>
      </w:pPr>
      <w:r>
        <w:t>Additional Highways Funding - £1,289,000 + £401,000 (Network North) + £157,000 (additional baseline) is being used to carry out larger patching works on the highway network, incorporating preventative works. This will enable us to address clusters of defects that do not yet meet our safety intervention threshold or resurfacing criteria, but visually make the network look in worse condition than it structurally is. This is also being used for sites that have scored as a priority 1 and are too large an area for patching and would benefit from a resurfacing scheme.</w:t>
      </w:r>
    </w:p>
    <w:p w14:paraId="5E9A0BF4" w14:textId="77777777" w:rsidR="006B00BB" w:rsidRDefault="006B00BB" w:rsidP="006B00BB">
      <w:pPr>
        <w:pStyle w:val="ListParagraph"/>
        <w:numPr>
          <w:ilvl w:val="0"/>
          <w:numId w:val="2"/>
        </w:numPr>
      </w:pPr>
      <w:r>
        <w:t>Medway Council also has a Revenue budget of £500,000 to focus on the reactive maintenance. To improve the condition and appearance of the network, Medway Council have changed their repair methodology and are no longer using cold lay (</w:t>
      </w:r>
      <w:proofErr w:type="spellStart"/>
      <w:r>
        <w:t>Viafix</w:t>
      </w:r>
      <w:proofErr w:type="spellEnd"/>
      <w:r>
        <w:t>) Material, which has been used as a permanent repair for several years to plug defects. This may still be used in emergency situations only and where it must be used, it is to be followed up with a permanent patch.</w:t>
      </w:r>
    </w:p>
    <w:p w14:paraId="56C97CF6" w14:textId="77777777" w:rsidR="006B00BB" w:rsidRDefault="006B00BB" w:rsidP="006B00BB">
      <w:pPr>
        <w:pStyle w:val="ListParagraph"/>
        <w:numPr>
          <w:ilvl w:val="0"/>
          <w:numId w:val="2"/>
        </w:numPr>
      </w:pPr>
      <w:r>
        <w:t>Our aim from an asset and investment perspective is to transition our spend on more planned preventative maintenance than responsible and we will do this by ensuring our repairs are right first time along with utilising innovative</w:t>
      </w:r>
      <w:r w:rsidRPr="006B70F5">
        <w:t xml:space="preserve"> products and AI technology</w:t>
      </w:r>
      <w:r>
        <w:t>.</w:t>
      </w:r>
    </w:p>
    <w:p w14:paraId="0ACBC3BC" w14:textId="77777777" w:rsidR="006B00BB" w:rsidRDefault="006B00BB" w:rsidP="006B00BB">
      <w:r>
        <w:t xml:space="preserve">Our Highway Asset Management System records the number of potholes ordered for repair and therefore the number repaired to date are shown in the table below: </w:t>
      </w:r>
    </w:p>
    <w:p w14:paraId="4620B905" w14:textId="77777777" w:rsidR="006B00BB" w:rsidRDefault="006B00BB" w:rsidP="006B00BB">
      <w:pPr>
        <w:spacing w:after="0"/>
      </w:pPr>
      <w:r>
        <w:t>Table 2 – Number of potholes repaired</w:t>
      </w:r>
    </w:p>
    <w:tbl>
      <w:tblPr>
        <w:tblStyle w:val="TableGrid"/>
        <w:tblpPr w:leftFromText="180" w:rightFromText="180" w:vertAnchor="text" w:horzAnchor="margin" w:tblpXSpec="center" w:tblpY="93"/>
        <w:tblW w:w="8296" w:type="dxa"/>
        <w:tblCellMar>
          <w:top w:w="57" w:type="dxa"/>
          <w:left w:w="57" w:type="dxa"/>
          <w:bottom w:w="57" w:type="dxa"/>
          <w:right w:w="57" w:type="dxa"/>
        </w:tblCellMar>
        <w:tblLook w:val="04A0" w:firstRow="1" w:lastRow="0" w:firstColumn="1" w:lastColumn="0" w:noHBand="0" w:noVBand="1"/>
        <w:tblCaption w:val="Table 2"/>
        <w:tblDescription w:val="Table detailing the number of potholes repaired each year"/>
      </w:tblPr>
      <w:tblGrid>
        <w:gridCol w:w="1659"/>
        <w:gridCol w:w="1659"/>
        <w:gridCol w:w="1659"/>
        <w:gridCol w:w="1650"/>
        <w:gridCol w:w="1669"/>
      </w:tblGrid>
      <w:tr w:rsidR="006B00BB" w14:paraId="461E966B" w14:textId="77777777" w:rsidTr="00882EAF">
        <w:tc>
          <w:tcPr>
            <w:tcW w:w="1659" w:type="dxa"/>
          </w:tcPr>
          <w:p w14:paraId="7066D7B8" w14:textId="77777777" w:rsidR="006B00BB" w:rsidRPr="00F07A92" w:rsidRDefault="006B00BB" w:rsidP="00882EAF">
            <w:pPr>
              <w:pStyle w:val="ListParagraph"/>
              <w:ind w:left="0"/>
            </w:pPr>
            <w:r w:rsidRPr="00F07A92">
              <w:t>2021/22</w:t>
            </w:r>
          </w:p>
        </w:tc>
        <w:tc>
          <w:tcPr>
            <w:tcW w:w="1659" w:type="dxa"/>
          </w:tcPr>
          <w:p w14:paraId="346EA50E" w14:textId="77777777" w:rsidR="006B00BB" w:rsidRPr="00F07A92" w:rsidRDefault="006B00BB" w:rsidP="00882EAF">
            <w:pPr>
              <w:pStyle w:val="ListParagraph"/>
              <w:ind w:left="0"/>
            </w:pPr>
            <w:r w:rsidRPr="00F07A92">
              <w:t>2022/2</w:t>
            </w:r>
            <w:r>
              <w:t>3</w:t>
            </w:r>
          </w:p>
        </w:tc>
        <w:tc>
          <w:tcPr>
            <w:tcW w:w="1659" w:type="dxa"/>
          </w:tcPr>
          <w:p w14:paraId="13BEE3A1" w14:textId="77777777" w:rsidR="006B00BB" w:rsidRPr="00F07A92" w:rsidRDefault="006B00BB" w:rsidP="00882EAF">
            <w:pPr>
              <w:pStyle w:val="ListParagraph"/>
              <w:ind w:left="0"/>
            </w:pPr>
            <w:r w:rsidRPr="00F07A92">
              <w:t>202</w:t>
            </w:r>
            <w:r>
              <w:t>3</w:t>
            </w:r>
            <w:r w:rsidRPr="00F07A92">
              <w:t>/2</w:t>
            </w:r>
            <w:r>
              <w:t>4</w:t>
            </w:r>
          </w:p>
        </w:tc>
        <w:tc>
          <w:tcPr>
            <w:tcW w:w="1650" w:type="dxa"/>
          </w:tcPr>
          <w:p w14:paraId="1D2F4D4A" w14:textId="77777777" w:rsidR="006B00BB" w:rsidRPr="00F07A92" w:rsidRDefault="006B00BB" w:rsidP="00882EAF">
            <w:pPr>
              <w:pStyle w:val="ListParagraph"/>
              <w:ind w:left="0"/>
            </w:pPr>
            <w:r w:rsidRPr="00F07A92">
              <w:t>202</w:t>
            </w:r>
            <w:r>
              <w:t>4</w:t>
            </w:r>
            <w:r w:rsidRPr="00F07A92">
              <w:t>/2</w:t>
            </w:r>
            <w:r>
              <w:t>5</w:t>
            </w:r>
          </w:p>
        </w:tc>
        <w:tc>
          <w:tcPr>
            <w:tcW w:w="1669" w:type="dxa"/>
          </w:tcPr>
          <w:p w14:paraId="3AB4D365" w14:textId="77777777" w:rsidR="006B00BB" w:rsidRPr="00F07A92" w:rsidRDefault="006B00BB" w:rsidP="00882EAF">
            <w:pPr>
              <w:pStyle w:val="ListParagraph"/>
              <w:ind w:left="0"/>
            </w:pPr>
            <w:r w:rsidRPr="00F07A92">
              <w:t>202</w:t>
            </w:r>
            <w:r>
              <w:t>5</w:t>
            </w:r>
            <w:r w:rsidRPr="00F07A92">
              <w:t>/2</w:t>
            </w:r>
            <w:r>
              <w:t>6</w:t>
            </w:r>
          </w:p>
        </w:tc>
      </w:tr>
      <w:tr w:rsidR="006B00BB" w14:paraId="1C282580" w14:textId="77777777" w:rsidTr="00882EAF">
        <w:tc>
          <w:tcPr>
            <w:tcW w:w="1659" w:type="dxa"/>
          </w:tcPr>
          <w:p w14:paraId="1E7D60B6" w14:textId="77777777" w:rsidR="006B00BB" w:rsidRPr="00F07A92" w:rsidRDefault="006B00BB" w:rsidP="00882EAF">
            <w:pPr>
              <w:pStyle w:val="ListParagraph"/>
              <w:ind w:left="0"/>
            </w:pPr>
            <w:r>
              <w:lastRenderedPageBreak/>
              <w:t>9,024</w:t>
            </w:r>
          </w:p>
        </w:tc>
        <w:tc>
          <w:tcPr>
            <w:tcW w:w="1659" w:type="dxa"/>
          </w:tcPr>
          <w:p w14:paraId="4AF3F7CA" w14:textId="77777777" w:rsidR="006B00BB" w:rsidRPr="00F07A92" w:rsidRDefault="006B00BB" w:rsidP="00882EAF">
            <w:pPr>
              <w:pStyle w:val="ListParagraph"/>
              <w:ind w:left="0"/>
            </w:pPr>
            <w:r>
              <w:t>12,040</w:t>
            </w:r>
          </w:p>
        </w:tc>
        <w:tc>
          <w:tcPr>
            <w:tcW w:w="1659" w:type="dxa"/>
          </w:tcPr>
          <w:p w14:paraId="0C75D9C7" w14:textId="77777777" w:rsidR="006B00BB" w:rsidRPr="00F07A92" w:rsidRDefault="006B00BB" w:rsidP="00882EAF">
            <w:pPr>
              <w:pStyle w:val="ListParagraph"/>
              <w:ind w:left="0"/>
            </w:pPr>
            <w:r>
              <w:t>16,373</w:t>
            </w:r>
          </w:p>
        </w:tc>
        <w:tc>
          <w:tcPr>
            <w:tcW w:w="1650" w:type="dxa"/>
          </w:tcPr>
          <w:p w14:paraId="20304F28" w14:textId="77777777" w:rsidR="006B00BB" w:rsidRPr="00F07A92" w:rsidRDefault="006B00BB" w:rsidP="00882EAF">
            <w:pPr>
              <w:pStyle w:val="ListParagraph"/>
              <w:ind w:left="0"/>
            </w:pPr>
            <w:r>
              <w:t>7,252</w:t>
            </w:r>
          </w:p>
        </w:tc>
        <w:tc>
          <w:tcPr>
            <w:tcW w:w="1669" w:type="dxa"/>
          </w:tcPr>
          <w:p w14:paraId="78597D48" w14:textId="77777777" w:rsidR="006B00BB" w:rsidRPr="00F07A92" w:rsidRDefault="006B00BB" w:rsidP="00882EAF">
            <w:pPr>
              <w:pStyle w:val="ListParagraph"/>
              <w:ind w:left="0"/>
            </w:pPr>
            <w:r>
              <w:t>957 to date</w:t>
            </w:r>
          </w:p>
        </w:tc>
      </w:tr>
    </w:tbl>
    <w:p w14:paraId="4B335A2B" w14:textId="77777777" w:rsidR="006B00BB" w:rsidRDefault="006B00BB" w:rsidP="006B00BB">
      <w:r>
        <w:t xml:space="preserve">Road condition assessments on the local classified road network in England are currently made using Surface Condition Assessment for the National Network of Roads (SCANNER) laser-based technology. </w:t>
      </w:r>
    </w:p>
    <w:p w14:paraId="0C170615" w14:textId="77777777" w:rsidR="006B00BB" w:rsidRDefault="006B00BB" w:rsidP="006B00BB">
      <w:r>
        <w:t xml:space="preserve">Several parameters measured in these surveys are used to produce a road condition indicator which is categorised into three condition categories:  </w:t>
      </w:r>
    </w:p>
    <w:p w14:paraId="6A50FAAA" w14:textId="77777777" w:rsidR="006B00BB" w:rsidRDefault="006B00BB" w:rsidP="006B00BB">
      <w:pPr>
        <w:pStyle w:val="ListParagraph"/>
        <w:numPr>
          <w:ilvl w:val="0"/>
          <w:numId w:val="1"/>
        </w:numPr>
      </w:pPr>
      <w:r>
        <w:t xml:space="preserve">Green – No further investigation or treatment required </w:t>
      </w:r>
    </w:p>
    <w:p w14:paraId="3FAD3DF3" w14:textId="77777777" w:rsidR="006B00BB" w:rsidRDefault="006B00BB" w:rsidP="006B00BB">
      <w:pPr>
        <w:pStyle w:val="ListParagraph"/>
        <w:numPr>
          <w:ilvl w:val="0"/>
          <w:numId w:val="1"/>
        </w:numPr>
      </w:pPr>
      <w:r>
        <w:t xml:space="preserve">Amber – Maintenance may be required soon </w:t>
      </w:r>
    </w:p>
    <w:p w14:paraId="742E6638" w14:textId="77777777" w:rsidR="006B00BB" w:rsidRDefault="006B00BB" w:rsidP="006B00BB">
      <w:pPr>
        <w:pStyle w:val="ListParagraph"/>
        <w:numPr>
          <w:ilvl w:val="0"/>
          <w:numId w:val="1"/>
        </w:numPr>
      </w:pPr>
      <w:r>
        <w:t xml:space="preserve">Red – Should be considered for maintenance  </w:t>
      </w:r>
    </w:p>
    <w:p w14:paraId="33147578" w14:textId="77777777" w:rsidR="006B00BB" w:rsidRDefault="006B00BB" w:rsidP="006B00BB">
      <w:r w:rsidRPr="17C8B120">
        <w:t>Medway Council carry out the classified surveys for A, B and C</w:t>
      </w:r>
      <w:r>
        <w:t xml:space="preserve"> road classes</w:t>
      </w:r>
      <w:r w:rsidRPr="17C8B120">
        <w:t xml:space="preserve"> annually. </w:t>
      </w:r>
    </w:p>
    <w:p w14:paraId="32EB51A3" w14:textId="77777777" w:rsidR="006B00BB" w:rsidRDefault="006B00BB" w:rsidP="006B00BB">
      <w:r w:rsidRPr="17C8B120">
        <w:t xml:space="preserve">Medway Council are aware that from </w:t>
      </w:r>
      <w:r>
        <w:t xml:space="preserve">2026/27 a new methodology will be used based on the BSI PAS2161 standard. Local Highway Authorities will be required to use a supplier that has been accredited against PAS2161. This new standard will categorise roads into five categories instead of three to help the government gain a more detailed understanding of road condition in England. </w:t>
      </w:r>
    </w:p>
    <w:p w14:paraId="08A7BA47" w14:textId="77777777" w:rsidR="006B00BB" w:rsidRDefault="006B00BB" w:rsidP="006B00BB">
      <w:r>
        <w:t>Medway Council will be gathering the condition data as normal however we have also instructed our supplier to undertake the new method this year so that we can start to familiarise ourselves with the new categories going forward.</w:t>
      </w:r>
    </w:p>
    <w:p w14:paraId="25A1E407" w14:textId="77777777" w:rsidR="006B00BB" w:rsidRPr="000A15B8" w:rsidRDefault="006B00BB" w:rsidP="006B00BB">
      <w:r w:rsidRPr="000A15B8">
        <w:t>In addition, Medway Council has implemented AI technology to support Highway Safety Inspections. The provider is accredited to BSI PAS 2161, ensuring a robust and compliant standard of data collection.</w:t>
      </w:r>
    </w:p>
    <w:p w14:paraId="4EB596CA" w14:textId="77777777" w:rsidR="006B00BB" w:rsidRPr="000A15B8" w:rsidRDefault="006B00BB" w:rsidP="006B00BB">
      <w:r w:rsidRPr="000A15B8">
        <w:t>We will be comparing the data generated from this platform with that of our current supplier to assess alignment and accuracy. If the AI-derived condition data is consistent, this will allow us to collect information at a higher frequency, enhancing our strategic planning and further supporting our adopted Asset Management Strategy.</w:t>
      </w:r>
    </w:p>
    <w:p w14:paraId="2766B0B4" w14:textId="77777777" w:rsidR="006B00BB" w:rsidRDefault="006B00BB" w:rsidP="006B00BB">
      <w:r>
        <w:t xml:space="preserve">Further details are available at </w:t>
      </w:r>
      <w:hyperlink r:id="rId6" w:anchor="condition-of-local-authority-managed-roads-rdc01">
        <w:r w:rsidRPr="17C8B120">
          <w:rPr>
            <w:rStyle w:val="Hyperlink"/>
          </w:rPr>
          <w:t>https://www.gov.uk/government/statistical-data-sets/road-condition-statistics-data-tables-rdc#condition-of-local-authority-managed-roads-rdc01</w:t>
        </w:r>
      </w:hyperlink>
    </w:p>
    <w:p w14:paraId="2995C3C1" w14:textId="77777777" w:rsidR="006B00BB" w:rsidRPr="00EF1971" w:rsidRDefault="006B00BB" w:rsidP="006B00BB">
      <w:r w:rsidRPr="00EF1971">
        <w:t xml:space="preserve">Table </w:t>
      </w:r>
      <w:r>
        <w:t>3</w:t>
      </w:r>
      <w:r w:rsidRPr="00EF1971">
        <w:t xml:space="preserve"> - Percentage of A roads in each condition category</w:t>
      </w:r>
    </w:p>
    <w:tbl>
      <w:tblPr>
        <w:tblStyle w:val="TableGrid"/>
        <w:tblW w:w="0" w:type="auto"/>
        <w:jc w:val="center"/>
        <w:tblCellMar>
          <w:top w:w="57" w:type="dxa"/>
          <w:left w:w="57" w:type="dxa"/>
          <w:bottom w:w="57" w:type="dxa"/>
          <w:right w:w="57" w:type="dxa"/>
        </w:tblCellMar>
        <w:tblLook w:val="04A0" w:firstRow="1" w:lastRow="0" w:firstColumn="1" w:lastColumn="0" w:noHBand="0" w:noVBand="1"/>
        <w:tblCaption w:val="Table 3"/>
        <w:tblDescription w:val="Table showing percentage of A roads in each condition category"/>
      </w:tblPr>
      <w:tblGrid>
        <w:gridCol w:w="1617"/>
        <w:gridCol w:w="2286"/>
        <w:gridCol w:w="2288"/>
        <w:gridCol w:w="2302"/>
      </w:tblGrid>
      <w:tr w:rsidR="006B00BB" w:rsidRPr="00980622" w14:paraId="0046DB20" w14:textId="77777777" w:rsidTr="00882EAF">
        <w:trPr>
          <w:jc w:val="center"/>
        </w:trPr>
        <w:tc>
          <w:tcPr>
            <w:tcW w:w="1617" w:type="dxa"/>
          </w:tcPr>
          <w:p w14:paraId="71839F33" w14:textId="77777777" w:rsidR="006B00BB" w:rsidRPr="00980622" w:rsidRDefault="006B00BB" w:rsidP="00882EAF">
            <w:pPr>
              <w:jc w:val="center"/>
              <w:rPr>
                <w:b/>
                <w:bCs/>
                <w:highlight w:val="cyan"/>
              </w:rPr>
            </w:pPr>
            <w:r w:rsidRPr="71B2FD98">
              <w:rPr>
                <w:b/>
                <w:bCs/>
              </w:rPr>
              <w:t>Year</w:t>
            </w:r>
          </w:p>
        </w:tc>
        <w:tc>
          <w:tcPr>
            <w:tcW w:w="2286" w:type="dxa"/>
          </w:tcPr>
          <w:p w14:paraId="617F4A6E" w14:textId="77777777" w:rsidR="006B00BB" w:rsidRPr="00980622" w:rsidRDefault="006B00BB" w:rsidP="00882EAF">
            <w:pPr>
              <w:jc w:val="center"/>
              <w:rPr>
                <w:b/>
                <w:bCs/>
              </w:rPr>
            </w:pPr>
            <w:r w:rsidRPr="71B2FD98">
              <w:rPr>
                <w:b/>
                <w:bCs/>
              </w:rPr>
              <w:t>Red</w:t>
            </w:r>
          </w:p>
        </w:tc>
        <w:tc>
          <w:tcPr>
            <w:tcW w:w="2288" w:type="dxa"/>
          </w:tcPr>
          <w:p w14:paraId="6B57552B" w14:textId="77777777" w:rsidR="006B00BB" w:rsidRPr="00980622" w:rsidRDefault="006B00BB" w:rsidP="00882EAF">
            <w:pPr>
              <w:jc w:val="center"/>
              <w:rPr>
                <w:b/>
                <w:bCs/>
              </w:rPr>
            </w:pPr>
            <w:r w:rsidRPr="71B2FD98">
              <w:rPr>
                <w:b/>
                <w:bCs/>
              </w:rPr>
              <w:t>Amber</w:t>
            </w:r>
          </w:p>
        </w:tc>
        <w:tc>
          <w:tcPr>
            <w:tcW w:w="2302" w:type="dxa"/>
          </w:tcPr>
          <w:p w14:paraId="106B5274" w14:textId="77777777" w:rsidR="006B00BB" w:rsidRPr="00980622" w:rsidRDefault="006B00BB" w:rsidP="00882EAF">
            <w:pPr>
              <w:jc w:val="center"/>
              <w:rPr>
                <w:b/>
                <w:bCs/>
              </w:rPr>
            </w:pPr>
            <w:r w:rsidRPr="71B2FD98">
              <w:rPr>
                <w:b/>
                <w:bCs/>
              </w:rPr>
              <w:t>Green</w:t>
            </w:r>
          </w:p>
        </w:tc>
      </w:tr>
      <w:tr w:rsidR="006B00BB" w:rsidRPr="00980622" w14:paraId="036CBEE7" w14:textId="77777777" w:rsidTr="00882EAF">
        <w:trPr>
          <w:jc w:val="center"/>
        </w:trPr>
        <w:tc>
          <w:tcPr>
            <w:tcW w:w="1617" w:type="dxa"/>
          </w:tcPr>
          <w:p w14:paraId="395109D5" w14:textId="77777777" w:rsidR="006B00BB" w:rsidRPr="00980622" w:rsidRDefault="006B00BB" w:rsidP="00882EAF">
            <w:pPr>
              <w:jc w:val="center"/>
            </w:pPr>
            <w:r>
              <w:t>2020</w:t>
            </w:r>
          </w:p>
        </w:tc>
        <w:tc>
          <w:tcPr>
            <w:tcW w:w="2286" w:type="dxa"/>
          </w:tcPr>
          <w:p w14:paraId="74F2F47D" w14:textId="77777777" w:rsidR="006B00BB" w:rsidRPr="00980622" w:rsidRDefault="006B00BB" w:rsidP="00882EAF">
            <w:pPr>
              <w:jc w:val="center"/>
            </w:pPr>
            <w:r>
              <w:t>1.4%</w:t>
            </w:r>
          </w:p>
        </w:tc>
        <w:tc>
          <w:tcPr>
            <w:tcW w:w="2288" w:type="dxa"/>
          </w:tcPr>
          <w:p w14:paraId="279A4BE8" w14:textId="77777777" w:rsidR="006B00BB" w:rsidRPr="00980622" w:rsidRDefault="006B00BB" w:rsidP="00882EAF">
            <w:pPr>
              <w:jc w:val="center"/>
            </w:pPr>
            <w:r>
              <w:t>12.9%</w:t>
            </w:r>
          </w:p>
        </w:tc>
        <w:tc>
          <w:tcPr>
            <w:tcW w:w="2302" w:type="dxa"/>
          </w:tcPr>
          <w:p w14:paraId="655EDDB8" w14:textId="77777777" w:rsidR="006B00BB" w:rsidRPr="00980622" w:rsidRDefault="006B00BB" w:rsidP="00882EAF">
            <w:pPr>
              <w:jc w:val="center"/>
            </w:pPr>
            <w:r>
              <w:t>85.7%</w:t>
            </w:r>
          </w:p>
        </w:tc>
      </w:tr>
      <w:tr w:rsidR="006B00BB" w:rsidRPr="00980622" w14:paraId="1380D183" w14:textId="77777777" w:rsidTr="00882EAF">
        <w:trPr>
          <w:jc w:val="center"/>
        </w:trPr>
        <w:tc>
          <w:tcPr>
            <w:tcW w:w="1617" w:type="dxa"/>
          </w:tcPr>
          <w:p w14:paraId="7DE45C56" w14:textId="77777777" w:rsidR="006B00BB" w:rsidRPr="00980622" w:rsidRDefault="006B00BB" w:rsidP="00882EAF">
            <w:pPr>
              <w:jc w:val="center"/>
            </w:pPr>
            <w:r>
              <w:t>2021</w:t>
            </w:r>
          </w:p>
        </w:tc>
        <w:tc>
          <w:tcPr>
            <w:tcW w:w="2286" w:type="dxa"/>
          </w:tcPr>
          <w:p w14:paraId="3CB746D4" w14:textId="77777777" w:rsidR="006B00BB" w:rsidRPr="00980622" w:rsidRDefault="006B00BB" w:rsidP="00882EAF">
            <w:pPr>
              <w:jc w:val="center"/>
            </w:pPr>
            <w:r>
              <w:t>2.3%</w:t>
            </w:r>
          </w:p>
        </w:tc>
        <w:tc>
          <w:tcPr>
            <w:tcW w:w="2288" w:type="dxa"/>
          </w:tcPr>
          <w:p w14:paraId="5E2508F5" w14:textId="77777777" w:rsidR="006B00BB" w:rsidRPr="00980622" w:rsidRDefault="006B00BB" w:rsidP="00882EAF">
            <w:pPr>
              <w:jc w:val="center"/>
            </w:pPr>
            <w:r>
              <w:t>13.8%</w:t>
            </w:r>
          </w:p>
        </w:tc>
        <w:tc>
          <w:tcPr>
            <w:tcW w:w="2302" w:type="dxa"/>
          </w:tcPr>
          <w:p w14:paraId="4DD585F4" w14:textId="77777777" w:rsidR="006B00BB" w:rsidRPr="00980622" w:rsidRDefault="006B00BB" w:rsidP="00882EAF">
            <w:pPr>
              <w:jc w:val="center"/>
            </w:pPr>
            <w:r>
              <w:t>83.9%</w:t>
            </w:r>
          </w:p>
        </w:tc>
      </w:tr>
      <w:tr w:rsidR="006B00BB" w:rsidRPr="00980622" w14:paraId="4342B05F" w14:textId="77777777" w:rsidTr="00882EAF">
        <w:trPr>
          <w:jc w:val="center"/>
        </w:trPr>
        <w:tc>
          <w:tcPr>
            <w:tcW w:w="1617" w:type="dxa"/>
          </w:tcPr>
          <w:p w14:paraId="4FF24955" w14:textId="77777777" w:rsidR="006B00BB" w:rsidRPr="00980622" w:rsidRDefault="006B00BB" w:rsidP="00882EAF">
            <w:pPr>
              <w:jc w:val="center"/>
            </w:pPr>
            <w:r>
              <w:t>2022</w:t>
            </w:r>
          </w:p>
        </w:tc>
        <w:tc>
          <w:tcPr>
            <w:tcW w:w="2286" w:type="dxa"/>
          </w:tcPr>
          <w:p w14:paraId="1CF42B4E" w14:textId="77777777" w:rsidR="006B00BB" w:rsidRPr="00980622" w:rsidRDefault="006B00BB" w:rsidP="00882EAF">
            <w:pPr>
              <w:jc w:val="center"/>
            </w:pPr>
            <w:r>
              <w:t>5.0%</w:t>
            </w:r>
          </w:p>
        </w:tc>
        <w:tc>
          <w:tcPr>
            <w:tcW w:w="2288" w:type="dxa"/>
          </w:tcPr>
          <w:p w14:paraId="5E2E189D" w14:textId="77777777" w:rsidR="006B00BB" w:rsidRPr="00980622" w:rsidRDefault="006B00BB" w:rsidP="00882EAF">
            <w:pPr>
              <w:jc w:val="center"/>
            </w:pPr>
            <w:r>
              <w:t>20.9%</w:t>
            </w:r>
          </w:p>
        </w:tc>
        <w:tc>
          <w:tcPr>
            <w:tcW w:w="2302" w:type="dxa"/>
          </w:tcPr>
          <w:p w14:paraId="2973319A" w14:textId="77777777" w:rsidR="006B00BB" w:rsidRPr="00980622" w:rsidRDefault="006B00BB" w:rsidP="00882EAF">
            <w:pPr>
              <w:jc w:val="center"/>
            </w:pPr>
            <w:r>
              <w:t>74.2%</w:t>
            </w:r>
          </w:p>
        </w:tc>
      </w:tr>
      <w:tr w:rsidR="006B00BB" w:rsidRPr="00980622" w14:paraId="2DF2FCE0" w14:textId="77777777" w:rsidTr="00882EAF">
        <w:trPr>
          <w:jc w:val="center"/>
        </w:trPr>
        <w:tc>
          <w:tcPr>
            <w:tcW w:w="1617" w:type="dxa"/>
          </w:tcPr>
          <w:p w14:paraId="7074F4AA" w14:textId="77777777" w:rsidR="006B00BB" w:rsidRPr="00980622" w:rsidRDefault="006B00BB" w:rsidP="00882EAF">
            <w:pPr>
              <w:jc w:val="center"/>
            </w:pPr>
            <w:r>
              <w:t>2023</w:t>
            </w:r>
          </w:p>
        </w:tc>
        <w:tc>
          <w:tcPr>
            <w:tcW w:w="2286" w:type="dxa"/>
          </w:tcPr>
          <w:p w14:paraId="51DB1AE3" w14:textId="77777777" w:rsidR="006B00BB" w:rsidRPr="00980622" w:rsidRDefault="006B00BB" w:rsidP="00882EAF">
            <w:pPr>
              <w:jc w:val="center"/>
            </w:pPr>
            <w:r>
              <w:t>2.3%</w:t>
            </w:r>
          </w:p>
        </w:tc>
        <w:tc>
          <w:tcPr>
            <w:tcW w:w="2288" w:type="dxa"/>
          </w:tcPr>
          <w:p w14:paraId="5DA35D7D" w14:textId="77777777" w:rsidR="006B00BB" w:rsidRPr="00980622" w:rsidRDefault="006B00BB" w:rsidP="00882EAF">
            <w:pPr>
              <w:jc w:val="center"/>
            </w:pPr>
            <w:r>
              <w:t>14.6%</w:t>
            </w:r>
          </w:p>
        </w:tc>
        <w:tc>
          <w:tcPr>
            <w:tcW w:w="2302" w:type="dxa"/>
          </w:tcPr>
          <w:p w14:paraId="5F467B3F" w14:textId="77777777" w:rsidR="006B00BB" w:rsidRPr="00980622" w:rsidRDefault="006B00BB" w:rsidP="00882EAF">
            <w:pPr>
              <w:jc w:val="center"/>
            </w:pPr>
            <w:r>
              <w:t>83.1%</w:t>
            </w:r>
          </w:p>
        </w:tc>
      </w:tr>
      <w:tr w:rsidR="006B00BB" w14:paraId="2DE4B846" w14:textId="77777777" w:rsidTr="00882EAF">
        <w:trPr>
          <w:jc w:val="center"/>
        </w:trPr>
        <w:tc>
          <w:tcPr>
            <w:tcW w:w="1617" w:type="dxa"/>
          </w:tcPr>
          <w:p w14:paraId="5DDBE0CF" w14:textId="77777777" w:rsidR="006B00BB" w:rsidRPr="00980622" w:rsidRDefault="006B00BB" w:rsidP="00882EAF">
            <w:pPr>
              <w:jc w:val="center"/>
            </w:pPr>
            <w:r>
              <w:t>2024</w:t>
            </w:r>
          </w:p>
        </w:tc>
        <w:tc>
          <w:tcPr>
            <w:tcW w:w="2286" w:type="dxa"/>
          </w:tcPr>
          <w:p w14:paraId="574C5152" w14:textId="77777777" w:rsidR="006B00BB" w:rsidRPr="00980622" w:rsidRDefault="006B00BB" w:rsidP="00882EAF">
            <w:pPr>
              <w:jc w:val="center"/>
            </w:pPr>
            <w:r>
              <w:t>2.2%</w:t>
            </w:r>
          </w:p>
        </w:tc>
        <w:tc>
          <w:tcPr>
            <w:tcW w:w="2288" w:type="dxa"/>
          </w:tcPr>
          <w:p w14:paraId="25D894C0" w14:textId="77777777" w:rsidR="006B00BB" w:rsidRPr="00980622" w:rsidRDefault="006B00BB" w:rsidP="00882EAF">
            <w:pPr>
              <w:jc w:val="center"/>
            </w:pPr>
            <w:r>
              <w:t>14.6%</w:t>
            </w:r>
          </w:p>
        </w:tc>
        <w:tc>
          <w:tcPr>
            <w:tcW w:w="2302" w:type="dxa"/>
          </w:tcPr>
          <w:p w14:paraId="00CF5B0D" w14:textId="77777777" w:rsidR="006B00BB" w:rsidRDefault="006B00BB" w:rsidP="00882EAF">
            <w:pPr>
              <w:jc w:val="center"/>
            </w:pPr>
            <w:r>
              <w:t>83.2%</w:t>
            </w:r>
          </w:p>
        </w:tc>
      </w:tr>
    </w:tbl>
    <w:p w14:paraId="3A7E11E6" w14:textId="77777777" w:rsidR="006B00BB" w:rsidRDefault="006B00BB" w:rsidP="006B00BB"/>
    <w:p w14:paraId="118179F0" w14:textId="77777777" w:rsidR="006B00BB" w:rsidRPr="00EF1971" w:rsidRDefault="006B00BB" w:rsidP="006B00BB">
      <w:r>
        <w:t xml:space="preserve">Table 4 - </w:t>
      </w:r>
      <w:r w:rsidRPr="00EF1971">
        <w:t>Percentage of B and C roads in each condition category</w:t>
      </w:r>
    </w:p>
    <w:tbl>
      <w:tblPr>
        <w:tblW w:w="8460"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4"/>
        <w:tblDescription w:val="Table showing percentage of B and C roads in each condition category"/>
      </w:tblPr>
      <w:tblGrid>
        <w:gridCol w:w="1160"/>
        <w:gridCol w:w="1256"/>
        <w:gridCol w:w="782"/>
        <w:gridCol w:w="1140"/>
        <w:gridCol w:w="1094"/>
        <w:gridCol w:w="3028"/>
      </w:tblGrid>
      <w:tr w:rsidR="006B00BB" w:rsidRPr="00980622" w14:paraId="2F61A5B1" w14:textId="77777777" w:rsidTr="00882EAF">
        <w:trPr>
          <w:trHeight w:val="384"/>
        </w:trPr>
        <w:tc>
          <w:tcPr>
            <w:tcW w:w="0" w:type="auto"/>
            <w:vAlign w:val="center"/>
            <w:hideMark/>
          </w:tcPr>
          <w:p w14:paraId="2F2FB206" w14:textId="77777777" w:rsidR="006B00BB" w:rsidRPr="00980622" w:rsidRDefault="006B00BB" w:rsidP="00882EAF">
            <w:pPr>
              <w:jc w:val="center"/>
              <w:rPr>
                <w:b/>
                <w:bCs/>
                <w:highlight w:val="cyan"/>
              </w:rPr>
            </w:pPr>
            <w:r w:rsidRPr="71B2FD98">
              <w:rPr>
                <w:b/>
                <w:bCs/>
              </w:rPr>
              <w:t>Year</w:t>
            </w:r>
          </w:p>
        </w:tc>
        <w:tc>
          <w:tcPr>
            <w:tcW w:w="1256" w:type="dxa"/>
            <w:vAlign w:val="center"/>
            <w:hideMark/>
          </w:tcPr>
          <w:p w14:paraId="53CD4EBE" w14:textId="77777777" w:rsidR="006B00BB" w:rsidRPr="00980622" w:rsidRDefault="006B00BB" w:rsidP="00882EAF">
            <w:pPr>
              <w:jc w:val="center"/>
              <w:rPr>
                <w:b/>
                <w:bCs/>
                <w:highlight w:val="cyan"/>
              </w:rPr>
            </w:pPr>
            <w:r w:rsidRPr="71B2FD98">
              <w:rPr>
                <w:b/>
                <w:bCs/>
              </w:rPr>
              <w:t>Road Class</w:t>
            </w:r>
          </w:p>
        </w:tc>
        <w:tc>
          <w:tcPr>
            <w:tcW w:w="782" w:type="dxa"/>
            <w:noWrap/>
            <w:tcMar>
              <w:top w:w="0" w:type="dxa"/>
              <w:left w:w="108" w:type="dxa"/>
              <w:bottom w:w="0" w:type="dxa"/>
              <w:right w:w="108" w:type="dxa"/>
            </w:tcMar>
            <w:vAlign w:val="center"/>
            <w:hideMark/>
          </w:tcPr>
          <w:p w14:paraId="0652C291" w14:textId="77777777" w:rsidR="006B00BB" w:rsidRPr="00980622" w:rsidRDefault="006B00BB" w:rsidP="00882EAF">
            <w:pPr>
              <w:jc w:val="center"/>
              <w:rPr>
                <w:b/>
                <w:bCs/>
              </w:rPr>
            </w:pPr>
            <w:r w:rsidRPr="71B2FD98">
              <w:rPr>
                <w:b/>
                <w:bCs/>
              </w:rPr>
              <w:t>Red</w:t>
            </w:r>
          </w:p>
        </w:tc>
        <w:tc>
          <w:tcPr>
            <w:tcW w:w="1140" w:type="dxa"/>
            <w:noWrap/>
            <w:tcMar>
              <w:top w:w="0" w:type="dxa"/>
              <w:left w:w="108" w:type="dxa"/>
              <w:bottom w:w="0" w:type="dxa"/>
              <w:right w:w="108" w:type="dxa"/>
            </w:tcMar>
            <w:vAlign w:val="center"/>
            <w:hideMark/>
          </w:tcPr>
          <w:p w14:paraId="2FFEEB99" w14:textId="77777777" w:rsidR="006B00BB" w:rsidRPr="00980622" w:rsidRDefault="006B00BB" w:rsidP="00882EAF">
            <w:pPr>
              <w:jc w:val="center"/>
              <w:rPr>
                <w:b/>
                <w:bCs/>
              </w:rPr>
            </w:pPr>
            <w:r w:rsidRPr="71B2FD98">
              <w:rPr>
                <w:b/>
                <w:bCs/>
              </w:rPr>
              <w:t>Amber</w:t>
            </w:r>
          </w:p>
        </w:tc>
        <w:tc>
          <w:tcPr>
            <w:tcW w:w="1094" w:type="dxa"/>
            <w:noWrap/>
            <w:tcMar>
              <w:top w:w="0" w:type="dxa"/>
              <w:left w:w="108" w:type="dxa"/>
              <w:bottom w:w="0" w:type="dxa"/>
              <w:right w:w="108" w:type="dxa"/>
            </w:tcMar>
            <w:vAlign w:val="center"/>
            <w:hideMark/>
          </w:tcPr>
          <w:p w14:paraId="61A12BE4" w14:textId="77777777" w:rsidR="006B00BB" w:rsidRPr="00980622" w:rsidRDefault="006B00BB" w:rsidP="00882EAF">
            <w:pPr>
              <w:jc w:val="center"/>
              <w:rPr>
                <w:b/>
                <w:bCs/>
              </w:rPr>
            </w:pPr>
            <w:r w:rsidRPr="71B2FD98">
              <w:rPr>
                <w:b/>
                <w:bCs/>
              </w:rPr>
              <w:t>Green</w:t>
            </w:r>
          </w:p>
        </w:tc>
        <w:tc>
          <w:tcPr>
            <w:tcW w:w="3028" w:type="dxa"/>
            <w:noWrap/>
            <w:tcMar>
              <w:top w:w="0" w:type="dxa"/>
              <w:left w:w="108" w:type="dxa"/>
              <w:bottom w:w="0" w:type="dxa"/>
              <w:right w:w="108" w:type="dxa"/>
            </w:tcMar>
            <w:vAlign w:val="center"/>
            <w:hideMark/>
          </w:tcPr>
          <w:p w14:paraId="7F1DA576" w14:textId="77777777" w:rsidR="006B00BB" w:rsidRPr="00980622" w:rsidRDefault="006B00BB" w:rsidP="00882EAF">
            <w:pPr>
              <w:jc w:val="center"/>
              <w:rPr>
                <w:b/>
                <w:bCs/>
              </w:rPr>
            </w:pPr>
            <w:r w:rsidRPr="71B2FD98">
              <w:rPr>
                <w:b/>
                <w:bCs/>
              </w:rPr>
              <w:t>Red B&amp;C Reported</w:t>
            </w:r>
          </w:p>
        </w:tc>
      </w:tr>
      <w:tr w:rsidR="006B00BB" w:rsidRPr="00980622" w14:paraId="3C19066D" w14:textId="77777777" w:rsidTr="00882EAF">
        <w:trPr>
          <w:trHeight w:val="384"/>
        </w:trPr>
        <w:tc>
          <w:tcPr>
            <w:tcW w:w="1160" w:type="dxa"/>
            <w:noWrap/>
            <w:tcMar>
              <w:top w:w="0" w:type="dxa"/>
              <w:left w:w="108" w:type="dxa"/>
              <w:bottom w:w="0" w:type="dxa"/>
              <w:right w:w="108" w:type="dxa"/>
            </w:tcMar>
            <w:vAlign w:val="center"/>
            <w:hideMark/>
          </w:tcPr>
          <w:p w14:paraId="501E3AA9" w14:textId="77777777" w:rsidR="006B00BB" w:rsidRPr="00980622" w:rsidRDefault="006B00BB" w:rsidP="00882EAF">
            <w:pPr>
              <w:jc w:val="center"/>
            </w:pPr>
            <w:r>
              <w:lastRenderedPageBreak/>
              <w:t>2020</w:t>
            </w:r>
          </w:p>
        </w:tc>
        <w:tc>
          <w:tcPr>
            <w:tcW w:w="1256" w:type="dxa"/>
            <w:noWrap/>
            <w:tcMar>
              <w:top w:w="0" w:type="dxa"/>
              <w:left w:w="108" w:type="dxa"/>
              <w:bottom w:w="0" w:type="dxa"/>
              <w:right w:w="108" w:type="dxa"/>
            </w:tcMar>
            <w:vAlign w:val="center"/>
            <w:hideMark/>
          </w:tcPr>
          <w:p w14:paraId="32BD4A8D" w14:textId="77777777" w:rsidR="006B00BB" w:rsidRPr="00980622" w:rsidRDefault="006B00BB" w:rsidP="00882EAF">
            <w:pPr>
              <w:jc w:val="center"/>
            </w:pPr>
            <w:r>
              <w:t>B</w:t>
            </w:r>
          </w:p>
        </w:tc>
        <w:tc>
          <w:tcPr>
            <w:tcW w:w="782" w:type="dxa"/>
            <w:noWrap/>
            <w:tcMar>
              <w:top w:w="0" w:type="dxa"/>
              <w:left w:w="108" w:type="dxa"/>
              <w:bottom w:w="0" w:type="dxa"/>
              <w:right w:w="108" w:type="dxa"/>
            </w:tcMar>
            <w:vAlign w:val="center"/>
            <w:hideMark/>
          </w:tcPr>
          <w:p w14:paraId="22E1BEF1" w14:textId="77777777" w:rsidR="006B00BB" w:rsidRPr="00980622" w:rsidRDefault="006B00BB" w:rsidP="00882EAF">
            <w:pPr>
              <w:jc w:val="center"/>
            </w:pPr>
            <w:r>
              <w:t>3.0%</w:t>
            </w:r>
          </w:p>
        </w:tc>
        <w:tc>
          <w:tcPr>
            <w:tcW w:w="1140" w:type="dxa"/>
            <w:noWrap/>
            <w:tcMar>
              <w:top w:w="0" w:type="dxa"/>
              <w:left w:w="108" w:type="dxa"/>
              <w:bottom w:w="0" w:type="dxa"/>
              <w:right w:w="108" w:type="dxa"/>
            </w:tcMar>
            <w:vAlign w:val="center"/>
            <w:hideMark/>
          </w:tcPr>
          <w:p w14:paraId="4966F479" w14:textId="77777777" w:rsidR="006B00BB" w:rsidRPr="00980622" w:rsidRDefault="006B00BB" w:rsidP="00882EAF">
            <w:pPr>
              <w:jc w:val="center"/>
            </w:pPr>
            <w:r>
              <w:t>19.4%</w:t>
            </w:r>
          </w:p>
        </w:tc>
        <w:tc>
          <w:tcPr>
            <w:tcW w:w="1094" w:type="dxa"/>
            <w:noWrap/>
            <w:tcMar>
              <w:top w:w="0" w:type="dxa"/>
              <w:left w:w="108" w:type="dxa"/>
              <w:bottom w:w="0" w:type="dxa"/>
              <w:right w:w="108" w:type="dxa"/>
            </w:tcMar>
            <w:vAlign w:val="center"/>
            <w:hideMark/>
          </w:tcPr>
          <w:p w14:paraId="0DBDA665" w14:textId="77777777" w:rsidR="006B00BB" w:rsidRPr="00980622" w:rsidRDefault="006B00BB" w:rsidP="00882EAF">
            <w:pPr>
              <w:jc w:val="center"/>
            </w:pPr>
            <w:r>
              <w:t>77.6%</w:t>
            </w:r>
          </w:p>
        </w:tc>
        <w:tc>
          <w:tcPr>
            <w:tcW w:w="3028" w:type="dxa"/>
            <w:noWrap/>
            <w:tcMar>
              <w:top w:w="0" w:type="dxa"/>
              <w:left w:w="108" w:type="dxa"/>
              <w:bottom w:w="0" w:type="dxa"/>
              <w:right w:w="108" w:type="dxa"/>
            </w:tcMar>
            <w:vAlign w:val="center"/>
            <w:hideMark/>
          </w:tcPr>
          <w:p w14:paraId="3FA51B67" w14:textId="77777777" w:rsidR="006B00BB" w:rsidRPr="00980622" w:rsidRDefault="006B00BB" w:rsidP="00882EAF">
            <w:pPr>
              <w:jc w:val="center"/>
            </w:pPr>
            <w:r>
              <w:t>4%</w:t>
            </w:r>
          </w:p>
        </w:tc>
      </w:tr>
      <w:tr w:rsidR="006B00BB" w:rsidRPr="00980622" w14:paraId="70E8C51E" w14:textId="77777777" w:rsidTr="00882EAF">
        <w:trPr>
          <w:trHeight w:val="384"/>
        </w:trPr>
        <w:tc>
          <w:tcPr>
            <w:tcW w:w="0" w:type="auto"/>
            <w:vAlign w:val="center"/>
            <w:hideMark/>
          </w:tcPr>
          <w:p w14:paraId="27184C6E" w14:textId="77777777" w:rsidR="006B00BB" w:rsidRPr="00980622" w:rsidRDefault="006B00BB" w:rsidP="00882EAF">
            <w:pPr>
              <w:jc w:val="center"/>
              <w:rPr>
                <w:highlight w:val="cyan"/>
              </w:rPr>
            </w:pPr>
            <w:r>
              <w:t>2020</w:t>
            </w:r>
          </w:p>
        </w:tc>
        <w:tc>
          <w:tcPr>
            <w:tcW w:w="1256" w:type="dxa"/>
            <w:noWrap/>
            <w:tcMar>
              <w:top w:w="0" w:type="dxa"/>
              <w:left w:w="108" w:type="dxa"/>
              <w:bottom w:w="0" w:type="dxa"/>
              <w:right w:w="108" w:type="dxa"/>
            </w:tcMar>
            <w:vAlign w:val="center"/>
            <w:hideMark/>
          </w:tcPr>
          <w:p w14:paraId="6A38E0B7" w14:textId="77777777" w:rsidR="006B00BB" w:rsidRPr="00980622" w:rsidRDefault="006B00BB" w:rsidP="00882EAF">
            <w:pPr>
              <w:jc w:val="center"/>
            </w:pPr>
            <w:r>
              <w:t>C</w:t>
            </w:r>
          </w:p>
        </w:tc>
        <w:tc>
          <w:tcPr>
            <w:tcW w:w="782" w:type="dxa"/>
            <w:noWrap/>
            <w:tcMar>
              <w:top w:w="0" w:type="dxa"/>
              <w:left w:w="108" w:type="dxa"/>
              <w:bottom w:w="0" w:type="dxa"/>
              <w:right w:w="108" w:type="dxa"/>
            </w:tcMar>
            <w:vAlign w:val="center"/>
            <w:hideMark/>
          </w:tcPr>
          <w:p w14:paraId="2311B4A2" w14:textId="77777777" w:rsidR="006B00BB" w:rsidRPr="00980622" w:rsidRDefault="006B00BB" w:rsidP="00882EAF">
            <w:pPr>
              <w:jc w:val="center"/>
            </w:pPr>
            <w:r>
              <w:t>4.5%</w:t>
            </w:r>
          </w:p>
        </w:tc>
        <w:tc>
          <w:tcPr>
            <w:tcW w:w="1140" w:type="dxa"/>
            <w:noWrap/>
            <w:tcMar>
              <w:top w:w="0" w:type="dxa"/>
              <w:left w:w="108" w:type="dxa"/>
              <w:bottom w:w="0" w:type="dxa"/>
              <w:right w:w="108" w:type="dxa"/>
            </w:tcMar>
            <w:vAlign w:val="center"/>
            <w:hideMark/>
          </w:tcPr>
          <w:p w14:paraId="794B70C2" w14:textId="77777777" w:rsidR="006B00BB" w:rsidRPr="00980622" w:rsidRDefault="006B00BB" w:rsidP="00882EAF">
            <w:pPr>
              <w:jc w:val="center"/>
            </w:pPr>
            <w:r>
              <w:t>26.3%</w:t>
            </w:r>
          </w:p>
        </w:tc>
        <w:tc>
          <w:tcPr>
            <w:tcW w:w="1094" w:type="dxa"/>
            <w:noWrap/>
            <w:tcMar>
              <w:top w:w="0" w:type="dxa"/>
              <w:left w:w="108" w:type="dxa"/>
              <w:bottom w:w="0" w:type="dxa"/>
              <w:right w:w="108" w:type="dxa"/>
            </w:tcMar>
            <w:vAlign w:val="center"/>
            <w:hideMark/>
          </w:tcPr>
          <w:p w14:paraId="5E31AE5F" w14:textId="77777777" w:rsidR="006B00BB" w:rsidRPr="00980622" w:rsidRDefault="006B00BB" w:rsidP="00882EAF">
            <w:pPr>
              <w:jc w:val="center"/>
            </w:pPr>
            <w:r>
              <w:t>69.3%</w:t>
            </w:r>
          </w:p>
        </w:tc>
        <w:tc>
          <w:tcPr>
            <w:tcW w:w="0" w:type="auto"/>
            <w:vAlign w:val="center"/>
            <w:hideMark/>
          </w:tcPr>
          <w:p w14:paraId="32FB61EE" w14:textId="77777777" w:rsidR="006B00BB" w:rsidRPr="00980622" w:rsidRDefault="006B00BB" w:rsidP="00882EAF">
            <w:pPr>
              <w:jc w:val="center"/>
              <w:rPr>
                <w:highlight w:val="cyan"/>
              </w:rPr>
            </w:pPr>
            <w:r>
              <w:t>4%</w:t>
            </w:r>
          </w:p>
        </w:tc>
      </w:tr>
      <w:tr w:rsidR="006B00BB" w:rsidRPr="00980622" w14:paraId="16FAEB9A" w14:textId="77777777" w:rsidTr="00882EAF">
        <w:trPr>
          <w:trHeight w:val="384"/>
        </w:trPr>
        <w:tc>
          <w:tcPr>
            <w:tcW w:w="1160" w:type="dxa"/>
            <w:noWrap/>
            <w:tcMar>
              <w:top w:w="0" w:type="dxa"/>
              <w:left w:w="108" w:type="dxa"/>
              <w:bottom w:w="0" w:type="dxa"/>
              <w:right w:w="108" w:type="dxa"/>
            </w:tcMar>
            <w:vAlign w:val="center"/>
            <w:hideMark/>
          </w:tcPr>
          <w:p w14:paraId="2CDF120D" w14:textId="77777777" w:rsidR="006B00BB" w:rsidRPr="00980622" w:rsidRDefault="006B00BB" w:rsidP="00882EAF">
            <w:pPr>
              <w:jc w:val="center"/>
            </w:pPr>
            <w:r>
              <w:t>2021</w:t>
            </w:r>
          </w:p>
        </w:tc>
        <w:tc>
          <w:tcPr>
            <w:tcW w:w="1256" w:type="dxa"/>
            <w:noWrap/>
            <w:tcMar>
              <w:top w:w="0" w:type="dxa"/>
              <w:left w:w="108" w:type="dxa"/>
              <w:bottom w:w="0" w:type="dxa"/>
              <w:right w:w="108" w:type="dxa"/>
            </w:tcMar>
            <w:vAlign w:val="center"/>
            <w:hideMark/>
          </w:tcPr>
          <w:p w14:paraId="04C443D5" w14:textId="77777777" w:rsidR="006B00BB" w:rsidRPr="00980622" w:rsidRDefault="006B00BB" w:rsidP="00882EAF">
            <w:pPr>
              <w:jc w:val="center"/>
            </w:pPr>
            <w:r>
              <w:t>B</w:t>
            </w:r>
          </w:p>
        </w:tc>
        <w:tc>
          <w:tcPr>
            <w:tcW w:w="782" w:type="dxa"/>
            <w:noWrap/>
            <w:tcMar>
              <w:top w:w="0" w:type="dxa"/>
              <w:left w:w="108" w:type="dxa"/>
              <w:bottom w:w="0" w:type="dxa"/>
              <w:right w:w="108" w:type="dxa"/>
            </w:tcMar>
            <w:vAlign w:val="center"/>
            <w:hideMark/>
          </w:tcPr>
          <w:p w14:paraId="786B0450" w14:textId="77777777" w:rsidR="006B00BB" w:rsidRPr="00980622" w:rsidRDefault="006B00BB" w:rsidP="00882EAF">
            <w:pPr>
              <w:jc w:val="center"/>
            </w:pPr>
            <w:r>
              <w:t>5.4%</w:t>
            </w:r>
          </w:p>
        </w:tc>
        <w:tc>
          <w:tcPr>
            <w:tcW w:w="1140" w:type="dxa"/>
            <w:noWrap/>
            <w:tcMar>
              <w:top w:w="0" w:type="dxa"/>
              <w:left w:w="108" w:type="dxa"/>
              <w:bottom w:w="0" w:type="dxa"/>
              <w:right w:w="108" w:type="dxa"/>
            </w:tcMar>
            <w:vAlign w:val="center"/>
            <w:hideMark/>
          </w:tcPr>
          <w:p w14:paraId="3C916B45" w14:textId="77777777" w:rsidR="006B00BB" w:rsidRPr="00980622" w:rsidRDefault="006B00BB" w:rsidP="00882EAF">
            <w:pPr>
              <w:jc w:val="center"/>
            </w:pPr>
            <w:r>
              <w:t>21.5%</w:t>
            </w:r>
          </w:p>
        </w:tc>
        <w:tc>
          <w:tcPr>
            <w:tcW w:w="1094" w:type="dxa"/>
            <w:noWrap/>
            <w:tcMar>
              <w:top w:w="0" w:type="dxa"/>
              <w:left w:w="108" w:type="dxa"/>
              <w:bottom w:w="0" w:type="dxa"/>
              <w:right w:w="108" w:type="dxa"/>
            </w:tcMar>
            <w:vAlign w:val="center"/>
            <w:hideMark/>
          </w:tcPr>
          <w:p w14:paraId="31CD19CC" w14:textId="77777777" w:rsidR="006B00BB" w:rsidRPr="00980622" w:rsidRDefault="006B00BB" w:rsidP="00882EAF">
            <w:pPr>
              <w:jc w:val="center"/>
            </w:pPr>
            <w:r>
              <w:t>73.1%</w:t>
            </w:r>
          </w:p>
        </w:tc>
        <w:tc>
          <w:tcPr>
            <w:tcW w:w="3028" w:type="dxa"/>
            <w:noWrap/>
            <w:tcMar>
              <w:top w:w="0" w:type="dxa"/>
              <w:left w:w="108" w:type="dxa"/>
              <w:bottom w:w="0" w:type="dxa"/>
              <w:right w:w="108" w:type="dxa"/>
            </w:tcMar>
            <w:vAlign w:val="center"/>
            <w:hideMark/>
          </w:tcPr>
          <w:p w14:paraId="246377E2" w14:textId="77777777" w:rsidR="006B00BB" w:rsidRPr="00980622" w:rsidRDefault="006B00BB" w:rsidP="00882EAF">
            <w:pPr>
              <w:jc w:val="center"/>
            </w:pPr>
            <w:r>
              <w:t>5%</w:t>
            </w:r>
          </w:p>
        </w:tc>
      </w:tr>
      <w:tr w:rsidR="006B00BB" w:rsidRPr="00980622" w14:paraId="02FE47B7" w14:textId="77777777" w:rsidTr="00882EAF">
        <w:trPr>
          <w:trHeight w:val="384"/>
        </w:trPr>
        <w:tc>
          <w:tcPr>
            <w:tcW w:w="0" w:type="auto"/>
            <w:vAlign w:val="center"/>
            <w:hideMark/>
          </w:tcPr>
          <w:p w14:paraId="332D25E6" w14:textId="77777777" w:rsidR="006B00BB" w:rsidRPr="00980622" w:rsidRDefault="006B00BB" w:rsidP="00882EAF">
            <w:pPr>
              <w:jc w:val="center"/>
              <w:rPr>
                <w:highlight w:val="cyan"/>
              </w:rPr>
            </w:pPr>
            <w:r>
              <w:t>2021</w:t>
            </w:r>
          </w:p>
        </w:tc>
        <w:tc>
          <w:tcPr>
            <w:tcW w:w="1256" w:type="dxa"/>
            <w:noWrap/>
            <w:tcMar>
              <w:top w:w="0" w:type="dxa"/>
              <w:left w:w="108" w:type="dxa"/>
              <w:bottom w:w="0" w:type="dxa"/>
              <w:right w:w="108" w:type="dxa"/>
            </w:tcMar>
            <w:vAlign w:val="center"/>
            <w:hideMark/>
          </w:tcPr>
          <w:p w14:paraId="6613AFCF" w14:textId="77777777" w:rsidR="006B00BB" w:rsidRPr="00980622" w:rsidRDefault="006B00BB" w:rsidP="00882EAF">
            <w:pPr>
              <w:jc w:val="center"/>
            </w:pPr>
            <w:r>
              <w:t>C</w:t>
            </w:r>
          </w:p>
        </w:tc>
        <w:tc>
          <w:tcPr>
            <w:tcW w:w="782" w:type="dxa"/>
            <w:noWrap/>
            <w:tcMar>
              <w:top w:w="0" w:type="dxa"/>
              <w:left w:w="108" w:type="dxa"/>
              <w:bottom w:w="0" w:type="dxa"/>
              <w:right w:w="108" w:type="dxa"/>
            </w:tcMar>
            <w:vAlign w:val="center"/>
            <w:hideMark/>
          </w:tcPr>
          <w:p w14:paraId="1C4C8E70" w14:textId="77777777" w:rsidR="006B00BB" w:rsidRPr="00980622" w:rsidRDefault="006B00BB" w:rsidP="00882EAF">
            <w:pPr>
              <w:jc w:val="center"/>
            </w:pPr>
            <w:r>
              <w:t>4.7%</w:t>
            </w:r>
          </w:p>
        </w:tc>
        <w:tc>
          <w:tcPr>
            <w:tcW w:w="1140" w:type="dxa"/>
            <w:noWrap/>
            <w:tcMar>
              <w:top w:w="0" w:type="dxa"/>
              <w:left w:w="108" w:type="dxa"/>
              <w:bottom w:w="0" w:type="dxa"/>
              <w:right w:w="108" w:type="dxa"/>
            </w:tcMar>
            <w:vAlign w:val="center"/>
            <w:hideMark/>
          </w:tcPr>
          <w:p w14:paraId="40012A4A" w14:textId="77777777" w:rsidR="006B00BB" w:rsidRPr="00980622" w:rsidRDefault="006B00BB" w:rsidP="00882EAF">
            <w:pPr>
              <w:jc w:val="center"/>
            </w:pPr>
            <w:r>
              <w:t>22.7%</w:t>
            </w:r>
          </w:p>
        </w:tc>
        <w:tc>
          <w:tcPr>
            <w:tcW w:w="1094" w:type="dxa"/>
            <w:noWrap/>
            <w:tcMar>
              <w:top w:w="0" w:type="dxa"/>
              <w:left w:w="108" w:type="dxa"/>
              <w:bottom w:w="0" w:type="dxa"/>
              <w:right w:w="108" w:type="dxa"/>
            </w:tcMar>
            <w:vAlign w:val="center"/>
            <w:hideMark/>
          </w:tcPr>
          <w:p w14:paraId="07C03D4A" w14:textId="77777777" w:rsidR="006B00BB" w:rsidRPr="00980622" w:rsidRDefault="006B00BB" w:rsidP="00882EAF">
            <w:pPr>
              <w:jc w:val="center"/>
            </w:pPr>
            <w:r>
              <w:t>72.6%</w:t>
            </w:r>
          </w:p>
        </w:tc>
        <w:tc>
          <w:tcPr>
            <w:tcW w:w="0" w:type="auto"/>
            <w:vAlign w:val="center"/>
            <w:hideMark/>
          </w:tcPr>
          <w:p w14:paraId="74FC02A4" w14:textId="77777777" w:rsidR="006B00BB" w:rsidRPr="00980622" w:rsidRDefault="006B00BB" w:rsidP="00882EAF">
            <w:pPr>
              <w:jc w:val="center"/>
              <w:rPr>
                <w:highlight w:val="cyan"/>
              </w:rPr>
            </w:pPr>
            <w:r>
              <w:t>5%</w:t>
            </w:r>
          </w:p>
        </w:tc>
      </w:tr>
      <w:tr w:rsidR="006B00BB" w:rsidRPr="00980622" w14:paraId="31D07E34" w14:textId="77777777" w:rsidTr="00882EAF">
        <w:trPr>
          <w:trHeight w:val="384"/>
        </w:trPr>
        <w:tc>
          <w:tcPr>
            <w:tcW w:w="1160" w:type="dxa"/>
            <w:noWrap/>
            <w:tcMar>
              <w:top w:w="0" w:type="dxa"/>
              <w:left w:w="108" w:type="dxa"/>
              <w:bottom w:w="0" w:type="dxa"/>
              <w:right w:w="108" w:type="dxa"/>
            </w:tcMar>
            <w:vAlign w:val="center"/>
            <w:hideMark/>
          </w:tcPr>
          <w:p w14:paraId="7011EDF3" w14:textId="77777777" w:rsidR="006B00BB" w:rsidRPr="00980622" w:rsidRDefault="006B00BB" w:rsidP="00882EAF">
            <w:pPr>
              <w:jc w:val="center"/>
            </w:pPr>
            <w:r>
              <w:t>2022</w:t>
            </w:r>
          </w:p>
        </w:tc>
        <w:tc>
          <w:tcPr>
            <w:tcW w:w="1256" w:type="dxa"/>
            <w:noWrap/>
            <w:tcMar>
              <w:top w:w="0" w:type="dxa"/>
              <w:left w:w="108" w:type="dxa"/>
              <w:bottom w:w="0" w:type="dxa"/>
              <w:right w:w="108" w:type="dxa"/>
            </w:tcMar>
            <w:vAlign w:val="center"/>
            <w:hideMark/>
          </w:tcPr>
          <w:p w14:paraId="7AE28580" w14:textId="77777777" w:rsidR="006B00BB" w:rsidRPr="00980622" w:rsidRDefault="006B00BB" w:rsidP="00882EAF">
            <w:pPr>
              <w:jc w:val="center"/>
            </w:pPr>
            <w:r>
              <w:t>B</w:t>
            </w:r>
          </w:p>
        </w:tc>
        <w:tc>
          <w:tcPr>
            <w:tcW w:w="782" w:type="dxa"/>
            <w:noWrap/>
            <w:tcMar>
              <w:top w:w="0" w:type="dxa"/>
              <w:left w:w="108" w:type="dxa"/>
              <w:bottom w:w="0" w:type="dxa"/>
              <w:right w:w="108" w:type="dxa"/>
            </w:tcMar>
            <w:vAlign w:val="center"/>
            <w:hideMark/>
          </w:tcPr>
          <w:p w14:paraId="5F288AF1" w14:textId="77777777" w:rsidR="006B00BB" w:rsidRPr="00980622" w:rsidRDefault="006B00BB" w:rsidP="00882EAF">
            <w:pPr>
              <w:jc w:val="center"/>
            </w:pPr>
            <w:r>
              <w:t>9.8%</w:t>
            </w:r>
          </w:p>
        </w:tc>
        <w:tc>
          <w:tcPr>
            <w:tcW w:w="1140" w:type="dxa"/>
            <w:noWrap/>
            <w:tcMar>
              <w:top w:w="0" w:type="dxa"/>
              <w:left w:w="108" w:type="dxa"/>
              <w:bottom w:w="0" w:type="dxa"/>
              <w:right w:w="108" w:type="dxa"/>
            </w:tcMar>
            <w:vAlign w:val="center"/>
            <w:hideMark/>
          </w:tcPr>
          <w:p w14:paraId="31671ABD" w14:textId="77777777" w:rsidR="006B00BB" w:rsidRPr="00980622" w:rsidRDefault="006B00BB" w:rsidP="00882EAF">
            <w:pPr>
              <w:jc w:val="center"/>
            </w:pPr>
            <w:r>
              <w:t>27.5%</w:t>
            </w:r>
          </w:p>
        </w:tc>
        <w:tc>
          <w:tcPr>
            <w:tcW w:w="1094" w:type="dxa"/>
            <w:noWrap/>
            <w:tcMar>
              <w:top w:w="0" w:type="dxa"/>
              <w:left w:w="108" w:type="dxa"/>
              <w:bottom w:w="0" w:type="dxa"/>
              <w:right w:w="108" w:type="dxa"/>
            </w:tcMar>
            <w:vAlign w:val="center"/>
            <w:hideMark/>
          </w:tcPr>
          <w:p w14:paraId="5B79A0AC" w14:textId="77777777" w:rsidR="006B00BB" w:rsidRPr="00980622" w:rsidRDefault="006B00BB" w:rsidP="00882EAF">
            <w:pPr>
              <w:jc w:val="center"/>
            </w:pPr>
            <w:r>
              <w:t>62.7%</w:t>
            </w:r>
          </w:p>
        </w:tc>
        <w:tc>
          <w:tcPr>
            <w:tcW w:w="3028" w:type="dxa"/>
            <w:noWrap/>
            <w:tcMar>
              <w:top w:w="0" w:type="dxa"/>
              <w:left w:w="108" w:type="dxa"/>
              <w:bottom w:w="0" w:type="dxa"/>
              <w:right w:w="108" w:type="dxa"/>
            </w:tcMar>
            <w:vAlign w:val="center"/>
            <w:hideMark/>
          </w:tcPr>
          <w:p w14:paraId="6415C26B" w14:textId="77777777" w:rsidR="006B00BB" w:rsidRPr="00980622" w:rsidRDefault="006B00BB" w:rsidP="00882EAF">
            <w:pPr>
              <w:jc w:val="center"/>
            </w:pPr>
            <w:r w:rsidRPr="00597427">
              <w:t>8%</w:t>
            </w:r>
          </w:p>
        </w:tc>
      </w:tr>
      <w:tr w:rsidR="006B00BB" w:rsidRPr="00980622" w14:paraId="4E02E2F6" w14:textId="77777777" w:rsidTr="00882EAF">
        <w:trPr>
          <w:trHeight w:val="384"/>
        </w:trPr>
        <w:tc>
          <w:tcPr>
            <w:tcW w:w="0" w:type="auto"/>
            <w:vAlign w:val="center"/>
            <w:hideMark/>
          </w:tcPr>
          <w:p w14:paraId="268669FB" w14:textId="77777777" w:rsidR="006B00BB" w:rsidRPr="00980622" w:rsidRDefault="006B00BB" w:rsidP="00882EAF">
            <w:pPr>
              <w:jc w:val="center"/>
              <w:rPr>
                <w:highlight w:val="cyan"/>
              </w:rPr>
            </w:pPr>
            <w:r>
              <w:t>2022</w:t>
            </w:r>
          </w:p>
        </w:tc>
        <w:tc>
          <w:tcPr>
            <w:tcW w:w="1256" w:type="dxa"/>
            <w:noWrap/>
            <w:tcMar>
              <w:top w:w="0" w:type="dxa"/>
              <w:left w:w="108" w:type="dxa"/>
              <w:bottom w:w="0" w:type="dxa"/>
              <w:right w:w="108" w:type="dxa"/>
            </w:tcMar>
            <w:vAlign w:val="center"/>
            <w:hideMark/>
          </w:tcPr>
          <w:p w14:paraId="0D9C9AE7" w14:textId="77777777" w:rsidR="006B00BB" w:rsidRPr="00980622" w:rsidRDefault="006B00BB" w:rsidP="00882EAF">
            <w:pPr>
              <w:jc w:val="center"/>
            </w:pPr>
            <w:r>
              <w:t>C</w:t>
            </w:r>
          </w:p>
        </w:tc>
        <w:tc>
          <w:tcPr>
            <w:tcW w:w="782" w:type="dxa"/>
            <w:noWrap/>
            <w:tcMar>
              <w:top w:w="0" w:type="dxa"/>
              <w:left w:w="108" w:type="dxa"/>
              <w:bottom w:w="0" w:type="dxa"/>
              <w:right w:w="108" w:type="dxa"/>
            </w:tcMar>
            <w:vAlign w:val="center"/>
            <w:hideMark/>
          </w:tcPr>
          <w:p w14:paraId="4BEF45CA" w14:textId="77777777" w:rsidR="006B00BB" w:rsidRPr="00980622" w:rsidRDefault="006B00BB" w:rsidP="00882EAF">
            <w:pPr>
              <w:jc w:val="center"/>
            </w:pPr>
            <w:r>
              <w:t>7.7%</w:t>
            </w:r>
          </w:p>
        </w:tc>
        <w:tc>
          <w:tcPr>
            <w:tcW w:w="1140" w:type="dxa"/>
            <w:noWrap/>
            <w:tcMar>
              <w:top w:w="0" w:type="dxa"/>
              <w:left w:w="108" w:type="dxa"/>
              <w:bottom w:w="0" w:type="dxa"/>
              <w:right w:w="108" w:type="dxa"/>
            </w:tcMar>
            <w:vAlign w:val="center"/>
            <w:hideMark/>
          </w:tcPr>
          <w:p w14:paraId="3555473A" w14:textId="77777777" w:rsidR="006B00BB" w:rsidRPr="00980622" w:rsidRDefault="006B00BB" w:rsidP="00882EAF">
            <w:pPr>
              <w:jc w:val="center"/>
            </w:pPr>
            <w:r>
              <w:t>26.0%</w:t>
            </w:r>
          </w:p>
        </w:tc>
        <w:tc>
          <w:tcPr>
            <w:tcW w:w="1094" w:type="dxa"/>
            <w:noWrap/>
            <w:tcMar>
              <w:top w:w="0" w:type="dxa"/>
              <w:left w:w="108" w:type="dxa"/>
              <w:bottom w:w="0" w:type="dxa"/>
              <w:right w:w="108" w:type="dxa"/>
            </w:tcMar>
            <w:vAlign w:val="center"/>
            <w:hideMark/>
          </w:tcPr>
          <w:p w14:paraId="239A44AE" w14:textId="77777777" w:rsidR="006B00BB" w:rsidRPr="00980622" w:rsidRDefault="006B00BB" w:rsidP="00882EAF">
            <w:pPr>
              <w:jc w:val="center"/>
            </w:pPr>
            <w:r>
              <w:t>66.3%</w:t>
            </w:r>
          </w:p>
        </w:tc>
        <w:tc>
          <w:tcPr>
            <w:tcW w:w="0" w:type="auto"/>
            <w:vAlign w:val="center"/>
            <w:hideMark/>
          </w:tcPr>
          <w:p w14:paraId="70497B0F" w14:textId="77777777" w:rsidR="006B00BB" w:rsidRPr="00980622" w:rsidRDefault="006B00BB" w:rsidP="00882EAF">
            <w:pPr>
              <w:jc w:val="center"/>
              <w:rPr>
                <w:highlight w:val="cyan"/>
              </w:rPr>
            </w:pPr>
            <w:r w:rsidRPr="00597427">
              <w:t>8%</w:t>
            </w:r>
          </w:p>
        </w:tc>
      </w:tr>
      <w:tr w:rsidR="006B00BB" w:rsidRPr="00980622" w14:paraId="77DAAA41" w14:textId="77777777" w:rsidTr="00882EAF">
        <w:trPr>
          <w:trHeight w:val="384"/>
        </w:trPr>
        <w:tc>
          <w:tcPr>
            <w:tcW w:w="1160" w:type="dxa"/>
            <w:noWrap/>
            <w:tcMar>
              <w:top w:w="0" w:type="dxa"/>
              <w:left w:w="108" w:type="dxa"/>
              <w:bottom w:w="0" w:type="dxa"/>
              <w:right w:w="108" w:type="dxa"/>
            </w:tcMar>
            <w:vAlign w:val="center"/>
            <w:hideMark/>
          </w:tcPr>
          <w:p w14:paraId="5FC9E297" w14:textId="77777777" w:rsidR="006B00BB" w:rsidRPr="00597427" w:rsidRDefault="006B00BB" w:rsidP="00882EAF">
            <w:pPr>
              <w:jc w:val="center"/>
            </w:pPr>
            <w:r w:rsidRPr="00597427">
              <w:t>2023</w:t>
            </w:r>
          </w:p>
        </w:tc>
        <w:tc>
          <w:tcPr>
            <w:tcW w:w="1256" w:type="dxa"/>
            <w:noWrap/>
            <w:tcMar>
              <w:top w:w="0" w:type="dxa"/>
              <w:left w:w="108" w:type="dxa"/>
              <w:bottom w:w="0" w:type="dxa"/>
              <w:right w:w="108" w:type="dxa"/>
            </w:tcMar>
            <w:vAlign w:val="center"/>
            <w:hideMark/>
          </w:tcPr>
          <w:p w14:paraId="5F0691EC" w14:textId="77777777" w:rsidR="006B00BB" w:rsidRPr="00980622" w:rsidRDefault="006B00BB" w:rsidP="00882EAF">
            <w:pPr>
              <w:jc w:val="center"/>
            </w:pPr>
            <w:r>
              <w:t>B</w:t>
            </w:r>
          </w:p>
        </w:tc>
        <w:tc>
          <w:tcPr>
            <w:tcW w:w="782" w:type="dxa"/>
            <w:noWrap/>
            <w:tcMar>
              <w:top w:w="0" w:type="dxa"/>
              <w:left w:w="108" w:type="dxa"/>
              <w:bottom w:w="0" w:type="dxa"/>
              <w:right w:w="108" w:type="dxa"/>
            </w:tcMar>
            <w:vAlign w:val="center"/>
            <w:hideMark/>
          </w:tcPr>
          <w:p w14:paraId="1A18E720" w14:textId="77777777" w:rsidR="006B00BB" w:rsidRPr="00980622" w:rsidRDefault="006B00BB" w:rsidP="00882EAF">
            <w:pPr>
              <w:jc w:val="center"/>
            </w:pPr>
            <w:r>
              <w:t>5.0%</w:t>
            </w:r>
          </w:p>
        </w:tc>
        <w:tc>
          <w:tcPr>
            <w:tcW w:w="1140" w:type="dxa"/>
            <w:noWrap/>
            <w:tcMar>
              <w:top w:w="0" w:type="dxa"/>
              <w:left w:w="108" w:type="dxa"/>
              <w:bottom w:w="0" w:type="dxa"/>
              <w:right w:w="108" w:type="dxa"/>
            </w:tcMar>
            <w:vAlign w:val="center"/>
            <w:hideMark/>
          </w:tcPr>
          <w:p w14:paraId="486768AD" w14:textId="77777777" w:rsidR="006B00BB" w:rsidRPr="00980622" w:rsidRDefault="006B00BB" w:rsidP="00882EAF">
            <w:pPr>
              <w:jc w:val="center"/>
            </w:pPr>
            <w:r>
              <w:t>21.7%</w:t>
            </w:r>
          </w:p>
        </w:tc>
        <w:tc>
          <w:tcPr>
            <w:tcW w:w="1094" w:type="dxa"/>
            <w:noWrap/>
            <w:tcMar>
              <w:top w:w="0" w:type="dxa"/>
              <w:left w:w="108" w:type="dxa"/>
              <w:bottom w:w="0" w:type="dxa"/>
              <w:right w:w="108" w:type="dxa"/>
            </w:tcMar>
            <w:vAlign w:val="center"/>
            <w:hideMark/>
          </w:tcPr>
          <w:p w14:paraId="42279B93" w14:textId="77777777" w:rsidR="006B00BB" w:rsidRPr="00980622" w:rsidRDefault="006B00BB" w:rsidP="00882EAF">
            <w:pPr>
              <w:jc w:val="center"/>
            </w:pPr>
            <w:r>
              <w:t>73.3%</w:t>
            </w:r>
          </w:p>
        </w:tc>
        <w:tc>
          <w:tcPr>
            <w:tcW w:w="3028" w:type="dxa"/>
            <w:noWrap/>
            <w:tcMar>
              <w:top w:w="0" w:type="dxa"/>
              <w:left w:w="108" w:type="dxa"/>
              <w:bottom w:w="0" w:type="dxa"/>
              <w:right w:w="108" w:type="dxa"/>
            </w:tcMar>
            <w:vAlign w:val="center"/>
            <w:hideMark/>
          </w:tcPr>
          <w:p w14:paraId="0488315F" w14:textId="77777777" w:rsidR="006B00BB" w:rsidRPr="00980622" w:rsidRDefault="006B00BB" w:rsidP="00882EAF">
            <w:pPr>
              <w:jc w:val="center"/>
            </w:pPr>
            <w:r>
              <w:t>6%</w:t>
            </w:r>
          </w:p>
        </w:tc>
      </w:tr>
      <w:tr w:rsidR="006B00BB" w:rsidRPr="00980622" w14:paraId="53AB4C46" w14:textId="77777777" w:rsidTr="00882EAF">
        <w:trPr>
          <w:trHeight w:val="384"/>
        </w:trPr>
        <w:tc>
          <w:tcPr>
            <w:tcW w:w="0" w:type="auto"/>
            <w:vAlign w:val="center"/>
            <w:hideMark/>
          </w:tcPr>
          <w:p w14:paraId="1AC267EB" w14:textId="77777777" w:rsidR="006B00BB" w:rsidRPr="00597427" w:rsidRDefault="006B00BB" w:rsidP="00882EAF">
            <w:pPr>
              <w:jc w:val="center"/>
            </w:pPr>
            <w:r w:rsidRPr="00597427">
              <w:t>2023</w:t>
            </w:r>
          </w:p>
        </w:tc>
        <w:tc>
          <w:tcPr>
            <w:tcW w:w="1256" w:type="dxa"/>
            <w:noWrap/>
            <w:tcMar>
              <w:top w:w="0" w:type="dxa"/>
              <w:left w:w="108" w:type="dxa"/>
              <w:bottom w:w="0" w:type="dxa"/>
              <w:right w:w="108" w:type="dxa"/>
            </w:tcMar>
            <w:vAlign w:val="center"/>
            <w:hideMark/>
          </w:tcPr>
          <w:p w14:paraId="2F194FDB" w14:textId="77777777" w:rsidR="006B00BB" w:rsidRPr="00980622" w:rsidRDefault="006B00BB" w:rsidP="00882EAF">
            <w:pPr>
              <w:jc w:val="center"/>
            </w:pPr>
            <w:r>
              <w:t>C</w:t>
            </w:r>
          </w:p>
        </w:tc>
        <w:tc>
          <w:tcPr>
            <w:tcW w:w="782" w:type="dxa"/>
            <w:noWrap/>
            <w:tcMar>
              <w:top w:w="0" w:type="dxa"/>
              <w:left w:w="108" w:type="dxa"/>
              <w:bottom w:w="0" w:type="dxa"/>
              <w:right w:w="108" w:type="dxa"/>
            </w:tcMar>
            <w:vAlign w:val="center"/>
            <w:hideMark/>
          </w:tcPr>
          <w:p w14:paraId="791941D9" w14:textId="77777777" w:rsidR="006B00BB" w:rsidRPr="00980622" w:rsidRDefault="006B00BB" w:rsidP="00882EAF">
            <w:pPr>
              <w:jc w:val="center"/>
            </w:pPr>
            <w:r>
              <w:t>5.7%</w:t>
            </w:r>
          </w:p>
        </w:tc>
        <w:tc>
          <w:tcPr>
            <w:tcW w:w="1140" w:type="dxa"/>
            <w:noWrap/>
            <w:tcMar>
              <w:top w:w="0" w:type="dxa"/>
              <w:left w:w="108" w:type="dxa"/>
              <w:bottom w:w="0" w:type="dxa"/>
              <w:right w:w="108" w:type="dxa"/>
            </w:tcMar>
            <w:vAlign w:val="center"/>
            <w:hideMark/>
          </w:tcPr>
          <w:p w14:paraId="59001200" w14:textId="77777777" w:rsidR="006B00BB" w:rsidRPr="00980622" w:rsidRDefault="006B00BB" w:rsidP="00882EAF">
            <w:pPr>
              <w:jc w:val="center"/>
            </w:pPr>
            <w:r>
              <w:t>26.3%</w:t>
            </w:r>
          </w:p>
        </w:tc>
        <w:tc>
          <w:tcPr>
            <w:tcW w:w="1094" w:type="dxa"/>
            <w:noWrap/>
            <w:tcMar>
              <w:top w:w="0" w:type="dxa"/>
              <w:left w:w="108" w:type="dxa"/>
              <w:bottom w:w="0" w:type="dxa"/>
              <w:right w:w="108" w:type="dxa"/>
            </w:tcMar>
            <w:vAlign w:val="center"/>
            <w:hideMark/>
          </w:tcPr>
          <w:p w14:paraId="72BF60B0" w14:textId="77777777" w:rsidR="006B00BB" w:rsidRPr="00980622" w:rsidRDefault="006B00BB" w:rsidP="00882EAF">
            <w:pPr>
              <w:jc w:val="center"/>
            </w:pPr>
            <w:r>
              <w:t>68.0%</w:t>
            </w:r>
          </w:p>
        </w:tc>
        <w:tc>
          <w:tcPr>
            <w:tcW w:w="0" w:type="auto"/>
            <w:vAlign w:val="center"/>
            <w:hideMark/>
          </w:tcPr>
          <w:p w14:paraId="32ED4636" w14:textId="77777777" w:rsidR="006B00BB" w:rsidRPr="00980622" w:rsidRDefault="006B00BB" w:rsidP="00882EAF">
            <w:pPr>
              <w:jc w:val="center"/>
              <w:rPr>
                <w:highlight w:val="cyan"/>
              </w:rPr>
            </w:pPr>
            <w:r w:rsidRPr="00597427">
              <w:t>6%</w:t>
            </w:r>
          </w:p>
        </w:tc>
      </w:tr>
      <w:tr w:rsidR="006B00BB" w:rsidRPr="00980622" w14:paraId="07E80810" w14:textId="77777777" w:rsidTr="00882EAF">
        <w:trPr>
          <w:trHeight w:val="384"/>
        </w:trPr>
        <w:tc>
          <w:tcPr>
            <w:tcW w:w="1160" w:type="dxa"/>
            <w:noWrap/>
            <w:tcMar>
              <w:top w:w="0" w:type="dxa"/>
              <w:left w:w="108" w:type="dxa"/>
              <w:bottom w:w="0" w:type="dxa"/>
              <w:right w:w="108" w:type="dxa"/>
            </w:tcMar>
            <w:vAlign w:val="center"/>
            <w:hideMark/>
          </w:tcPr>
          <w:p w14:paraId="6D99FE48" w14:textId="77777777" w:rsidR="006B00BB" w:rsidRPr="00980622" w:rsidRDefault="006B00BB" w:rsidP="00882EAF">
            <w:pPr>
              <w:jc w:val="center"/>
            </w:pPr>
            <w:r>
              <w:t>2024</w:t>
            </w:r>
          </w:p>
        </w:tc>
        <w:tc>
          <w:tcPr>
            <w:tcW w:w="1256" w:type="dxa"/>
            <w:noWrap/>
            <w:tcMar>
              <w:top w:w="0" w:type="dxa"/>
              <w:left w:w="108" w:type="dxa"/>
              <w:bottom w:w="0" w:type="dxa"/>
              <w:right w:w="108" w:type="dxa"/>
            </w:tcMar>
            <w:vAlign w:val="center"/>
            <w:hideMark/>
          </w:tcPr>
          <w:p w14:paraId="47BCFCBA" w14:textId="77777777" w:rsidR="006B00BB" w:rsidRPr="00980622" w:rsidRDefault="006B00BB" w:rsidP="00882EAF">
            <w:pPr>
              <w:jc w:val="center"/>
            </w:pPr>
            <w:r>
              <w:t>B</w:t>
            </w:r>
          </w:p>
        </w:tc>
        <w:tc>
          <w:tcPr>
            <w:tcW w:w="782" w:type="dxa"/>
            <w:noWrap/>
            <w:tcMar>
              <w:top w:w="0" w:type="dxa"/>
              <w:left w:w="108" w:type="dxa"/>
              <w:bottom w:w="0" w:type="dxa"/>
              <w:right w:w="108" w:type="dxa"/>
            </w:tcMar>
            <w:vAlign w:val="center"/>
            <w:hideMark/>
          </w:tcPr>
          <w:p w14:paraId="38384D0E" w14:textId="77777777" w:rsidR="006B00BB" w:rsidRPr="00980622" w:rsidRDefault="006B00BB" w:rsidP="00882EAF">
            <w:pPr>
              <w:jc w:val="center"/>
            </w:pPr>
            <w:r>
              <w:t>4.4%</w:t>
            </w:r>
          </w:p>
        </w:tc>
        <w:tc>
          <w:tcPr>
            <w:tcW w:w="1140" w:type="dxa"/>
            <w:noWrap/>
            <w:tcMar>
              <w:top w:w="0" w:type="dxa"/>
              <w:left w:w="108" w:type="dxa"/>
              <w:bottom w:w="0" w:type="dxa"/>
              <w:right w:w="108" w:type="dxa"/>
            </w:tcMar>
            <w:vAlign w:val="center"/>
            <w:hideMark/>
          </w:tcPr>
          <w:p w14:paraId="62F0D1A0" w14:textId="77777777" w:rsidR="006B00BB" w:rsidRPr="00980622" w:rsidRDefault="006B00BB" w:rsidP="00882EAF">
            <w:pPr>
              <w:jc w:val="center"/>
            </w:pPr>
            <w:r>
              <w:t>20.5%</w:t>
            </w:r>
          </w:p>
        </w:tc>
        <w:tc>
          <w:tcPr>
            <w:tcW w:w="1094" w:type="dxa"/>
            <w:noWrap/>
            <w:tcMar>
              <w:top w:w="0" w:type="dxa"/>
              <w:left w:w="108" w:type="dxa"/>
              <w:bottom w:w="0" w:type="dxa"/>
              <w:right w:w="108" w:type="dxa"/>
            </w:tcMar>
            <w:vAlign w:val="center"/>
            <w:hideMark/>
          </w:tcPr>
          <w:p w14:paraId="4BA6C22A" w14:textId="77777777" w:rsidR="006B00BB" w:rsidRPr="00980622" w:rsidRDefault="006B00BB" w:rsidP="00882EAF">
            <w:pPr>
              <w:jc w:val="center"/>
            </w:pPr>
            <w:r>
              <w:t>75.1%</w:t>
            </w:r>
          </w:p>
        </w:tc>
        <w:tc>
          <w:tcPr>
            <w:tcW w:w="3028" w:type="dxa"/>
            <w:noWrap/>
            <w:tcMar>
              <w:top w:w="0" w:type="dxa"/>
              <w:left w:w="108" w:type="dxa"/>
              <w:bottom w:w="0" w:type="dxa"/>
              <w:right w:w="108" w:type="dxa"/>
            </w:tcMar>
            <w:vAlign w:val="center"/>
            <w:hideMark/>
          </w:tcPr>
          <w:p w14:paraId="57739355" w14:textId="77777777" w:rsidR="006B00BB" w:rsidRPr="00980622" w:rsidRDefault="006B00BB" w:rsidP="00882EAF">
            <w:pPr>
              <w:jc w:val="center"/>
            </w:pPr>
            <w:r>
              <w:t>6%</w:t>
            </w:r>
          </w:p>
        </w:tc>
      </w:tr>
      <w:tr w:rsidR="006B00BB" w:rsidRPr="008374BC" w14:paraId="6857D441" w14:textId="77777777" w:rsidTr="00882EAF">
        <w:trPr>
          <w:trHeight w:val="384"/>
        </w:trPr>
        <w:tc>
          <w:tcPr>
            <w:tcW w:w="0" w:type="auto"/>
            <w:vAlign w:val="center"/>
            <w:hideMark/>
          </w:tcPr>
          <w:p w14:paraId="6B89FBAB" w14:textId="77777777" w:rsidR="006B00BB" w:rsidRPr="00980622" w:rsidRDefault="006B00BB" w:rsidP="00882EAF">
            <w:pPr>
              <w:jc w:val="center"/>
              <w:rPr>
                <w:highlight w:val="cyan"/>
              </w:rPr>
            </w:pPr>
            <w:r w:rsidRPr="00597427">
              <w:t>2024</w:t>
            </w:r>
          </w:p>
        </w:tc>
        <w:tc>
          <w:tcPr>
            <w:tcW w:w="1256" w:type="dxa"/>
            <w:noWrap/>
            <w:tcMar>
              <w:top w:w="0" w:type="dxa"/>
              <w:left w:w="108" w:type="dxa"/>
              <w:bottom w:w="0" w:type="dxa"/>
              <w:right w:w="108" w:type="dxa"/>
            </w:tcMar>
            <w:vAlign w:val="center"/>
            <w:hideMark/>
          </w:tcPr>
          <w:p w14:paraId="2788AF42" w14:textId="77777777" w:rsidR="006B00BB" w:rsidRPr="00980622" w:rsidRDefault="006B00BB" w:rsidP="00882EAF">
            <w:pPr>
              <w:jc w:val="center"/>
            </w:pPr>
            <w:r>
              <w:t>C</w:t>
            </w:r>
          </w:p>
        </w:tc>
        <w:tc>
          <w:tcPr>
            <w:tcW w:w="782" w:type="dxa"/>
            <w:noWrap/>
            <w:tcMar>
              <w:top w:w="0" w:type="dxa"/>
              <w:left w:w="108" w:type="dxa"/>
              <w:bottom w:w="0" w:type="dxa"/>
              <w:right w:w="108" w:type="dxa"/>
            </w:tcMar>
            <w:vAlign w:val="center"/>
            <w:hideMark/>
          </w:tcPr>
          <w:p w14:paraId="41B82C40" w14:textId="77777777" w:rsidR="006B00BB" w:rsidRPr="00980622" w:rsidRDefault="006B00BB" w:rsidP="00882EAF">
            <w:pPr>
              <w:jc w:val="center"/>
            </w:pPr>
            <w:r>
              <w:t>6.5%</w:t>
            </w:r>
          </w:p>
        </w:tc>
        <w:tc>
          <w:tcPr>
            <w:tcW w:w="1140" w:type="dxa"/>
            <w:noWrap/>
            <w:tcMar>
              <w:top w:w="0" w:type="dxa"/>
              <w:left w:w="108" w:type="dxa"/>
              <w:bottom w:w="0" w:type="dxa"/>
              <w:right w:w="108" w:type="dxa"/>
            </w:tcMar>
            <w:vAlign w:val="center"/>
            <w:hideMark/>
          </w:tcPr>
          <w:p w14:paraId="518672B5" w14:textId="77777777" w:rsidR="006B00BB" w:rsidRPr="00980622" w:rsidRDefault="006B00BB" w:rsidP="00882EAF">
            <w:pPr>
              <w:jc w:val="center"/>
            </w:pPr>
            <w:r>
              <w:t>25.1%</w:t>
            </w:r>
          </w:p>
        </w:tc>
        <w:tc>
          <w:tcPr>
            <w:tcW w:w="1094" w:type="dxa"/>
            <w:noWrap/>
            <w:tcMar>
              <w:top w:w="0" w:type="dxa"/>
              <w:left w:w="108" w:type="dxa"/>
              <w:bottom w:w="0" w:type="dxa"/>
              <w:right w:w="108" w:type="dxa"/>
            </w:tcMar>
            <w:vAlign w:val="center"/>
            <w:hideMark/>
          </w:tcPr>
          <w:p w14:paraId="2DEB7354" w14:textId="77777777" w:rsidR="006B00BB" w:rsidRPr="008374BC" w:rsidRDefault="006B00BB" w:rsidP="00882EAF">
            <w:pPr>
              <w:jc w:val="center"/>
            </w:pPr>
            <w:r>
              <w:t>68.4%</w:t>
            </w:r>
          </w:p>
        </w:tc>
        <w:tc>
          <w:tcPr>
            <w:tcW w:w="0" w:type="auto"/>
            <w:vAlign w:val="center"/>
            <w:hideMark/>
          </w:tcPr>
          <w:p w14:paraId="3CB434BC" w14:textId="77777777" w:rsidR="006B00BB" w:rsidRPr="008374BC" w:rsidRDefault="006B00BB" w:rsidP="00882EAF">
            <w:pPr>
              <w:jc w:val="center"/>
            </w:pPr>
            <w:r>
              <w:t>6%</w:t>
            </w:r>
          </w:p>
        </w:tc>
      </w:tr>
    </w:tbl>
    <w:p w14:paraId="0C76B827" w14:textId="77777777" w:rsidR="006B00BB" w:rsidRDefault="006B00BB" w:rsidP="006B00BB">
      <w:pPr>
        <w:jc w:val="center"/>
      </w:pPr>
    </w:p>
    <w:p w14:paraId="41837148" w14:textId="77777777" w:rsidR="006B00BB" w:rsidRDefault="006B00BB" w:rsidP="006B00BB">
      <w:r>
        <w:t xml:space="preserve">Table 5 – </w:t>
      </w:r>
      <w:r w:rsidRPr="00EF1971">
        <w:t>Percentage of U Roads in the Red category</w:t>
      </w:r>
    </w:p>
    <w:tbl>
      <w:tblPr>
        <w:tblStyle w:val="TableGrid"/>
        <w:tblW w:w="0" w:type="auto"/>
        <w:jc w:val="center"/>
        <w:tblCellMar>
          <w:top w:w="57" w:type="dxa"/>
          <w:left w:w="57" w:type="dxa"/>
          <w:bottom w:w="57" w:type="dxa"/>
          <w:right w:w="57" w:type="dxa"/>
        </w:tblCellMar>
        <w:tblLook w:val="04A0" w:firstRow="1" w:lastRow="0" w:firstColumn="1" w:lastColumn="0" w:noHBand="0" w:noVBand="1"/>
        <w:tblCaption w:val="Table 5"/>
        <w:tblDescription w:val="Table showing percentage of U Roads in the Red category"/>
      </w:tblPr>
      <w:tblGrid>
        <w:gridCol w:w="1617"/>
        <w:gridCol w:w="2286"/>
      </w:tblGrid>
      <w:tr w:rsidR="006B00BB" w:rsidRPr="00980622" w14:paraId="78D71AB9" w14:textId="77777777" w:rsidTr="00882EAF">
        <w:trPr>
          <w:jc w:val="center"/>
        </w:trPr>
        <w:tc>
          <w:tcPr>
            <w:tcW w:w="1617" w:type="dxa"/>
          </w:tcPr>
          <w:p w14:paraId="6A9DAB13" w14:textId="77777777" w:rsidR="006B00BB" w:rsidRPr="00980622" w:rsidRDefault="006B00BB" w:rsidP="00882EAF">
            <w:pPr>
              <w:jc w:val="center"/>
              <w:rPr>
                <w:b/>
                <w:bCs/>
              </w:rPr>
            </w:pPr>
            <w:r w:rsidRPr="71B2FD98">
              <w:rPr>
                <w:b/>
                <w:bCs/>
              </w:rPr>
              <w:t>Year</w:t>
            </w:r>
          </w:p>
        </w:tc>
        <w:tc>
          <w:tcPr>
            <w:tcW w:w="2286" w:type="dxa"/>
          </w:tcPr>
          <w:p w14:paraId="3DB8E287" w14:textId="77777777" w:rsidR="006B00BB" w:rsidRPr="00980622" w:rsidRDefault="006B00BB" w:rsidP="00882EAF">
            <w:pPr>
              <w:jc w:val="center"/>
              <w:rPr>
                <w:b/>
                <w:bCs/>
              </w:rPr>
            </w:pPr>
            <w:r w:rsidRPr="71B2FD98">
              <w:rPr>
                <w:b/>
                <w:bCs/>
              </w:rPr>
              <w:t>Percentage of U Roads in the Red category</w:t>
            </w:r>
          </w:p>
        </w:tc>
      </w:tr>
      <w:tr w:rsidR="006B00BB" w:rsidRPr="00980622" w14:paraId="141A4F6B" w14:textId="77777777" w:rsidTr="00882EAF">
        <w:trPr>
          <w:jc w:val="center"/>
        </w:trPr>
        <w:tc>
          <w:tcPr>
            <w:tcW w:w="1617" w:type="dxa"/>
          </w:tcPr>
          <w:p w14:paraId="6F29288F" w14:textId="77777777" w:rsidR="006B00BB" w:rsidRPr="00980622" w:rsidRDefault="006B00BB" w:rsidP="00882EAF">
            <w:pPr>
              <w:jc w:val="center"/>
            </w:pPr>
            <w:r>
              <w:t>2020</w:t>
            </w:r>
          </w:p>
        </w:tc>
        <w:tc>
          <w:tcPr>
            <w:tcW w:w="2286" w:type="dxa"/>
          </w:tcPr>
          <w:p w14:paraId="1905F1CF" w14:textId="77777777" w:rsidR="006B00BB" w:rsidRPr="00980622" w:rsidRDefault="006B00BB" w:rsidP="00882EAF">
            <w:pPr>
              <w:jc w:val="center"/>
            </w:pPr>
            <w:r>
              <w:t>20%</w:t>
            </w:r>
          </w:p>
        </w:tc>
      </w:tr>
      <w:tr w:rsidR="006B00BB" w:rsidRPr="00980622" w14:paraId="77777A56" w14:textId="77777777" w:rsidTr="00882EAF">
        <w:trPr>
          <w:jc w:val="center"/>
        </w:trPr>
        <w:tc>
          <w:tcPr>
            <w:tcW w:w="1617" w:type="dxa"/>
          </w:tcPr>
          <w:p w14:paraId="50657EB5" w14:textId="77777777" w:rsidR="006B00BB" w:rsidRPr="00980622" w:rsidRDefault="006B00BB" w:rsidP="00882EAF">
            <w:pPr>
              <w:jc w:val="center"/>
            </w:pPr>
            <w:r>
              <w:t>2021</w:t>
            </w:r>
          </w:p>
        </w:tc>
        <w:tc>
          <w:tcPr>
            <w:tcW w:w="2286" w:type="dxa"/>
          </w:tcPr>
          <w:p w14:paraId="60BAC07E" w14:textId="77777777" w:rsidR="006B00BB" w:rsidRPr="00980622" w:rsidRDefault="006B00BB" w:rsidP="00882EAF">
            <w:pPr>
              <w:jc w:val="center"/>
            </w:pPr>
            <w:r>
              <w:t>19%</w:t>
            </w:r>
          </w:p>
        </w:tc>
      </w:tr>
      <w:tr w:rsidR="006B00BB" w:rsidRPr="00980622" w14:paraId="0A6DDA18" w14:textId="77777777" w:rsidTr="00882EAF">
        <w:trPr>
          <w:jc w:val="center"/>
        </w:trPr>
        <w:tc>
          <w:tcPr>
            <w:tcW w:w="1617" w:type="dxa"/>
          </w:tcPr>
          <w:p w14:paraId="3D9D29E8" w14:textId="77777777" w:rsidR="006B00BB" w:rsidRPr="00980622" w:rsidRDefault="006B00BB" w:rsidP="00882EAF">
            <w:pPr>
              <w:jc w:val="center"/>
            </w:pPr>
            <w:r>
              <w:t>2022</w:t>
            </w:r>
          </w:p>
        </w:tc>
        <w:tc>
          <w:tcPr>
            <w:tcW w:w="2286" w:type="dxa"/>
          </w:tcPr>
          <w:p w14:paraId="515D7C14" w14:textId="77777777" w:rsidR="006B00BB" w:rsidRPr="00980622" w:rsidRDefault="006B00BB" w:rsidP="00882EAF">
            <w:pPr>
              <w:jc w:val="center"/>
            </w:pPr>
            <w:r>
              <w:t>34%*</w:t>
            </w:r>
          </w:p>
        </w:tc>
      </w:tr>
      <w:tr w:rsidR="006B00BB" w:rsidRPr="00980622" w14:paraId="19BEBF53" w14:textId="77777777" w:rsidTr="00882EAF">
        <w:trPr>
          <w:jc w:val="center"/>
        </w:trPr>
        <w:tc>
          <w:tcPr>
            <w:tcW w:w="1617" w:type="dxa"/>
          </w:tcPr>
          <w:p w14:paraId="3354817E" w14:textId="77777777" w:rsidR="006B00BB" w:rsidRPr="00980622" w:rsidRDefault="006B00BB" w:rsidP="00882EAF">
            <w:pPr>
              <w:jc w:val="center"/>
            </w:pPr>
            <w:r>
              <w:t>2023</w:t>
            </w:r>
          </w:p>
        </w:tc>
        <w:tc>
          <w:tcPr>
            <w:tcW w:w="2286" w:type="dxa"/>
          </w:tcPr>
          <w:p w14:paraId="4BF89025" w14:textId="77777777" w:rsidR="006B00BB" w:rsidRPr="00980622" w:rsidRDefault="006B00BB" w:rsidP="00882EAF">
            <w:pPr>
              <w:jc w:val="center"/>
            </w:pPr>
            <w:r>
              <w:t>22%</w:t>
            </w:r>
          </w:p>
        </w:tc>
      </w:tr>
      <w:tr w:rsidR="006B00BB" w14:paraId="58D1012D" w14:textId="77777777" w:rsidTr="00882EAF">
        <w:trPr>
          <w:jc w:val="center"/>
        </w:trPr>
        <w:tc>
          <w:tcPr>
            <w:tcW w:w="1617" w:type="dxa"/>
          </w:tcPr>
          <w:p w14:paraId="45BE8B80" w14:textId="77777777" w:rsidR="006B00BB" w:rsidRPr="00980622" w:rsidRDefault="006B00BB" w:rsidP="00882EAF">
            <w:pPr>
              <w:jc w:val="center"/>
            </w:pPr>
            <w:r>
              <w:t>2024</w:t>
            </w:r>
          </w:p>
        </w:tc>
        <w:tc>
          <w:tcPr>
            <w:tcW w:w="2286" w:type="dxa"/>
          </w:tcPr>
          <w:p w14:paraId="39FA77C1" w14:textId="77777777" w:rsidR="006B00BB" w:rsidRDefault="006B00BB" w:rsidP="00882EAF">
            <w:pPr>
              <w:jc w:val="center"/>
            </w:pPr>
            <w:r>
              <w:t>31%</w:t>
            </w:r>
          </w:p>
        </w:tc>
      </w:tr>
    </w:tbl>
    <w:p w14:paraId="652701EC" w14:textId="77777777" w:rsidR="006B00BB" w:rsidRDefault="006B00BB" w:rsidP="006B00BB">
      <w:pPr>
        <w:rPr>
          <w:i/>
          <w:iCs/>
        </w:rPr>
      </w:pPr>
    </w:p>
    <w:p w14:paraId="2481AE20" w14:textId="77777777" w:rsidR="006B00BB" w:rsidRPr="00682DEA" w:rsidRDefault="006B00BB" w:rsidP="006B00BB">
      <w:r w:rsidRPr="17C8B120">
        <w:t xml:space="preserve">NB* </w:t>
      </w:r>
      <w:r w:rsidRPr="00682DEA">
        <w:t>The condition survey undertaken in 2022 was carried out during an unsuitable time of year, specifically following the winter period. As a result, the data collected was incomparable and unusable, as it did not accurately reflect the true condition of the road network at that time.</w:t>
      </w:r>
    </w:p>
    <w:p w14:paraId="1E01D0FA" w14:textId="77777777" w:rsidR="006B00BB" w:rsidRPr="00682DEA" w:rsidRDefault="006B00BB" w:rsidP="006B00BB">
      <w:r w:rsidRPr="00682DEA">
        <w:t>Currently, there is no nationally recognised standard for monitoring the condition of the unclassified network. However, our suppliers conduct coarse visual inspections across these routes. Medway is divided into four areas for the purposes of this process, with each area being surveyed once every four years on a rotational basis.</w:t>
      </w:r>
    </w:p>
    <w:p w14:paraId="46BAC802" w14:textId="77777777" w:rsidR="006B00BB" w:rsidRDefault="006B00BB" w:rsidP="006B00BB">
      <w:pPr>
        <w:pStyle w:val="Heading1"/>
      </w:pPr>
      <w:r>
        <w:t xml:space="preserve">Additional </w:t>
      </w:r>
      <w:r w:rsidRPr="00A557F2">
        <w:t>information</w:t>
      </w:r>
      <w:r>
        <w:t xml:space="preserve"> on </w:t>
      </w:r>
      <w:r w:rsidRPr="00A557F2">
        <w:t>condition</w:t>
      </w:r>
      <w:r w:rsidRPr="0020581E">
        <w:rPr>
          <w:sz w:val="32"/>
          <w:szCs w:val="32"/>
        </w:rPr>
        <w:t xml:space="preserve"> </w:t>
      </w:r>
    </w:p>
    <w:p w14:paraId="0697CF9E" w14:textId="77777777" w:rsidR="006B00BB" w:rsidRDefault="006B00BB" w:rsidP="006B00BB">
      <w:r w:rsidRPr="0085148B">
        <w:t>Medway</w:t>
      </w:r>
      <w:r>
        <w:t xml:space="preserve"> Council’</w:t>
      </w:r>
      <w:r w:rsidRPr="0085148B">
        <w:t xml:space="preserve">s target for carriageway condition is to meet or exceed the national average for each class of road. The data presented here would suggest that even with the current strategy of investing more of the resurfacing budget on unclassified roads, it is insufficient to continue improving the condition of unclassified roads and keep the classified roads to a standard which meets or exceeds the national averages. </w:t>
      </w:r>
    </w:p>
    <w:p w14:paraId="0904A08A" w14:textId="77777777" w:rsidR="006B00BB" w:rsidRPr="0085148B" w:rsidRDefault="006B00BB" w:rsidP="006B00BB">
      <w:r>
        <w:lastRenderedPageBreak/>
        <w:t>Whilst s</w:t>
      </w:r>
      <w:r w:rsidRPr="0085148B">
        <w:t xml:space="preserve">ome worsening of the overall condition on the classified roads </w:t>
      </w:r>
      <w:r>
        <w:t>would be</w:t>
      </w:r>
      <w:r w:rsidRPr="0085148B">
        <w:t xml:space="preserve"> expected to achieve the </w:t>
      </w:r>
      <w:r>
        <w:t xml:space="preserve">required </w:t>
      </w:r>
      <w:r w:rsidRPr="0085148B">
        <w:t>improvement on unclassified roads</w:t>
      </w:r>
      <w:r>
        <w:t xml:space="preserve">, Medway Council will strategically keep this under review and tactically try and maintain a balance that enables all road classes to improve over time. It is acknowledged that to achieve this continual progress and move from a steady state to improvement, </w:t>
      </w:r>
      <w:r w:rsidRPr="0085148B">
        <w:t xml:space="preserve">funding levels would need to meet those set out in </w:t>
      </w:r>
      <w:r>
        <w:t xml:space="preserve">our </w:t>
      </w:r>
      <w:r w:rsidRPr="0085148B">
        <w:t xml:space="preserve">Lifecycle Plan to be able to satisfactorily </w:t>
      </w:r>
      <w:r>
        <w:t>maintain and improve the network.</w:t>
      </w:r>
    </w:p>
    <w:p w14:paraId="118F9432" w14:textId="77777777" w:rsidR="006B00BB" w:rsidRDefault="006B00BB" w:rsidP="006B00BB">
      <w:pPr>
        <w:pStyle w:val="Heading1"/>
      </w:pPr>
      <w:r>
        <w:t>Plans</w:t>
      </w:r>
    </w:p>
    <w:p w14:paraId="4C34EF45" w14:textId="77777777" w:rsidR="006B00BB" w:rsidRPr="00A260EC" w:rsidRDefault="006B00BB" w:rsidP="006B00BB">
      <w:pPr>
        <w:pStyle w:val="Heading2"/>
      </w:pPr>
      <w:r w:rsidRPr="00A260EC">
        <w:t>Overall strategy</w:t>
      </w:r>
    </w:p>
    <w:p w14:paraId="25CC113F" w14:textId="77777777" w:rsidR="006B00BB" w:rsidRDefault="006B00BB" w:rsidP="006B00BB">
      <w:r>
        <w:t>Medway Council is committed to using good asset management principles to manage and maintain our highway assets, based on fundamental principles of lifecycle planning. Our long-term approach to investment considers safety, serviceability, sustainability, and affordability. We aim to deliver the best value for money both effectively and efficiently.</w:t>
      </w:r>
    </w:p>
    <w:p w14:paraId="20BE55EF" w14:textId="77777777" w:rsidR="006B00BB" w:rsidRDefault="006B00BB" w:rsidP="006B00BB">
      <w:r>
        <w:t>To deliver our commitment, we aim to ensure:</w:t>
      </w:r>
    </w:p>
    <w:p w14:paraId="40F38692" w14:textId="77777777" w:rsidR="006B00BB" w:rsidRDefault="006B00BB" w:rsidP="006B00BB">
      <w:pPr>
        <w:pStyle w:val="ListParagraph"/>
        <w:numPr>
          <w:ilvl w:val="0"/>
          <w:numId w:val="3"/>
        </w:numPr>
      </w:pPr>
      <w:r>
        <w:t xml:space="preserve">Our asset data is reliable, accurate and up to date so that it can be fed into strategic, tactical, and operational service delivery and that the data is maintained within a system that can support </w:t>
      </w:r>
      <w:proofErr w:type="gramStart"/>
      <w:r>
        <w:t>that;</w:t>
      </w:r>
      <w:proofErr w:type="gramEnd"/>
    </w:p>
    <w:p w14:paraId="597E5339" w14:textId="77777777" w:rsidR="006B00BB" w:rsidRDefault="006B00BB" w:rsidP="006B00BB">
      <w:pPr>
        <w:pStyle w:val="ListParagraph"/>
        <w:numPr>
          <w:ilvl w:val="0"/>
          <w:numId w:val="3"/>
        </w:numPr>
      </w:pPr>
      <w:r>
        <w:t xml:space="preserve">To continuously review our financial plan and align funding to asset requirements, for the most effective outcomes, leading to better value for </w:t>
      </w:r>
      <w:proofErr w:type="gramStart"/>
      <w:r>
        <w:t>money;</w:t>
      </w:r>
      <w:proofErr w:type="gramEnd"/>
    </w:p>
    <w:p w14:paraId="5E4B96C9" w14:textId="77777777" w:rsidR="006B00BB" w:rsidRDefault="006B00BB" w:rsidP="006B00BB">
      <w:pPr>
        <w:pStyle w:val="ListParagraph"/>
        <w:numPr>
          <w:ilvl w:val="0"/>
          <w:numId w:val="3"/>
        </w:numPr>
      </w:pPr>
      <w:r>
        <w:t xml:space="preserve">Ensure our staff, senior management and elected members take ownership of good asset management principles, understanding and embedding them across the service and linking to the Council’s Medium Term Financial Strategy and </w:t>
      </w:r>
      <w:proofErr w:type="gramStart"/>
      <w:r>
        <w:t>long term</w:t>
      </w:r>
      <w:proofErr w:type="gramEnd"/>
      <w:r>
        <w:t xml:space="preserve"> Capital </w:t>
      </w:r>
      <w:proofErr w:type="gramStart"/>
      <w:r>
        <w:t>Strategy;</w:t>
      </w:r>
      <w:proofErr w:type="gramEnd"/>
    </w:p>
    <w:p w14:paraId="14E47823" w14:textId="77777777" w:rsidR="006B00BB" w:rsidRPr="00440ADF" w:rsidRDefault="006B00BB" w:rsidP="006B00BB">
      <w:pPr>
        <w:pStyle w:val="ListParagraph"/>
        <w:numPr>
          <w:ilvl w:val="0"/>
          <w:numId w:val="3"/>
        </w:numPr>
      </w:pPr>
      <w:r>
        <w:t>Using out asset data and financial information to make long term decisions, on the whole life of our assets and using this to manage risk and make long term strategic plans.</w:t>
      </w:r>
    </w:p>
    <w:p w14:paraId="1BE18566" w14:textId="77777777" w:rsidR="006B00BB" w:rsidRPr="00DE2743" w:rsidRDefault="006B00BB" w:rsidP="006B00BB">
      <w:r w:rsidRPr="00DE2743">
        <w:t xml:space="preserve">Medway Council adopts the Well Managed Highway Infrastructure Code of Practice </w:t>
      </w:r>
      <w:r>
        <w:t>and manages its road network on a risk-based approach. This enables us to make more informed decisions regarding maintenance, timescales and repair methods leading to greater efficiencies and cost effectiveness.</w:t>
      </w:r>
    </w:p>
    <w:p w14:paraId="35C753C0" w14:textId="77777777" w:rsidR="006B00BB" w:rsidRPr="00A260EC" w:rsidRDefault="006B00BB" w:rsidP="006B00BB">
      <w:pPr>
        <w:pStyle w:val="Heading2"/>
      </w:pPr>
      <w:r w:rsidRPr="00A260EC">
        <w:t>Specific plans for 2025/26</w:t>
      </w:r>
    </w:p>
    <w:p w14:paraId="3AE4C158" w14:textId="77777777" w:rsidR="006B00BB" w:rsidRDefault="006B00BB" w:rsidP="006B00BB">
      <w:pPr>
        <w:spacing w:after="0"/>
      </w:pPr>
      <w:r>
        <w:t>To date we have completed 11 out of 16 carriageway resurfacing schemes this year which totals 2.02km, the expected final length of resurfacing once all 16 are completed is approximately 3.39km.</w:t>
      </w:r>
    </w:p>
    <w:p w14:paraId="74DA2994" w14:textId="77777777" w:rsidR="006B00BB" w:rsidRDefault="006B00BB" w:rsidP="006B00BB">
      <w:pPr>
        <w:spacing w:after="0"/>
      </w:pPr>
    </w:p>
    <w:p w14:paraId="707A0015" w14:textId="77777777" w:rsidR="006B00BB" w:rsidRDefault="006B00BB" w:rsidP="006B00BB">
      <w:pPr>
        <w:spacing w:after="0"/>
      </w:pPr>
      <w:r>
        <w:t>With the additional incentive funding we are expected to resurface 8 sites which totals approximately 1.57km of the network. As mentioned in section 1 of this document our main priority for the additional incentive funding is to improve the highway network by carrying out larger patching works which will incorporate clusters of defects that do not yet meet our safety intervention threshold or resurfacing criteria, but visually make the network look in worse condition than it structurally is</w:t>
      </w:r>
    </w:p>
    <w:p w14:paraId="1362266F" w14:textId="77777777" w:rsidR="006B00BB" w:rsidRDefault="006B00BB" w:rsidP="006B00BB">
      <w:pPr>
        <w:spacing w:after="0"/>
      </w:pPr>
    </w:p>
    <w:p w14:paraId="37692D18" w14:textId="77777777" w:rsidR="006B00BB" w:rsidRDefault="006B00BB" w:rsidP="006B00BB">
      <w:pPr>
        <w:rPr>
          <w:rFonts w:ascii="Arial" w:eastAsia="Arial" w:hAnsi="Arial" w:cs="Arial"/>
        </w:rPr>
      </w:pPr>
      <w:r w:rsidRPr="16DA3383">
        <w:lastRenderedPageBreak/>
        <w:t xml:space="preserve">There are planned General and Principal inspections for Bridges, Culverts, and Retaining Walls this year at several locations across Medway. </w:t>
      </w:r>
      <w:r w:rsidRPr="16DA3383">
        <w:rPr>
          <w:rFonts w:eastAsiaTheme="minorEastAsia"/>
        </w:rPr>
        <w:t>General Inspections are carried out at 2-year intervals and Principal Inspections at 6-year intervals.</w:t>
      </w:r>
    </w:p>
    <w:p w14:paraId="58F3B11B" w14:textId="77777777" w:rsidR="006B00BB" w:rsidRDefault="006B00BB" w:rsidP="006B00BB">
      <w:pPr>
        <w:rPr>
          <w:rFonts w:ascii="Calibri" w:eastAsia="Calibri" w:hAnsi="Calibri" w:cs="Calibri"/>
          <w:sz w:val="24"/>
          <w:szCs w:val="24"/>
        </w:rPr>
      </w:pPr>
      <w:r w:rsidRPr="1E797B1F">
        <w:rPr>
          <w:rFonts w:eastAsiaTheme="minorEastAsia"/>
        </w:rPr>
        <w:t>There are planned repairs to three retaining walls which have been identified from their routine inspections. Repairs to a Bridge involving hydro blasting, steel, and concrete repairs. Localised rendering repairs to cracks along a retaining wall in Rochester. Ther are also other works to be assessed and programmed in due course.</w:t>
      </w:r>
    </w:p>
    <w:p w14:paraId="17DE4C47" w14:textId="77777777" w:rsidR="006B00BB" w:rsidRDefault="006B00BB" w:rsidP="006B00BB">
      <w:pPr>
        <w:pStyle w:val="Heading2"/>
      </w:pPr>
      <w:r w:rsidRPr="005A3819">
        <w:t>Streetworks</w:t>
      </w:r>
    </w:p>
    <w:p w14:paraId="4620EFBF" w14:textId="77777777" w:rsidR="006B00BB" w:rsidRPr="00EF1971" w:rsidRDefault="006B00BB" w:rsidP="006B00BB">
      <w:r w:rsidRPr="00EF1971">
        <w:t>We are currently working to apply to the Secretary of State to implement a Lane Rental Scheme alongside our existing Permitting Scheme later this year. Lane rental will enable us to identify our strategic routes where roadworks cause the most disruption on the network, increasing journey times for residents and visitors. Any works taking place on the routes included within the scheme will be subject to a daily charge, therefore encouraging Utilities to resource works efficiently and ensure they are carried out in a timely manner to keep costs low.</w:t>
      </w:r>
    </w:p>
    <w:p w14:paraId="789A55D0" w14:textId="77777777" w:rsidR="006B00BB" w:rsidRPr="00EF1971" w:rsidRDefault="006B00BB" w:rsidP="006B00BB">
      <w:r w:rsidRPr="00EF1971">
        <w:t>We are using our streetworks and other powers to ensure that resurfacing works are not undermined by repeated digging within the same road by utility companies.</w:t>
      </w:r>
    </w:p>
    <w:p w14:paraId="53DB0E30" w14:textId="77777777" w:rsidR="006B00BB" w:rsidRPr="00EF1971" w:rsidRDefault="006B00BB" w:rsidP="006B00BB">
      <w:r w:rsidRPr="00EF1971">
        <w:t>We participate in a quarterly statutory undertaker’s co-ordination meeting where upcoming works by the council and statutory undertakers are discussed between all parties.</w:t>
      </w:r>
    </w:p>
    <w:p w14:paraId="15BC2A92" w14:textId="77777777" w:rsidR="006B00BB" w:rsidRPr="00EF1971" w:rsidRDefault="006B00BB" w:rsidP="006B00BB">
      <w:r w:rsidRPr="00EF1971">
        <w:t>Cross-party working is encouraged and include discussions around future programmes to reduce the need for repeated digging.</w:t>
      </w:r>
    </w:p>
    <w:p w14:paraId="6EB9E26D" w14:textId="77777777" w:rsidR="006B00BB" w:rsidRPr="00A02879" w:rsidRDefault="006B00BB" w:rsidP="006B00BB">
      <w:r w:rsidRPr="00EF1971">
        <w:t>Our streetworks team also issues section 58 notices on recently completed resurfacing schemes. These notices prevent statutory undertakers from digging up the road for several years following resurfacing unless there is an emergency or a new service.</w:t>
      </w:r>
    </w:p>
    <w:p w14:paraId="6C30630F" w14:textId="77777777" w:rsidR="006B00BB" w:rsidRDefault="006B00BB" w:rsidP="006B00BB">
      <w:pPr>
        <w:pStyle w:val="Heading2"/>
      </w:pPr>
      <w:r>
        <w:t xml:space="preserve">Climate change, </w:t>
      </w:r>
      <w:r w:rsidRPr="00BE07C7">
        <w:t>resilience,</w:t>
      </w:r>
      <w:r>
        <w:t xml:space="preserve"> and </w:t>
      </w:r>
      <w:r w:rsidRPr="0037015C">
        <w:t xml:space="preserve">adaptation </w:t>
      </w:r>
    </w:p>
    <w:p w14:paraId="17553335" w14:textId="77777777" w:rsidR="006B00BB" w:rsidRPr="00057867" w:rsidRDefault="006B00BB" w:rsidP="006B00BB">
      <w:pPr>
        <w:spacing w:line="276" w:lineRule="auto"/>
        <w:rPr>
          <w:rFonts w:cstheme="minorHAnsi"/>
          <w:i/>
        </w:rPr>
      </w:pPr>
      <w:r w:rsidRPr="00057867">
        <w:rPr>
          <w:rFonts w:eastAsia="Times New Roman" w:cstheme="minorHAnsi"/>
          <w:kern w:val="0"/>
          <w:lang w:eastAsia="en-GB"/>
          <w14:ligatures w14:val="none"/>
        </w:rPr>
        <w:t>Medway Council is committed to achieving net zero carbon emissions by 2050 for both the Council and the wider Medway area, as set out in our Climate Change Action Plan. This aligns with the strategic priorities outlined in the One Medway Council Plan, particularly Priority 3: supporting clean, green, safe, and connected communities—an objective to which our highway works contribute directly.</w:t>
      </w:r>
    </w:p>
    <w:p w14:paraId="3A9A3C5D" w14:textId="77777777" w:rsidR="006B00BB" w:rsidRPr="00057867" w:rsidRDefault="006B00BB" w:rsidP="006B00BB">
      <w:pPr>
        <w:spacing w:before="100" w:beforeAutospacing="1" w:after="100" w:afterAutospacing="1" w:line="276" w:lineRule="auto"/>
        <w:rPr>
          <w:rFonts w:eastAsia="Times New Roman" w:cstheme="minorHAnsi"/>
          <w:kern w:val="0"/>
          <w:lang w:eastAsia="en-GB"/>
          <w14:ligatures w14:val="none"/>
        </w:rPr>
      </w:pPr>
      <w:r w:rsidRPr="00057867">
        <w:rPr>
          <w:rFonts w:eastAsia="Times New Roman" w:cstheme="minorHAnsi"/>
          <w:kern w:val="0"/>
          <w:lang w:eastAsia="en-GB"/>
          <w14:ligatures w14:val="none"/>
        </w:rPr>
        <w:t xml:space="preserve">Our Highways Term Maintenance Contractor, Volker Highways, operates under the </w:t>
      </w:r>
      <w:proofErr w:type="spellStart"/>
      <w:r w:rsidRPr="00057867">
        <w:rPr>
          <w:rFonts w:eastAsia="Times New Roman" w:cstheme="minorHAnsi"/>
          <w:kern w:val="0"/>
          <w:lang w:eastAsia="en-GB"/>
          <w14:ligatures w14:val="none"/>
        </w:rPr>
        <w:t>VolkerWessels</w:t>
      </w:r>
      <w:proofErr w:type="spellEnd"/>
      <w:r w:rsidRPr="00057867">
        <w:rPr>
          <w:rFonts w:eastAsia="Times New Roman" w:cstheme="minorHAnsi"/>
          <w:kern w:val="0"/>
          <w:lang w:eastAsia="en-GB"/>
          <w14:ligatures w14:val="none"/>
        </w:rPr>
        <w:t xml:space="preserve"> UK Carbon Reduction Strategy and is taking active steps to minimise, and where possible, eliminate the environmental impact of on-site activities. In partnership with Medway Council and their supply chain, efforts are ongoing to reduce operational carbon across all aspects of delivery.</w:t>
      </w:r>
    </w:p>
    <w:p w14:paraId="4A0A99E5" w14:textId="77777777" w:rsidR="006B00BB" w:rsidRPr="00057867" w:rsidRDefault="006B00BB" w:rsidP="006B00BB">
      <w:pPr>
        <w:spacing w:before="100" w:beforeAutospacing="1" w:after="100" w:afterAutospacing="1" w:line="276" w:lineRule="auto"/>
        <w:rPr>
          <w:rFonts w:eastAsia="Times New Roman" w:cstheme="minorHAnsi"/>
          <w:kern w:val="0"/>
          <w:lang w:eastAsia="en-GB"/>
          <w14:ligatures w14:val="none"/>
        </w:rPr>
      </w:pPr>
      <w:r w:rsidRPr="00057867">
        <w:rPr>
          <w:rFonts w:eastAsia="Times New Roman" w:cstheme="minorHAnsi"/>
          <w:kern w:val="0"/>
          <w:lang w:eastAsia="en-GB"/>
          <w14:ligatures w14:val="none"/>
        </w:rPr>
        <w:t>All material removed from site during road schemes is 100% recycled</w:t>
      </w:r>
      <w:r>
        <w:rPr>
          <w:rFonts w:eastAsia="Times New Roman" w:cstheme="minorHAnsi"/>
          <w:kern w:val="0"/>
          <w:lang w:eastAsia="en-GB"/>
          <w14:ligatures w14:val="none"/>
        </w:rPr>
        <w:t xml:space="preserve">; </w:t>
      </w:r>
      <w:r w:rsidRPr="00057867">
        <w:rPr>
          <w:rFonts w:eastAsia="Times New Roman" w:cstheme="minorHAnsi"/>
          <w:kern w:val="0"/>
          <w:lang w:eastAsia="en-GB"/>
          <w14:ligatures w14:val="none"/>
        </w:rPr>
        <w:t>a standard that has been consistently maintained throughout the life of the contract. Additionally, Volker Highways works with suppliers to ensure that materials used contain a high proportion of recycled asphalt pavement (RAP).</w:t>
      </w:r>
    </w:p>
    <w:p w14:paraId="13BEC56E" w14:textId="77777777" w:rsidR="006B00BB" w:rsidRPr="00057867" w:rsidRDefault="006B00BB" w:rsidP="006B00BB">
      <w:pPr>
        <w:spacing w:before="100" w:beforeAutospacing="1" w:after="100" w:afterAutospacing="1" w:line="276" w:lineRule="auto"/>
        <w:rPr>
          <w:rFonts w:eastAsia="Times New Roman" w:cstheme="minorHAnsi"/>
          <w:kern w:val="0"/>
          <w:lang w:eastAsia="en-GB"/>
          <w14:ligatures w14:val="none"/>
        </w:rPr>
      </w:pPr>
      <w:r w:rsidRPr="00057867">
        <w:rPr>
          <w:rFonts w:eastAsia="Times New Roman" w:cstheme="minorHAnsi"/>
          <w:kern w:val="0"/>
          <w:lang w:eastAsia="en-GB"/>
          <w14:ligatures w14:val="none"/>
        </w:rPr>
        <w:lastRenderedPageBreak/>
        <w:t>To maximise the lifespan of our highway assets and reduce the need for carbon-intensive resurfacing, we continue to apply preventative treatments such as surface dressing, micro asphalt, and crack sealing. Following a successful trial, Medway has now incorporated thermal road repair</w:t>
      </w:r>
      <w:r>
        <w:rPr>
          <w:rFonts w:eastAsia="Times New Roman" w:cstheme="minorHAnsi"/>
          <w:kern w:val="0"/>
          <w:lang w:eastAsia="en-GB"/>
          <w14:ligatures w14:val="none"/>
        </w:rPr>
        <w:t xml:space="preserve">; </w:t>
      </w:r>
      <w:r w:rsidRPr="00057867">
        <w:rPr>
          <w:rFonts w:eastAsia="Times New Roman" w:cstheme="minorHAnsi"/>
          <w:kern w:val="0"/>
          <w:lang w:eastAsia="en-GB"/>
          <w14:ligatures w14:val="none"/>
        </w:rPr>
        <w:t>a low-carbon alternative</w:t>
      </w:r>
      <w:r>
        <w:rPr>
          <w:rFonts w:eastAsia="Times New Roman" w:cstheme="minorHAnsi"/>
          <w:kern w:val="0"/>
          <w:lang w:eastAsia="en-GB"/>
          <w14:ligatures w14:val="none"/>
        </w:rPr>
        <w:t xml:space="preserve"> </w:t>
      </w:r>
      <w:r w:rsidRPr="00057867">
        <w:rPr>
          <w:rFonts w:eastAsia="Times New Roman" w:cstheme="minorHAnsi"/>
          <w:kern w:val="0"/>
          <w:lang w:eastAsia="en-GB"/>
          <w14:ligatures w14:val="none"/>
        </w:rPr>
        <w:t>into its maintenance programme, scheduled three times per year over four-week periods. A Capital Funding bid is currently being developed to acquire this equipment, allowing for more frequent and sustainable repairs.</w:t>
      </w:r>
    </w:p>
    <w:p w14:paraId="18A8BB45" w14:textId="77777777" w:rsidR="006B00BB" w:rsidRPr="00057867" w:rsidRDefault="006B00BB" w:rsidP="006B00BB">
      <w:pPr>
        <w:spacing w:before="100" w:beforeAutospacing="1" w:after="100" w:afterAutospacing="1" w:line="276" w:lineRule="auto"/>
        <w:rPr>
          <w:rFonts w:eastAsia="Times New Roman" w:cstheme="minorHAnsi"/>
          <w:kern w:val="0"/>
          <w:lang w:eastAsia="en-GB"/>
          <w14:ligatures w14:val="none"/>
        </w:rPr>
      </w:pPr>
      <w:r w:rsidRPr="00057867">
        <w:rPr>
          <w:rFonts w:eastAsia="Times New Roman" w:cstheme="minorHAnsi"/>
          <w:kern w:val="0"/>
          <w:lang w:eastAsia="en-GB"/>
          <w14:ligatures w14:val="none"/>
        </w:rPr>
        <w:t>We are also reviewing the transition to alternative fuel vehicles. At present, three electric vehicles are in use as part of Medway’s highway contract, with a fourth recently introduced for highway inspections. Further EV acquisitions are planned, and with the implementation of Route Reports, we aim to refine our approach to inspections, thereby reducing both our carbon footprint and associated operational costs.</w:t>
      </w:r>
    </w:p>
    <w:p w14:paraId="1C250349" w14:textId="77777777" w:rsidR="006B00BB" w:rsidRDefault="006B00BB" w:rsidP="006B00BB">
      <w:pPr>
        <w:pStyle w:val="Heading3"/>
      </w:pPr>
      <w:r>
        <w:t>Additional information on</w:t>
      </w:r>
      <w:r w:rsidRPr="002E03A5">
        <w:rPr>
          <w:rFonts w:asciiTheme="majorHAnsi" w:hAnsiTheme="majorHAnsi"/>
          <w:sz w:val="32"/>
          <w:szCs w:val="32"/>
        </w:rPr>
        <w:t xml:space="preserve"> </w:t>
      </w:r>
      <w:r w:rsidRPr="00031933">
        <w:t>plans</w:t>
      </w:r>
      <w:r w:rsidRPr="002E03A5">
        <w:rPr>
          <w:rFonts w:asciiTheme="majorHAnsi" w:hAnsiTheme="majorHAnsi"/>
          <w:sz w:val="32"/>
          <w:szCs w:val="32"/>
        </w:rPr>
        <w:t xml:space="preserve"> </w:t>
      </w:r>
    </w:p>
    <w:p w14:paraId="52FBCA5B" w14:textId="77777777" w:rsidR="006B00BB" w:rsidRPr="00663A7D" w:rsidRDefault="006B00BB" w:rsidP="006B00BB">
      <w:r w:rsidRPr="00663A7D">
        <w:t>Following the award of £2.14 million in LEVI Capital Funding, Medway Council’s Highways Service will be delivering an on-street electric vehicle (EV) charging infrastructure programme. This initiative aims to give residents the confidence to transition to EVs, directly supporting our ambition of reaching net zero carbon emissions by 2050. The contract is expected to be mobilised by October this year, with physical installations beginning within the current financial year.</w:t>
      </w:r>
    </w:p>
    <w:p w14:paraId="208EDFCD" w14:textId="77777777" w:rsidR="006B00BB" w:rsidRPr="00663A7D" w:rsidRDefault="006B00BB" w:rsidP="006B00BB">
      <w:r w:rsidRPr="00663A7D">
        <w:t>Aligned with the One Medway Council Plan, and specifically its sub-priority to develop digital solutions for residents to access services and engage more effectively, the Highways team is working in partnership with the Council’s Transformation Team. Together, they aim to shift from transactional interactions to more meaningful engagement. A key focus of this effort will be to simplify the process for reporting defects or requesting services, while providing residents with accurate, real-time updates on progress.</w:t>
      </w:r>
    </w:p>
    <w:p w14:paraId="102EF300" w14:textId="77777777" w:rsidR="000A18B2" w:rsidRDefault="000A18B2"/>
    <w:sectPr w:rsidR="000A1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B57CF"/>
    <w:multiLevelType w:val="hybridMultilevel"/>
    <w:tmpl w:val="DFE611D0"/>
    <w:lvl w:ilvl="0" w:tplc="F822BB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D7BCE"/>
    <w:multiLevelType w:val="hybridMultilevel"/>
    <w:tmpl w:val="F7BC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0414A"/>
    <w:multiLevelType w:val="hybridMultilevel"/>
    <w:tmpl w:val="0EE0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2406D"/>
    <w:multiLevelType w:val="hybridMultilevel"/>
    <w:tmpl w:val="8C4A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017528">
    <w:abstractNumId w:val="0"/>
  </w:num>
  <w:num w:numId="2" w16cid:durableId="1341658957">
    <w:abstractNumId w:val="1"/>
  </w:num>
  <w:num w:numId="3" w16cid:durableId="1323855194">
    <w:abstractNumId w:val="3"/>
  </w:num>
  <w:num w:numId="4" w16cid:durableId="178279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BB"/>
    <w:rsid w:val="000A18B2"/>
    <w:rsid w:val="00387415"/>
    <w:rsid w:val="006B00BB"/>
    <w:rsid w:val="00A04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82E1"/>
  <w15:chartTrackingRefBased/>
  <w15:docId w15:val="{EF7B09D4-1EE1-476C-81F7-185D8CCF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BB"/>
  </w:style>
  <w:style w:type="paragraph" w:styleId="Heading1">
    <w:name w:val="heading 1"/>
    <w:basedOn w:val="Normal"/>
    <w:next w:val="Normal"/>
    <w:link w:val="Heading1Char"/>
    <w:uiPriority w:val="9"/>
    <w:qFormat/>
    <w:rsid w:val="006B0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0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0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0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0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0BB"/>
    <w:rPr>
      <w:rFonts w:eastAsiaTheme="majorEastAsia" w:cstheme="majorBidi"/>
      <w:color w:val="272727" w:themeColor="text1" w:themeTint="D8"/>
    </w:rPr>
  </w:style>
  <w:style w:type="paragraph" w:styleId="Title">
    <w:name w:val="Title"/>
    <w:basedOn w:val="Normal"/>
    <w:next w:val="Normal"/>
    <w:link w:val="TitleChar"/>
    <w:uiPriority w:val="10"/>
    <w:qFormat/>
    <w:rsid w:val="006B0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0BB"/>
    <w:pPr>
      <w:spacing w:before="160"/>
      <w:jc w:val="center"/>
    </w:pPr>
    <w:rPr>
      <w:i/>
      <w:iCs/>
      <w:color w:val="404040" w:themeColor="text1" w:themeTint="BF"/>
    </w:rPr>
  </w:style>
  <w:style w:type="character" w:customStyle="1" w:styleId="QuoteChar">
    <w:name w:val="Quote Char"/>
    <w:basedOn w:val="DefaultParagraphFont"/>
    <w:link w:val="Quote"/>
    <w:uiPriority w:val="29"/>
    <w:rsid w:val="006B00BB"/>
    <w:rPr>
      <w:i/>
      <w:iCs/>
      <w:color w:val="404040" w:themeColor="text1" w:themeTint="BF"/>
    </w:rPr>
  </w:style>
  <w:style w:type="paragraph" w:styleId="ListParagraph">
    <w:name w:val="List Paragraph"/>
    <w:basedOn w:val="Normal"/>
    <w:uiPriority w:val="34"/>
    <w:qFormat/>
    <w:rsid w:val="006B00BB"/>
    <w:pPr>
      <w:ind w:left="720"/>
      <w:contextualSpacing/>
    </w:pPr>
  </w:style>
  <w:style w:type="character" w:styleId="IntenseEmphasis">
    <w:name w:val="Intense Emphasis"/>
    <w:basedOn w:val="DefaultParagraphFont"/>
    <w:uiPriority w:val="21"/>
    <w:qFormat/>
    <w:rsid w:val="006B00BB"/>
    <w:rPr>
      <w:i/>
      <w:iCs/>
      <w:color w:val="0F4761" w:themeColor="accent1" w:themeShade="BF"/>
    </w:rPr>
  </w:style>
  <w:style w:type="paragraph" w:styleId="IntenseQuote">
    <w:name w:val="Intense Quote"/>
    <w:basedOn w:val="Normal"/>
    <w:next w:val="Normal"/>
    <w:link w:val="IntenseQuoteChar"/>
    <w:uiPriority w:val="30"/>
    <w:qFormat/>
    <w:rsid w:val="006B0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0BB"/>
    <w:rPr>
      <w:i/>
      <w:iCs/>
      <w:color w:val="0F4761" w:themeColor="accent1" w:themeShade="BF"/>
    </w:rPr>
  </w:style>
  <w:style w:type="character" w:styleId="IntenseReference">
    <w:name w:val="Intense Reference"/>
    <w:basedOn w:val="DefaultParagraphFont"/>
    <w:uiPriority w:val="32"/>
    <w:qFormat/>
    <w:rsid w:val="006B00BB"/>
    <w:rPr>
      <w:b/>
      <w:bCs/>
      <w:smallCaps/>
      <w:color w:val="0F4761" w:themeColor="accent1" w:themeShade="BF"/>
      <w:spacing w:val="5"/>
    </w:rPr>
  </w:style>
  <w:style w:type="table" w:styleId="TableGrid">
    <w:name w:val="Table Grid"/>
    <w:basedOn w:val="TableNormal"/>
    <w:uiPriority w:val="39"/>
    <w:rsid w:val="006B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0B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statistical-data-sets/road-condition-statistics-data-tables-rd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kerrie</dc:creator>
  <cp:keywords/>
  <dc:description/>
  <cp:lastModifiedBy>richardson, kerrie</cp:lastModifiedBy>
  <cp:revision>1</cp:revision>
  <dcterms:created xsi:type="dcterms:W3CDTF">2025-06-30T13:00:00Z</dcterms:created>
  <dcterms:modified xsi:type="dcterms:W3CDTF">2025-06-30T13:01:00Z</dcterms:modified>
</cp:coreProperties>
</file>